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D2653B" w:rsidRDefault="00D2653B" w:rsidP="00074DD8">
      <w:pPr>
        <w:pStyle w:val="tytuinformacji"/>
        <w:rPr>
          <w:shd w:val="clear" w:color="auto" w:fill="FFFFFF"/>
          <w:lang w:val="en-GB"/>
        </w:rPr>
      </w:pPr>
      <w:r w:rsidRPr="00D2653B">
        <w:rPr>
          <w:shd w:val="clear" w:color="auto" w:fill="FFFFFF"/>
          <w:lang w:val="en-GB"/>
        </w:rPr>
        <w:t>The demand for labour in the fourth quarter of 2019</w:t>
      </w:r>
    </w:p>
    <w:p w:rsidR="00393761" w:rsidRPr="00D2653B" w:rsidRDefault="00393761" w:rsidP="00074DD8">
      <w:pPr>
        <w:pStyle w:val="tytuinformacji"/>
        <w:rPr>
          <w:sz w:val="32"/>
          <w:lang w:val="en-GB"/>
        </w:rPr>
      </w:pPr>
    </w:p>
    <w:p w:rsidR="005916D7" w:rsidRPr="00D2653B" w:rsidRDefault="00D2653B" w:rsidP="00633014">
      <w:pPr>
        <w:pStyle w:val="LID"/>
        <w:rPr>
          <w:lang w:val="en-GB"/>
        </w:rPr>
      </w:pPr>
      <w:r w:rsidRPr="00633014">
        <w:rPr>
          <w:b w:val="0"/>
          <w:spacing w:val="-2"/>
        </w:rPr>
        <mc:AlternateContent>
          <mc:Choice Requires="wps">
            <w:drawing>
              <wp:anchor distT="45720" distB="45720" distL="114300" distR="114300" simplePos="0" relativeHeight="251737088" behindDoc="1" locked="0" layoutInCell="1" allowOverlap="1" wp14:anchorId="50CA8923" wp14:editId="04FBE593">
                <wp:simplePos x="0" y="0"/>
                <wp:positionH relativeFrom="column">
                  <wp:posOffset>5231130</wp:posOffset>
                </wp:positionH>
                <wp:positionV relativeFrom="paragraph">
                  <wp:posOffset>270510</wp:posOffset>
                </wp:positionV>
                <wp:extent cx="1725295" cy="1884680"/>
                <wp:effectExtent l="0" t="0" r="0" b="1270"/>
                <wp:wrapTight wrapText="bothSides">
                  <wp:wrapPolygon edited="0">
                    <wp:start x="715" y="0"/>
                    <wp:lineTo x="715" y="21396"/>
                    <wp:lineTo x="20749" y="21396"/>
                    <wp:lineTo x="20749" y="0"/>
                    <wp:lineTo x="715"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884680"/>
                        </a:xfrm>
                        <a:prstGeom prst="rect">
                          <a:avLst/>
                        </a:prstGeom>
                        <a:noFill/>
                        <a:ln w="9525">
                          <a:noFill/>
                          <a:miter lim="800000"/>
                          <a:headEnd/>
                          <a:tailEnd/>
                        </a:ln>
                      </wps:spPr>
                      <wps:txbx>
                        <w:txbxContent>
                          <w:p w:rsidR="00D2653B" w:rsidRPr="00D2653B" w:rsidRDefault="00D2653B" w:rsidP="00D2653B">
                            <w:pPr>
                              <w:pStyle w:val="tekstzboku"/>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A8923" id="_x0000_t202" coordsize="21600,21600" o:spt="202" path="m,l,21600r21600,l21600,xe">
                <v:stroke joinstyle="miter"/>
                <v:path gradientshapeok="t" o:connecttype="rect"/>
              </v:shapetype>
              <v:shape id="Pole tekstowe 7" o:spid="_x0000_s1026" type="#_x0000_t202" style="position:absolute;margin-left:411.9pt;margin-top:21.3pt;width:135.85pt;height:148.4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" filled="f" stroked="f">
                <v:textbox>
                  <w:txbxContent>
                    <w:p w:rsidR="00D2653B" w:rsidRPr="00D2653B" w:rsidRDefault="00D2653B" w:rsidP="00D2653B">
                      <w:pPr>
                        <w:pStyle w:val="tekstzboku"/>
                        <w:rPr>
                          <w:lang w:val="en-GB"/>
                        </w:rPr>
                      </w:pPr>
                    </w:p>
                  </w:txbxContent>
                </v:textbox>
                <w10:wrap type="tight"/>
              </v:shape>
            </w:pict>
          </mc:Fallback>
        </mc:AlternateContent>
      </w:r>
      <w:r w:rsidR="00003437" w:rsidRPr="00074DD8">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85725</wp:posOffset>
                </wp:positionV>
                <wp:extent cx="1828800" cy="1217295"/>
                <wp:effectExtent l="0" t="0" r="0"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7295"/>
                        </a:xfrm>
                        <a:prstGeom prst="rect">
                          <a:avLst/>
                        </a:prstGeom>
                        <a:solidFill>
                          <a:srgbClr val="001D77"/>
                        </a:solidFill>
                        <a:ln w="9525">
                          <a:noFill/>
                          <a:miter lim="800000"/>
                          <a:headEnd/>
                          <a:tailEnd/>
                        </a:ln>
                      </wps:spPr>
                      <wps:txbx>
                        <w:txbxContent>
                          <w:p w:rsidR="00933EC1" w:rsidRPr="00D2653B" w:rsidRDefault="00D2653B" w:rsidP="00633014">
                            <w:pPr>
                              <w:spacing w:after="0" w:line="240" w:lineRule="auto"/>
                              <w:rPr>
                                <w:rFonts w:ascii="Fira Sans SemiBold" w:hAnsi="Fira Sans SemiBold"/>
                                <w:color w:val="FFFFFF" w:themeColor="background1"/>
                                <w:sz w:val="72"/>
                                <w:lang w:val="en-GB"/>
                              </w:rPr>
                            </w:pPr>
                            <w:r w:rsidRPr="00D2653B">
                              <w:rPr>
                                <w:rFonts w:ascii="Fira Sans SemiBold" w:hAnsi="Fira Sans SemiBold"/>
                                <w:color w:val="92D050"/>
                                <w:sz w:val="72"/>
                                <w:lang w:val="en-GB"/>
                              </w:rPr>
                              <w:t>↓</w:t>
                            </w:r>
                            <w:r w:rsidRPr="00D2653B">
                              <w:rPr>
                                <w:rFonts w:ascii="Fira Sans SemiBold" w:hAnsi="Fira Sans SemiBold"/>
                                <w:color w:val="FFFFFF" w:themeColor="background1"/>
                                <w:sz w:val="72"/>
                                <w:lang w:val="en-GB"/>
                              </w:rPr>
                              <w:t>15</w:t>
                            </w:r>
                            <w:r w:rsidR="001D2736" w:rsidRPr="00D2653B">
                              <w:rPr>
                                <w:rFonts w:ascii="Fira Sans SemiBold" w:hAnsi="Fira Sans SemiBold"/>
                                <w:color w:val="FFFFFF" w:themeColor="background1"/>
                                <w:sz w:val="72"/>
                                <w:lang w:val="en-GB"/>
                              </w:rPr>
                              <w:t>,</w:t>
                            </w:r>
                            <w:r w:rsidRPr="00D2653B">
                              <w:rPr>
                                <w:rFonts w:ascii="Fira Sans SemiBold" w:hAnsi="Fira Sans SemiBold"/>
                                <w:color w:val="FFFFFF" w:themeColor="background1"/>
                                <w:sz w:val="72"/>
                                <w:lang w:val="en-GB"/>
                              </w:rPr>
                              <w:t>6</w:t>
                            </w:r>
                          </w:p>
                          <w:p w:rsidR="00933EC1" w:rsidRPr="00D2653B" w:rsidRDefault="00D2653B" w:rsidP="00074DD8">
                            <w:pPr>
                              <w:pStyle w:val="tekstnaniebieskimtle"/>
                              <w:rPr>
                                <w:color w:val="FFFFFF" w:themeColor="background1"/>
                                <w:sz w:val="18"/>
                                <w:szCs w:val="20"/>
                                <w:lang w:val="en-GB"/>
                              </w:rPr>
                            </w:pPr>
                            <w:r w:rsidRPr="00D2653B">
                              <w:rPr>
                                <w:lang w:val="en-GB"/>
                              </w:rPr>
                              <w:t>decrease in the number of job vacancies compared to the third quarter of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Pole tekstowe 2" o:spid="_x0000_s1027" type="#_x0000_t202" style="position:absolute;margin-left:0;margin-top:6.75pt;width:2in;height:95.8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" fillcolor="#001d77" stroked="f">
                <v:textbox>
                  <w:txbxContent>
                    <w:p w:rsidR="00933EC1" w:rsidRPr="00D2653B" w:rsidRDefault="00D2653B" w:rsidP="00633014">
                      <w:pPr>
                        <w:spacing w:after="0" w:line="240" w:lineRule="auto"/>
                        <w:rPr>
                          <w:rFonts w:ascii="Fira Sans SemiBold" w:hAnsi="Fira Sans SemiBold"/>
                          <w:color w:val="FFFFFF" w:themeColor="background1"/>
                          <w:sz w:val="72"/>
                          <w:lang w:val="en-GB"/>
                        </w:rPr>
                      </w:pPr>
                      <w:r w:rsidRPr="00D2653B">
                        <w:rPr>
                          <w:rFonts w:ascii="Fira Sans SemiBold" w:hAnsi="Fira Sans SemiBold"/>
                          <w:color w:val="92D050"/>
                          <w:sz w:val="72"/>
                          <w:lang w:val="en-GB"/>
                        </w:rPr>
                        <w:t>↓</w:t>
                      </w:r>
                      <w:r w:rsidRPr="00D2653B">
                        <w:rPr>
                          <w:rFonts w:ascii="Fira Sans SemiBold" w:hAnsi="Fira Sans SemiBold"/>
                          <w:color w:val="FFFFFF" w:themeColor="background1"/>
                          <w:sz w:val="72"/>
                          <w:lang w:val="en-GB"/>
                        </w:rPr>
                        <w:t>15</w:t>
                      </w:r>
                      <w:r w:rsidR="001D2736" w:rsidRPr="00D2653B">
                        <w:rPr>
                          <w:rFonts w:ascii="Fira Sans SemiBold" w:hAnsi="Fira Sans SemiBold"/>
                          <w:color w:val="FFFFFF" w:themeColor="background1"/>
                          <w:sz w:val="72"/>
                          <w:lang w:val="en-GB"/>
                        </w:rPr>
                        <w:t>,</w:t>
                      </w:r>
                      <w:r w:rsidRPr="00D2653B">
                        <w:rPr>
                          <w:rFonts w:ascii="Fira Sans SemiBold" w:hAnsi="Fira Sans SemiBold"/>
                          <w:color w:val="FFFFFF" w:themeColor="background1"/>
                          <w:sz w:val="72"/>
                          <w:lang w:val="en-GB"/>
                        </w:rPr>
                        <w:t>6</w:t>
                      </w:r>
                    </w:p>
                    <w:p w:rsidR="00933EC1" w:rsidRPr="00D2653B" w:rsidRDefault="00D2653B" w:rsidP="00074DD8">
                      <w:pPr>
                        <w:pStyle w:val="tekstnaniebieskimtle"/>
                        <w:rPr>
                          <w:color w:val="FFFFFF" w:themeColor="background1"/>
                          <w:sz w:val="18"/>
                          <w:szCs w:val="20"/>
                          <w:lang w:val="en-GB"/>
                        </w:rPr>
                      </w:pPr>
                      <w:r w:rsidRPr="00D2653B">
                        <w:rPr>
                          <w:lang w:val="en-GB"/>
                        </w:rPr>
                        <w:t>decrease in the number of job vacancies compared to the third quarter of 2019</w:t>
                      </w:r>
                    </w:p>
                  </w:txbxContent>
                </v:textbox>
                <w10:wrap type="square" anchorx="margin"/>
              </v:shape>
            </w:pict>
          </mc:Fallback>
        </mc:AlternateContent>
      </w:r>
      <w:r w:rsidRPr="00D2653B">
        <w:rPr>
          <w:lang w:val="en-GB"/>
        </w:rPr>
        <w:t xml:space="preserve">At the end of the fourth quarter of 2019 the number </w:t>
      </w:r>
      <w:r w:rsidR="001743F5">
        <w:rPr>
          <w:lang w:val="en-GB"/>
        </w:rPr>
        <w:br/>
      </w:r>
      <w:r w:rsidRPr="00D2653B">
        <w:rPr>
          <w:lang w:val="en-GB"/>
        </w:rPr>
        <w:t xml:space="preserve">of job vacancies in Poland, in entities of the national economy or in their local units, employing at least </w:t>
      </w:r>
      <w:r w:rsidR="0061791A">
        <w:rPr>
          <w:lang w:val="en-GB"/>
        </w:rPr>
        <w:br/>
      </w:r>
      <w:r w:rsidRPr="00D2653B">
        <w:rPr>
          <w:lang w:val="en-GB"/>
        </w:rPr>
        <w:t xml:space="preserve">1 person, was 125,4 thousand and was 23,2 thousand or 15,6% lower than at the end of the third quarter of 2019. As compared to the end of the fourth quarter of 2018 </w:t>
      </w:r>
      <w:r w:rsidR="00622A84">
        <w:rPr>
          <w:lang w:val="en-GB"/>
        </w:rPr>
        <w:br/>
      </w:r>
      <w:r w:rsidRPr="00D2653B">
        <w:rPr>
          <w:lang w:val="en-GB"/>
        </w:rPr>
        <w:t xml:space="preserve">the number of vacancies was lower by 13,8 thousand, </w:t>
      </w:r>
      <w:r w:rsidR="00622A84">
        <w:rPr>
          <w:lang w:val="en-GB"/>
        </w:rPr>
        <w:br/>
      </w:r>
      <w:r w:rsidRPr="00D2653B">
        <w:rPr>
          <w:lang w:val="en-GB"/>
        </w:rPr>
        <w:t>or 11,0%. At the end of the fourth quarter of 2019 there were still 28,4 thousand unfilled newly created jobs.</w:t>
      </w:r>
    </w:p>
    <w:p w:rsidR="00D2653B" w:rsidRDefault="00D2653B" w:rsidP="00633014">
      <w:pPr>
        <w:pStyle w:val="LID"/>
        <w:rPr>
          <w:lang w:val="en-GB"/>
        </w:rPr>
      </w:pPr>
      <w:r w:rsidRPr="00D2653B">
        <w:rPr>
          <w:lang w:val="en-GB"/>
        </w:rPr>
        <w:t>In the fourth quarter of 2019 there were 8,1% fewer newly created jobs than in the corresponding period of the previous year. Moreover, 25,3% fewer jobs were liquidated than in the previous quarter and 16,3% fewer than in the fourth quarter of 2018.</w:t>
      </w:r>
    </w:p>
    <w:p w:rsidR="00D2653B" w:rsidRPr="00D2653B" w:rsidRDefault="00D2653B" w:rsidP="00633014">
      <w:pPr>
        <w:pStyle w:val="LID"/>
        <w:rPr>
          <w:lang w:val="en-GB"/>
        </w:rPr>
      </w:pPr>
    </w:p>
    <w:p w:rsidR="00D2653B" w:rsidRPr="00D2653B" w:rsidRDefault="00D2653B" w:rsidP="00D2653B">
      <w:pPr>
        <w:rPr>
          <w:lang w:val="en-GB" w:eastAsia="pl-PL"/>
        </w:rPr>
      </w:pPr>
      <w:r w:rsidRPr="00D2653B">
        <w:rPr>
          <w:color w:val="000000"/>
          <w:lang w:val="en-GB"/>
        </w:rPr>
        <w:t>The survey on the demand for labour is conducted by a representative method on a quarterly basis, using the Z-05 reporting form. It covers units employing at least one person. Reporting units should be understood as entities of the national economy or their local units.</w:t>
      </w:r>
    </w:p>
    <w:p w:rsidR="00D2653B" w:rsidRDefault="00D2653B" w:rsidP="00D2653B">
      <w:pPr>
        <w:rPr>
          <w:lang w:val="en-GB" w:eastAsia="pl-PL"/>
        </w:rPr>
      </w:pPr>
    </w:p>
    <w:p w:rsidR="00D2653B" w:rsidRPr="00D2653B" w:rsidRDefault="00D2653B" w:rsidP="00D2653B">
      <w:pPr>
        <w:pStyle w:val="tytuwykresu"/>
        <w:ind w:left="851" w:hanging="851"/>
        <w:rPr>
          <w:szCs w:val="18"/>
          <w:shd w:val="clear" w:color="auto" w:fill="FFFFFF"/>
          <w:lang w:val="en-GB"/>
        </w:rPr>
      </w:pPr>
      <w:r w:rsidRPr="00D2653B">
        <w:rPr>
          <w:szCs w:val="18"/>
          <w:lang w:val="en-GB"/>
        </w:rPr>
        <w:t>Table 1.</w:t>
      </w:r>
      <w:r w:rsidRPr="00D2653B">
        <w:rPr>
          <w:szCs w:val="18"/>
          <w:shd w:val="clear" w:color="auto" w:fill="FFFFFF"/>
          <w:lang w:val="en-GB"/>
        </w:rPr>
        <w:t xml:space="preserve"> Jobs in Poland </w:t>
      </w:r>
      <w:r w:rsidR="003D5A08" w:rsidRPr="00DB043A">
        <w:rPr>
          <w:rFonts w:eastAsia="Times New Roman"/>
          <w:szCs w:val="19"/>
          <w:lang w:val="en-GB" w:eastAsia="pl-PL"/>
        </w:rPr>
        <w:t>—</w:t>
      </w:r>
      <w:r w:rsidRPr="00D2653B">
        <w:rPr>
          <w:szCs w:val="18"/>
          <w:shd w:val="clear" w:color="auto" w:fill="FFFFFF"/>
          <w:lang w:val="en-GB"/>
        </w:rPr>
        <w:t xml:space="preserve"> basic results of the survey</w:t>
      </w:r>
    </w:p>
    <w:tbl>
      <w:tblPr>
        <w:tblStyle w:val="Siatkatabelijasna1"/>
        <w:tblW w:w="7921" w:type="dxa"/>
        <w:jc w:val="center"/>
        <w:tblBorders>
          <w:top w:val="none" w:sz="0" w:space="0" w:color="auto"/>
          <w:left w:val="none" w:sz="0" w:space="0" w:color="auto"/>
          <w:bottom w:val="none" w:sz="0" w:space="0" w:color="auto"/>
          <w:right w:val="none" w:sz="0" w:space="0" w:color="auto"/>
          <w:insideH w:val="single" w:sz="4" w:space="0" w:color="001D77"/>
          <w:insideV w:val="single" w:sz="4" w:space="0" w:color="001D77"/>
        </w:tblBorders>
        <w:tblCellMar>
          <w:top w:w="28" w:type="dxa"/>
          <w:bottom w:w="28" w:type="dxa"/>
        </w:tblCellMar>
        <w:tblLook w:val="0000" w:firstRow="0" w:lastRow="0" w:firstColumn="0" w:lastColumn="0" w:noHBand="0" w:noVBand="0"/>
      </w:tblPr>
      <w:tblGrid>
        <w:gridCol w:w="3223"/>
        <w:gridCol w:w="1566"/>
        <w:gridCol w:w="1566"/>
        <w:gridCol w:w="1566"/>
      </w:tblGrid>
      <w:tr w:rsidR="00D2653B" w:rsidRPr="009E0F86" w:rsidTr="00640806">
        <w:trPr>
          <w:trHeight w:val="57"/>
          <w:jc w:val="center"/>
        </w:trPr>
        <w:tc>
          <w:tcPr>
            <w:tcW w:w="3223" w:type="dxa"/>
            <w:vMerge w:val="restart"/>
            <w:vAlign w:val="center"/>
          </w:tcPr>
          <w:p w:rsidR="00D2653B" w:rsidRPr="009E0F86" w:rsidRDefault="004E31B8" w:rsidP="00640806">
            <w:pPr>
              <w:jc w:val="center"/>
              <w:rPr>
                <w:sz w:val="16"/>
                <w:szCs w:val="16"/>
              </w:rPr>
            </w:pPr>
            <w:r>
              <w:rPr>
                <w:sz w:val="16"/>
                <w:szCs w:val="16"/>
              </w:rPr>
              <w:t>JOBS</w:t>
            </w:r>
          </w:p>
        </w:tc>
        <w:tc>
          <w:tcPr>
            <w:tcW w:w="1566" w:type="dxa"/>
            <w:vAlign w:val="center"/>
          </w:tcPr>
          <w:p w:rsidR="00D2653B" w:rsidRPr="009E0F86" w:rsidRDefault="00D2653B" w:rsidP="00640806">
            <w:pPr>
              <w:pStyle w:val="Nagwek3"/>
              <w:spacing w:before="0"/>
              <w:jc w:val="center"/>
              <w:outlineLvl w:val="2"/>
              <w:rPr>
                <w:rFonts w:ascii="Fira Sans" w:hAnsi="Fira Sans"/>
                <w:color w:val="auto"/>
                <w:sz w:val="16"/>
                <w:szCs w:val="16"/>
              </w:rPr>
            </w:pPr>
            <w:r w:rsidRPr="009E0F86">
              <w:rPr>
                <w:rFonts w:ascii="Fira Sans" w:hAnsi="Fira Sans"/>
                <w:color w:val="auto"/>
                <w:sz w:val="16"/>
                <w:szCs w:val="16"/>
              </w:rPr>
              <w:t>2018</w:t>
            </w:r>
          </w:p>
        </w:tc>
        <w:tc>
          <w:tcPr>
            <w:tcW w:w="3132" w:type="dxa"/>
            <w:gridSpan w:val="2"/>
            <w:vAlign w:val="center"/>
          </w:tcPr>
          <w:p w:rsidR="00D2653B" w:rsidRPr="009E0F86" w:rsidRDefault="00D2653B" w:rsidP="00640806">
            <w:pPr>
              <w:pStyle w:val="Nagwek3"/>
              <w:spacing w:before="0"/>
              <w:jc w:val="center"/>
              <w:outlineLvl w:val="2"/>
              <w:rPr>
                <w:rFonts w:ascii="Fira Sans" w:hAnsi="Fira Sans"/>
                <w:color w:val="auto"/>
                <w:sz w:val="16"/>
                <w:szCs w:val="16"/>
              </w:rPr>
            </w:pPr>
            <w:r w:rsidRPr="009E0F86">
              <w:rPr>
                <w:rFonts w:ascii="Fira Sans" w:hAnsi="Fira Sans"/>
                <w:color w:val="auto"/>
                <w:sz w:val="16"/>
                <w:szCs w:val="16"/>
              </w:rPr>
              <w:t>2019</w:t>
            </w:r>
          </w:p>
        </w:tc>
      </w:tr>
      <w:tr w:rsidR="00D2653B" w:rsidRPr="009E0F86" w:rsidTr="00640806">
        <w:trPr>
          <w:jc w:val="center"/>
        </w:trPr>
        <w:tc>
          <w:tcPr>
            <w:tcW w:w="3223" w:type="dxa"/>
            <w:vMerge/>
            <w:tcBorders>
              <w:bottom w:val="single" w:sz="8" w:space="0" w:color="001D77"/>
            </w:tcBorders>
          </w:tcPr>
          <w:p w:rsidR="00D2653B" w:rsidRPr="009E0F86" w:rsidRDefault="00D2653B" w:rsidP="00640806">
            <w:pPr>
              <w:spacing w:before="20" w:after="20" w:line="240" w:lineRule="auto"/>
              <w:rPr>
                <w:b/>
                <w:sz w:val="16"/>
                <w:szCs w:val="16"/>
              </w:rPr>
            </w:pPr>
          </w:p>
        </w:tc>
        <w:tc>
          <w:tcPr>
            <w:tcW w:w="1566" w:type="dxa"/>
            <w:tcBorders>
              <w:bottom w:val="single" w:sz="8" w:space="0" w:color="001D77"/>
            </w:tcBorders>
            <w:vAlign w:val="center"/>
          </w:tcPr>
          <w:p w:rsidR="00D2653B" w:rsidRPr="009E0F86" w:rsidRDefault="00D2653B" w:rsidP="004E31B8">
            <w:pPr>
              <w:spacing w:before="20" w:after="20" w:line="240" w:lineRule="auto"/>
              <w:jc w:val="center"/>
              <w:rPr>
                <w:rFonts w:cs="Arial"/>
                <w:b/>
                <w:sz w:val="16"/>
                <w:szCs w:val="16"/>
              </w:rPr>
            </w:pPr>
            <w:r w:rsidRPr="009E0F86">
              <w:rPr>
                <w:rFonts w:cs="Arial"/>
                <w:sz w:val="16"/>
                <w:szCs w:val="16"/>
              </w:rPr>
              <w:t xml:space="preserve">IV </w:t>
            </w:r>
            <w:proofErr w:type="spellStart"/>
            <w:r w:rsidR="004E31B8">
              <w:rPr>
                <w:rFonts w:cs="Arial"/>
                <w:sz w:val="16"/>
                <w:szCs w:val="16"/>
              </w:rPr>
              <w:t>quarter</w:t>
            </w:r>
            <w:proofErr w:type="spellEnd"/>
          </w:p>
        </w:tc>
        <w:tc>
          <w:tcPr>
            <w:tcW w:w="1566" w:type="dxa"/>
            <w:tcBorders>
              <w:bottom w:val="single" w:sz="8" w:space="0" w:color="001D77"/>
            </w:tcBorders>
            <w:vAlign w:val="center"/>
          </w:tcPr>
          <w:p w:rsidR="00D2653B" w:rsidRPr="009E0F86" w:rsidRDefault="00D2653B" w:rsidP="004E31B8">
            <w:pPr>
              <w:spacing w:before="20" w:after="20" w:line="240" w:lineRule="auto"/>
              <w:jc w:val="center"/>
              <w:rPr>
                <w:rFonts w:cs="Arial"/>
                <w:b/>
                <w:sz w:val="16"/>
                <w:szCs w:val="16"/>
              </w:rPr>
            </w:pPr>
            <w:r w:rsidRPr="009E0F86">
              <w:rPr>
                <w:rFonts w:cs="Arial"/>
                <w:sz w:val="16"/>
                <w:szCs w:val="16"/>
              </w:rPr>
              <w:t xml:space="preserve">III </w:t>
            </w:r>
            <w:proofErr w:type="spellStart"/>
            <w:r w:rsidR="004E31B8">
              <w:rPr>
                <w:rFonts w:cs="Arial"/>
                <w:sz w:val="16"/>
                <w:szCs w:val="16"/>
              </w:rPr>
              <w:t>quarter</w:t>
            </w:r>
            <w:proofErr w:type="spellEnd"/>
          </w:p>
        </w:tc>
        <w:tc>
          <w:tcPr>
            <w:tcW w:w="1566" w:type="dxa"/>
            <w:tcBorders>
              <w:bottom w:val="single" w:sz="8" w:space="0" w:color="001D77"/>
            </w:tcBorders>
            <w:vAlign w:val="center"/>
          </w:tcPr>
          <w:p w:rsidR="00D2653B" w:rsidRPr="009E0F86" w:rsidRDefault="00D2653B" w:rsidP="004E31B8">
            <w:pPr>
              <w:spacing w:before="20" w:after="20" w:line="240" w:lineRule="auto"/>
              <w:jc w:val="center"/>
              <w:rPr>
                <w:rFonts w:cs="Arial"/>
                <w:b/>
                <w:sz w:val="16"/>
                <w:szCs w:val="16"/>
              </w:rPr>
            </w:pPr>
            <w:r w:rsidRPr="009E0F86">
              <w:rPr>
                <w:rFonts w:cs="Arial"/>
                <w:sz w:val="16"/>
                <w:szCs w:val="16"/>
              </w:rPr>
              <w:t xml:space="preserve">IV </w:t>
            </w:r>
            <w:proofErr w:type="spellStart"/>
            <w:r w:rsidR="004E31B8">
              <w:rPr>
                <w:rFonts w:cs="Arial"/>
                <w:sz w:val="16"/>
                <w:szCs w:val="16"/>
              </w:rPr>
              <w:t>quarter</w:t>
            </w:r>
            <w:proofErr w:type="spellEnd"/>
          </w:p>
        </w:tc>
      </w:tr>
      <w:tr w:rsidR="00D2653B" w:rsidRPr="00E318D0" w:rsidTr="00640806">
        <w:trPr>
          <w:jc w:val="center"/>
        </w:trPr>
        <w:tc>
          <w:tcPr>
            <w:tcW w:w="7921" w:type="dxa"/>
            <w:gridSpan w:val="4"/>
            <w:tcBorders>
              <w:top w:val="single" w:sz="8" w:space="0" w:color="001D77"/>
              <w:bottom w:val="single" w:sz="4" w:space="0" w:color="001D77"/>
            </w:tcBorders>
          </w:tcPr>
          <w:p w:rsidR="00D2653B" w:rsidRPr="004E31B8" w:rsidRDefault="004E31B8" w:rsidP="00640806">
            <w:pPr>
              <w:spacing w:before="40" w:after="40" w:line="240" w:lineRule="auto"/>
              <w:jc w:val="center"/>
              <w:rPr>
                <w:rFonts w:cs="Arial"/>
                <w:sz w:val="16"/>
                <w:szCs w:val="16"/>
                <w:lang w:val="en-GB"/>
              </w:rPr>
            </w:pPr>
            <w:r w:rsidRPr="004E31B8">
              <w:rPr>
                <w:rFonts w:cs="Arial"/>
                <w:sz w:val="16"/>
                <w:szCs w:val="16"/>
                <w:lang w:val="en-GB"/>
              </w:rPr>
              <w:t>as of the end of the quarter (in thousands)</w:t>
            </w:r>
          </w:p>
        </w:tc>
      </w:tr>
      <w:tr w:rsidR="00D2653B" w:rsidRPr="009E0F86" w:rsidTr="00640806">
        <w:trPr>
          <w:jc w:val="center"/>
        </w:trPr>
        <w:tc>
          <w:tcPr>
            <w:tcW w:w="3223" w:type="dxa"/>
            <w:tcBorders>
              <w:top w:val="single" w:sz="4" w:space="0" w:color="001D77"/>
              <w:bottom w:val="single" w:sz="4" w:space="0" w:color="001D77"/>
            </w:tcBorders>
          </w:tcPr>
          <w:p w:rsidR="00D2653B" w:rsidRPr="009E0F86" w:rsidRDefault="004E31B8" w:rsidP="00640806">
            <w:pPr>
              <w:spacing w:before="40" w:after="40" w:line="240" w:lineRule="auto"/>
              <w:rPr>
                <w:sz w:val="16"/>
                <w:szCs w:val="16"/>
              </w:rPr>
            </w:pPr>
            <w:proofErr w:type="spellStart"/>
            <w:r w:rsidRPr="004E31B8">
              <w:rPr>
                <w:sz w:val="16"/>
                <w:szCs w:val="16"/>
              </w:rPr>
              <w:t>Vacancies</w:t>
            </w:r>
            <w:proofErr w:type="spellEnd"/>
          </w:p>
        </w:tc>
        <w:tc>
          <w:tcPr>
            <w:tcW w:w="1566" w:type="dxa"/>
            <w:tcBorders>
              <w:top w:val="single" w:sz="4" w:space="0" w:color="001D77"/>
              <w:bottom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139,2</w:t>
            </w:r>
          </w:p>
        </w:tc>
        <w:tc>
          <w:tcPr>
            <w:tcW w:w="1566" w:type="dxa"/>
            <w:tcBorders>
              <w:top w:val="single" w:sz="4" w:space="0" w:color="001D77"/>
              <w:bottom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148,6</w:t>
            </w:r>
          </w:p>
        </w:tc>
        <w:tc>
          <w:tcPr>
            <w:tcW w:w="1566" w:type="dxa"/>
            <w:tcBorders>
              <w:top w:val="single" w:sz="4" w:space="0" w:color="001D77"/>
              <w:bottom w:val="single" w:sz="4" w:space="0" w:color="001D77"/>
            </w:tcBorders>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125,4</w:t>
            </w:r>
          </w:p>
        </w:tc>
      </w:tr>
      <w:tr w:rsidR="00D2653B" w:rsidRPr="009E0F86" w:rsidTr="00640806">
        <w:trPr>
          <w:jc w:val="center"/>
        </w:trPr>
        <w:tc>
          <w:tcPr>
            <w:tcW w:w="3223" w:type="dxa"/>
            <w:tcBorders>
              <w:top w:val="single" w:sz="4" w:space="0" w:color="001D77"/>
              <w:bottom w:val="single" w:sz="4" w:space="0" w:color="001D77"/>
            </w:tcBorders>
          </w:tcPr>
          <w:p w:rsidR="00D2653B" w:rsidRPr="009E0F86" w:rsidRDefault="004E31B8" w:rsidP="00640806">
            <w:pPr>
              <w:spacing w:before="40" w:after="40" w:line="240" w:lineRule="auto"/>
              <w:rPr>
                <w:sz w:val="16"/>
                <w:szCs w:val="16"/>
              </w:rPr>
            </w:pPr>
            <w:proofErr w:type="spellStart"/>
            <w:r w:rsidRPr="004E31B8">
              <w:rPr>
                <w:sz w:val="16"/>
                <w:szCs w:val="16"/>
              </w:rPr>
              <w:t>Vacancies</w:t>
            </w:r>
            <w:proofErr w:type="spellEnd"/>
            <w:r w:rsidRPr="004E31B8">
              <w:rPr>
                <w:sz w:val="16"/>
                <w:szCs w:val="16"/>
              </w:rPr>
              <w:t xml:space="preserve"> - </w:t>
            </w:r>
            <w:proofErr w:type="spellStart"/>
            <w:r w:rsidRPr="004E31B8">
              <w:rPr>
                <w:sz w:val="16"/>
                <w:szCs w:val="16"/>
              </w:rPr>
              <w:t>newly</w:t>
            </w:r>
            <w:proofErr w:type="spellEnd"/>
            <w:r w:rsidRPr="004E31B8">
              <w:rPr>
                <w:sz w:val="16"/>
                <w:szCs w:val="16"/>
              </w:rPr>
              <w:t xml:space="preserve"> </w:t>
            </w:r>
            <w:proofErr w:type="spellStart"/>
            <w:r w:rsidRPr="004E31B8">
              <w:rPr>
                <w:sz w:val="16"/>
                <w:szCs w:val="16"/>
              </w:rPr>
              <w:t>created</w:t>
            </w:r>
            <w:proofErr w:type="spellEnd"/>
            <w:r w:rsidRPr="004E31B8">
              <w:rPr>
                <w:sz w:val="16"/>
                <w:szCs w:val="16"/>
              </w:rPr>
              <w:t xml:space="preserve"> </w:t>
            </w:r>
            <w:proofErr w:type="spellStart"/>
            <w:r w:rsidRPr="004E31B8">
              <w:rPr>
                <w:sz w:val="16"/>
                <w:szCs w:val="16"/>
              </w:rPr>
              <w:t>jobs</w:t>
            </w:r>
            <w:proofErr w:type="spellEnd"/>
          </w:p>
        </w:tc>
        <w:tc>
          <w:tcPr>
            <w:tcW w:w="1566" w:type="dxa"/>
            <w:tcBorders>
              <w:top w:val="single" w:sz="4" w:space="0" w:color="001D77"/>
              <w:bottom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29,9</w:t>
            </w:r>
          </w:p>
        </w:tc>
        <w:tc>
          <w:tcPr>
            <w:tcW w:w="1566" w:type="dxa"/>
            <w:tcBorders>
              <w:top w:val="single" w:sz="4" w:space="0" w:color="001D77"/>
              <w:bottom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32,9</w:t>
            </w:r>
          </w:p>
        </w:tc>
        <w:tc>
          <w:tcPr>
            <w:tcW w:w="1566" w:type="dxa"/>
            <w:tcBorders>
              <w:top w:val="single" w:sz="4" w:space="0" w:color="001D77"/>
              <w:bottom w:val="single" w:sz="4" w:space="0" w:color="001D77"/>
            </w:tcBorders>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28,4</w:t>
            </w:r>
          </w:p>
        </w:tc>
      </w:tr>
      <w:tr w:rsidR="00D2653B" w:rsidRPr="00E318D0" w:rsidTr="00640806">
        <w:trPr>
          <w:jc w:val="center"/>
        </w:trPr>
        <w:tc>
          <w:tcPr>
            <w:tcW w:w="7921" w:type="dxa"/>
            <w:gridSpan w:val="4"/>
            <w:tcBorders>
              <w:top w:val="single" w:sz="4" w:space="0" w:color="001D77"/>
              <w:bottom w:val="single" w:sz="4" w:space="0" w:color="001D77"/>
            </w:tcBorders>
          </w:tcPr>
          <w:p w:rsidR="00D2653B" w:rsidRPr="004E31B8" w:rsidRDefault="004E31B8" w:rsidP="00640806">
            <w:pPr>
              <w:spacing w:before="40" w:after="40" w:line="240" w:lineRule="auto"/>
              <w:jc w:val="center"/>
              <w:rPr>
                <w:rFonts w:cs="Arial"/>
                <w:sz w:val="16"/>
                <w:szCs w:val="16"/>
                <w:lang w:val="en-GB"/>
              </w:rPr>
            </w:pPr>
            <w:r w:rsidRPr="004E31B8">
              <w:rPr>
                <w:rFonts w:cs="Arial"/>
                <w:sz w:val="16"/>
                <w:szCs w:val="16"/>
                <w:lang w:val="en-GB"/>
              </w:rPr>
              <w:t>during the quarter (in thousands)</w:t>
            </w:r>
          </w:p>
        </w:tc>
      </w:tr>
      <w:tr w:rsidR="00D2653B" w:rsidRPr="009E0F86" w:rsidTr="00640806">
        <w:trPr>
          <w:jc w:val="center"/>
        </w:trPr>
        <w:tc>
          <w:tcPr>
            <w:tcW w:w="3223" w:type="dxa"/>
            <w:tcBorders>
              <w:top w:val="single" w:sz="4" w:space="0" w:color="001D77"/>
              <w:bottom w:val="single" w:sz="4" w:space="0" w:color="001D77"/>
            </w:tcBorders>
          </w:tcPr>
          <w:p w:rsidR="00D2653B" w:rsidRPr="009E0F86" w:rsidRDefault="004E31B8" w:rsidP="00640806">
            <w:pPr>
              <w:spacing w:before="40" w:after="40" w:line="240" w:lineRule="auto"/>
              <w:rPr>
                <w:sz w:val="16"/>
                <w:szCs w:val="16"/>
              </w:rPr>
            </w:pPr>
            <w:proofErr w:type="spellStart"/>
            <w:r w:rsidRPr="004E31B8">
              <w:rPr>
                <w:sz w:val="16"/>
                <w:szCs w:val="16"/>
              </w:rPr>
              <w:t>Newly</w:t>
            </w:r>
            <w:proofErr w:type="spellEnd"/>
            <w:r w:rsidRPr="004E31B8">
              <w:rPr>
                <w:sz w:val="16"/>
                <w:szCs w:val="16"/>
              </w:rPr>
              <w:t xml:space="preserve"> </w:t>
            </w:r>
            <w:proofErr w:type="spellStart"/>
            <w:r w:rsidRPr="004E31B8">
              <w:rPr>
                <w:sz w:val="16"/>
                <w:szCs w:val="16"/>
              </w:rPr>
              <w:t>created</w:t>
            </w:r>
            <w:proofErr w:type="spellEnd"/>
          </w:p>
        </w:tc>
        <w:tc>
          <w:tcPr>
            <w:tcW w:w="1566" w:type="dxa"/>
            <w:tcBorders>
              <w:top w:val="single" w:sz="4" w:space="0" w:color="001D77"/>
              <w:bottom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124,5</w:t>
            </w:r>
          </w:p>
        </w:tc>
        <w:tc>
          <w:tcPr>
            <w:tcW w:w="1566" w:type="dxa"/>
            <w:tcBorders>
              <w:top w:val="single" w:sz="4" w:space="0" w:color="001D77"/>
              <w:bottom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151,2</w:t>
            </w:r>
          </w:p>
        </w:tc>
        <w:tc>
          <w:tcPr>
            <w:tcW w:w="1566" w:type="dxa"/>
            <w:tcBorders>
              <w:top w:val="single" w:sz="4" w:space="0" w:color="001D77"/>
              <w:bottom w:val="single" w:sz="4" w:space="0" w:color="001D77"/>
            </w:tcBorders>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114,4</w:t>
            </w:r>
          </w:p>
        </w:tc>
      </w:tr>
      <w:tr w:rsidR="00D2653B" w:rsidRPr="009E0F86" w:rsidTr="00640806">
        <w:trPr>
          <w:jc w:val="center"/>
        </w:trPr>
        <w:tc>
          <w:tcPr>
            <w:tcW w:w="3223" w:type="dxa"/>
            <w:tcBorders>
              <w:top w:val="single" w:sz="4" w:space="0" w:color="001D77"/>
            </w:tcBorders>
          </w:tcPr>
          <w:p w:rsidR="00D2653B" w:rsidRPr="009E0F86" w:rsidRDefault="004E31B8" w:rsidP="00640806">
            <w:pPr>
              <w:spacing w:before="40" w:after="40" w:line="240" w:lineRule="auto"/>
              <w:rPr>
                <w:sz w:val="16"/>
                <w:szCs w:val="16"/>
              </w:rPr>
            </w:pPr>
            <w:proofErr w:type="spellStart"/>
            <w:r w:rsidRPr="004E31B8">
              <w:rPr>
                <w:sz w:val="16"/>
                <w:szCs w:val="16"/>
              </w:rPr>
              <w:t>Liquidated</w:t>
            </w:r>
            <w:proofErr w:type="spellEnd"/>
          </w:p>
        </w:tc>
        <w:tc>
          <w:tcPr>
            <w:tcW w:w="1566" w:type="dxa"/>
            <w:tcBorders>
              <w:top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73,2</w:t>
            </w:r>
          </w:p>
        </w:tc>
        <w:tc>
          <w:tcPr>
            <w:tcW w:w="1566" w:type="dxa"/>
            <w:tcBorders>
              <w:top w:val="single" w:sz="4" w:space="0" w:color="001D77"/>
            </w:tcBorders>
            <w:shd w:val="clear" w:color="auto" w:fill="auto"/>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82,1</w:t>
            </w:r>
          </w:p>
        </w:tc>
        <w:tc>
          <w:tcPr>
            <w:tcW w:w="1566" w:type="dxa"/>
            <w:tcBorders>
              <w:top w:val="single" w:sz="4" w:space="0" w:color="001D77"/>
            </w:tcBorders>
            <w:vAlign w:val="center"/>
          </w:tcPr>
          <w:p w:rsidR="00D2653B" w:rsidRPr="009E0F86" w:rsidRDefault="00D2653B" w:rsidP="00640806">
            <w:pPr>
              <w:spacing w:before="40" w:after="40" w:line="240" w:lineRule="auto"/>
              <w:jc w:val="right"/>
              <w:rPr>
                <w:rFonts w:cs="Arial"/>
                <w:sz w:val="16"/>
                <w:szCs w:val="16"/>
              </w:rPr>
            </w:pPr>
            <w:r w:rsidRPr="009E0F86">
              <w:rPr>
                <w:sz w:val="16"/>
                <w:szCs w:val="16"/>
              </w:rPr>
              <w:t>61,3</w:t>
            </w:r>
          </w:p>
        </w:tc>
      </w:tr>
    </w:tbl>
    <w:p w:rsidR="00D2653B" w:rsidRPr="00F83024" w:rsidRDefault="00D2653B" w:rsidP="00D2653B">
      <w:pPr>
        <w:pStyle w:val="tytuwykresu"/>
        <w:rPr>
          <w:b w:val="0"/>
          <w:sz w:val="19"/>
          <w:szCs w:val="19"/>
        </w:rPr>
      </w:pPr>
    </w:p>
    <w:p w:rsidR="00B72DE6" w:rsidRPr="00B72DE6" w:rsidRDefault="00B72DE6" w:rsidP="00B72DE6">
      <w:pPr>
        <w:pStyle w:val="tytuwykresu"/>
        <w:spacing w:after="0"/>
        <w:ind w:left="652" w:hanging="652"/>
        <w:rPr>
          <w:b w:val="0"/>
          <w:lang w:val="en-GB"/>
        </w:rPr>
      </w:pPr>
      <w:r w:rsidRPr="00B72DE6">
        <w:rPr>
          <w:b w:val="0"/>
          <w:noProof/>
          <w:lang w:eastAsia="pl-PL"/>
        </w:rPr>
        <w:drawing>
          <wp:anchor distT="0" distB="0" distL="114300" distR="114300" simplePos="0" relativeHeight="251738112" behindDoc="0" locked="0" layoutInCell="1" allowOverlap="1">
            <wp:simplePos x="0" y="0"/>
            <wp:positionH relativeFrom="column">
              <wp:posOffset>3175</wp:posOffset>
            </wp:positionH>
            <wp:positionV relativeFrom="paragraph">
              <wp:posOffset>369379</wp:posOffset>
            </wp:positionV>
            <wp:extent cx="5004000" cy="2700000"/>
            <wp:effectExtent l="0" t="0" r="6350" b="5715"/>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4E31B8" w:rsidRPr="00D2653B">
        <w:rPr>
          <w:lang w:val="en-GB"/>
        </w:rPr>
        <w:t>Chart 1.</w:t>
      </w:r>
      <w:r w:rsidR="004E31B8" w:rsidRPr="00D2653B">
        <w:rPr>
          <w:shd w:val="clear" w:color="auto" w:fill="FFFFFF"/>
          <w:lang w:val="en-GB"/>
        </w:rPr>
        <w:t xml:space="preserve"> </w:t>
      </w:r>
      <w:r w:rsidR="004E31B8" w:rsidRPr="004E31B8">
        <w:rPr>
          <w:shd w:val="clear" w:color="auto" w:fill="FFFFFF"/>
          <w:lang w:val="en-GB"/>
        </w:rPr>
        <w:t xml:space="preserve">Newly created and liquidated jobs in Poland </w:t>
      </w:r>
      <w:r>
        <w:rPr>
          <w:shd w:val="clear" w:color="auto" w:fill="FFFFFF"/>
          <w:lang w:val="en-GB"/>
        </w:rPr>
        <w:br/>
      </w:r>
      <w:r w:rsidRPr="00B72DE6">
        <w:rPr>
          <w:b w:val="0"/>
          <w:lang w:val="en-GB"/>
        </w:rPr>
        <w:t xml:space="preserve">As </w:t>
      </w:r>
      <w:r w:rsidR="00E318D0">
        <w:rPr>
          <w:b w:val="0"/>
          <w:lang w:val="en-GB"/>
        </w:rPr>
        <w:t>of</w:t>
      </w:r>
      <w:r w:rsidRPr="00B72DE6">
        <w:rPr>
          <w:b w:val="0"/>
          <w:lang w:val="en-GB"/>
        </w:rPr>
        <w:t xml:space="preserve"> the end of the quarter</w:t>
      </w:r>
    </w:p>
    <w:p w:rsidR="00D2653B" w:rsidRDefault="00D2653B" w:rsidP="00D2653B">
      <w:pPr>
        <w:rPr>
          <w:lang w:val="en-GB" w:eastAsia="pl-PL"/>
        </w:rPr>
      </w:pPr>
    </w:p>
    <w:p w:rsidR="00622A84" w:rsidRPr="00791C71" w:rsidRDefault="00CB754D" w:rsidP="00C51A56">
      <w:pPr>
        <w:rPr>
          <w:rFonts w:eastAsia="Times New Roman"/>
          <w:spacing w:val="2"/>
          <w:szCs w:val="19"/>
          <w:lang w:val="en-GB" w:eastAsia="pl-PL"/>
        </w:rPr>
      </w:pPr>
      <w:r w:rsidRPr="00791C71">
        <w:rPr>
          <w:rFonts w:eastAsia="Times New Roman"/>
          <w:spacing w:val="2"/>
          <w:szCs w:val="19"/>
          <w:lang w:val="en-GB" w:eastAsia="pl-PL"/>
        </w:rPr>
        <w:t xml:space="preserve">The economic situation affects an increase or decrease in the number of newly created and liquidated jobs. The analysis of the presented series of data shows that creating and liquidating jobs in Poland is of seasonal nature. In the case of newly created jobs, their  number was the highest in the first quarters and usually the lowest in the fourth quarters. The trend of increasing number of newly created jobs has continued since 2012 </w:t>
      </w:r>
      <w:r w:rsidRPr="00DB043A">
        <w:rPr>
          <w:rFonts w:eastAsia="Times New Roman"/>
          <w:szCs w:val="19"/>
          <w:lang w:val="en-GB" w:eastAsia="pl-PL"/>
        </w:rPr>
        <w:t>—</w:t>
      </w:r>
      <w:r w:rsidRPr="00791C71">
        <w:rPr>
          <w:rFonts w:eastAsia="Times New Roman"/>
          <w:spacing w:val="2"/>
          <w:szCs w:val="19"/>
          <w:lang w:val="en-GB" w:eastAsia="pl-PL"/>
        </w:rPr>
        <w:t xml:space="preserve"> the number reached the highest level in 2019. Most liquidated jobs were reported in the first quarter, while the lowest values of this phenomenon occurred</w:t>
      </w:r>
      <w:r>
        <w:rPr>
          <w:rFonts w:eastAsia="Times New Roman"/>
          <w:spacing w:val="2"/>
          <w:szCs w:val="19"/>
          <w:lang w:val="en-GB" w:eastAsia="pl-PL"/>
        </w:rPr>
        <w:t xml:space="preserve"> in various </w:t>
      </w:r>
      <w:r w:rsidRPr="00CB754D">
        <w:rPr>
          <w:rFonts w:eastAsia="Times New Roman"/>
          <w:spacing w:val="2"/>
          <w:szCs w:val="19"/>
          <w:lang w:val="en-GB" w:eastAsia="pl-PL"/>
        </w:rPr>
        <w:t>quarters of particular years. It should be noted that the difference between liquidated and newly created jobs</w:t>
      </w:r>
      <w:r w:rsidRPr="00791C71">
        <w:rPr>
          <w:rFonts w:eastAsia="Times New Roman"/>
          <w:spacing w:val="2"/>
          <w:szCs w:val="19"/>
          <w:lang w:val="en-GB" w:eastAsia="pl-PL"/>
        </w:rPr>
        <w:t xml:space="preserve"> has been systematically growing since 2012.</w:t>
      </w:r>
    </w:p>
    <w:p w:rsidR="00622A84" w:rsidRPr="00791C71" w:rsidRDefault="00622A84" w:rsidP="00C51A56">
      <w:pPr>
        <w:rPr>
          <w:rFonts w:eastAsia="Times New Roman"/>
          <w:szCs w:val="19"/>
          <w:lang w:val="en-GB" w:eastAsia="pl-PL"/>
        </w:rPr>
      </w:pPr>
      <w:r w:rsidRPr="00791C71">
        <w:rPr>
          <w:rFonts w:eastAsia="Times New Roman"/>
          <w:szCs w:val="19"/>
          <w:lang w:val="en-GB" w:eastAsia="pl-PL"/>
        </w:rPr>
        <w:t xml:space="preserve">The survey on the demand for labour for the fourth quarter of 2019 indicates that, of the 756,9 thousand units, the majority, that is 91,2% were private sector units. In terms of their size expressed by the number of employed persons, the most numerous were units with up to 9 employed persons </w:t>
      </w:r>
      <w:r w:rsidR="003D5A08" w:rsidRPr="00DB043A">
        <w:rPr>
          <w:rFonts w:eastAsia="Times New Roman"/>
          <w:szCs w:val="19"/>
          <w:lang w:val="en-GB" w:eastAsia="pl-PL"/>
        </w:rPr>
        <w:t>—</w:t>
      </w:r>
      <w:r w:rsidRPr="00791C71">
        <w:rPr>
          <w:rFonts w:eastAsia="Times New Roman"/>
          <w:szCs w:val="19"/>
          <w:lang w:val="en-GB" w:eastAsia="pl-PL"/>
        </w:rPr>
        <w:t xml:space="preserve"> they accounted for 67,9% of all units.</w:t>
      </w:r>
    </w:p>
    <w:p w:rsidR="005224B1" w:rsidRPr="005224B1" w:rsidRDefault="00622A84" w:rsidP="00C51A56">
      <w:pPr>
        <w:rPr>
          <w:rFonts w:eastAsia="Times New Roman"/>
          <w:szCs w:val="19"/>
          <w:lang w:val="en-GB" w:eastAsia="pl-PL"/>
        </w:rPr>
      </w:pPr>
      <w:r w:rsidRPr="00791C71">
        <w:rPr>
          <w:rFonts w:eastAsia="Times New Roman"/>
          <w:szCs w:val="19"/>
          <w:lang w:val="en-GB" w:eastAsia="pl-PL"/>
        </w:rPr>
        <w:t>At the end of the fourth quarter of 2019 only 42,2 thousand units, or 5,6% of their total number had job vacancies at their disposal. The ownership and size structure of units reporting job vacancies reflects the structure of the whole population. The vast majority, that is 88,2% belonged to the private sector. Units with up to 9 employed persons constituted just over half (57,4%) of the total number of units.</w:t>
      </w:r>
    </w:p>
    <w:p w:rsidR="005224B1" w:rsidRDefault="005224B1" w:rsidP="005224B1">
      <w:pPr>
        <w:rPr>
          <w:lang w:val="en-GB" w:eastAsia="pl-PL"/>
        </w:rPr>
      </w:pPr>
    </w:p>
    <w:p w:rsidR="005224B1" w:rsidRPr="00D2653B" w:rsidRDefault="005224B1" w:rsidP="005224B1">
      <w:pPr>
        <w:pStyle w:val="Nagwek1"/>
        <w:rPr>
          <w:lang w:val="en-GB"/>
        </w:rPr>
      </w:pPr>
      <w:r w:rsidRPr="00D2653B">
        <w:rPr>
          <w:shd w:val="clear" w:color="auto" w:fill="FFFFFF"/>
          <w:lang w:val="en-GB"/>
        </w:rPr>
        <w:t xml:space="preserve"> </w:t>
      </w:r>
      <w:r w:rsidRPr="005224B1">
        <w:rPr>
          <w:lang w:val="en-GB"/>
        </w:rPr>
        <w:t>Job vacancies</w:t>
      </w:r>
    </w:p>
    <w:p w:rsidR="00EA77E3" w:rsidRDefault="00EA77E3" w:rsidP="00D2653B">
      <w:pPr>
        <w:rPr>
          <w:lang w:val="en-GB" w:eastAsia="pl-PL"/>
        </w:rPr>
      </w:pPr>
    </w:p>
    <w:p w:rsidR="00EA77E3" w:rsidRPr="005224B1" w:rsidRDefault="005224B1" w:rsidP="005224B1">
      <w:pPr>
        <w:ind w:left="680" w:hanging="680"/>
        <w:rPr>
          <w:b/>
          <w:sz w:val="18"/>
          <w:szCs w:val="18"/>
          <w:lang w:val="en-GB" w:eastAsia="pl-PL"/>
        </w:rPr>
      </w:pPr>
      <w:r w:rsidRPr="00633014">
        <w:rPr>
          <w:b/>
          <w:noProof/>
          <w:spacing w:val="-2"/>
          <w:szCs w:val="19"/>
          <w:lang w:eastAsia="pl-PL"/>
        </w:rPr>
        <mc:AlternateContent>
          <mc:Choice Requires="wps">
            <w:drawing>
              <wp:anchor distT="45720" distB="45720" distL="114300" distR="114300" simplePos="0" relativeHeight="251740160" behindDoc="1" locked="0" layoutInCell="1" allowOverlap="1" wp14:anchorId="01A1328D" wp14:editId="201CFF60">
                <wp:simplePos x="0" y="0"/>
                <wp:positionH relativeFrom="column">
                  <wp:posOffset>5231130</wp:posOffset>
                </wp:positionH>
                <wp:positionV relativeFrom="paragraph">
                  <wp:posOffset>800735</wp:posOffset>
                </wp:positionV>
                <wp:extent cx="1725295" cy="1704975"/>
                <wp:effectExtent l="0" t="0" r="0" b="0"/>
                <wp:wrapTight wrapText="bothSides">
                  <wp:wrapPolygon edited="0">
                    <wp:start x="715" y="0"/>
                    <wp:lineTo x="715" y="21238"/>
                    <wp:lineTo x="20749" y="21238"/>
                    <wp:lineTo x="20749" y="0"/>
                    <wp:lineTo x="715"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704975"/>
                        </a:xfrm>
                        <a:prstGeom prst="rect">
                          <a:avLst/>
                        </a:prstGeom>
                        <a:noFill/>
                        <a:ln w="9525">
                          <a:noFill/>
                          <a:miter lim="800000"/>
                          <a:headEnd/>
                          <a:tailEnd/>
                        </a:ln>
                      </wps:spPr>
                      <wps:txbx>
                        <w:txbxContent>
                          <w:p w:rsidR="005224B1" w:rsidRPr="005224B1" w:rsidRDefault="005224B1" w:rsidP="005224B1">
                            <w:pPr>
                              <w:pStyle w:val="tekstzboku"/>
                              <w:rPr>
                                <w:lang w:val="en-GB"/>
                              </w:rPr>
                            </w:pPr>
                            <w:r w:rsidRPr="005224B1">
                              <w:rPr>
                                <w:lang w:val="en-GB"/>
                              </w:rPr>
                              <w:t>Job vacancies as of the end of the fourth quarter of 2019 were concentrated mainly in the private sector (84,9%). Most of them were reported in units with the number of employed persons more than 49 (44,8%)</w:t>
                            </w:r>
                          </w:p>
                          <w:p w:rsidR="005224B1" w:rsidRPr="005224B1" w:rsidRDefault="005224B1" w:rsidP="005224B1">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1A1328D" id="Pole tekstowe 12" o:spid="_x0000_s1028" type="#_x0000_t202" style="position:absolute;left:0;text-align:left;margin-left:411.9pt;margin-top:63.05pt;width:135.85pt;height:134.2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" filled="f" stroked="f">
                <v:textbox>
                  <w:txbxContent>
                    <w:p w:rsidR="005224B1" w:rsidRPr="005224B1" w:rsidRDefault="005224B1" w:rsidP="005224B1">
                      <w:pPr>
                        <w:pStyle w:val="tekstzboku"/>
                        <w:rPr>
                          <w:lang w:val="en-GB"/>
                        </w:rPr>
                      </w:pPr>
                      <w:r w:rsidRPr="005224B1">
                        <w:rPr>
                          <w:lang w:val="en-GB"/>
                        </w:rPr>
                        <w:t>Job vacancies as of the end of the fourth quarter of 2019 were concentrated mainly in the private sector (84,9%). Most of them were reported in units with the number of employed persons more than 49 (44,8%)</w:t>
                      </w:r>
                    </w:p>
                    <w:p w:rsidR="005224B1" w:rsidRPr="005224B1" w:rsidRDefault="005224B1" w:rsidP="005224B1">
                      <w:pPr>
                        <w:spacing w:after="0"/>
                        <w:rPr>
                          <w:rFonts w:eastAsia="Times New Roman" w:cs="Times New Roman"/>
                          <w:bCs/>
                          <w:color w:val="001D77"/>
                          <w:sz w:val="18"/>
                          <w:szCs w:val="18"/>
                          <w:lang w:val="en-GB" w:eastAsia="pl-PL"/>
                        </w:rPr>
                      </w:pPr>
                    </w:p>
                  </w:txbxContent>
                </v:textbox>
                <w10:wrap type="tight"/>
              </v:shape>
            </w:pict>
          </mc:Fallback>
        </mc:AlternateContent>
      </w:r>
      <w:r>
        <w:rPr>
          <w:noProof/>
          <w:lang w:eastAsia="pl-PL"/>
        </w:rPr>
        <w:drawing>
          <wp:anchor distT="0" distB="0" distL="575945" distR="575945" simplePos="0" relativeHeight="251741184" behindDoc="0" locked="0" layoutInCell="1" allowOverlap="1">
            <wp:simplePos x="0" y="0"/>
            <wp:positionH relativeFrom="column">
              <wp:posOffset>384008</wp:posOffset>
            </wp:positionH>
            <wp:positionV relativeFrom="paragraph">
              <wp:posOffset>375188</wp:posOffset>
            </wp:positionV>
            <wp:extent cx="4233600" cy="2257200"/>
            <wp:effectExtent l="0" t="0" r="0" b="0"/>
            <wp:wrapSquare wrapText="bothSides"/>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5224B1">
        <w:rPr>
          <w:b/>
          <w:sz w:val="18"/>
          <w:szCs w:val="18"/>
          <w:lang w:val="en-GB"/>
        </w:rPr>
        <w:t xml:space="preserve">Chart </w:t>
      </w:r>
      <w:r>
        <w:rPr>
          <w:b/>
          <w:sz w:val="18"/>
          <w:szCs w:val="18"/>
          <w:lang w:val="en-GB"/>
        </w:rPr>
        <w:t>2</w:t>
      </w:r>
      <w:r w:rsidRPr="005224B1">
        <w:rPr>
          <w:b/>
          <w:sz w:val="18"/>
          <w:szCs w:val="18"/>
          <w:lang w:val="en-GB"/>
        </w:rPr>
        <w:t>.</w:t>
      </w:r>
      <w:r w:rsidRPr="005224B1">
        <w:rPr>
          <w:b/>
          <w:sz w:val="18"/>
          <w:szCs w:val="18"/>
          <w:shd w:val="clear" w:color="auto" w:fill="FFFFFF"/>
          <w:lang w:val="en-GB"/>
        </w:rPr>
        <w:t xml:space="preserve"> The structure of vacancies in Poland by size of units as of the end of the fourth quarter </w:t>
      </w:r>
      <w:r>
        <w:rPr>
          <w:b/>
          <w:sz w:val="18"/>
          <w:szCs w:val="18"/>
          <w:shd w:val="clear" w:color="auto" w:fill="FFFFFF"/>
          <w:lang w:val="en-GB"/>
        </w:rPr>
        <w:br/>
      </w:r>
      <w:r w:rsidRPr="005224B1">
        <w:rPr>
          <w:b/>
          <w:sz w:val="18"/>
          <w:szCs w:val="18"/>
          <w:shd w:val="clear" w:color="auto" w:fill="FFFFFF"/>
          <w:lang w:val="en-GB"/>
        </w:rPr>
        <w:t>of 2019</w:t>
      </w:r>
    </w:p>
    <w:p w:rsidR="00EA77E3" w:rsidRDefault="00EA77E3" w:rsidP="00D2653B">
      <w:pPr>
        <w:rPr>
          <w:lang w:val="en-GB" w:eastAsia="pl-PL"/>
        </w:rPr>
      </w:pPr>
    </w:p>
    <w:p w:rsidR="005224B1" w:rsidRDefault="00622A84" w:rsidP="00D2653B">
      <w:pPr>
        <w:rPr>
          <w:lang w:val="en-GB" w:eastAsia="pl-PL"/>
        </w:rPr>
      </w:pPr>
      <w:r w:rsidRPr="00791C71">
        <w:rPr>
          <w:color w:val="000000"/>
          <w:lang w:val="en-GB"/>
        </w:rPr>
        <w:t xml:space="preserve">The number of reported job vacancies, as of the end of the fourth quarter of 2019 was 125,4 thousand, of which 106,4 thousand (84,9%) in the private sector. Vacancies occurred mainly in units with more than 49 employed persons </w:t>
      </w:r>
      <w:r w:rsidRPr="00791C71">
        <w:rPr>
          <w:rFonts w:eastAsia="Times New Roman"/>
          <w:szCs w:val="19"/>
          <w:lang w:val="en-GB" w:eastAsia="pl-PL"/>
        </w:rPr>
        <w:t>—</w:t>
      </w:r>
      <w:r w:rsidRPr="00791C71">
        <w:rPr>
          <w:color w:val="000000"/>
          <w:lang w:val="en-GB"/>
        </w:rPr>
        <w:t xml:space="preserve"> 56,2 thousand (44,8%).</w:t>
      </w:r>
    </w:p>
    <w:p w:rsidR="005224B1" w:rsidRDefault="005224B1">
      <w:pPr>
        <w:spacing w:before="0" w:after="160" w:line="259" w:lineRule="auto"/>
        <w:rPr>
          <w:lang w:val="en-GB" w:eastAsia="pl-PL"/>
        </w:rPr>
      </w:pPr>
      <w:r>
        <w:rPr>
          <w:lang w:val="en-GB" w:eastAsia="pl-PL"/>
        </w:rPr>
        <w:br w:type="page"/>
      </w:r>
    </w:p>
    <w:p w:rsidR="005224B1" w:rsidRDefault="003F50DE" w:rsidP="005224B1">
      <w:pPr>
        <w:ind w:left="680" w:hanging="680"/>
        <w:rPr>
          <w:lang w:val="en-GB" w:eastAsia="pl-PL"/>
        </w:rPr>
      </w:pPr>
      <w:r>
        <w:rPr>
          <w:noProof/>
          <w:lang w:eastAsia="pl-PL"/>
        </w:rPr>
        <w:lastRenderedPageBreak/>
        <w:drawing>
          <wp:anchor distT="0" distB="0" distL="114300" distR="114300" simplePos="0" relativeHeight="251769856" behindDoc="0" locked="0" layoutInCell="1" allowOverlap="1">
            <wp:simplePos x="0" y="0"/>
            <wp:positionH relativeFrom="column">
              <wp:posOffset>2540</wp:posOffset>
            </wp:positionH>
            <wp:positionV relativeFrom="paragraph">
              <wp:posOffset>347980</wp:posOffset>
            </wp:positionV>
            <wp:extent cx="5121910" cy="438975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ang.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1910" cy="4389755"/>
                    </a:xfrm>
                    <a:prstGeom prst="rect">
                      <a:avLst/>
                    </a:prstGeom>
                  </pic:spPr>
                </pic:pic>
              </a:graphicData>
            </a:graphic>
            <wp14:sizeRelH relativeFrom="page">
              <wp14:pctWidth>0</wp14:pctWidth>
            </wp14:sizeRelH>
            <wp14:sizeRelV relativeFrom="page">
              <wp14:pctHeight>0</wp14:pctHeight>
            </wp14:sizeRelV>
          </wp:anchor>
        </w:drawing>
      </w:r>
      <w:r w:rsidR="00DB043A" w:rsidRPr="00633014">
        <w:rPr>
          <w:b/>
          <w:noProof/>
          <w:spacing w:val="-2"/>
          <w:szCs w:val="19"/>
          <w:lang w:eastAsia="pl-PL"/>
        </w:rPr>
        <mc:AlternateContent>
          <mc:Choice Requires="wps">
            <w:drawing>
              <wp:anchor distT="45720" distB="45720" distL="114300" distR="114300" simplePos="0" relativeHeight="251744256" behindDoc="1" locked="0" layoutInCell="1" allowOverlap="1" wp14:anchorId="3AD93BCE" wp14:editId="3AD8231B">
                <wp:simplePos x="0" y="0"/>
                <wp:positionH relativeFrom="column">
                  <wp:posOffset>5233564</wp:posOffset>
                </wp:positionH>
                <wp:positionV relativeFrom="paragraph">
                  <wp:posOffset>1432342</wp:posOffset>
                </wp:positionV>
                <wp:extent cx="1725295" cy="1704975"/>
                <wp:effectExtent l="0" t="0" r="0" b="0"/>
                <wp:wrapTight wrapText="bothSides">
                  <wp:wrapPolygon edited="0">
                    <wp:start x="715" y="0"/>
                    <wp:lineTo x="715" y="21238"/>
                    <wp:lineTo x="20749" y="21238"/>
                    <wp:lineTo x="20749" y="0"/>
                    <wp:lineTo x="715"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704975"/>
                        </a:xfrm>
                        <a:prstGeom prst="rect">
                          <a:avLst/>
                        </a:prstGeom>
                        <a:noFill/>
                        <a:ln w="9525">
                          <a:noFill/>
                          <a:miter lim="800000"/>
                          <a:headEnd/>
                          <a:tailEnd/>
                        </a:ln>
                      </wps:spPr>
                      <wps:txbx>
                        <w:txbxContent>
                          <w:p w:rsidR="00DB043A" w:rsidRPr="005224B1" w:rsidRDefault="00DB043A" w:rsidP="00DB043A">
                            <w:pPr>
                              <w:pStyle w:val="tekstzboku"/>
                              <w:rPr>
                                <w:lang w:val="en-GB"/>
                              </w:rPr>
                            </w:pPr>
                            <w:r w:rsidRPr="00DB043A">
                              <w:rPr>
                                <w:lang w:val="en-GB"/>
                              </w:rPr>
                              <w:t xml:space="preserve">As in previous years, most job vacancies were in units conducting activities </w:t>
                            </w:r>
                            <w:r>
                              <w:rPr>
                                <w:lang w:val="en-GB"/>
                              </w:rPr>
                              <w:br/>
                            </w:r>
                            <w:r w:rsidRPr="00DB043A">
                              <w:rPr>
                                <w:lang w:val="en-GB"/>
                              </w:rPr>
                              <w:t>in the field of Manufacturing (22,7%)</w:t>
                            </w:r>
                          </w:p>
                          <w:p w:rsidR="00DB043A" w:rsidRPr="005224B1" w:rsidRDefault="00DB043A" w:rsidP="00DB043A">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AD93BCE" id="_x0000_t202" coordsize="21600,21600" o:spt="202" path="m,l,21600r21600,l21600,xe">
                <v:stroke joinstyle="miter"/>
                <v:path gradientshapeok="t" o:connecttype="rect"/>
              </v:shapetype>
              <v:shape id="Pole tekstowe 15" o:spid="_x0000_s1029" type="#_x0000_t202" style="position:absolute;left:0;text-align:left;margin-left:412.1pt;margin-top:112.8pt;width:135.85pt;height:134.2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" filled="f" stroked="f">
                <v:textbox>
                  <w:txbxContent>
                    <w:p w:rsidR="00DB043A" w:rsidRPr="005224B1" w:rsidRDefault="00DB043A" w:rsidP="00DB043A">
                      <w:pPr>
                        <w:pStyle w:val="tekstzboku"/>
                        <w:rPr>
                          <w:lang w:val="en-GB"/>
                        </w:rPr>
                      </w:pPr>
                      <w:r w:rsidRPr="00DB043A">
                        <w:rPr>
                          <w:lang w:val="en-GB"/>
                        </w:rPr>
                        <w:t xml:space="preserve">As in previous years, most job vacancies were in units conducting activities </w:t>
                      </w:r>
                      <w:r>
                        <w:rPr>
                          <w:lang w:val="en-GB"/>
                        </w:rPr>
                        <w:br/>
                      </w:r>
                      <w:r w:rsidRPr="00DB043A">
                        <w:rPr>
                          <w:lang w:val="en-GB"/>
                        </w:rPr>
                        <w:t>in the field of Manufacturing (22,7%)</w:t>
                      </w:r>
                    </w:p>
                    <w:p w:rsidR="00DB043A" w:rsidRPr="005224B1" w:rsidRDefault="00DB043A" w:rsidP="00DB043A">
                      <w:pPr>
                        <w:spacing w:after="0"/>
                        <w:rPr>
                          <w:rFonts w:eastAsia="Times New Roman" w:cs="Times New Roman"/>
                          <w:bCs/>
                          <w:color w:val="001D77"/>
                          <w:sz w:val="18"/>
                          <w:szCs w:val="18"/>
                          <w:lang w:val="en-GB" w:eastAsia="pl-PL"/>
                        </w:rPr>
                      </w:pPr>
                    </w:p>
                  </w:txbxContent>
                </v:textbox>
                <w10:wrap type="tight"/>
              </v:shape>
            </w:pict>
          </mc:Fallback>
        </mc:AlternateContent>
      </w:r>
      <w:r w:rsidR="005224B1" w:rsidRPr="005224B1">
        <w:rPr>
          <w:b/>
          <w:sz w:val="18"/>
          <w:szCs w:val="18"/>
          <w:lang w:val="en-GB"/>
        </w:rPr>
        <w:t xml:space="preserve">Chart </w:t>
      </w:r>
      <w:r w:rsidR="005224B1">
        <w:rPr>
          <w:b/>
          <w:sz w:val="18"/>
          <w:szCs w:val="18"/>
          <w:lang w:val="en-GB"/>
        </w:rPr>
        <w:t>3</w:t>
      </w:r>
      <w:r w:rsidR="00C63DDC" w:rsidRPr="00C63DDC">
        <w:rPr>
          <w:b/>
          <w:sz w:val="18"/>
          <w:szCs w:val="18"/>
          <w:shd w:val="clear" w:color="auto" w:fill="FFFFFF"/>
          <w:lang w:val="en-GB"/>
        </w:rPr>
        <w:t xml:space="preserve"> </w:t>
      </w:r>
      <w:r w:rsidR="00C63DDC" w:rsidRPr="005224B1">
        <w:rPr>
          <w:b/>
          <w:sz w:val="18"/>
          <w:szCs w:val="18"/>
          <w:shd w:val="clear" w:color="auto" w:fill="FFFFFF"/>
          <w:lang w:val="en-GB"/>
        </w:rPr>
        <w:t xml:space="preserve">Vacancies and </w:t>
      </w:r>
      <w:r w:rsidR="00C63DDC" w:rsidRPr="003D5A08">
        <w:rPr>
          <w:b/>
          <w:sz w:val="18"/>
          <w:szCs w:val="18"/>
          <w:shd w:val="clear" w:color="auto" w:fill="FFFFFF"/>
          <w:lang w:val="en-GB"/>
        </w:rPr>
        <w:t xml:space="preserve">vacancies </w:t>
      </w:r>
      <w:r w:rsidR="00C63DDC" w:rsidRPr="003D5A08">
        <w:rPr>
          <w:rFonts w:eastAsia="Times New Roman"/>
          <w:b/>
          <w:szCs w:val="19"/>
          <w:lang w:val="en-GB" w:eastAsia="pl-PL"/>
        </w:rPr>
        <w:t>—</w:t>
      </w:r>
      <w:r w:rsidR="00C63DDC" w:rsidRPr="005224B1">
        <w:rPr>
          <w:b/>
          <w:sz w:val="18"/>
          <w:szCs w:val="18"/>
          <w:shd w:val="clear" w:color="auto" w:fill="FFFFFF"/>
          <w:lang w:val="en-GB"/>
        </w:rPr>
        <w:t xml:space="preserve"> newly created jobs in Poland by selected PKD 2007 </w:t>
      </w:r>
      <w:r w:rsidR="00C63DDC">
        <w:rPr>
          <w:b/>
          <w:sz w:val="18"/>
          <w:szCs w:val="18"/>
          <w:shd w:val="clear" w:color="auto" w:fill="FFFFFF"/>
          <w:lang w:val="en-GB"/>
        </w:rPr>
        <w:br/>
      </w:r>
      <w:r w:rsidR="00C63DDC" w:rsidRPr="005224B1">
        <w:rPr>
          <w:b/>
          <w:sz w:val="18"/>
          <w:szCs w:val="18"/>
          <w:shd w:val="clear" w:color="auto" w:fill="FFFFFF"/>
          <w:lang w:val="en-GB"/>
        </w:rPr>
        <w:t>(NACE Rev.2) sections as of the end of the fourth quarter of 2019</w:t>
      </w:r>
    </w:p>
    <w:p w:rsidR="005224B1" w:rsidRDefault="005224B1" w:rsidP="00D2653B">
      <w:pPr>
        <w:rPr>
          <w:lang w:val="en-GB" w:eastAsia="pl-PL"/>
        </w:rPr>
      </w:pPr>
    </w:p>
    <w:p w:rsidR="005224B1" w:rsidRPr="00DB043A" w:rsidRDefault="00DB043A" w:rsidP="00D2653B">
      <w:pPr>
        <w:rPr>
          <w:lang w:val="en-GB" w:eastAsia="pl-PL"/>
        </w:rPr>
      </w:pPr>
      <w:r w:rsidRPr="00DB043A">
        <w:rPr>
          <w:color w:val="000000"/>
          <w:lang w:val="en-GB"/>
        </w:rPr>
        <w:t xml:space="preserve">In the fourth quarter of 2019 most job vacancies were in units conducting activities in the field of Manufacturing — </w:t>
      </w:r>
      <w:r w:rsidRPr="00DB043A">
        <w:rPr>
          <w:bCs/>
          <w:color w:val="000000"/>
          <w:lang w:val="en-GB"/>
        </w:rPr>
        <w:t>27,7</w:t>
      </w:r>
      <w:r w:rsidRPr="00DB043A">
        <w:rPr>
          <w:b/>
          <w:bCs/>
          <w:color w:val="000000"/>
          <w:lang w:val="en-GB"/>
        </w:rPr>
        <w:t xml:space="preserve"> </w:t>
      </w:r>
      <w:r w:rsidRPr="00DB043A">
        <w:rPr>
          <w:bCs/>
          <w:color w:val="000000"/>
          <w:lang w:val="en-GB"/>
        </w:rPr>
        <w:t xml:space="preserve">thousand (22,1%), then in Construction — 20,6 thousand (16,4%), and in Trade; repair of motor vehicles </w:t>
      </w:r>
      <w:r w:rsidRPr="00DB043A">
        <w:rPr>
          <w:bCs/>
          <w:color w:val="000000"/>
          <w:vertAlign w:val="superscript"/>
          <w:lang w:val="en-GB"/>
        </w:rPr>
        <w:t>∆</w:t>
      </w:r>
      <w:r w:rsidRPr="00DB043A">
        <w:rPr>
          <w:bCs/>
          <w:color w:val="000000"/>
          <w:lang w:val="en-GB"/>
        </w:rPr>
        <w:t xml:space="preserve"> — 19,2 thousand (15,3%).</w:t>
      </w:r>
    </w:p>
    <w:p w:rsidR="00DB043A" w:rsidRDefault="00DB043A" w:rsidP="00D2653B">
      <w:pPr>
        <w:rPr>
          <w:lang w:val="en-GB" w:eastAsia="pl-PL"/>
        </w:rPr>
      </w:pPr>
    </w:p>
    <w:p w:rsidR="00DB043A" w:rsidRDefault="00DB043A" w:rsidP="00DB043A">
      <w:pPr>
        <w:ind w:left="680" w:hanging="680"/>
        <w:rPr>
          <w:lang w:val="en-GB" w:eastAsia="pl-PL"/>
        </w:rPr>
      </w:pPr>
      <w:r>
        <w:rPr>
          <w:noProof/>
          <w:lang w:eastAsia="pl-PL"/>
        </w:rPr>
        <w:drawing>
          <wp:anchor distT="0" distB="0" distL="114300" distR="114300" simplePos="0" relativeHeight="251745280" behindDoc="0" locked="0" layoutInCell="1" allowOverlap="1">
            <wp:simplePos x="0" y="0"/>
            <wp:positionH relativeFrom="column">
              <wp:posOffset>2540</wp:posOffset>
            </wp:positionH>
            <wp:positionV relativeFrom="paragraph">
              <wp:posOffset>439276</wp:posOffset>
            </wp:positionV>
            <wp:extent cx="5004000" cy="2700000"/>
            <wp:effectExtent l="0" t="0" r="6350" b="5715"/>
            <wp:wrapSquare wrapText="bothSides"/>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5224B1">
        <w:rPr>
          <w:b/>
          <w:sz w:val="18"/>
          <w:szCs w:val="18"/>
          <w:lang w:val="en-GB"/>
        </w:rPr>
        <w:t xml:space="preserve">Chart </w:t>
      </w:r>
      <w:r>
        <w:rPr>
          <w:b/>
          <w:sz w:val="18"/>
          <w:szCs w:val="18"/>
          <w:lang w:val="en-GB"/>
        </w:rPr>
        <w:t>4</w:t>
      </w:r>
      <w:r w:rsidRPr="005224B1">
        <w:rPr>
          <w:b/>
          <w:sz w:val="18"/>
          <w:szCs w:val="18"/>
          <w:lang w:val="en-GB"/>
        </w:rPr>
        <w:t>.</w:t>
      </w:r>
      <w:r w:rsidRPr="005224B1">
        <w:rPr>
          <w:b/>
          <w:sz w:val="18"/>
          <w:szCs w:val="18"/>
          <w:shd w:val="clear" w:color="auto" w:fill="FFFFFF"/>
          <w:lang w:val="en-GB"/>
        </w:rPr>
        <w:t xml:space="preserve"> </w:t>
      </w:r>
      <w:r w:rsidRPr="00DB043A">
        <w:rPr>
          <w:b/>
          <w:sz w:val="18"/>
          <w:szCs w:val="18"/>
          <w:shd w:val="clear" w:color="auto" w:fill="FFFFFF"/>
          <w:lang w:val="en-GB"/>
        </w:rPr>
        <w:t xml:space="preserve">The structure of vacancies in Poland by major occupational groups as of the end </w:t>
      </w:r>
      <w:r>
        <w:rPr>
          <w:b/>
          <w:sz w:val="18"/>
          <w:szCs w:val="18"/>
          <w:shd w:val="clear" w:color="auto" w:fill="FFFFFF"/>
          <w:lang w:val="en-GB"/>
        </w:rPr>
        <w:br/>
      </w:r>
      <w:r w:rsidRPr="00DB043A">
        <w:rPr>
          <w:b/>
          <w:sz w:val="18"/>
          <w:szCs w:val="18"/>
          <w:shd w:val="clear" w:color="auto" w:fill="FFFFFF"/>
          <w:lang w:val="en-GB"/>
        </w:rPr>
        <w:t>of the fourth quarter of 2019</w:t>
      </w:r>
    </w:p>
    <w:p w:rsidR="00DB043A" w:rsidRDefault="00DB043A" w:rsidP="00D2653B">
      <w:pPr>
        <w:rPr>
          <w:lang w:val="en-GB" w:eastAsia="pl-PL"/>
        </w:rPr>
      </w:pPr>
    </w:p>
    <w:p w:rsidR="00F7301C" w:rsidRDefault="00F7301C" w:rsidP="00D2653B">
      <w:pPr>
        <w:rPr>
          <w:lang w:val="en-GB" w:eastAsia="pl-PL"/>
        </w:rPr>
      </w:pPr>
    </w:p>
    <w:p w:rsidR="00DB043A" w:rsidRDefault="00DB043A" w:rsidP="00D2653B">
      <w:pPr>
        <w:rPr>
          <w:rFonts w:eastAsia="Times New Roman"/>
          <w:szCs w:val="19"/>
          <w:lang w:val="en-GB" w:eastAsia="pl-PL"/>
        </w:rPr>
      </w:pPr>
      <w:r w:rsidRPr="00DB043A">
        <w:rPr>
          <w:rFonts w:eastAsia="Times New Roman"/>
          <w:szCs w:val="19"/>
          <w:lang w:val="en-GB" w:eastAsia="pl-PL"/>
        </w:rPr>
        <w:lastRenderedPageBreak/>
        <w:t>Units that had job vacancies were most often looking for craft and related trades workers — 28,2 thousand vacancies (22,5 %). Job vacancies for professionals</w:t>
      </w:r>
      <w:r w:rsidRPr="00DB043A">
        <w:rPr>
          <w:rFonts w:eastAsia="Times New Roman"/>
          <w:color w:val="000000"/>
          <w:szCs w:val="19"/>
          <w:lang w:val="en-GB" w:eastAsia="pl-PL"/>
        </w:rPr>
        <w:t xml:space="preserve"> </w:t>
      </w:r>
      <w:r w:rsidRPr="00DB043A">
        <w:rPr>
          <w:rFonts w:eastAsia="Times New Roman"/>
          <w:szCs w:val="19"/>
          <w:lang w:val="en-GB" w:eastAsia="pl-PL"/>
        </w:rPr>
        <w:t>—</w:t>
      </w:r>
      <w:r w:rsidRPr="00DB043A">
        <w:rPr>
          <w:rFonts w:eastAsia="Times New Roman"/>
          <w:color w:val="000000"/>
          <w:szCs w:val="19"/>
          <w:lang w:val="en-GB" w:eastAsia="pl-PL"/>
        </w:rPr>
        <w:t xml:space="preserve"> 24,4 thousand (19,5%), plant and machine operators and assemblers </w:t>
      </w:r>
      <w:r w:rsidRPr="00DB043A">
        <w:rPr>
          <w:rFonts w:eastAsia="Times New Roman"/>
          <w:szCs w:val="19"/>
          <w:lang w:val="en-GB" w:eastAsia="pl-PL"/>
        </w:rPr>
        <w:t>— 20,0</w:t>
      </w:r>
      <w:r w:rsidRPr="00DB043A">
        <w:rPr>
          <w:rFonts w:eastAsia="Times New Roman"/>
          <w:color w:val="000000"/>
          <w:szCs w:val="19"/>
          <w:lang w:val="en-GB" w:eastAsia="pl-PL"/>
        </w:rPr>
        <w:t xml:space="preserve"> thousand (15,9</w:t>
      </w:r>
      <w:r w:rsidRPr="00DB043A">
        <w:rPr>
          <w:rFonts w:eastAsia="Times New Roman"/>
          <w:szCs w:val="19"/>
          <w:lang w:val="en-GB" w:eastAsia="pl-PL"/>
        </w:rPr>
        <w:t xml:space="preserve">%) </w:t>
      </w:r>
      <w:r w:rsidRPr="00DB043A">
        <w:rPr>
          <w:rFonts w:eastAsia="Times New Roman"/>
          <w:color w:val="000000"/>
          <w:szCs w:val="19"/>
          <w:lang w:val="en-GB" w:eastAsia="pl-PL"/>
        </w:rPr>
        <w:t xml:space="preserve">and services and sales workers </w:t>
      </w:r>
      <w:r w:rsidRPr="00DB043A">
        <w:rPr>
          <w:rFonts w:eastAsia="Times New Roman"/>
          <w:szCs w:val="19"/>
          <w:lang w:val="en-GB" w:eastAsia="pl-PL"/>
        </w:rPr>
        <w:t>— 14,8 thousand (11,8%) also constituted significant shares.</w:t>
      </w:r>
    </w:p>
    <w:p w:rsidR="000F0AF9" w:rsidRPr="00DB043A" w:rsidRDefault="000F0AF9" w:rsidP="00D2653B">
      <w:pPr>
        <w:rPr>
          <w:lang w:val="en-GB" w:eastAsia="pl-PL"/>
        </w:rPr>
      </w:pPr>
    </w:p>
    <w:p w:rsidR="000F0AF9" w:rsidRDefault="00464DBD" w:rsidP="000F0AF9">
      <w:pPr>
        <w:ind w:left="680" w:hanging="680"/>
        <w:rPr>
          <w:lang w:val="en-GB" w:eastAsia="pl-PL"/>
        </w:rPr>
      </w:pPr>
      <w:r>
        <w:rPr>
          <w:noProof/>
          <w:lang w:eastAsia="pl-PL"/>
        </w:rPr>
        <w:drawing>
          <wp:anchor distT="0" distB="0" distL="114300" distR="114300" simplePos="0" relativeHeight="251770880" behindDoc="0" locked="0" layoutInCell="1" allowOverlap="1">
            <wp:simplePos x="0" y="0"/>
            <wp:positionH relativeFrom="column">
              <wp:posOffset>2540</wp:posOffset>
            </wp:positionH>
            <wp:positionV relativeFrom="paragraph">
              <wp:posOffset>364490</wp:posOffset>
            </wp:positionV>
            <wp:extent cx="5121910" cy="2560320"/>
            <wp:effectExtent l="0" t="0" r="254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ykres_5_ang.w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1910" cy="2560320"/>
                    </a:xfrm>
                    <a:prstGeom prst="rect">
                      <a:avLst/>
                    </a:prstGeom>
                  </pic:spPr>
                </pic:pic>
              </a:graphicData>
            </a:graphic>
            <wp14:sizeRelH relativeFrom="page">
              <wp14:pctWidth>0</wp14:pctWidth>
            </wp14:sizeRelH>
            <wp14:sizeRelV relativeFrom="page">
              <wp14:pctHeight>0</wp14:pctHeight>
            </wp14:sizeRelV>
          </wp:anchor>
        </w:drawing>
      </w:r>
      <w:r w:rsidR="000F0AF9" w:rsidRPr="00633014">
        <w:rPr>
          <w:b/>
          <w:noProof/>
          <w:spacing w:val="-2"/>
          <w:szCs w:val="19"/>
          <w:lang w:eastAsia="pl-PL"/>
        </w:rPr>
        <mc:AlternateContent>
          <mc:Choice Requires="wps">
            <w:drawing>
              <wp:anchor distT="45720" distB="45720" distL="114300" distR="114300" simplePos="0" relativeHeight="251748352" behindDoc="1" locked="0" layoutInCell="1" allowOverlap="1" wp14:anchorId="2B29D3AC" wp14:editId="7EAA2860">
                <wp:simplePos x="0" y="0"/>
                <wp:positionH relativeFrom="column">
                  <wp:posOffset>5228348</wp:posOffset>
                </wp:positionH>
                <wp:positionV relativeFrom="paragraph">
                  <wp:posOffset>594582</wp:posOffset>
                </wp:positionV>
                <wp:extent cx="1725295" cy="1704975"/>
                <wp:effectExtent l="0" t="0" r="0" b="0"/>
                <wp:wrapTight wrapText="bothSides">
                  <wp:wrapPolygon edited="0">
                    <wp:start x="715" y="0"/>
                    <wp:lineTo x="715" y="21238"/>
                    <wp:lineTo x="20749" y="21238"/>
                    <wp:lineTo x="20749" y="0"/>
                    <wp:lineTo x="715"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704975"/>
                        </a:xfrm>
                        <a:prstGeom prst="rect">
                          <a:avLst/>
                        </a:prstGeom>
                        <a:noFill/>
                        <a:ln w="9525">
                          <a:noFill/>
                          <a:miter lim="800000"/>
                          <a:headEnd/>
                          <a:tailEnd/>
                        </a:ln>
                      </wps:spPr>
                      <wps:txbx>
                        <w:txbxContent>
                          <w:p w:rsidR="000F0AF9" w:rsidRPr="005224B1" w:rsidRDefault="000F0AF9" w:rsidP="000F0AF9">
                            <w:pPr>
                              <w:pStyle w:val="tekstzboku"/>
                              <w:rPr>
                                <w:lang w:val="en-GB"/>
                              </w:rPr>
                            </w:pPr>
                            <w:r w:rsidRPr="000F0AF9">
                              <w:rPr>
                                <w:lang w:val="en-GB"/>
                              </w:rPr>
                              <w:t xml:space="preserve">In the fourth quarter of 2019 unfilled job vacancies were offered primarily to craft </w:t>
                            </w:r>
                            <w:r>
                              <w:rPr>
                                <w:lang w:val="en-GB"/>
                              </w:rPr>
                              <w:br/>
                            </w:r>
                            <w:r w:rsidRPr="000F0AF9">
                              <w:rPr>
                                <w:lang w:val="en-GB"/>
                              </w:rPr>
                              <w:t>and related trades workers (22,5%)</w:t>
                            </w:r>
                          </w:p>
                          <w:p w:rsidR="000F0AF9" w:rsidRPr="005224B1" w:rsidRDefault="000F0AF9" w:rsidP="000F0AF9">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29D3AC" id="Pole tekstowe 20" o:spid="_x0000_s1030" type="#_x0000_t202" style="position:absolute;left:0;text-align:left;margin-left:411.7pt;margin-top:46.8pt;width:135.85pt;height:134.2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" filled="f" stroked="f">
                <v:textbox>
                  <w:txbxContent>
                    <w:p w:rsidR="000F0AF9" w:rsidRPr="005224B1" w:rsidRDefault="000F0AF9" w:rsidP="000F0AF9">
                      <w:pPr>
                        <w:pStyle w:val="tekstzboku"/>
                        <w:rPr>
                          <w:lang w:val="en-GB"/>
                        </w:rPr>
                      </w:pPr>
                      <w:r w:rsidRPr="000F0AF9">
                        <w:rPr>
                          <w:lang w:val="en-GB"/>
                        </w:rPr>
                        <w:t xml:space="preserve">In the fourth quarter of 2019 unfilled job vacancies were offered primarily to craft </w:t>
                      </w:r>
                      <w:r>
                        <w:rPr>
                          <w:lang w:val="en-GB"/>
                        </w:rPr>
                        <w:br/>
                      </w:r>
                      <w:r w:rsidRPr="000F0AF9">
                        <w:rPr>
                          <w:lang w:val="en-GB"/>
                        </w:rPr>
                        <w:t>and related trades workers (22,5%)</w:t>
                      </w:r>
                    </w:p>
                    <w:p w:rsidR="000F0AF9" w:rsidRPr="005224B1" w:rsidRDefault="000F0AF9" w:rsidP="000F0AF9">
                      <w:pPr>
                        <w:spacing w:after="0"/>
                        <w:rPr>
                          <w:rFonts w:eastAsia="Times New Roman" w:cs="Times New Roman"/>
                          <w:bCs/>
                          <w:color w:val="001D77"/>
                          <w:sz w:val="18"/>
                          <w:szCs w:val="18"/>
                          <w:lang w:val="en-GB" w:eastAsia="pl-PL"/>
                        </w:rPr>
                      </w:pPr>
                    </w:p>
                  </w:txbxContent>
                </v:textbox>
                <w10:wrap type="tight"/>
              </v:shape>
            </w:pict>
          </mc:Fallback>
        </mc:AlternateContent>
      </w:r>
      <w:r w:rsidR="000F0AF9" w:rsidRPr="005224B1">
        <w:rPr>
          <w:b/>
          <w:sz w:val="18"/>
          <w:szCs w:val="18"/>
          <w:lang w:val="en-GB"/>
        </w:rPr>
        <w:t xml:space="preserve">Chart </w:t>
      </w:r>
      <w:r w:rsidR="000F0AF9">
        <w:rPr>
          <w:b/>
          <w:sz w:val="18"/>
          <w:szCs w:val="18"/>
          <w:lang w:val="en-GB"/>
        </w:rPr>
        <w:t>5</w:t>
      </w:r>
      <w:r w:rsidR="000F0AF9" w:rsidRPr="005224B1">
        <w:rPr>
          <w:b/>
          <w:sz w:val="18"/>
          <w:szCs w:val="18"/>
          <w:lang w:val="en-GB"/>
        </w:rPr>
        <w:t>.</w:t>
      </w:r>
      <w:r w:rsidR="000F0AF9" w:rsidRPr="005224B1">
        <w:rPr>
          <w:b/>
          <w:sz w:val="18"/>
          <w:szCs w:val="18"/>
          <w:shd w:val="clear" w:color="auto" w:fill="FFFFFF"/>
          <w:lang w:val="en-GB"/>
        </w:rPr>
        <w:t xml:space="preserve"> </w:t>
      </w:r>
      <w:r w:rsidR="00C63DDC" w:rsidRPr="000F0AF9">
        <w:rPr>
          <w:b/>
          <w:sz w:val="18"/>
          <w:szCs w:val="18"/>
          <w:shd w:val="clear" w:color="auto" w:fill="FFFFFF"/>
          <w:lang w:val="en-GB"/>
        </w:rPr>
        <w:t xml:space="preserve">Vacancies and vacancies </w:t>
      </w:r>
      <w:r w:rsidR="00C63DDC" w:rsidRPr="003D5A08">
        <w:rPr>
          <w:rFonts w:eastAsia="Times New Roman"/>
          <w:b/>
          <w:szCs w:val="19"/>
          <w:lang w:val="en-GB" w:eastAsia="pl-PL"/>
        </w:rPr>
        <w:t>—</w:t>
      </w:r>
      <w:r w:rsidR="00C63DDC" w:rsidRPr="000F0AF9">
        <w:rPr>
          <w:b/>
          <w:sz w:val="18"/>
          <w:szCs w:val="18"/>
          <w:shd w:val="clear" w:color="auto" w:fill="FFFFFF"/>
          <w:lang w:val="en-GB"/>
        </w:rPr>
        <w:t xml:space="preserve"> newly created jobs in Poland by occupations as of the end </w:t>
      </w:r>
      <w:r w:rsidR="00C63DDC">
        <w:rPr>
          <w:b/>
          <w:sz w:val="18"/>
          <w:szCs w:val="18"/>
          <w:shd w:val="clear" w:color="auto" w:fill="FFFFFF"/>
          <w:lang w:val="en-GB"/>
        </w:rPr>
        <w:br/>
      </w:r>
      <w:r w:rsidR="00C63DDC" w:rsidRPr="000F0AF9">
        <w:rPr>
          <w:b/>
          <w:sz w:val="18"/>
          <w:szCs w:val="18"/>
          <w:shd w:val="clear" w:color="auto" w:fill="FFFFFF"/>
          <w:lang w:val="en-GB"/>
        </w:rPr>
        <w:t>of the fourth quarter of 2019</w:t>
      </w:r>
    </w:p>
    <w:p w:rsidR="000F0AF9" w:rsidRDefault="000F0AF9" w:rsidP="000F0AF9">
      <w:pPr>
        <w:rPr>
          <w:lang w:val="en-GB" w:eastAsia="pl-PL"/>
        </w:rPr>
      </w:pPr>
    </w:p>
    <w:p w:rsidR="000F0AF9" w:rsidRDefault="000F0AF9" w:rsidP="000F0AF9">
      <w:pPr>
        <w:ind w:left="680" w:hanging="680"/>
        <w:rPr>
          <w:lang w:val="en-GB" w:eastAsia="pl-PL"/>
        </w:rPr>
      </w:pPr>
      <w:r>
        <w:rPr>
          <w:noProof/>
          <w:lang w:eastAsia="pl-PL"/>
        </w:rPr>
        <w:drawing>
          <wp:anchor distT="0" distB="0" distL="114300" distR="114300" simplePos="0" relativeHeight="251749376" behindDoc="0" locked="0" layoutInCell="1" allowOverlap="1">
            <wp:simplePos x="0" y="0"/>
            <wp:positionH relativeFrom="column">
              <wp:posOffset>2540</wp:posOffset>
            </wp:positionH>
            <wp:positionV relativeFrom="paragraph">
              <wp:posOffset>278870</wp:posOffset>
            </wp:positionV>
            <wp:extent cx="4986000" cy="2808000"/>
            <wp:effectExtent l="0" t="0" r="5715" b="0"/>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5224B1">
        <w:rPr>
          <w:b/>
          <w:sz w:val="18"/>
          <w:szCs w:val="18"/>
          <w:lang w:val="en-GB"/>
        </w:rPr>
        <w:t xml:space="preserve">Chart </w:t>
      </w:r>
      <w:r>
        <w:rPr>
          <w:b/>
          <w:sz w:val="18"/>
          <w:szCs w:val="18"/>
          <w:lang w:val="en-GB"/>
        </w:rPr>
        <w:t>6</w:t>
      </w:r>
      <w:r w:rsidRPr="005224B1">
        <w:rPr>
          <w:b/>
          <w:sz w:val="18"/>
          <w:szCs w:val="18"/>
          <w:lang w:val="en-GB"/>
        </w:rPr>
        <w:t>.</w:t>
      </w:r>
      <w:r w:rsidRPr="005224B1">
        <w:rPr>
          <w:b/>
          <w:sz w:val="18"/>
          <w:szCs w:val="18"/>
          <w:shd w:val="clear" w:color="auto" w:fill="FFFFFF"/>
          <w:lang w:val="en-GB"/>
        </w:rPr>
        <w:t xml:space="preserve"> </w:t>
      </w:r>
      <w:r w:rsidRPr="000F0AF9">
        <w:rPr>
          <w:b/>
          <w:sz w:val="18"/>
          <w:szCs w:val="18"/>
          <w:shd w:val="clear" w:color="auto" w:fill="FFFFFF"/>
          <w:lang w:val="en-GB"/>
        </w:rPr>
        <w:t>Vacancies by voivodships as of the end of the fourth quarter of 2019</w:t>
      </w:r>
    </w:p>
    <w:p w:rsidR="000F0AF9" w:rsidRDefault="000F0AF9" w:rsidP="000F0AF9">
      <w:pPr>
        <w:rPr>
          <w:lang w:val="en-GB" w:eastAsia="pl-PL"/>
        </w:rPr>
      </w:pPr>
    </w:p>
    <w:p w:rsidR="00DB043A" w:rsidRPr="00074322" w:rsidRDefault="00074322" w:rsidP="00D2653B">
      <w:pPr>
        <w:rPr>
          <w:lang w:val="en-GB" w:eastAsia="pl-PL"/>
        </w:rPr>
      </w:pPr>
      <w:r w:rsidRPr="00074322">
        <w:rPr>
          <w:color w:val="000000"/>
          <w:lang w:val="en-GB"/>
        </w:rPr>
        <w:t xml:space="preserve">At the end of the fourth quarter of 2019 the following voivodships had the largest number </w:t>
      </w:r>
      <w:r>
        <w:rPr>
          <w:color w:val="000000"/>
          <w:lang w:val="en-GB"/>
        </w:rPr>
        <w:br/>
      </w:r>
      <w:r w:rsidRPr="00074322">
        <w:rPr>
          <w:color w:val="000000"/>
          <w:lang w:val="en-GB"/>
        </w:rPr>
        <w:t xml:space="preserve">of vacancies: </w:t>
      </w:r>
      <w:proofErr w:type="spellStart"/>
      <w:r w:rsidRPr="00074322">
        <w:rPr>
          <w:color w:val="000000"/>
          <w:lang w:val="en-GB"/>
        </w:rPr>
        <w:t>Mazowieckie</w:t>
      </w:r>
      <w:proofErr w:type="spellEnd"/>
      <w:r w:rsidRPr="00074322">
        <w:rPr>
          <w:color w:val="000000"/>
          <w:lang w:val="en-GB"/>
        </w:rPr>
        <w:t xml:space="preserve"> </w:t>
      </w:r>
      <w:r w:rsidRPr="00074322">
        <w:rPr>
          <w:rFonts w:eastAsia="Times New Roman"/>
          <w:szCs w:val="19"/>
          <w:lang w:val="en-GB" w:eastAsia="pl-PL"/>
        </w:rPr>
        <w:t xml:space="preserve">— </w:t>
      </w:r>
      <w:r w:rsidRPr="00074322">
        <w:rPr>
          <w:color w:val="000000"/>
          <w:lang w:val="en-GB"/>
        </w:rPr>
        <w:t xml:space="preserve">35,4 thousand (28,2%), </w:t>
      </w:r>
      <w:proofErr w:type="spellStart"/>
      <w:r w:rsidRPr="00074322">
        <w:rPr>
          <w:color w:val="000000"/>
          <w:lang w:val="en-GB"/>
        </w:rPr>
        <w:t>Śląskie</w:t>
      </w:r>
      <w:proofErr w:type="spellEnd"/>
      <w:r w:rsidRPr="00074322">
        <w:rPr>
          <w:color w:val="000000"/>
          <w:lang w:val="en-GB"/>
        </w:rPr>
        <w:t xml:space="preserve"> </w:t>
      </w:r>
      <w:r w:rsidRPr="00074322">
        <w:rPr>
          <w:rFonts w:eastAsia="Times New Roman"/>
          <w:szCs w:val="19"/>
          <w:lang w:val="en-GB" w:eastAsia="pl-PL"/>
        </w:rPr>
        <w:t xml:space="preserve">— </w:t>
      </w:r>
      <w:r w:rsidRPr="00074322">
        <w:rPr>
          <w:color w:val="000000"/>
          <w:lang w:val="en-GB"/>
        </w:rPr>
        <w:t xml:space="preserve">16,4 thousand (13,1%) and </w:t>
      </w:r>
      <w:proofErr w:type="spellStart"/>
      <w:r w:rsidRPr="00074322">
        <w:rPr>
          <w:color w:val="000000"/>
          <w:lang w:val="en-GB"/>
        </w:rPr>
        <w:t>Małopolskie</w:t>
      </w:r>
      <w:proofErr w:type="spellEnd"/>
      <w:r w:rsidRPr="00074322">
        <w:rPr>
          <w:color w:val="000000"/>
          <w:lang w:val="en-GB"/>
        </w:rPr>
        <w:t xml:space="preserve"> </w:t>
      </w:r>
      <w:r w:rsidRPr="00074322">
        <w:rPr>
          <w:rFonts w:eastAsia="Times New Roman"/>
          <w:szCs w:val="19"/>
          <w:lang w:val="en-GB" w:eastAsia="pl-PL"/>
        </w:rPr>
        <w:t xml:space="preserve">— </w:t>
      </w:r>
      <w:r w:rsidRPr="00074322">
        <w:rPr>
          <w:color w:val="000000"/>
          <w:lang w:val="en-GB"/>
        </w:rPr>
        <w:t xml:space="preserve">13,6 thousand (10,8%), whereas the smallest </w:t>
      </w:r>
      <w:r w:rsidR="00D8090A">
        <w:rPr>
          <w:color w:val="000000"/>
          <w:lang w:val="en-GB"/>
        </w:rPr>
        <w:t>numbers</w:t>
      </w:r>
      <w:r w:rsidRPr="00074322">
        <w:rPr>
          <w:color w:val="000000"/>
          <w:lang w:val="en-GB"/>
        </w:rPr>
        <w:t xml:space="preserve"> of vacancies </w:t>
      </w:r>
      <w:r w:rsidR="00D8090A">
        <w:rPr>
          <w:color w:val="000000"/>
          <w:lang w:val="en-GB"/>
        </w:rPr>
        <w:t>were recorded</w:t>
      </w:r>
      <w:r w:rsidRPr="00074322">
        <w:rPr>
          <w:color w:val="000000"/>
          <w:lang w:val="en-GB"/>
        </w:rPr>
        <w:t xml:space="preserve"> in the voivodships: </w:t>
      </w:r>
      <w:proofErr w:type="spellStart"/>
      <w:r w:rsidRPr="00074322">
        <w:rPr>
          <w:color w:val="000000"/>
          <w:lang w:val="en-GB"/>
        </w:rPr>
        <w:t>Lubelskie</w:t>
      </w:r>
      <w:proofErr w:type="spellEnd"/>
      <w:r w:rsidRPr="00074322">
        <w:rPr>
          <w:color w:val="000000"/>
          <w:lang w:val="en-GB"/>
        </w:rPr>
        <w:t xml:space="preserve"> </w:t>
      </w:r>
      <w:r w:rsidRPr="00074322">
        <w:rPr>
          <w:rFonts w:eastAsia="Times New Roman"/>
          <w:szCs w:val="19"/>
          <w:lang w:val="en-GB" w:eastAsia="pl-PL"/>
        </w:rPr>
        <w:t>—</w:t>
      </w:r>
      <w:r w:rsidRPr="00074322">
        <w:rPr>
          <w:color w:val="000000"/>
          <w:lang w:val="en-GB"/>
        </w:rPr>
        <w:t xml:space="preserve"> 1,7 thousand (1,4%), </w:t>
      </w:r>
      <w:proofErr w:type="spellStart"/>
      <w:r w:rsidRPr="00074322">
        <w:rPr>
          <w:color w:val="000000"/>
          <w:lang w:val="en-GB"/>
        </w:rPr>
        <w:t>Podlaskie</w:t>
      </w:r>
      <w:proofErr w:type="spellEnd"/>
      <w:r w:rsidRPr="00074322">
        <w:rPr>
          <w:color w:val="000000"/>
          <w:lang w:val="en-GB"/>
        </w:rPr>
        <w:t xml:space="preserve"> </w:t>
      </w:r>
      <w:r w:rsidRPr="00074322">
        <w:rPr>
          <w:rFonts w:eastAsia="Times New Roman"/>
          <w:szCs w:val="19"/>
          <w:lang w:val="en-GB" w:eastAsia="pl-PL"/>
        </w:rPr>
        <w:t xml:space="preserve">— </w:t>
      </w:r>
      <w:r w:rsidRPr="00074322">
        <w:rPr>
          <w:color w:val="000000"/>
          <w:lang w:val="en-GB"/>
        </w:rPr>
        <w:t xml:space="preserve">2,0 thousand (1,6%) and </w:t>
      </w:r>
      <w:proofErr w:type="spellStart"/>
      <w:r w:rsidRPr="00074322">
        <w:rPr>
          <w:color w:val="000000"/>
          <w:lang w:val="en-GB"/>
        </w:rPr>
        <w:t>Świętokrzyskie</w:t>
      </w:r>
      <w:proofErr w:type="spellEnd"/>
      <w:r w:rsidRPr="00074322">
        <w:rPr>
          <w:color w:val="000000"/>
          <w:lang w:val="en-GB"/>
        </w:rPr>
        <w:t xml:space="preserve"> </w:t>
      </w:r>
      <w:r w:rsidRPr="00074322">
        <w:rPr>
          <w:rFonts w:eastAsia="Times New Roman"/>
          <w:szCs w:val="19"/>
          <w:lang w:val="en-GB" w:eastAsia="pl-PL"/>
        </w:rPr>
        <w:t xml:space="preserve">— </w:t>
      </w:r>
      <w:r w:rsidRPr="00074322">
        <w:rPr>
          <w:color w:val="000000"/>
          <w:lang w:val="en-GB"/>
        </w:rPr>
        <w:t>2,0 thousand (1,6%).</w:t>
      </w:r>
    </w:p>
    <w:p w:rsidR="00074322" w:rsidRDefault="00074322">
      <w:pPr>
        <w:spacing w:before="0" w:after="160" w:line="259" w:lineRule="auto"/>
        <w:rPr>
          <w:lang w:val="en-GB" w:eastAsia="pl-PL"/>
        </w:rPr>
      </w:pPr>
      <w:r>
        <w:rPr>
          <w:lang w:val="en-GB" w:eastAsia="pl-PL"/>
        </w:rPr>
        <w:br w:type="page"/>
      </w:r>
    </w:p>
    <w:p w:rsidR="00074322" w:rsidRDefault="00B34B6F" w:rsidP="00074322">
      <w:pPr>
        <w:ind w:left="680" w:hanging="680"/>
        <w:rPr>
          <w:lang w:val="en-GB" w:eastAsia="pl-PL"/>
        </w:rPr>
      </w:pPr>
      <w:r w:rsidRPr="00633014">
        <w:rPr>
          <w:b/>
          <w:noProof/>
          <w:spacing w:val="-2"/>
          <w:szCs w:val="19"/>
          <w:lang w:eastAsia="pl-PL"/>
        </w:rPr>
        <w:lastRenderedPageBreak/>
        <mc:AlternateContent>
          <mc:Choice Requires="wps">
            <w:drawing>
              <wp:anchor distT="45720" distB="45720" distL="114300" distR="114300" simplePos="0" relativeHeight="251754496" behindDoc="1" locked="0" layoutInCell="1" allowOverlap="1" wp14:anchorId="765AECB4" wp14:editId="1937BC0A">
                <wp:simplePos x="0" y="0"/>
                <wp:positionH relativeFrom="column">
                  <wp:posOffset>5225415</wp:posOffset>
                </wp:positionH>
                <wp:positionV relativeFrom="paragraph">
                  <wp:posOffset>2076980</wp:posOffset>
                </wp:positionV>
                <wp:extent cx="1725295" cy="1419225"/>
                <wp:effectExtent l="0" t="0" r="0" b="0"/>
                <wp:wrapTight wrapText="bothSides">
                  <wp:wrapPolygon edited="0">
                    <wp:start x="715" y="0"/>
                    <wp:lineTo x="715" y="21165"/>
                    <wp:lineTo x="20749" y="21165"/>
                    <wp:lineTo x="20749" y="0"/>
                    <wp:lineTo x="715" y="0"/>
                  </wp:wrapPolygon>
                </wp:wrapTight>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19225"/>
                        </a:xfrm>
                        <a:prstGeom prst="rect">
                          <a:avLst/>
                        </a:prstGeom>
                        <a:noFill/>
                        <a:ln w="9525">
                          <a:noFill/>
                          <a:miter lim="800000"/>
                          <a:headEnd/>
                          <a:tailEnd/>
                        </a:ln>
                      </wps:spPr>
                      <wps:txbx>
                        <w:txbxContent>
                          <w:p w:rsidR="00074322" w:rsidRPr="00074322" w:rsidRDefault="006A13E0" w:rsidP="00074322">
                            <w:pPr>
                              <w:pStyle w:val="tekstzboku"/>
                              <w:rPr>
                                <w:lang w:val="en-GB"/>
                              </w:rPr>
                            </w:pPr>
                            <w:r>
                              <w:rPr>
                                <w:lang w:val="en-GB"/>
                              </w:rPr>
                              <w:t>In 2019 t</w:t>
                            </w:r>
                            <w:r w:rsidR="00074322" w:rsidRPr="00074322">
                              <w:rPr>
                                <w:lang w:val="en-GB"/>
                              </w:rPr>
                              <w:t xml:space="preserve">he lowest job </w:t>
                            </w:r>
                            <w:r>
                              <w:rPr>
                                <w:lang w:val="en-GB"/>
                              </w:rPr>
                              <w:br/>
                            </w:r>
                            <w:r w:rsidR="00074322" w:rsidRPr="00074322">
                              <w:rPr>
                                <w:lang w:val="en-GB"/>
                              </w:rPr>
                              <w:t xml:space="preserve">vacancy rate was recorded </w:t>
                            </w:r>
                            <w:r>
                              <w:rPr>
                                <w:lang w:val="en-GB"/>
                              </w:rPr>
                              <w:br/>
                            </w:r>
                            <w:r w:rsidR="00074322" w:rsidRPr="00074322">
                              <w:rPr>
                                <w:lang w:val="en-GB"/>
                              </w:rPr>
                              <w:t xml:space="preserve">in the fourth quarter in the </w:t>
                            </w:r>
                            <w:proofErr w:type="spellStart"/>
                            <w:r w:rsidR="00074322" w:rsidRPr="00074322">
                              <w:rPr>
                                <w:lang w:val="en-GB"/>
                              </w:rPr>
                              <w:t>Lubelskie</w:t>
                            </w:r>
                            <w:proofErr w:type="spellEnd"/>
                            <w:r w:rsidR="00074322" w:rsidRPr="00074322">
                              <w:rPr>
                                <w:lang w:val="en-GB"/>
                              </w:rPr>
                              <w:t xml:space="preserve"> Voivodship </w:t>
                            </w:r>
                            <w:r>
                              <w:rPr>
                                <w:lang w:val="en-GB"/>
                              </w:rPr>
                              <w:br/>
                            </w:r>
                            <w:r w:rsidR="00074322" w:rsidRPr="00074322">
                              <w:rPr>
                                <w:lang w:val="en-GB"/>
                              </w:rPr>
                              <w:t xml:space="preserve">— 0.32 %, while the highest </w:t>
                            </w:r>
                            <w:r>
                              <w:rPr>
                                <w:lang w:val="en-GB"/>
                              </w:rPr>
                              <w:br/>
                            </w:r>
                            <w:r w:rsidR="00074322" w:rsidRPr="00074322">
                              <w:rPr>
                                <w:lang w:val="en-GB"/>
                              </w:rPr>
                              <w:t xml:space="preserve">in the first quarter in the </w:t>
                            </w:r>
                            <w:proofErr w:type="spellStart"/>
                            <w:r w:rsidR="00074322" w:rsidRPr="00074322">
                              <w:rPr>
                                <w:lang w:val="en-GB"/>
                              </w:rPr>
                              <w:t>Małopolskie</w:t>
                            </w:r>
                            <w:proofErr w:type="spellEnd"/>
                            <w:r w:rsidR="00074322" w:rsidRPr="00074322">
                              <w:rPr>
                                <w:lang w:val="en-GB"/>
                              </w:rPr>
                              <w:t xml:space="preserve"> Voivodship </w:t>
                            </w:r>
                            <w:r>
                              <w:rPr>
                                <w:lang w:val="en-GB"/>
                              </w:rPr>
                              <w:br/>
                            </w:r>
                            <w:r w:rsidR="00074322" w:rsidRPr="00074322">
                              <w:rPr>
                                <w:lang w:val="en-GB"/>
                              </w:rPr>
                              <w:t>– 1.51%</w:t>
                            </w:r>
                          </w:p>
                          <w:p w:rsidR="00074322" w:rsidRPr="00074322" w:rsidRDefault="00074322" w:rsidP="00074322">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65AECB4" id="_x0000_t202" coordsize="21600,21600" o:spt="202" path="m,l,21600r21600,l21600,xe">
                <v:stroke joinstyle="miter"/>
                <v:path gradientshapeok="t" o:connecttype="rect"/>
              </v:shapetype>
              <v:shape id="Pole tekstowe 31" o:spid="_x0000_s1031" type="#_x0000_t202" style="position:absolute;left:0;text-align:left;margin-left:411.45pt;margin-top:163.55pt;width:135.85pt;height:111.75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" filled="f" stroked="f">
                <v:textbox>
                  <w:txbxContent>
                    <w:p w:rsidR="00074322" w:rsidRPr="00074322" w:rsidRDefault="006A13E0" w:rsidP="00074322">
                      <w:pPr>
                        <w:pStyle w:val="tekstzboku"/>
                        <w:rPr>
                          <w:lang w:val="en-GB"/>
                        </w:rPr>
                      </w:pPr>
                      <w:r>
                        <w:rPr>
                          <w:lang w:val="en-GB"/>
                        </w:rPr>
                        <w:t>In 2019 t</w:t>
                      </w:r>
                      <w:r w:rsidR="00074322" w:rsidRPr="00074322">
                        <w:rPr>
                          <w:lang w:val="en-GB"/>
                        </w:rPr>
                        <w:t xml:space="preserve">he lowest job </w:t>
                      </w:r>
                      <w:r>
                        <w:rPr>
                          <w:lang w:val="en-GB"/>
                        </w:rPr>
                        <w:br/>
                      </w:r>
                      <w:r w:rsidR="00074322" w:rsidRPr="00074322">
                        <w:rPr>
                          <w:lang w:val="en-GB"/>
                        </w:rPr>
                        <w:t xml:space="preserve">vacancy rate was recorded </w:t>
                      </w:r>
                      <w:r>
                        <w:rPr>
                          <w:lang w:val="en-GB"/>
                        </w:rPr>
                        <w:br/>
                      </w:r>
                      <w:r w:rsidR="00074322" w:rsidRPr="00074322">
                        <w:rPr>
                          <w:lang w:val="en-GB"/>
                        </w:rPr>
                        <w:t xml:space="preserve">in the fourth quarter in the </w:t>
                      </w:r>
                      <w:proofErr w:type="spellStart"/>
                      <w:r w:rsidR="00074322" w:rsidRPr="00074322">
                        <w:rPr>
                          <w:lang w:val="en-GB"/>
                        </w:rPr>
                        <w:t>Lubelskie</w:t>
                      </w:r>
                      <w:proofErr w:type="spellEnd"/>
                      <w:r w:rsidR="00074322" w:rsidRPr="00074322">
                        <w:rPr>
                          <w:lang w:val="en-GB"/>
                        </w:rPr>
                        <w:t xml:space="preserve"> </w:t>
                      </w:r>
                      <w:proofErr w:type="spellStart"/>
                      <w:r w:rsidR="00074322" w:rsidRPr="00074322">
                        <w:rPr>
                          <w:lang w:val="en-GB"/>
                        </w:rPr>
                        <w:t>Voivodship</w:t>
                      </w:r>
                      <w:proofErr w:type="spellEnd"/>
                      <w:r w:rsidR="00074322" w:rsidRPr="00074322">
                        <w:rPr>
                          <w:lang w:val="en-GB"/>
                        </w:rPr>
                        <w:t xml:space="preserve"> </w:t>
                      </w:r>
                      <w:r>
                        <w:rPr>
                          <w:lang w:val="en-GB"/>
                        </w:rPr>
                        <w:br/>
                      </w:r>
                      <w:r w:rsidR="00074322" w:rsidRPr="00074322">
                        <w:rPr>
                          <w:lang w:val="en-GB"/>
                        </w:rPr>
                        <w:t xml:space="preserve">— 0.32 %, while the highest </w:t>
                      </w:r>
                      <w:r>
                        <w:rPr>
                          <w:lang w:val="en-GB"/>
                        </w:rPr>
                        <w:br/>
                      </w:r>
                      <w:r w:rsidR="00074322" w:rsidRPr="00074322">
                        <w:rPr>
                          <w:lang w:val="en-GB"/>
                        </w:rPr>
                        <w:t xml:space="preserve">in the first quarter in the </w:t>
                      </w:r>
                      <w:proofErr w:type="spellStart"/>
                      <w:r w:rsidR="00074322" w:rsidRPr="00074322">
                        <w:rPr>
                          <w:lang w:val="en-GB"/>
                        </w:rPr>
                        <w:t>Małopolskie</w:t>
                      </w:r>
                      <w:proofErr w:type="spellEnd"/>
                      <w:r w:rsidR="00074322" w:rsidRPr="00074322">
                        <w:rPr>
                          <w:lang w:val="en-GB"/>
                        </w:rPr>
                        <w:t xml:space="preserve"> </w:t>
                      </w:r>
                      <w:proofErr w:type="spellStart"/>
                      <w:r w:rsidR="00074322" w:rsidRPr="00074322">
                        <w:rPr>
                          <w:lang w:val="en-GB"/>
                        </w:rPr>
                        <w:t>Voivodship</w:t>
                      </w:r>
                      <w:proofErr w:type="spellEnd"/>
                      <w:r w:rsidR="00074322" w:rsidRPr="00074322">
                        <w:rPr>
                          <w:lang w:val="en-GB"/>
                        </w:rPr>
                        <w:t xml:space="preserve"> </w:t>
                      </w:r>
                      <w:r>
                        <w:rPr>
                          <w:lang w:val="en-GB"/>
                        </w:rPr>
                        <w:br/>
                      </w:r>
                      <w:r w:rsidR="00074322" w:rsidRPr="00074322">
                        <w:rPr>
                          <w:lang w:val="en-GB"/>
                        </w:rPr>
                        <w:t>– 1.51%</w:t>
                      </w:r>
                    </w:p>
                    <w:p w:rsidR="00074322" w:rsidRPr="00074322" w:rsidRDefault="00074322" w:rsidP="00074322">
                      <w:pPr>
                        <w:spacing w:after="0"/>
                        <w:rPr>
                          <w:rFonts w:eastAsia="Times New Roman" w:cs="Times New Roman"/>
                          <w:bCs/>
                          <w:color w:val="001D77"/>
                          <w:sz w:val="18"/>
                          <w:szCs w:val="18"/>
                          <w:lang w:val="en-GB" w:eastAsia="pl-PL"/>
                        </w:rPr>
                      </w:pPr>
                    </w:p>
                  </w:txbxContent>
                </v:textbox>
                <w10:wrap type="tight"/>
              </v:shape>
            </w:pict>
          </mc:Fallback>
        </mc:AlternateContent>
      </w:r>
      <w:r w:rsidRPr="00633014">
        <w:rPr>
          <w:b/>
          <w:noProof/>
          <w:spacing w:val="-2"/>
          <w:szCs w:val="19"/>
          <w:lang w:eastAsia="pl-PL"/>
        </w:rPr>
        <mc:AlternateContent>
          <mc:Choice Requires="wps">
            <w:drawing>
              <wp:anchor distT="45720" distB="45720" distL="114300" distR="114300" simplePos="0" relativeHeight="251752448" behindDoc="1" locked="0" layoutInCell="1" allowOverlap="1" wp14:anchorId="765AECB4" wp14:editId="1937BC0A">
                <wp:simplePos x="0" y="0"/>
                <wp:positionH relativeFrom="column">
                  <wp:posOffset>5225415</wp:posOffset>
                </wp:positionH>
                <wp:positionV relativeFrom="paragraph">
                  <wp:posOffset>437515</wp:posOffset>
                </wp:positionV>
                <wp:extent cx="1725295" cy="1789430"/>
                <wp:effectExtent l="0" t="0" r="0" b="1270"/>
                <wp:wrapTight wrapText="bothSides">
                  <wp:wrapPolygon edited="0">
                    <wp:start x="715" y="0"/>
                    <wp:lineTo x="715" y="21385"/>
                    <wp:lineTo x="20749" y="21385"/>
                    <wp:lineTo x="20749" y="0"/>
                    <wp:lineTo x="715" y="0"/>
                  </wp:wrapPolygon>
                </wp:wrapTight>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789430"/>
                        </a:xfrm>
                        <a:prstGeom prst="rect">
                          <a:avLst/>
                        </a:prstGeom>
                        <a:noFill/>
                        <a:ln w="9525">
                          <a:noFill/>
                          <a:miter lim="800000"/>
                          <a:headEnd/>
                          <a:tailEnd/>
                        </a:ln>
                      </wps:spPr>
                      <wps:txbx>
                        <w:txbxContent>
                          <w:p w:rsidR="00074322" w:rsidRPr="00074322" w:rsidRDefault="00B34B6F" w:rsidP="00074322">
                            <w:pPr>
                              <w:spacing w:before="0"/>
                              <w:rPr>
                                <w:bCs/>
                                <w:color w:val="001D77"/>
                                <w:sz w:val="18"/>
                                <w:szCs w:val="18"/>
                                <w:lang w:val="en-GB"/>
                              </w:rPr>
                            </w:pPr>
                            <w:r w:rsidRPr="00B34B6F">
                              <w:rPr>
                                <w:bCs/>
                                <w:color w:val="001D77"/>
                                <w:sz w:val="18"/>
                                <w:szCs w:val="18"/>
                                <w:lang w:val="en-GB"/>
                              </w:rPr>
                              <w:t xml:space="preserve">The job vacancy rate – the proportion of total posts that are vacant, expressed as </w:t>
                            </w:r>
                            <w:r>
                              <w:rPr>
                                <w:bCs/>
                                <w:color w:val="001D77"/>
                                <w:sz w:val="18"/>
                                <w:szCs w:val="18"/>
                                <w:lang w:val="en-GB"/>
                              </w:rPr>
                              <w:br/>
                            </w:r>
                            <w:r w:rsidRPr="00B34B6F">
                              <w:rPr>
                                <w:bCs/>
                                <w:color w:val="001D77"/>
                                <w:sz w:val="18"/>
                                <w:szCs w:val="18"/>
                                <w:lang w:val="en-GB"/>
                              </w:rPr>
                              <w:t xml:space="preserve">a percentage of the sum </w:t>
                            </w:r>
                            <w:r>
                              <w:rPr>
                                <w:bCs/>
                                <w:color w:val="001D77"/>
                                <w:sz w:val="18"/>
                                <w:szCs w:val="18"/>
                                <w:lang w:val="en-GB"/>
                              </w:rPr>
                              <w:br/>
                            </w:r>
                            <w:r w:rsidRPr="00B34B6F">
                              <w:rPr>
                                <w:bCs/>
                                <w:color w:val="001D77"/>
                                <w:sz w:val="18"/>
                                <w:szCs w:val="18"/>
                                <w:lang w:val="en-GB"/>
                              </w:rPr>
                              <w:t xml:space="preserve">of the number of occupied posts and the number </w:t>
                            </w:r>
                            <w:r>
                              <w:rPr>
                                <w:bCs/>
                                <w:color w:val="001D77"/>
                                <w:sz w:val="18"/>
                                <w:szCs w:val="18"/>
                                <w:lang w:val="en-GB"/>
                              </w:rPr>
                              <w:br/>
                            </w:r>
                            <w:r w:rsidRPr="00B34B6F">
                              <w:rPr>
                                <w:bCs/>
                                <w:color w:val="001D77"/>
                                <w:sz w:val="18"/>
                                <w:szCs w:val="18"/>
                                <w:lang w:val="en-GB"/>
                              </w:rPr>
                              <w:t>of job vacancies</w:t>
                            </w:r>
                          </w:p>
                          <w:p w:rsidR="00074322" w:rsidRPr="00074322" w:rsidRDefault="00074322" w:rsidP="00074322">
                            <w:pPr>
                              <w:pStyle w:val="tekstzboku"/>
                              <w:rPr>
                                <w:lang w:val="en-GB"/>
                              </w:rPr>
                            </w:pPr>
                            <w:r w:rsidRPr="00074322">
                              <w:rPr>
                                <w:bCs w:val="0"/>
                                <w:lang w:val="en-GB"/>
                              </w:rPr>
                              <w:t xml:space="preserve">The job vacancy rate in Poland in the fourth quarter </w:t>
                            </w:r>
                            <w:r w:rsidR="006A13E0">
                              <w:rPr>
                                <w:bCs w:val="0"/>
                                <w:lang w:val="en-GB"/>
                              </w:rPr>
                              <w:br/>
                            </w:r>
                            <w:r w:rsidRPr="00074322">
                              <w:rPr>
                                <w:bCs w:val="0"/>
                                <w:lang w:val="en-GB"/>
                              </w:rPr>
                              <w:t>of 2019 was 1,07%</w:t>
                            </w:r>
                          </w:p>
                          <w:p w:rsidR="00074322" w:rsidRPr="00074322" w:rsidRDefault="00074322" w:rsidP="00074322">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65AECB4" id="Pole tekstowe 30" o:spid="_x0000_s1032" type="#_x0000_t202" style="position:absolute;left:0;text-align:left;margin-left:411.45pt;margin-top:34.45pt;width:135.85pt;height:140.9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" filled="f" stroked="f">
                <v:textbox>
                  <w:txbxContent>
                    <w:p w:rsidR="00074322" w:rsidRPr="00074322" w:rsidRDefault="00B34B6F" w:rsidP="00074322">
                      <w:pPr>
                        <w:spacing w:before="0"/>
                        <w:rPr>
                          <w:bCs/>
                          <w:color w:val="001D77"/>
                          <w:sz w:val="18"/>
                          <w:szCs w:val="18"/>
                          <w:lang w:val="en-GB"/>
                        </w:rPr>
                      </w:pPr>
                      <w:r w:rsidRPr="00B34B6F">
                        <w:rPr>
                          <w:bCs/>
                          <w:color w:val="001D77"/>
                          <w:sz w:val="18"/>
                          <w:szCs w:val="18"/>
                          <w:lang w:val="en-GB"/>
                        </w:rPr>
                        <w:t>The job vacancy rate – the proportion of total posts that are vacant, expr</w:t>
                      </w:r>
                      <w:bookmarkStart w:id="1" w:name="_GoBack"/>
                      <w:bookmarkEnd w:id="1"/>
                      <w:r w:rsidRPr="00B34B6F">
                        <w:rPr>
                          <w:bCs/>
                          <w:color w:val="001D77"/>
                          <w:sz w:val="18"/>
                          <w:szCs w:val="18"/>
                          <w:lang w:val="en-GB"/>
                        </w:rPr>
                        <w:t xml:space="preserve">essed as </w:t>
                      </w:r>
                      <w:r>
                        <w:rPr>
                          <w:bCs/>
                          <w:color w:val="001D77"/>
                          <w:sz w:val="18"/>
                          <w:szCs w:val="18"/>
                          <w:lang w:val="en-GB"/>
                        </w:rPr>
                        <w:br/>
                      </w:r>
                      <w:r w:rsidRPr="00B34B6F">
                        <w:rPr>
                          <w:bCs/>
                          <w:color w:val="001D77"/>
                          <w:sz w:val="18"/>
                          <w:szCs w:val="18"/>
                          <w:lang w:val="en-GB"/>
                        </w:rPr>
                        <w:t xml:space="preserve">a percentage of the sum </w:t>
                      </w:r>
                      <w:r>
                        <w:rPr>
                          <w:bCs/>
                          <w:color w:val="001D77"/>
                          <w:sz w:val="18"/>
                          <w:szCs w:val="18"/>
                          <w:lang w:val="en-GB"/>
                        </w:rPr>
                        <w:br/>
                      </w:r>
                      <w:r w:rsidRPr="00B34B6F">
                        <w:rPr>
                          <w:bCs/>
                          <w:color w:val="001D77"/>
                          <w:sz w:val="18"/>
                          <w:szCs w:val="18"/>
                          <w:lang w:val="en-GB"/>
                        </w:rPr>
                        <w:t xml:space="preserve">of the number of occupied posts and the number </w:t>
                      </w:r>
                      <w:r>
                        <w:rPr>
                          <w:bCs/>
                          <w:color w:val="001D77"/>
                          <w:sz w:val="18"/>
                          <w:szCs w:val="18"/>
                          <w:lang w:val="en-GB"/>
                        </w:rPr>
                        <w:br/>
                      </w:r>
                      <w:r w:rsidRPr="00B34B6F">
                        <w:rPr>
                          <w:bCs/>
                          <w:color w:val="001D77"/>
                          <w:sz w:val="18"/>
                          <w:szCs w:val="18"/>
                          <w:lang w:val="en-GB"/>
                        </w:rPr>
                        <w:t>of job vacancies</w:t>
                      </w:r>
                    </w:p>
                    <w:p w:rsidR="00074322" w:rsidRPr="00074322" w:rsidRDefault="00074322" w:rsidP="00074322">
                      <w:pPr>
                        <w:pStyle w:val="tekstzboku"/>
                        <w:rPr>
                          <w:lang w:val="en-GB"/>
                        </w:rPr>
                      </w:pPr>
                      <w:r w:rsidRPr="00074322">
                        <w:rPr>
                          <w:bCs w:val="0"/>
                          <w:lang w:val="en-GB"/>
                        </w:rPr>
                        <w:t xml:space="preserve">The job vacancy rate in Poland in the fourth quarter </w:t>
                      </w:r>
                      <w:r w:rsidR="006A13E0">
                        <w:rPr>
                          <w:bCs w:val="0"/>
                          <w:lang w:val="en-GB"/>
                        </w:rPr>
                        <w:br/>
                      </w:r>
                      <w:r w:rsidRPr="00074322">
                        <w:rPr>
                          <w:bCs w:val="0"/>
                          <w:lang w:val="en-GB"/>
                        </w:rPr>
                        <w:t>of 2019 was 1,07%</w:t>
                      </w:r>
                    </w:p>
                    <w:p w:rsidR="00074322" w:rsidRPr="00074322" w:rsidRDefault="00074322" w:rsidP="00074322">
                      <w:pPr>
                        <w:spacing w:after="0"/>
                        <w:rPr>
                          <w:rFonts w:eastAsia="Times New Roman" w:cs="Times New Roman"/>
                          <w:bCs/>
                          <w:color w:val="001D77"/>
                          <w:sz w:val="18"/>
                          <w:szCs w:val="18"/>
                          <w:lang w:val="en-GB" w:eastAsia="pl-PL"/>
                        </w:rPr>
                      </w:pPr>
                    </w:p>
                  </w:txbxContent>
                </v:textbox>
                <w10:wrap type="tight"/>
              </v:shape>
            </w:pict>
          </mc:Fallback>
        </mc:AlternateContent>
      </w:r>
      <w:r w:rsidR="001411DA">
        <w:rPr>
          <w:noProof/>
          <w:lang w:eastAsia="pl-PL"/>
        </w:rPr>
        <w:drawing>
          <wp:anchor distT="0" distB="0" distL="114300" distR="114300" simplePos="0" relativeHeight="251750400" behindDoc="0" locked="0" layoutInCell="1" allowOverlap="1">
            <wp:simplePos x="0" y="0"/>
            <wp:positionH relativeFrom="column">
              <wp:posOffset>2540</wp:posOffset>
            </wp:positionH>
            <wp:positionV relativeFrom="paragraph">
              <wp:posOffset>247015</wp:posOffset>
            </wp:positionV>
            <wp:extent cx="5121910" cy="3183255"/>
            <wp:effectExtent l="0" t="0" r="254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apa01ang.w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21910" cy="3183255"/>
                    </a:xfrm>
                    <a:prstGeom prst="rect">
                      <a:avLst/>
                    </a:prstGeom>
                  </pic:spPr>
                </pic:pic>
              </a:graphicData>
            </a:graphic>
            <wp14:sizeRelH relativeFrom="page">
              <wp14:pctWidth>0</wp14:pctWidth>
            </wp14:sizeRelH>
            <wp14:sizeRelV relativeFrom="page">
              <wp14:pctHeight>0</wp14:pctHeight>
            </wp14:sizeRelV>
          </wp:anchor>
        </w:drawing>
      </w:r>
      <w:r w:rsidR="00074322">
        <w:rPr>
          <w:b/>
          <w:sz w:val="18"/>
          <w:szCs w:val="18"/>
          <w:lang w:val="en-GB"/>
        </w:rPr>
        <w:t>Map</w:t>
      </w:r>
      <w:r w:rsidR="00074322" w:rsidRPr="005224B1">
        <w:rPr>
          <w:b/>
          <w:sz w:val="18"/>
          <w:szCs w:val="18"/>
          <w:lang w:val="en-GB"/>
        </w:rPr>
        <w:t xml:space="preserve"> </w:t>
      </w:r>
      <w:r w:rsidR="00074322">
        <w:rPr>
          <w:b/>
          <w:sz w:val="18"/>
          <w:szCs w:val="18"/>
          <w:lang w:val="en-GB"/>
        </w:rPr>
        <w:t>1</w:t>
      </w:r>
      <w:r w:rsidR="00074322" w:rsidRPr="005224B1">
        <w:rPr>
          <w:b/>
          <w:sz w:val="18"/>
          <w:szCs w:val="18"/>
          <w:lang w:val="en-GB"/>
        </w:rPr>
        <w:t>.</w:t>
      </w:r>
      <w:r w:rsidR="00074322" w:rsidRPr="005224B1">
        <w:rPr>
          <w:b/>
          <w:sz w:val="18"/>
          <w:szCs w:val="18"/>
          <w:shd w:val="clear" w:color="auto" w:fill="FFFFFF"/>
          <w:lang w:val="en-GB"/>
        </w:rPr>
        <w:t xml:space="preserve"> </w:t>
      </w:r>
      <w:r w:rsidR="00074322" w:rsidRPr="00074322">
        <w:rPr>
          <w:b/>
          <w:sz w:val="18"/>
          <w:szCs w:val="18"/>
          <w:shd w:val="clear" w:color="auto" w:fill="FFFFFF"/>
          <w:lang w:val="en-GB"/>
        </w:rPr>
        <w:t>Job vacancy rate by voivodships as of the end of the fourth quarter of 2019</w:t>
      </w:r>
    </w:p>
    <w:p w:rsidR="00074322" w:rsidRDefault="00074322" w:rsidP="00074322">
      <w:pPr>
        <w:rPr>
          <w:lang w:val="en-GB" w:eastAsia="pl-PL"/>
        </w:rPr>
      </w:pPr>
    </w:p>
    <w:p w:rsidR="00074322" w:rsidRPr="00D2653B" w:rsidRDefault="00074322" w:rsidP="00074322">
      <w:pPr>
        <w:pStyle w:val="Nagwek1"/>
        <w:rPr>
          <w:lang w:val="en-GB"/>
        </w:rPr>
      </w:pPr>
      <w:r w:rsidRPr="00074322">
        <w:rPr>
          <w:lang w:val="en-GB"/>
        </w:rPr>
        <w:t>Newly created jobs</w:t>
      </w:r>
    </w:p>
    <w:p w:rsidR="00074322" w:rsidRDefault="00622A84" w:rsidP="00074322">
      <w:pPr>
        <w:rPr>
          <w:szCs w:val="19"/>
          <w:lang w:val="en-GB"/>
        </w:rPr>
      </w:pPr>
      <w:r w:rsidRPr="00791C71">
        <w:rPr>
          <w:szCs w:val="19"/>
          <w:lang w:val="en-GB"/>
        </w:rPr>
        <w:t>In the fourth quarter of 2019 there were created 114,4 thousand new jobs in Poland, which was 10,1 thousand fewer (8,1%) as compared to the fourth quarter of 2018. The largest number of new jobs were created in the group of units with up to 9 employed persons — 44,1 thousand (38,6%). A similar number of newly created jobs were reported in the population of units  with  more  than 49 employed persons — 40,4 thousand (35,3%) and by units with 10 to 49 employed persons — 29,9 thousand (26,1%).</w:t>
      </w:r>
    </w:p>
    <w:p w:rsidR="00F60EAC" w:rsidRPr="00F60EAC" w:rsidRDefault="00F60EAC" w:rsidP="00F60EAC">
      <w:pPr>
        <w:rPr>
          <w:shd w:val="clear" w:color="auto" w:fill="FFFFFF"/>
          <w:lang w:val="en-GB"/>
        </w:rPr>
      </w:pPr>
      <w:r w:rsidRPr="00633014">
        <w:rPr>
          <w:b/>
          <w:noProof/>
          <w:spacing w:val="-2"/>
          <w:szCs w:val="19"/>
          <w:lang w:eastAsia="pl-PL"/>
        </w:rPr>
        <mc:AlternateContent>
          <mc:Choice Requires="wps">
            <w:drawing>
              <wp:anchor distT="45720" distB="45720" distL="114300" distR="114300" simplePos="0" relativeHeight="251756544" behindDoc="1" locked="0" layoutInCell="1" allowOverlap="1" wp14:anchorId="1D66D0A8" wp14:editId="0C5F7AC7">
                <wp:simplePos x="0" y="0"/>
                <wp:positionH relativeFrom="column">
                  <wp:posOffset>5225415</wp:posOffset>
                </wp:positionH>
                <wp:positionV relativeFrom="paragraph">
                  <wp:posOffset>7620</wp:posOffset>
                </wp:positionV>
                <wp:extent cx="1725295" cy="1104900"/>
                <wp:effectExtent l="0" t="0" r="0" b="0"/>
                <wp:wrapTight wrapText="bothSides">
                  <wp:wrapPolygon edited="0">
                    <wp:start x="715" y="0"/>
                    <wp:lineTo x="715" y="21228"/>
                    <wp:lineTo x="20749" y="21228"/>
                    <wp:lineTo x="20749" y="0"/>
                    <wp:lineTo x="715" y="0"/>
                  </wp:wrapPolygon>
                </wp:wrapTight>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04900"/>
                        </a:xfrm>
                        <a:prstGeom prst="rect">
                          <a:avLst/>
                        </a:prstGeom>
                        <a:noFill/>
                        <a:ln w="9525">
                          <a:noFill/>
                          <a:miter lim="800000"/>
                          <a:headEnd/>
                          <a:tailEnd/>
                        </a:ln>
                      </wps:spPr>
                      <wps:txbx>
                        <w:txbxContent>
                          <w:p w:rsidR="00F60EAC" w:rsidRPr="00F60EAC" w:rsidRDefault="00F60EAC" w:rsidP="00F60EAC">
                            <w:pPr>
                              <w:pStyle w:val="tekstzboku"/>
                              <w:rPr>
                                <w:lang w:val="en-GB"/>
                              </w:rPr>
                            </w:pPr>
                            <w:r w:rsidRPr="00F60EAC">
                              <w:rPr>
                                <w:lang w:val="en-GB"/>
                              </w:rPr>
                              <w:t>In the fourth quarter of 2019 the majority of new jobs were created in the private sector (89,4%)</w:t>
                            </w:r>
                          </w:p>
                          <w:p w:rsidR="00F60EAC" w:rsidRPr="00F60EAC" w:rsidRDefault="00F60EAC" w:rsidP="00F60EAC">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D66D0A8" id="Pole tekstowe 32" o:spid="_x0000_s1033" type="#_x0000_t202" style="position:absolute;margin-left:411.45pt;margin-top:.6pt;width:135.85pt;height:87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" filled="f" stroked="f">
                <v:textbox>
                  <w:txbxContent>
                    <w:p w:rsidR="00F60EAC" w:rsidRPr="00F60EAC" w:rsidRDefault="00F60EAC" w:rsidP="00F60EAC">
                      <w:pPr>
                        <w:pStyle w:val="tekstzboku"/>
                        <w:rPr>
                          <w:lang w:val="en-GB"/>
                        </w:rPr>
                      </w:pPr>
                      <w:r w:rsidRPr="00F60EAC">
                        <w:rPr>
                          <w:lang w:val="en-GB"/>
                        </w:rPr>
                        <w:t>In the fourth quarter of 2019 the majority of new jobs were created in the private sector (89,4%)</w:t>
                      </w:r>
                    </w:p>
                    <w:p w:rsidR="00F60EAC" w:rsidRPr="00F60EAC" w:rsidRDefault="00F60EAC" w:rsidP="00F60EAC">
                      <w:pPr>
                        <w:spacing w:after="0"/>
                        <w:rPr>
                          <w:rFonts w:eastAsia="Times New Roman" w:cs="Times New Roman"/>
                          <w:bCs/>
                          <w:color w:val="001D77"/>
                          <w:sz w:val="18"/>
                          <w:szCs w:val="18"/>
                          <w:lang w:val="en-GB" w:eastAsia="pl-PL"/>
                        </w:rPr>
                      </w:pPr>
                    </w:p>
                  </w:txbxContent>
                </v:textbox>
                <w10:wrap type="tight"/>
              </v:shape>
            </w:pict>
          </mc:Fallback>
        </mc:AlternateContent>
      </w:r>
      <w:r w:rsidR="00622A84" w:rsidRPr="00791C71">
        <w:rPr>
          <w:shd w:val="clear" w:color="auto" w:fill="FFFFFF"/>
          <w:lang w:val="en-GB"/>
        </w:rPr>
        <w:t>New jobs were generated mainly in units conducting activities  in the field of Trade; repair of motor vehicles</w:t>
      </w:r>
      <w:r w:rsidR="00622A84" w:rsidRPr="00791C71">
        <w:rPr>
          <w:shd w:val="clear" w:color="auto" w:fill="FFFFFF"/>
          <w:vertAlign w:val="superscript"/>
          <w:lang w:val="en-GB"/>
        </w:rPr>
        <w:t>∆</w:t>
      </w:r>
      <w:r w:rsidR="00622A84" w:rsidRPr="00791C71">
        <w:rPr>
          <w:shd w:val="clear" w:color="auto" w:fill="FFFFFF"/>
          <w:lang w:val="en-GB"/>
        </w:rPr>
        <w:t xml:space="preserve"> — 23,8 thousand (20,8%), Manufacturing — 20,4 thousand (17,8%) and Transportation and storage — 13,6 thousand (11,9%). The fewest new jobs were created in units conducting Other service activities — 1,8 thousand (1,6%). A similarly low numbers of  newly created jobs were recorded in Real estate activities, Public administration and defence; compulsory social security as well as within Accommodation and catering</w:t>
      </w:r>
      <w:r w:rsidR="00622A84" w:rsidRPr="00791C71">
        <w:rPr>
          <w:shd w:val="clear" w:color="auto" w:fill="FFFFFF"/>
          <w:vertAlign w:val="superscript"/>
          <w:lang w:val="en-GB"/>
        </w:rPr>
        <w:t>∆</w:t>
      </w:r>
      <w:r w:rsidR="00622A84" w:rsidRPr="00791C71">
        <w:rPr>
          <w:shd w:val="clear" w:color="auto" w:fill="FFFFFF"/>
          <w:lang w:val="en-GB"/>
        </w:rPr>
        <w:t xml:space="preserve"> — 1,9 thousand (1,7%) each.</w:t>
      </w:r>
      <w:r w:rsidRPr="00F60EAC">
        <w:rPr>
          <w:shd w:val="clear" w:color="auto" w:fill="FFFFFF"/>
          <w:lang w:val="en-GB"/>
        </w:rPr>
        <w:t xml:space="preserve"> </w:t>
      </w:r>
    </w:p>
    <w:p w:rsidR="00F60EAC" w:rsidRPr="00F60EAC" w:rsidRDefault="00622A84" w:rsidP="00F60EAC">
      <w:pPr>
        <w:rPr>
          <w:shd w:val="clear" w:color="auto" w:fill="FFFFFF"/>
          <w:lang w:val="en-GB"/>
        </w:rPr>
      </w:pPr>
      <w:r w:rsidRPr="00791C71">
        <w:rPr>
          <w:shd w:val="clear" w:color="auto" w:fill="FFFFFF"/>
          <w:lang w:val="en-GB"/>
        </w:rPr>
        <w:t xml:space="preserve">Most new jobs were generated in the </w:t>
      </w:r>
      <w:proofErr w:type="spellStart"/>
      <w:r w:rsidRPr="00791C71">
        <w:rPr>
          <w:shd w:val="clear" w:color="auto" w:fill="FFFFFF"/>
          <w:lang w:val="en-GB"/>
        </w:rPr>
        <w:t>Małopolskie</w:t>
      </w:r>
      <w:proofErr w:type="spellEnd"/>
      <w:r w:rsidRPr="00791C71">
        <w:rPr>
          <w:shd w:val="clear" w:color="auto" w:fill="FFFFFF"/>
          <w:lang w:val="en-GB"/>
        </w:rPr>
        <w:t xml:space="preserve"> Voivodship — 20,2 thousand (17,7%), and then in the </w:t>
      </w:r>
      <w:proofErr w:type="spellStart"/>
      <w:r w:rsidRPr="00791C71">
        <w:rPr>
          <w:shd w:val="clear" w:color="auto" w:fill="FFFFFF"/>
          <w:lang w:val="en-GB"/>
        </w:rPr>
        <w:t>Wielkopolskie</w:t>
      </w:r>
      <w:proofErr w:type="spellEnd"/>
      <w:r w:rsidRPr="00791C71">
        <w:rPr>
          <w:shd w:val="clear" w:color="auto" w:fill="FFFFFF"/>
          <w:lang w:val="en-GB"/>
        </w:rPr>
        <w:t xml:space="preserve"> Voivodship — 11,5 thousand (10,1%) and in the </w:t>
      </w:r>
      <w:proofErr w:type="spellStart"/>
      <w:r w:rsidRPr="00791C71">
        <w:rPr>
          <w:shd w:val="clear" w:color="auto" w:fill="FFFFFF"/>
          <w:lang w:val="en-GB"/>
        </w:rPr>
        <w:t>Dolnośląskie</w:t>
      </w:r>
      <w:proofErr w:type="spellEnd"/>
      <w:r w:rsidRPr="00791C71">
        <w:rPr>
          <w:shd w:val="clear" w:color="auto" w:fill="FFFFFF"/>
          <w:lang w:val="en-GB"/>
        </w:rPr>
        <w:t xml:space="preserve"> Voivodship — 10,8 thousand (9,4%). The fewest new jobs were created in the following voivodships: </w:t>
      </w:r>
      <w:proofErr w:type="spellStart"/>
      <w:r w:rsidRPr="00791C71">
        <w:rPr>
          <w:shd w:val="clear" w:color="auto" w:fill="FFFFFF"/>
          <w:lang w:val="en-GB"/>
        </w:rPr>
        <w:t>Podlaskie</w:t>
      </w:r>
      <w:proofErr w:type="spellEnd"/>
      <w:r w:rsidRPr="00791C71">
        <w:rPr>
          <w:shd w:val="clear" w:color="auto" w:fill="FFFFFF"/>
          <w:lang w:val="en-GB"/>
        </w:rPr>
        <w:t xml:space="preserve"> — 1,3 thousand (1,1%), </w:t>
      </w:r>
      <w:proofErr w:type="spellStart"/>
      <w:r w:rsidRPr="00791C71">
        <w:rPr>
          <w:shd w:val="clear" w:color="auto" w:fill="FFFFFF"/>
          <w:lang w:val="en-GB"/>
        </w:rPr>
        <w:t>Warmińsko-Mazurskie</w:t>
      </w:r>
      <w:proofErr w:type="spellEnd"/>
      <w:r w:rsidRPr="00791C71">
        <w:rPr>
          <w:shd w:val="clear" w:color="auto" w:fill="FFFFFF"/>
          <w:lang w:val="en-GB"/>
        </w:rPr>
        <w:t xml:space="preserve"> — 1,3 thousand (1,1%) and </w:t>
      </w:r>
      <w:proofErr w:type="spellStart"/>
      <w:r w:rsidRPr="00791C71">
        <w:rPr>
          <w:shd w:val="clear" w:color="auto" w:fill="FFFFFF"/>
          <w:lang w:val="en-GB"/>
        </w:rPr>
        <w:t>Świętokrzyskie</w:t>
      </w:r>
      <w:proofErr w:type="spellEnd"/>
      <w:r w:rsidRPr="00791C71">
        <w:rPr>
          <w:shd w:val="clear" w:color="auto" w:fill="FFFFFF"/>
          <w:lang w:val="en-GB"/>
        </w:rPr>
        <w:t xml:space="preserve"> — 2,6 thousand (2,3%).</w:t>
      </w:r>
    </w:p>
    <w:p w:rsidR="00F60EAC" w:rsidRPr="00BF67C6" w:rsidRDefault="00622A84" w:rsidP="00F60EAC">
      <w:pPr>
        <w:rPr>
          <w:rFonts w:ascii="Calibri" w:hAnsi="Calibri"/>
          <w:sz w:val="22"/>
          <w:lang w:val="en-GB"/>
        </w:rPr>
      </w:pPr>
      <w:r w:rsidRPr="00791C71">
        <w:rPr>
          <w:lang w:val="en-GB"/>
        </w:rPr>
        <w:t xml:space="preserve">At the end of the fourth quarter of 2019, there were 28,4 thousand (24,8%) unfilled newly created jobs, mainly in the private sector </w:t>
      </w:r>
      <w:r w:rsidRPr="00791C71">
        <w:rPr>
          <w:shd w:val="clear" w:color="auto" w:fill="FFFFFF"/>
          <w:lang w:val="en-GB"/>
        </w:rPr>
        <w:t>— 25,8 thousand (90,8%) and in units with the number of employed persons more than 49</w:t>
      </w:r>
      <w:r w:rsidRPr="00791C71">
        <w:rPr>
          <w:lang w:val="en-GB"/>
        </w:rPr>
        <w:t xml:space="preserve"> </w:t>
      </w:r>
      <w:r w:rsidRPr="00791C71">
        <w:rPr>
          <w:spacing w:val="4"/>
          <w:lang w:val="en-GB" w:eastAsia="pl-PL"/>
        </w:rPr>
        <w:t>—</w:t>
      </w:r>
      <w:r w:rsidRPr="00791C71">
        <w:rPr>
          <w:lang w:val="en-GB"/>
        </w:rPr>
        <w:t xml:space="preserve"> 11,7 thousand (41,2%) as well as in units with up to 9 employed persons — 11,6 thousand (41</w:t>
      </w:r>
      <w:r w:rsidRPr="00BF67C6">
        <w:rPr>
          <w:lang w:val="en-GB"/>
        </w:rPr>
        <w:t>,0%).</w:t>
      </w:r>
      <w:r w:rsidR="00F60EAC" w:rsidRPr="00BF67C6">
        <w:rPr>
          <w:lang w:val="en-GB"/>
        </w:rPr>
        <w:t xml:space="preserve"> </w:t>
      </w:r>
    </w:p>
    <w:p w:rsidR="00F60EAC" w:rsidRPr="00F60EAC" w:rsidRDefault="00622A84" w:rsidP="00F60EAC">
      <w:pPr>
        <w:rPr>
          <w:lang w:val="en-GB"/>
        </w:rPr>
      </w:pPr>
      <w:r w:rsidRPr="00791C71">
        <w:rPr>
          <w:lang w:val="en-GB"/>
        </w:rPr>
        <w:t>As compared to the previous quarter, the number of vacant newly created jobs decreased by 4,5 thousand (13,7%), and in comparison with the fourth quarter of 2018 it decreased by 1,5 thousand (5,0%).</w:t>
      </w:r>
    </w:p>
    <w:p w:rsidR="00F60EAC" w:rsidRPr="00F60EAC" w:rsidRDefault="00622A84" w:rsidP="00F60EAC">
      <w:pPr>
        <w:rPr>
          <w:rFonts w:eastAsia="Times New Roman"/>
          <w:sz w:val="18"/>
          <w:szCs w:val="18"/>
          <w:lang w:val="en-GB" w:eastAsia="pl-PL"/>
        </w:rPr>
      </w:pPr>
      <w:r w:rsidRPr="00791C71">
        <w:rPr>
          <w:rFonts w:eastAsia="Times New Roman"/>
          <w:szCs w:val="19"/>
          <w:lang w:val="en-GB" w:eastAsia="pl-PL"/>
        </w:rPr>
        <w:t>Newly created jobs were not filled mainly in units running activities in the field of Trade; repair of motor vehicles</w:t>
      </w:r>
      <w:r w:rsidRPr="00791C71">
        <w:rPr>
          <w:rFonts w:eastAsia="Times New Roman"/>
          <w:szCs w:val="19"/>
          <w:vertAlign w:val="superscript"/>
          <w:lang w:val="en-GB" w:eastAsia="pl-PL"/>
        </w:rPr>
        <w:t>∆</w:t>
      </w:r>
      <w:r w:rsidRPr="00791C71">
        <w:rPr>
          <w:rFonts w:eastAsia="Times New Roman"/>
          <w:szCs w:val="19"/>
          <w:lang w:val="en-GB" w:eastAsia="pl-PL"/>
        </w:rPr>
        <w:t xml:space="preserve">  — 5,8 thousand (20,5%), Manufacturing — 4,9 thousand (17,1%) and Construction — 3,3 thousand (11,6%). They were intended mainly for professionals — 7,6 thousand (26,6%), clerical support workers — 4,3 thousand (15,3%) and plant and machine operators and assemblers — 3,5 thousand (12,3%).</w:t>
      </w:r>
    </w:p>
    <w:p w:rsidR="00F60EAC" w:rsidRPr="00BF67C6" w:rsidRDefault="00622A84" w:rsidP="00F60EAC">
      <w:pPr>
        <w:rPr>
          <w:lang w:val="en-GB" w:eastAsia="pl-PL"/>
        </w:rPr>
      </w:pPr>
      <w:r w:rsidRPr="00BF67C6">
        <w:rPr>
          <w:rFonts w:eastAsia="Times New Roman"/>
          <w:szCs w:val="19"/>
          <w:lang w:val="en-GB" w:eastAsia="pl-PL"/>
        </w:rPr>
        <w:t xml:space="preserve">Most vacant newly created jobs were in the following voivodships: </w:t>
      </w:r>
      <w:proofErr w:type="spellStart"/>
      <w:r w:rsidRPr="00BF67C6">
        <w:rPr>
          <w:rFonts w:eastAsia="Times New Roman"/>
          <w:szCs w:val="19"/>
          <w:lang w:val="en-GB" w:eastAsia="pl-PL"/>
        </w:rPr>
        <w:t>Mazowieckie</w:t>
      </w:r>
      <w:proofErr w:type="spellEnd"/>
      <w:r w:rsidRPr="00BF67C6">
        <w:rPr>
          <w:rFonts w:eastAsia="Times New Roman"/>
          <w:szCs w:val="19"/>
          <w:lang w:val="en-GB" w:eastAsia="pl-PL"/>
        </w:rPr>
        <w:t xml:space="preserve"> — 8,4 thousand (29,4%), and then in </w:t>
      </w:r>
      <w:proofErr w:type="spellStart"/>
      <w:r w:rsidRPr="00BF67C6">
        <w:rPr>
          <w:rFonts w:eastAsia="Times New Roman"/>
          <w:szCs w:val="19"/>
          <w:lang w:val="en-GB" w:eastAsia="pl-PL"/>
        </w:rPr>
        <w:t>Małopolskie</w:t>
      </w:r>
      <w:proofErr w:type="spellEnd"/>
      <w:r w:rsidRPr="00BF67C6">
        <w:rPr>
          <w:rFonts w:eastAsia="Times New Roman"/>
          <w:szCs w:val="19"/>
          <w:lang w:val="en-GB" w:eastAsia="pl-PL"/>
        </w:rPr>
        <w:t xml:space="preserve"> — 3,6 thousand (12,6%) and </w:t>
      </w:r>
      <w:proofErr w:type="spellStart"/>
      <w:r w:rsidRPr="00BF67C6">
        <w:rPr>
          <w:rFonts w:eastAsia="Times New Roman"/>
          <w:szCs w:val="19"/>
          <w:lang w:val="en-GB" w:eastAsia="pl-PL"/>
        </w:rPr>
        <w:t>Dolnośląskie</w:t>
      </w:r>
      <w:proofErr w:type="spellEnd"/>
      <w:r w:rsidRPr="00BF67C6">
        <w:rPr>
          <w:rFonts w:eastAsia="Times New Roman"/>
          <w:szCs w:val="19"/>
          <w:lang w:val="en-GB" w:eastAsia="pl-PL"/>
        </w:rPr>
        <w:t xml:space="preserve"> — 3,3 thousand (11,5%), while the fewest in the voivodships: </w:t>
      </w:r>
      <w:proofErr w:type="spellStart"/>
      <w:r w:rsidRPr="00BF67C6">
        <w:rPr>
          <w:rFonts w:eastAsia="Times New Roman"/>
          <w:szCs w:val="19"/>
          <w:lang w:val="en-GB" w:eastAsia="pl-PL"/>
        </w:rPr>
        <w:t>Warmińsko-Mazurskie</w:t>
      </w:r>
      <w:proofErr w:type="spellEnd"/>
      <w:r w:rsidRPr="00BF67C6">
        <w:rPr>
          <w:rFonts w:eastAsia="Times New Roman"/>
          <w:szCs w:val="19"/>
          <w:lang w:val="en-GB" w:eastAsia="pl-PL"/>
        </w:rPr>
        <w:t xml:space="preserve"> — 0,2 thousand (0,5%), </w:t>
      </w:r>
      <w:proofErr w:type="spellStart"/>
      <w:r w:rsidRPr="00BF67C6">
        <w:rPr>
          <w:rFonts w:eastAsia="Times New Roman"/>
          <w:szCs w:val="19"/>
          <w:lang w:val="en-GB" w:eastAsia="pl-PL"/>
        </w:rPr>
        <w:t>Świętokrzyskie</w:t>
      </w:r>
      <w:proofErr w:type="spellEnd"/>
      <w:r w:rsidRPr="00BF67C6">
        <w:rPr>
          <w:rFonts w:eastAsia="Times New Roman"/>
          <w:szCs w:val="19"/>
          <w:lang w:val="en-GB" w:eastAsia="pl-PL"/>
        </w:rPr>
        <w:t xml:space="preserve"> and </w:t>
      </w:r>
      <w:proofErr w:type="spellStart"/>
      <w:r w:rsidRPr="00BF67C6">
        <w:rPr>
          <w:rFonts w:eastAsia="Times New Roman"/>
          <w:szCs w:val="19"/>
          <w:lang w:val="en-GB" w:eastAsia="pl-PL"/>
        </w:rPr>
        <w:t>Podlaskie</w:t>
      </w:r>
      <w:proofErr w:type="spellEnd"/>
      <w:r w:rsidRPr="00BF67C6">
        <w:rPr>
          <w:rFonts w:eastAsia="Times New Roman"/>
          <w:szCs w:val="19"/>
          <w:lang w:val="en-GB" w:eastAsia="pl-PL"/>
        </w:rPr>
        <w:t xml:space="preserve"> ‒ 0,1 thousand (0,4%).</w:t>
      </w:r>
    </w:p>
    <w:p w:rsidR="00C7127E" w:rsidRDefault="00C7127E" w:rsidP="00C7127E">
      <w:pPr>
        <w:rPr>
          <w:lang w:val="en-GB" w:eastAsia="pl-PL"/>
        </w:rPr>
      </w:pPr>
    </w:p>
    <w:p w:rsidR="00C7127E" w:rsidRPr="00D2653B" w:rsidRDefault="00C7127E" w:rsidP="00C7127E">
      <w:pPr>
        <w:pStyle w:val="Nagwek1"/>
        <w:rPr>
          <w:lang w:val="en-GB"/>
        </w:rPr>
      </w:pPr>
      <w:r w:rsidRPr="00633014">
        <w:rPr>
          <w:rFonts w:ascii="Fira Sans" w:hAnsi="Fira Sans"/>
          <w:b/>
          <w:noProof/>
          <w:spacing w:val="-2"/>
          <w:szCs w:val="19"/>
        </w:rPr>
        <mc:AlternateContent>
          <mc:Choice Requires="wps">
            <w:drawing>
              <wp:anchor distT="45720" distB="45720" distL="114300" distR="114300" simplePos="0" relativeHeight="251760640" behindDoc="1" locked="0" layoutInCell="1" allowOverlap="1" wp14:anchorId="0D6A76EE" wp14:editId="48614142">
                <wp:simplePos x="0" y="0"/>
                <wp:positionH relativeFrom="column">
                  <wp:posOffset>5217055</wp:posOffset>
                </wp:positionH>
                <wp:positionV relativeFrom="paragraph">
                  <wp:posOffset>192994</wp:posOffset>
                </wp:positionV>
                <wp:extent cx="1725295" cy="831850"/>
                <wp:effectExtent l="0" t="0" r="0" b="6350"/>
                <wp:wrapTight wrapText="bothSides">
                  <wp:wrapPolygon edited="0">
                    <wp:start x="715" y="0"/>
                    <wp:lineTo x="715" y="21270"/>
                    <wp:lineTo x="20749" y="21270"/>
                    <wp:lineTo x="20749" y="0"/>
                    <wp:lineTo x="715" y="0"/>
                  </wp:wrapPolygon>
                </wp:wrapTight>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rsidR="00C7127E" w:rsidRPr="00C7127E" w:rsidRDefault="00C7127E" w:rsidP="00C7127E">
                            <w:pPr>
                              <w:pStyle w:val="tekstzboku"/>
                              <w:rPr>
                                <w:lang w:val="en-GB"/>
                              </w:rPr>
                            </w:pPr>
                            <w:r w:rsidRPr="00C7127E">
                              <w:rPr>
                                <w:lang w:val="en-GB"/>
                              </w:rPr>
                              <w:t>In the fourth quarter of 2019 jobs were liquidated mainly in the private sector (93,1%)</w:t>
                            </w:r>
                          </w:p>
                          <w:p w:rsidR="00C7127E" w:rsidRPr="00C7127E" w:rsidRDefault="00C7127E" w:rsidP="00C7127E">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6A76EE" id="Pole tekstowe 37" o:spid="_x0000_s1034" type="#_x0000_t202" style="position:absolute;margin-left:410.8pt;margin-top:15.2pt;width:135.85pt;height:65.5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" filled="f" stroked="f">
                <v:textbox>
                  <w:txbxContent>
                    <w:p w:rsidR="00C7127E" w:rsidRPr="00C7127E" w:rsidRDefault="00C7127E" w:rsidP="00C7127E">
                      <w:pPr>
                        <w:pStyle w:val="tekstzboku"/>
                        <w:rPr>
                          <w:lang w:val="en-GB"/>
                        </w:rPr>
                      </w:pPr>
                      <w:r w:rsidRPr="00C7127E">
                        <w:rPr>
                          <w:lang w:val="en-GB"/>
                        </w:rPr>
                        <w:t>In the fourth quarter of 2019 jobs were liquidated mainly in the private sector (93,1%)</w:t>
                      </w:r>
                    </w:p>
                    <w:p w:rsidR="00C7127E" w:rsidRPr="00C7127E" w:rsidRDefault="00C7127E" w:rsidP="00C7127E">
                      <w:pPr>
                        <w:spacing w:after="0"/>
                        <w:rPr>
                          <w:rFonts w:eastAsia="Times New Roman" w:cs="Times New Roman"/>
                          <w:bCs/>
                          <w:color w:val="001D77"/>
                          <w:sz w:val="18"/>
                          <w:szCs w:val="18"/>
                          <w:lang w:val="en-GB" w:eastAsia="pl-PL"/>
                        </w:rPr>
                      </w:pPr>
                    </w:p>
                  </w:txbxContent>
                </v:textbox>
                <w10:wrap type="tight"/>
              </v:shape>
            </w:pict>
          </mc:Fallback>
        </mc:AlternateContent>
      </w:r>
      <w:r w:rsidRPr="00C7127E">
        <w:rPr>
          <w:lang w:val="en-GB"/>
        </w:rPr>
        <w:t>Liquidated jobs</w:t>
      </w:r>
    </w:p>
    <w:p w:rsidR="00DB043A" w:rsidRDefault="00C7127E" w:rsidP="00D2653B">
      <w:pPr>
        <w:rPr>
          <w:szCs w:val="19"/>
          <w:lang w:val="en-GB"/>
        </w:rPr>
      </w:pPr>
      <w:r w:rsidRPr="00C7127E">
        <w:rPr>
          <w:szCs w:val="19"/>
          <w:lang w:val="en-GB"/>
        </w:rPr>
        <w:t xml:space="preserve">In the fourth quarter of 2019 there were 61,3 thousand jobs liquidated in Poland, which was 11,9 thousand fewer (19,3%) than in the fourth quarter of 2018. In the fourth quarter of 2019 jobs were liquidated most often in the population of units with up to 9 employed persons </w:t>
      </w:r>
      <w:r w:rsidR="00BF67C6">
        <w:rPr>
          <w:szCs w:val="19"/>
          <w:lang w:val="en-GB"/>
        </w:rPr>
        <w:br/>
      </w:r>
      <w:r w:rsidRPr="00C7127E">
        <w:rPr>
          <w:rFonts w:eastAsia="Times New Roman"/>
          <w:spacing w:val="4"/>
          <w:szCs w:val="19"/>
          <w:lang w:val="en-GB" w:eastAsia="pl-PL"/>
        </w:rPr>
        <w:t>— 21,7</w:t>
      </w:r>
      <w:r w:rsidRPr="00C7127E">
        <w:rPr>
          <w:szCs w:val="19"/>
          <w:lang w:val="en-GB"/>
        </w:rPr>
        <w:t xml:space="preserve"> thousand (35,3%), as well as in units with 10 to 49 employed persons </w:t>
      </w:r>
      <w:r w:rsidRPr="00C7127E">
        <w:rPr>
          <w:rFonts w:eastAsia="Times New Roman"/>
          <w:spacing w:val="4"/>
          <w:szCs w:val="19"/>
          <w:lang w:val="en-GB" w:eastAsia="pl-PL"/>
        </w:rPr>
        <w:t>— 20,6</w:t>
      </w:r>
      <w:r w:rsidRPr="00C7127E">
        <w:rPr>
          <w:szCs w:val="19"/>
          <w:lang w:val="en-GB"/>
        </w:rPr>
        <w:t xml:space="preserve"> thousand (33,5%).</w:t>
      </w:r>
    </w:p>
    <w:p w:rsidR="00C7127E" w:rsidRPr="00C7127E" w:rsidRDefault="00C7127E" w:rsidP="00D2653B">
      <w:pPr>
        <w:rPr>
          <w:lang w:val="en-GB" w:eastAsia="pl-PL"/>
        </w:rPr>
      </w:pPr>
    </w:p>
    <w:p w:rsidR="00C7127E" w:rsidRDefault="00C67984" w:rsidP="00C7127E">
      <w:pPr>
        <w:ind w:left="680" w:hanging="680"/>
        <w:rPr>
          <w:lang w:val="en-GB" w:eastAsia="pl-PL"/>
        </w:rPr>
      </w:pPr>
      <w:r>
        <w:rPr>
          <w:noProof/>
          <w:lang w:eastAsia="pl-PL"/>
        </w:rPr>
        <w:drawing>
          <wp:anchor distT="0" distB="0" distL="114300" distR="114300" simplePos="0" relativeHeight="251764736" behindDoc="0" locked="0" layoutInCell="1" allowOverlap="1">
            <wp:simplePos x="0" y="0"/>
            <wp:positionH relativeFrom="column">
              <wp:posOffset>-14551</wp:posOffset>
            </wp:positionH>
            <wp:positionV relativeFrom="paragraph">
              <wp:posOffset>357681</wp:posOffset>
            </wp:positionV>
            <wp:extent cx="5002530" cy="2490470"/>
            <wp:effectExtent l="0" t="0" r="7620" b="5080"/>
            <wp:wrapSquare wrapText="bothSides"/>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C7127E" w:rsidRPr="00633014">
        <w:rPr>
          <w:b/>
          <w:noProof/>
          <w:spacing w:val="-2"/>
          <w:szCs w:val="19"/>
          <w:lang w:eastAsia="pl-PL"/>
        </w:rPr>
        <mc:AlternateContent>
          <mc:Choice Requires="wps">
            <w:drawing>
              <wp:anchor distT="45720" distB="45720" distL="114300" distR="114300" simplePos="0" relativeHeight="251762688" behindDoc="1" locked="0" layoutInCell="1" allowOverlap="1" wp14:anchorId="6B5DA1FB" wp14:editId="021BF9B9">
                <wp:simplePos x="0" y="0"/>
                <wp:positionH relativeFrom="column">
                  <wp:posOffset>5208270</wp:posOffset>
                </wp:positionH>
                <wp:positionV relativeFrom="paragraph">
                  <wp:posOffset>890858</wp:posOffset>
                </wp:positionV>
                <wp:extent cx="1725295" cy="1233805"/>
                <wp:effectExtent l="0" t="0" r="0" b="4445"/>
                <wp:wrapTight wrapText="bothSides">
                  <wp:wrapPolygon edited="0">
                    <wp:start x="715" y="0"/>
                    <wp:lineTo x="715" y="21344"/>
                    <wp:lineTo x="20749" y="21344"/>
                    <wp:lineTo x="20749" y="0"/>
                    <wp:lineTo x="715" y="0"/>
                  </wp:wrapPolygon>
                </wp:wrapTight>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33805"/>
                        </a:xfrm>
                        <a:prstGeom prst="rect">
                          <a:avLst/>
                        </a:prstGeom>
                        <a:noFill/>
                        <a:ln w="9525">
                          <a:noFill/>
                          <a:miter lim="800000"/>
                          <a:headEnd/>
                          <a:tailEnd/>
                        </a:ln>
                      </wps:spPr>
                      <wps:txbx>
                        <w:txbxContent>
                          <w:p w:rsidR="00C7127E" w:rsidRPr="00CB754D" w:rsidRDefault="00CB754D" w:rsidP="00C7127E">
                            <w:pPr>
                              <w:pStyle w:val="tekstzboku"/>
                              <w:rPr>
                                <w:lang w:val="en-GB"/>
                              </w:rPr>
                            </w:pPr>
                            <w:r w:rsidRPr="00CB754D">
                              <w:rPr>
                                <w:lang w:val="en-GB"/>
                              </w:rPr>
                              <w:t>Unlike previous quarters, in the fourth quarter of 2019 jobs were liquidated most often in units conducting activities in the field of Manufacturing (20,6%)</w:t>
                            </w:r>
                          </w:p>
                          <w:p w:rsidR="00C7127E" w:rsidRPr="00C7127E" w:rsidRDefault="00C7127E" w:rsidP="00C7127E">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B5DA1FB" id="Pole tekstowe 38" o:spid="_x0000_s1035" type="#_x0000_t202" style="position:absolute;left:0;text-align:left;margin-left:410.1pt;margin-top:70.15pt;width:135.85pt;height:97.1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" filled="f" stroked="f">
                <v:textbox>
                  <w:txbxContent>
                    <w:p w:rsidR="00C7127E" w:rsidRPr="00CB754D" w:rsidRDefault="00CB754D" w:rsidP="00C7127E">
                      <w:pPr>
                        <w:pStyle w:val="tekstzboku"/>
                        <w:rPr>
                          <w:lang w:val="en-GB"/>
                        </w:rPr>
                      </w:pPr>
                      <w:r w:rsidRPr="00CB754D">
                        <w:rPr>
                          <w:lang w:val="en-GB"/>
                        </w:rPr>
                        <w:t>Unlike previous quarters, in the fourth quarter of 2019 jobs were liquidated most often in units conducting activities in the field of Manufacturing (20,6%)</w:t>
                      </w:r>
                    </w:p>
                    <w:p w:rsidR="00C7127E" w:rsidRPr="00C7127E" w:rsidRDefault="00C7127E" w:rsidP="00C7127E">
                      <w:pPr>
                        <w:spacing w:after="0"/>
                        <w:rPr>
                          <w:rFonts w:eastAsia="Times New Roman" w:cs="Times New Roman"/>
                          <w:bCs/>
                          <w:color w:val="001D77"/>
                          <w:sz w:val="18"/>
                          <w:szCs w:val="18"/>
                          <w:lang w:val="en-GB" w:eastAsia="pl-PL"/>
                        </w:rPr>
                      </w:pPr>
                    </w:p>
                  </w:txbxContent>
                </v:textbox>
                <w10:wrap type="tight"/>
              </v:shape>
            </w:pict>
          </mc:Fallback>
        </mc:AlternateContent>
      </w:r>
      <w:r w:rsidR="00C7127E" w:rsidRPr="005224B1">
        <w:rPr>
          <w:b/>
          <w:sz w:val="18"/>
          <w:szCs w:val="18"/>
          <w:lang w:val="en-GB"/>
        </w:rPr>
        <w:t xml:space="preserve">Chart </w:t>
      </w:r>
      <w:r w:rsidR="00751E5B">
        <w:rPr>
          <w:b/>
          <w:sz w:val="18"/>
          <w:szCs w:val="18"/>
          <w:lang w:val="en-GB"/>
        </w:rPr>
        <w:t>7</w:t>
      </w:r>
      <w:r w:rsidR="00C7127E" w:rsidRPr="005224B1">
        <w:rPr>
          <w:b/>
          <w:sz w:val="18"/>
          <w:szCs w:val="18"/>
          <w:lang w:val="en-GB"/>
        </w:rPr>
        <w:t>.</w:t>
      </w:r>
      <w:r w:rsidR="00C7127E" w:rsidRPr="005224B1">
        <w:rPr>
          <w:b/>
          <w:sz w:val="18"/>
          <w:szCs w:val="18"/>
          <w:shd w:val="clear" w:color="auto" w:fill="FFFFFF"/>
          <w:lang w:val="en-GB"/>
        </w:rPr>
        <w:t xml:space="preserve"> </w:t>
      </w:r>
      <w:r w:rsidR="00C7127E" w:rsidRPr="00C7127E">
        <w:rPr>
          <w:b/>
          <w:sz w:val="18"/>
          <w:szCs w:val="18"/>
          <w:shd w:val="clear" w:color="auto" w:fill="FFFFFF"/>
          <w:lang w:val="en-GB"/>
        </w:rPr>
        <w:t xml:space="preserve">The structure of liquidated jobs in Poland by PKD 2007 (NACE Rev.2) sections </w:t>
      </w:r>
      <w:r w:rsidR="00C7127E">
        <w:rPr>
          <w:b/>
          <w:sz w:val="18"/>
          <w:szCs w:val="18"/>
          <w:shd w:val="clear" w:color="auto" w:fill="FFFFFF"/>
          <w:lang w:val="en-GB"/>
        </w:rPr>
        <w:br/>
      </w:r>
      <w:r w:rsidR="00C7127E" w:rsidRPr="00C7127E">
        <w:rPr>
          <w:b/>
          <w:sz w:val="18"/>
          <w:szCs w:val="18"/>
          <w:shd w:val="clear" w:color="auto" w:fill="FFFFFF"/>
          <w:lang w:val="en-GB"/>
        </w:rPr>
        <w:t>in the fourth quarter of 2019</w:t>
      </w:r>
      <w:r w:rsidRPr="00C67984">
        <w:rPr>
          <w:noProof/>
          <w:lang w:val="en-GB" w:eastAsia="pl-PL"/>
        </w:rPr>
        <w:t xml:space="preserve"> </w:t>
      </w:r>
    </w:p>
    <w:p w:rsidR="00C7127E" w:rsidRDefault="00C7127E" w:rsidP="00C7127E">
      <w:pPr>
        <w:rPr>
          <w:lang w:val="en-GB" w:eastAsia="pl-PL"/>
        </w:rPr>
      </w:pPr>
    </w:p>
    <w:p w:rsidR="00CB55A3" w:rsidRDefault="00CB55A3">
      <w:pPr>
        <w:spacing w:before="0" w:after="160" w:line="259" w:lineRule="auto"/>
        <w:rPr>
          <w:lang w:val="en-GB" w:eastAsia="pl-PL"/>
        </w:rPr>
      </w:pPr>
    </w:p>
    <w:p w:rsidR="00CB55A3" w:rsidRDefault="00CB55A3" w:rsidP="00CB55A3">
      <w:pPr>
        <w:ind w:left="680" w:hanging="680"/>
        <w:rPr>
          <w:lang w:val="en-GB" w:eastAsia="pl-PL"/>
        </w:rPr>
      </w:pPr>
      <w:r>
        <w:rPr>
          <w:noProof/>
          <w:lang w:eastAsia="pl-PL"/>
        </w:rPr>
        <w:drawing>
          <wp:anchor distT="0" distB="0" distL="114300" distR="114300" simplePos="0" relativeHeight="251763712" behindDoc="0" locked="0" layoutInCell="1" allowOverlap="1">
            <wp:simplePos x="0" y="0"/>
            <wp:positionH relativeFrom="column">
              <wp:posOffset>2540</wp:posOffset>
            </wp:positionH>
            <wp:positionV relativeFrom="paragraph">
              <wp:posOffset>375394</wp:posOffset>
            </wp:positionV>
            <wp:extent cx="5004000" cy="4140000"/>
            <wp:effectExtent l="0" t="0" r="6350" b="0"/>
            <wp:wrapSquare wrapText="bothSides"/>
            <wp:docPr id="4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5224B1">
        <w:rPr>
          <w:b/>
          <w:sz w:val="18"/>
          <w:szCs w:val="18"/>
          <w:lang w:val="en-GB"/>
        </w:rPr>
        <w:t xml:space="preserve">Chart </w:t>
      </w:r>
      <w:r w:rsidR="00751E5B">
        <w:rPr>
          <w:b/>
          <w:sz w:val="18"/>
          <w:szCs w:val="18"/>
          <w:lang w:val="en-GB"/>
        </w:rPr>
        <w:t>8</w:t>
      </w:r>
      <w:r w:rsidRPr="005224B1">
        <w:rPr>
          <w:b/>
          <w:sz w:val="18"/>
          <w:szCs w:val="18"/>
          <w:lang w:val="en-GB"/>
        </w:rPr>
        <w:t>.</w:t>
      </w:r>
      <w:r w:rsidRPr="005224B1">
        <w:rPr>
          <w:b/>
          <w:sz w:val="18"/>
          <w:szCs w:val="18"/>
          <w:shd w:val="clear" w:color="auto" w:fill="FFFFFF"/>
          <w:lang w:val="en-GB"/>
        </w:rPr>
        <w:t xml:space="preserve"> </w:t>
      </w:r>
      <w:r w:rsidRPr="00CB55A3">
        <w:rPr>
          <w:b/>
          <w:sz w:val="18"/>
          <w:szCs w:val="18"/>
          <w:shd w:val="clear" w:color="auto" w:fill="FFFFFF"/>
          <w:lang w:val="en-GB"/>
        </w:rPr>
        <w:t>Newly created and liquidated jobs in Poland by selected PKD 2007 (NACE Rev.2) sections as of the end of the fourth quarter of 2019</w:t>
      </w:r>
    </w:p>
    <w:p w:rsidR="00CB55A3" w:rsidRDefault="00CB55A3" w:rsidP="00CB55A3">
      <w:pPr>
        <w:rPr>
          <w:lang w:val="en-GB" w:eastAsia="pl-PL"/>
        </w:rPr>
      </w:pPr>
    </w:p>
    <w:p w:rsidR="00C7127E" w:rsidRDefault="00CB55A3" w:rsidP="00D2653B">
      <w:pPr>
        <w:rPr>
          <w:lang w:val="en-GB" w:eastAsia="pl-PL"/>
        </w:rPr>
      </w:pPr>
      <w:r w:rsidRPr="00791C71">
        <w:rPr>
          <w:color w:val="000000"/>
          <w:lang w:val="en-GB"/>
        </w:rPr>
        <w:lastRenderedPageBreak/>
        <w:t>Jobs were liquidated most often in units  conducting activities in the field of Manufacturing — 12,7 thousand (20,6%),</w:t>
      </w:r>
      <w:r w:rsidRPr="00791C71">
        <w:rPr>
          <w:lang w:val="en-GB"/>
        </w:rPr>
        <w:t xml:space="preserve"> </w:t>
      </w:r>
      <w:r w:rsidRPr="00791C71">
        <w:rPr>
          <w:color w:val="000000"/>
          <w:lang w:val="en-GB"/>
        </w:rPr>
        <w:t>Trade; repair of motor vehicles</w:t>
      </w:r>
      <w:r w:rsidRPr="00791C71">
        <w:rPr>
          <w:rFonts w:eastAsia="Times New Roman"/>
          <w:szCs w:val="19"/>
          <w:vertAlign w:val="superscript"/>
          <w:lang w:val="en-GB" w:eastAsia="pl-PL"/>
        </w:rPr>
        <w:t>∆</w:t>
      </w:r>
      <w:r w:rsidRPr="00791C71">
        <w:rPr>
          <w:color w:val="000000"/>
          <w:lang w:val="en-GB"/>
        </w:rPr>
        <w:t xml:space="preserve"> — 8,9 thousand (14,6%). Relatively, the fewest jobs were liquidated in units conducting activities within Arts, entertainment and recreation — 0,5 thousand (0,8%), and Other service activities — 0,6 thousand (0,9%).</w:t>
      </w:r>
    </w:p>
    <w:p w:rsidR="00C7127E" w:rsidRDefault="00C7127E" w:rsidP="00D2653B">
      <w:pPr>
        <w:rPr>
          <w:lang w:val="en-GB" w:eastAsia="pl-PL"/>
        </w:rPr>
      </w:pPr>
    </w:p>
    <w:p w:rsidR="00C7127E" w:rsidRDefault="00C7127E" w:rsidP="00D2653B">
      <w:pPr>
        <w:rPr>
          <w:lang w:val="en-GB" w:eastAsia="pl-PL"/>
        </w:rPr>
      </w:pPr>
    </w:p>
    <w:p w:rsidR="00C7127E" w:rsidRDefault="00C7127E" w:rsidP="00D2653B">
      <w:pPr>
        <w:rPr>
          <w:lang w:val="en-GB" w:eastAsia="pl-PL"/>
        </w:rPr>
      </w:pPr>
    </w:p>
    <w:p w:rsidR="00C7127E" w:rsidRDefault="00C7127E" w:rsidP="00D2653B">
      <w:pPr>
        <w:rPr>
          <w:lang w:val="en-GB" w:eastAsia="pl-PL"/>
        </w:rPr>
      </w:pPr>
    </w:p>
    <w:p w:rsidR="005224B1" w:rsidRDefault="005224B1" w:rsidP="00D2653B">
      <w:pPr>
        <w:rPr>
          <w:lang w:val="en-GB" w:eastAsia="pl-PL"/>
        </w:rPr>
      </w:pPr>
    </w:p>
    <w:p w:rsidR="005224B1" w:rsidRDefault="005224B1" w:rsidP="00D2653B">
      <w:pPr>
        <w:rPr>
          <w:lang w:val="en-GB" w:eastAsia="pl-PL"/>
        </w:rPr>
      </w:pPr>
    </w:p>
    <w:p w:rsidR="005224B1" w:rsidRDefault="005224B1" w:rsidP="00D2653B">
      <w:pPr>
        <w:rPr>
          <w:lang w:val="en-GB" w:eastAsia="pl-PL"/>
        </w:rPr>
      </w:pPr>
    </w:p>
    <w:p w:rsidR="00EA77E3" w:rsidRDefault="00EA77E3" w:rsidP="00D2653B">
      <w:pPr>
        <w:rPr>
          <w:lang w:val="en-GB" w:eastAsia="pl-PL"/>
        </w:rPr>
      </w:pPr>
    </w:p>
    <w:p w:rsidR="00EA77E3" w:rsidRDefault="00EA77E3" w:rsidP="00D2653B">
      <w:pPr>
        <w:rPr>
          <w:lang w:val="en-GB" w:eastAsia="pl-PL"/>
        </w:rPr>
      </w:pPr>
    </w:p>
    <w:p w:rsidR="00EA77E3" w:rsidRDefault="00EA77E3" w:rsidP="00D2653B">
      <w:pPr>
        <w:rPr>
          <w:lang w:val="en-GB" w:eastAsia="pl-PL"/>
        </w:rPr>
      </w:pPr>
    </w:p>
    <w:p w:rsidR="00EA77E3" w:rsidRDefault="00EA77E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bookmarkStart w:id="0" w:name="_GoBack"/>
      <w:bookmarkEnd w:id="0"/>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192433" w:rsidRDefault="00192433" w:rsidP="00D2653B">
      <w:pPr>
        <w:rPr>
          <w:lang w:val="en-GB" w:eastAsia="pl-PL"/>
        </w:rPr>
      </w:pPr>
    </w:p>
    <w:p w:rsidR="00CB55A3" w:rsidRDefault="00CB55A3" w:rsidP="00D2653B">
      <w:pPr>
        <w:rPr>
          <w:lang w:val="en-GB" w:eastAsia="pl-PL"/>
        </w:rPr>
      </w:pPr>
    </w:p>
    <w:p w:rsidR="00CB55A3" w:rsidRDefault="00CB55A3" w:rsidP="00D2653B">
      <w:pPr>
        <w:rPr>
          <w:lang w:val="en-GB" w:eastAsia="pl-PL"/>
        </w:rPr>
      </w:pPr>
    </w:p>
    <w:p w:rsidR="00EA77E3" w:rsidRDefault="00EA77E3" w:rsidP="00D2653B">
      <w:pPr>
        <w:rPr>
          <w:lang w:val="en-GB" w:eastAsia="pl-PL"/>
        </w:rPr>
      </w:pPr>
    </w:p>
    <w:p w:rsidR="00EA77E3" w:rsidRDefault="00EA77E3" w:rsidP="00D2653B">
      <w:pPr>
        <w:rPr>
          <w:lang w:val="en-GB" w:eastAsia="pl-PL"/>
        </w:rPr>
      </w:pPr>
    </w:p>
    <w:p w:rsidR="00CB55A3" w:rsidRPr="00791C71" w:rsidRDefault="00CB55A3" w:rsidP="00CB55A3">
      <w:pPr>
        <w:rPr>
          <w:szCs w:val="19"/>
          <w:lang w:val="en-GB"/>
        </w:rPr>
      </w:pPr>
      <w:r w:rsidRPr="00791C71">
        <w:rPr>
          <w:szCs w:val="19"/>
          <w:lang w:val="en-GB"/>
        </w:rPr>
        <w:t xml:space="preserve">In this news release abbreviated names of NACE, Rev. 2 sections were used. Abbreviations are marked with a ‘∆’ symbol. Full names are available on the Eurostat website at: </w:t>
      </w:r>
      <w:hyperlink r:id="rId20" w:history="1">
        <w:r w:rsidRPr="00E3432B">
          <w:rPr>
            <w:rStyle w:val="Hipercze"/>
            <w:color w:val="001D77"/>
            <w:szCs w:val="19"/>
            <w:lang w:val="en-GB"/>
          </w:rPr>
          <w:t>https://ec.europa.eu/eurostat/data/classifications</w:t>
        </w:r>
      </w:hyperlink>
      <w:r w:rsidRPr="00791C71">
        <w:rPr>
          <w:szCs w:val="19"/>
          <w:lang w:val="en-GB"/>
        </w:rPr>
        <w:t xml:space="preserve"> </w:t>
      </w:r>
    </w:p>
    <w:p w:rsidR="00694AF0" w:rsidRPr="001743F5" w:rsidRDefault="00694AF0" w:rsidP="00E76D26">
      <w:pPr>
        <w:rPr>
          <w:sz w:val="18"/>
          <w:lang w:val="en-GB"/>
        </w:rPr>
      </w:pPr>
    </w:p>
    <w:p w:rsidR="00694AF0" w:rsidRPr="001743F5" w:rsidRDefault="00694AF0" w:rsidP="00E76D26">
      <w:pPr>
        <w:rPr>
          <w:sz w:val="18"/>
          <w:lang w:val="en-GB"/>
        </w:rPr>
        <w:sectPr w:rsidR="00694AF0" w:rsidRPr="001743F5" w:rsidSect="003B18B6">
          <w:headerReference w:type="default" r:id="rId21"/>
          <w:footerReference w:type="default" r:id="rId22"/>
          <w:headerReference w:type="first" r:id="rId23"/>
          <w:footerReference w:type="first" r:id="rId24"/>
          <w:pgSz w:w="11906" w:h="16838"/>
          <w:pgMar w:top="720" w:right="3119" w:bottom="720" w:left="720" w:header="284" w:footer="283" w:gutter="0"/>
          <w:cols w:space="708"/>
          <w:titlePg/>
          <w:docGrid w:linePitch="360"/>
        </w:sectPr>
      </w:pPr>
    </w:p>
    <w:p w:rsidR="000470AA" w:rsidRPr="001743F5"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E318D0" w:rsidTr="009A5961">
        <w:trPr>
          <w:trHeight w:val="1506"/>
        </w:trPr>
        <w:tc>
          <w:tcPr>
            <w:tcW w:w="4195" w:type="dxa"/>
          </w:tcPr>
          <w:p w:rsidR="0025563A" w:rsidRPr="008263E3" w:rsidRDefault="001D2736" w:rsidP="0025563A">
            <w:pPr>
              <w:spacing w:before="0" w:after="0" w:line="276" w:lineRule="auto"/>
              <w:ind w:left="-108"/>
              <w:rPr>
                <w:rFonts w:cs="Arial"/>
                <w:sz w:val="20"/>
                <w:lang w:val="en-GB"/>
              </w:rPr>
            </w:pPr>
            <w:r w:rsidRPr="008263E3">
              <w:rPr>
                <w:rFonts w:cs="Arial"/>
                <w:sz w:val="20"/>
                <w:lang w:val="en-GB"/>
              </w:rPr>
              <w:t>Prepared by</w:t>
            </w:r>
            <w:r w:rsidR="000470AA" w:rsidRPr="008263E3">
              <w:rPr>
                <w:rFonts w:cs="Arial"/>
                <w:sz w:val="20"/>
                <w:lang w:val="en-GB"/>
              </w:rPr>
              <w:t>:</w:t>
            </w:r>
          </w:p>
          <w:p w:rsidR="00FA4729" w:rsidRPr="008263E3" w:rsidRDefault="00720C89" w:rsidP="003A56B5">
            <w:pPr>
              <w:spacing w:before="0" w:after="0" w:line="276" w:lineRule="auto"/>
              <w:ind w:left="-108"/>
              <w:rPr>
                <w:rFonts w:cs="Arial"/>
                <w:b/>
                <w:sz w:val="20"/>
                <w:lang w:val="en-GB"/>
              </w:rPr>
            </w:pPr>
            <w:hyperlink r:id="rId25" w:tgtFrame="_blank" w:history="1">
              <w:r w:rsidR="008263E3" w:rsidRPr="008263E3">
                <w:rPr>
                  <w:b/>
                  <w:sz w:val="20"/>
                  <w:lang w:val="en-GB"/>
                </w:rPr>
                <w:t>The Statistical Office in Bydgoszcz</w:t>
              </w:r>
            </w:hyperlink>
            <w:r w:rsidR="00FA4729" w:rsidRPr="008263E3">
              <w:rPr>
                <w:rFonts w:cs="Arial"/>
                <w:b/>
                <w:sz w:val="20"/>
                <w:lang w:val="en-GB"/>
              </w:rPr>
              <w:t xml:space="preserve"> </w:t>
            </w:r>
          </w:p>
          <w:p w:rsidR="00FA4729" w:rsidRPr="001743F5" w:rsidRDefault="003740F2" w:rsidP="00FA4729">
            <w:pPr>
              <w:spacing w:before="0" w:after="0" w:line="276" w:lineRule="auto"/>
              <w:ind w:left="-108"/>
              <w:rPr>
                <w:rFonts w:cs="Arial"/>
                <w:b/>
                <w:sz w:val="20"/>
              </w:rPr>
            </w:pPr>
            <w:proofErr w:type="spellStart"/>
            <w:r w:rsidRPr="001743F5">
              <w:rPr>
                <w:rFonts w:cs="Arial"/>
                <w:b/>
                <w:sz w:val="20"/>
              </w:rPr>
              <w:t>Director</w:t>
            </w:r>
            <w:proofErr w:type="spellEnd"/>
            <w:r w:rsidRPr="001743F5">
              <w:rPr>
                <w:rFonts w:cs="Arial"/>
                <w:b/>
                <w:sz w:val="20"/>
              </w:rPr>
              <w:t xml:space="preserve"> Wiesława </w:t>
            </w:r>
            <w:proofErr w:type="spellStart"/>
            <w:r w:rsidRPr="001743F5">
              <w:rPr>
                <w:rFonts w:cs="Arial"/>
                <w:b/>
                <w:sz w:val="20"/>
              </w:rPr>
              <w:t>Gierańczyk</w:t>
            </w:r>
            <w:proofErr w:type="spellEnd"/>
            <w:r w:rsidRPr="001743F5">
              <w:rPr>
                <w:rFonts w:cs="Arial"/>
                <w:b/>
                <w:sz w:val="20"/>
              </w:rPr>
              <w:t xml:space="preserve">, </w:t>
            </w:r>
            <w:proofErr w:type="spellStart"/>
            <w:r w:rsidRPr="001743F5">
              <w:rPr>
                <w:rFonts w:cs="Arial"/>
                <w:b/>
                <w:sz w:val="20"/>
              </w:rPr>
              <w:t>Ph.D</w:t>
            </w:r>
            <w:proofErr w:type="spellEnd"/>
            <w:r w:rsidRPr="001743F5">
              <w:rPr>
                <w:rFonts w:cs="Arial"/>
                <w:b/>
                <w:sz w:val="20"/>
              </w:rPr>
              <w:t>.</w:t>
            </w:r>
          </w:p>
          <w:p w:rsidR="00FA4729" w:rsidRPr="008263E3" w:rsidRDefault="003A56B5" w:rsidP="00FA4729">
            <w:pPr>
              <w:pStyle w:val="Nagwek3"/>
              <w:spacing w:before="0" w:line="240" w:lineRule="auto"/>
              <w:ind w:left="-108"/>
              <w:rPr>
                <w:rFonts w:ascii="Fira Sans" w:hAnsi="Fira Sans" w:cs="Arial"/>
                <w:color w:val="auto"/>
                <w:sz w:val="20"/>
                <w:lang w:val="fi-FI"/>
              </w:rPr>
            </w:pPr>
            <w:r w:rsidRPr="008263E3">
              <w:rPr>
                <w:rFonts w:ascii="Fira Sans" w:hAnsi="Fira Sans" w:cs="Arial"/>
                <w:color w:val="auto"/>
                <w:sz w:val="20"/>
                <w:lang w:val="fi-FI"/>
              </w:rPr>
              <w:t xml:space="preserve">Office: tel. (+48 </w:t>
            </w:r>
            <w:r w:rsidR="008263E3" w:rsidRPr="008263E3">
              <w:rPr>
                <w:rFonts w:ascii="Fira Sans" w:hAnsi="Fira Sans" w:cs="Arial"/>
                <w:color w:val="auto"/>
                <w:sz w:val="20"/>
                <w:lang w:val="fi-FI"/>
              </w:rPr>
              <w:t>5</w:t>
            </w:r>
            <w:r w:rsidRPr="008263E3">
              <w:rPr>
                <w:rFonts w:ascii="Fira Sans" w:hAnsi="Fira Sans" w:cs="Arial"/>
                <w:color w:val="auto"/>
                <w:sz w:val="20"/>
                <w:lang w:val="fi-FI"/>
              </w:rPr>
              <w:t xml:space="preserve">2) </w:t>
            </w:r>
            <w:r w:rsidR="008263E3" w:rsidRPr="008263E3">
              <w:rPr>
                <w:rFonts w:ascii="Fira Sans" w:hAnsi="Fira Sans" w:cs="Arial"/>
                <w:color w:val="auto"/>
                <w:sz w:val="20"/>
                <w:lang w:val="fi-FI"/>
              </w:rPr>
              <w:t>366</w:t>
            </w:r>
            <w:r w:rsidR="00FA4729" w:rsidRPr="008263E3">
              <w:rPr>
                <w:rFonts w:ascii="Fira Sans" w:hAnsi="Fira Sans" w:cs="Arial"/>
                <w:color w:val="auto"/>
                <w:sz w:val="20"/>
                <w:lang w:val="fi-FI"/>
              </w:rPr>
              <w:t xml:space="preserve"> </w:t>
            </w:r>
            <w:r w:rsidR="008263E3" w:rsidRPr="008263E3">
              <w:rPr>
                <w:rFonts w:ascii="Fira Sans" w:hAnsi="Fira Sans" w:cs="Arial"/>
                <w:color w:val="auto"/>
                <w:sz w:val="20"/>
                <w:lang w:val="fi-FI"/>
              </w:rPr>
              <w:t>93</w:t>
            </w:r>
            <w:r w:rsidR="00FA4729" w:rsidRPr="008263E3">
              <w:rPr>
                <w:rFonts w:ascii="Fira Sans" w:hAnsi="Fira Sans" w:cs="Arial"/>
                <w:color w:val="auto"/>
                <w:sz w:val="20"/>
                <w:lang w:val="fi-FI"/>
              </w:rPr>
              <w:t xml:space="preserve"> </w:t>
            </w:r>
            <w:r w:rsidR="008263E3" w:rsidRPr="008263E3">
              <w:rPr>
                <w:rFonts w:ascii="Fira Sans" w:hAnsi="Fira Sans" w:cs="Arial"/>
                <w:color w:val="auto"/>
                <w:sz w:val="20"/>
                <w:lang w:val="fi-FI"/>
              </w:rPr>
              <w:t>90</w:t>
            </w:r>
          </w:p>
          <w:p w:rsidR="000470AA" w:rsidRPr="00A24587" w:rsidRDefault="000470AA" w:rsidP="009A5961">
            <w:pPr>
              <w:pStyle w:val="Nagwek3"/>
              <w:spacing w:before="0" w:line="240" w:lineRule="auto"/>
              <w:ind w:left="-108"/>
              <w:rPr>
                <w:rFonts w:ascii="Fira Sans" w:hAnsi="Fira Sans"/>
                <w:b/>
                <w:color w:val="000000" w:themeColor="text1"/>
                <w:sz w:val="20"/>
                <w:szCs w:val="20"/>
                <w:lang w:val="fi-FI"/>
              </w:rPr>
            </w:pPr>
          </w:p>
        </w:tc>
        <w:tc>
          <w:tcPr>
            <w:tcW w:w="3728" w:type="dxa"/>
          </w:tcPr>
          <w:p w:rsidR="00AC3FCE" w:rsidRPr="00D2653B" w:rsidRDefault="001D2736" w:rsidP="00E23337">
            <w:pPr>
              <w:spacing w:before="0" w:after="0" w:line="276" w:lineRule="auto"/>
              <w:rPr>
                <w:rFonts w:cs="Arial"/>
                <w:b/>
                <w:color w:val="000000" w:themeColor="text1"/>
                <w:sz w:val="20"/>
                <w:lang w:val="en-GB"/>
              </w:rPr>
            </w:pPr>
            <w:r w:rsidRPr="00D2653B">
              <w:rPr>
                <w:rFonts w:cs="Arial"/>
                <w:color w:val="000000" w:themeColor="text1"/>
                <w:sz w:val="20"/>
                <w:lang w:val="en-GB"/>
              </w:rPr>
              <w:t>Issued by</w:t>
            </w:r>
            <w:r w:rsidR="000470AA" w:rsidRPr="00D2653B">
              <w:rPr>
                <w:rFonts w:cs="Arial"/>
                <w:color w:val="000000" w:themeColor="text1"/>
                <w:sz w:val="20"/>
                <w:lang w:val="en-GB"/>
              </w:rPr>
              <w:t>:</w:t>
            </w:r>
            <w:r w:rsidR="000470AA" w:rsidRPr="00D2653B">
              <w:rPr>
                <w:rFonts w:cs="Arial"/>
                <w:color w:val="000000" w:themeColor="text1"/>
                <w:sz w:val="20"/>
                <w:lang w:val="en-GB"/>
              </w:rPr>
              <w:br/>
            </w:r>
            <w:r w:rsidR="00AC3FCE" w:rsidRPr="00D2653B">
              <w:rPr>
                <w:rFonts w:cs="Arial"/>
                <w:b/>
                <w:color w:val="000000" w:themeColor="text1"/>
                <w:sz w:val="20"/>
                <w:lang w:val="en-GB"/>
              </w:rPr>
              <w:t xml:space="preserve">The </w:t>
            </w:r>
            <w:proofErr w:type="spellStart"/>
            <w:r w:rsidR="00AC3FCE" w:rsidRPr="00D2653B">
              <w:rPr>
                <w:rFonts w:cs="Arial"/>
                <w:b/>
                <w:color w:val="000000" w:themeColor="text1"/>
                <w:sz w:val="20"/>
                <w:lang w:val="en-GB"/>
              </w:rPr>
              <w:t>Spokeperson</w:t>
            </w:r>
            <w:proofErr w:type="spellEnd"/>
            <w:r w:rsidRPr="00D2653B">
              <w:rPr>
                <w:rFonts w:cs="Arial"/>
                <w:b/>
                <w:color w:val="000000" w:themeColor="text1"/>
                <w:sz w:val="20"/>
                <w:lang w:val="en-GB"/>
              </w:rPr>
              <w:t xml:space="preserve"> </w:t>
            </w:r>
            <w:r w:rsidR="00AC3FCE" w:rsidRPr="00D2653B">
              <w:rPr>
                <w:rFonts w:cs="Arial"/>
                <w:b/>
                <w:color w:val="000000" w:themeColor="text1"/>
                <w:sz w:val="20"/>
                <w:lang w:val="en-GB"/>
              </w:rPr>
              <w:t>for</w:t>
            </w:r>
            <w:r w:rsidRPr="00D2653B">
              <w:rPr>
                <w:rFonts w:cs="Arial"/>
                <w:b/>
                <w:color w:val="000000" w:themeColor="text1"/>
                <w:sz w:val="20"/>
                <w:lang w:val="en-GB"/>
              </w:rPr>
              <w:t xml:space="preserve"> the President</w:t>
            </w:r>
            <w:r w:rsidR="00AC3FCE" w:rsidRPr="00D2653B">
              <w:rPr>
                <w:rFonts w:cs="Arial"/>
                <w:b/>
                <w:color w:val="000000" w:themeColor="text1"/>
                <w:sz w:val="20"/>
                <w:lang w:val="en-GB"/>
              </w:rPr>
              <w:t xml:space="preserve"> </w:t>
            </w:r>
          </w:p>
          <w:p w:rsidR="000470AA" w:rsidRPr="00D2653B" w:rsidRDefault="002D5D08" w:rsidP="00E23337">
            <w:pPr>
              <w:spacing w:before="0" w:after="0" w:line="276" w:lineRule="auto"/>
              <w:rPr>
                <w:rFonts w:cs="Arial"/>
                <w:b/>
                <w:color w:val="000000" w:themeColor="text1"/>
                <w:sz w:val="20"/>
                <w:lang w:val="en-GB"/>
              </w:rPr>
            </w:pPr>
            <w:r w:rsidRPr="00D2653B">
              <w:rPr>
                <w:rFonts w:cs="Arial"/>
                <w:b/>
                <w:color w:val="000000" w:themeColor="text1"/>
                <w:sz w:val="20"/>
                <w:lang w:val="en-GB"/>
              </w:rPr>
              <w:t>o</w:t>
            </w:r>
            <w:r w:rsidR="00AC3FCE" w:rsidRPr="00D2653B">
              <w:rPr>
                <w:rFonts w:cs="Arial"/>
                <w:b/>
                <w:color w:val="000000" w:themeColor="text1"/>
                <w:sz w:val="20"/>
                <w:lang w:val="en-GB"/>
              </w:rPr>
              <w:t>f Statistic</w:t>
            </w:r>
            <w:r w:rsidRPr="00D2653B">
              <w:rPr>
                <w:rFonts w:cs="Arial"/>
                <w:b/>
                <w:color w:val="000000" w:themeColor="text1"/>
                <w:sz w:val="20"/>
                <w:lang w:val="en-GB"/>
              </w:rPr>
              <w:t>s</w:t>
            </w:r>
            <w:r w:rsidR="00AC3FCE" w:rsidRPr="00D2653B">
              <w:rPr>
                <w:rFonts w:cs="Arial"/>
                <w:b/>
                <w:color w:val="000000" w:themeColor="text1"/>
                <w:sz w:val="20"/>
                <w:lang w:val="en-GB"/>
              </w:rPr>
              <w:t xml:space="preserve"> Poland</w:t>
            </w:r>
          </w:p>
          <w:p w:rsidR="00FA4729" w:rsidRPr="00D2653B" w:rsidRDefault="00FA4729" w:rsidP="00FA4729">
            <w:pPr>
              <w:pStyle w:val="Nagwek3"/>
              <w:spacing w:before="0" w:line="240" w:lineRule="auto"/>
              <w:rPr>
                <w:rFonts w:ascii="Fira Sans" w:hAnsi="Fira Sans" w:cs="Arial"/>
                <w:b/>
                <w:color w:val="000000" w:themeColor="text1"/>
                <w:sz w:val="20"/>
                <w:szCs w:val="28"/>
                <w:lang w:val="en-GB"/>
              </w:rPr>
            </w:pPr>
            <w:r w:rsidRPr="00D2653B">
              <w:rPr>
                <w:rFonts w:ascii="Fira Sans" w:hAnsi="Fira Sans" w:cs="Arial"/>
                <w:b/>
                <w:color w:val="000000" w:themeColor="text1"/>
                <w:sz w:val="20"/>
                <w:szCs w:val="28"/>
                <w:lang w:val="en-GB"/>
              </w:rPr>
              <w:t>Karolina</w:t>
            </w:r>
            <w:r w:rsidRPr="00D2653B">
              <w:rPr>
                <w:rFonts w:ascii="Fira Sans" w:hAnsi="Fira Sans" w:cs="Arial"/>
                <w:b/>
                <w:color w:val="auto"/>
                <w:sz w:val="20"/>
                <w:szCs w:val="28"/>
                <w:lang w:val="en-GB"/>
              </w:rPr>
              <w:t xml:space="preserve"> Banaszek</w:t>
            </w:r>
          </w:p>
          <w:p w:rsidR="00FA4729" w:rsidRPr="008263E3" w:rsidRDefault="003A56B5" w:rsidP="00FA4729">
            <w:pPr>
              <w:pStyle w:val="Nagwek3"/>
              <w:spacing w:before="0" w:line="240" w:lineRule="auto"/>
              <w:rPr>
                <w:rFonts w:ascii="Fira Sans" w:hAnsi="Fira Sans" w:cs="Arial"/>
                <w:color w:val="auto"/>
                <w:sz w:val="20"/>
                <w:lang w:val="fi-FI"/>
              </w:rPr>
            </w:pPr>
            <w:r w:rsidRPr="008263E3">
              <w:rPr>
                <w:rFonts w:ascii="Fira Sans" w:hAnsi="Fira Sans" w:cs="Arial"/>
                <w:color w:val="auto"/>
                <w:sz w:val="20"/>
                <w:lang w:val="fi-FI"/>
              </w:rPr>
              <w:t xml:space="preserve">Mobile: (+48) </w:t>
            </w:r>
            <w:r w:rsidR="00FA4729" w:rsidRPr="008263E3">
              <w:rPr>
                <w:rFonts w:ascii="Fira Sans" w:hAnsi="Fira Sans" w:cs="Arial"/>
                <w:color w:val="auto"/>
                <w:sz w:val="20"/>
                <w:lang w:val="fi-FI"/>
              </w:rPr>
              <w:t>695 255 011</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p>
        </w:tc>
      </w:tr>
    </w:tbl>
    <w:p w:rsidR="000470AA" w:rsidRPr="00D2653B" w:rsidRDefault="000470AA" w:rsidP="000470AA">
      <w:pPr>
        <w:rPr>
          <w:sz w:val="20"/>
          <w:lang w:val="en-GB"/>
        </w:rPr>
      </w:pPr>
    </w:p>
    <w:p w:rsidR="000470AA" w:rsidRPr="00D2653B"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E318D0" w:rsidTr="00A24587">
        <w:trPr>
          <w:trHeight w:val="610"/>
        </w:trPr>
        <w:tc>
          <w:tcPr>
            <w:tcW w:w="2721" w:type="pct"/>
            <w:vMerge w:val="restart"/>
          </w:tcPr>
          <w:p w:rsidR="000470AA" w:rsidRPr="00D2653B" w:rsidRDefault="001D2736" w:rsidP="00A24587">
            <w:pPr>
              <w:rPr>
                <w:b/>
                <w:sz w:val="20"/>
                <w:lang w:val="en-GB"/>
              </w:rPr>
            </w:pPr>
            <w:r w:rsidRPr="00D2653B">
              <w:rPr>
                <w:b/>
                <w:sz w:val="20"/>
                <w:lang w:val="en-GB"/>
              </w:rPr>
              <w:t>Press Office</w:t>
            </w:r>
          </w:p>
          <w:p w:rsidR="000470AA" w:rsidRPr="00D2653B" w:rsidRDefault="003A56B5" w:rsidP="00A24587">
            <w:pPr>
              <w:rPr>
                <w:sz w:val="20"/>
                <w:lang w:val="en-GB"/>
              </w:rPr>
            </w:pPr>
            <w:r w:rsidRPr="00743553">
              <w:rPr>
                <w:rFonts w:cs="Arial"/>
                <w:sz w:val="20"/>
                <w:szCs w:val="24"/>
                <w:lang w:val="fi-FI"/>
              </w:rPr>
              <w:t xml:space="preserve">Office: tel. (+48 </w:t>
            </w:r>
            <w:r w:rsidRPr="003A56B5">
              <w:rPr>
                <w:rFonts w:cs="Arial"/>
                <w:color w:val="000000" w:themeColor="text1"/>
                <w:sz w:val="20"/>
                <w:szCs w:val="24"/>
                <w:lang w:val="fi-FI"/>
              </w:rPr>
              <w:t xml:space="preserve">22) </w:t>
            </w:r>
            <w:r w:rsidR="00D64203" w:rsidRPr="00D2653B">
              <w:rPr>
                <w:sz w:val="20"/>
                <w:lang w:val="en-GB"/>
              </w:rPr>
              <w:t xml:space="preserve">608 34 91, </w:t>
            </w:r>
            <w:r w:rsidR="000470AA" w:rsidRPr="00D2653B">
              <w:rPr>
                <w:sz w:val="20"/>
                <w:lang w:val="en-GB"/>
              </w:rPr>
              <w:t xml:space="preserve">608 38 04 </w:t>
            </w:r>
          </w:p>
          <w:p w:rsidR="000470AA" w:rsidRPr="00D2653B" w:rsidRDefault="000470AA" w:rsidP="00A24587">
            <w:pPr>
              <w:rPr>
                <w:sz w:val="18"/>
                <w:lang w:val="en-GB"/>
              </w:rPr>
            </w:pPr>
            <w:r w:rsidRPr="00D2653B">
              <w:rPr>
                <w:b/>
                <w:sz w:val="20"/>
                <w:lang w:val="en-GB"/>
              </w:rPr>
              <w:t>e-mail:</w:t>
            </w:r>
            <w:r w:rsidRPr="00D2653B">
              <w:rPr>
                <w:sz w:val="20"/>
                <w:lang w:val="en-GB"/>
              </w:rPr>
              <w:t xml:space="preserve"> </w:t>
            </w:r>
            <w:hyperlink r:id="rId26" w:history="1">
              <w:r w:rsidRPr="00D2653B">
                <w:rPr>
                  <w:rStyle w:val="Hipercze"/>
                  <w:rFonts w:cstheme="minorBidi"/>
                  <w:b/>
                  <w:color w:val="auto"/>
                  <w:sz w:val="20"/>
                  <w:lang w:val="en-GB"/>
                </w:rPr>
                <w:t>obslugaprasowa@stat.gov.pl</w:t>
              </w:r>
            </w:hyperlink>
          </w:p>
        </w:tc>
        <w:tc>
          <w:tcPr>
            <w:tcW w:w="369" w:type="pct"/>
            <w:vAlign w:val="center"/>
          </w:tcPr>
          <w:p w:rsidR="000470AA" w:rsidRPr="00D2653B" w:rsidRDefault="000470AA" w:rsidP="000470AA">
            <w:pPr>
              <w:rPr>
                <w:sz w:val="18"/>
                <w:lang w:val="en-GB"/>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0470AA" w:rsidRPr="00D2653B" w:rsidRDefault="000470AA" w:rsidP="000470AA">
            <w:pPr>
              <w:rPr>
                <w:sz w:val="18"/>
                <w:lang w:val="en-GB"/>
              </w:rPr>
            </w:pPr>
            <w:r w:rsidRPr="00D2653B">
              <w:rPr>
                <w:sz w:val="20"/>
                <w:lang w:val="en-GB"/>
              </w:rPr>
              <w:t>www.stat.gov.pl</w:t>
            </w:r>
            <w:r w:rsidR="001D2736" w:rsidRPr="00D2653B">
              <w:rPr>
                <w:sz w:val="20"/>
                <w:lang w:val="en-GB"/>
              </w:rPr>
              <w:t>/en/</w:t>
            </w:r>
          </w:p>
        </w:tc>
      </w:tr>
      <w:tr w:rsidR="000470AA" w:rsidTr="00A24587">
        <w:trPr>
          <w:trHeight w:val="436"/>
        </w:trPr>
        <w:tc>
          <w:tcPr>
            <w:tcW w:w="2721" w:type="pct"/>
            <w:vMerge/>
          </w:tcPr>
          <w:p w:rsidR="000470AA" w:rsidRPr="00D2653B" w:rsidRDefault="000470AA" w:rsidP="00A24587">
            <w:pPr>
              <w:rPr>
                <w:sz w:val="18"/>
                <w:lang w:val="en-GB"/>
              </w:rPr>
            </w:pPr>
          </w:p>
        </w:tc>
        <w:tc>
          <w:tcPr>
            <w:tcW w:w="369" w:type="pct"/>
            <w:vAlign w:val="center"/>
          </w:tcPr>
          <w:p w:rsidR="000470AA" w:rsidRPr="00D2653B" w:rsidRDefault="000470AA" w:rsidP="000470AA">
            <w:pPr>
              <w:rPr>
                <w:sz w:val="18"/>
                <w:lang w:val="en-GB"/>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1D2736" w:rsidP="000470AA">
            <w:pPr>
              <w:rPr>
                <w:sz w:val="18"/>
              </w:rPr>
            </w:pPr>
            <w:r>
              <w:rPr>
                <w:sz w:val="20"/>
              </w:rPr>
              <w:t>@</w:t>
            </w:r>
            <w:proofErr w:type="spellStart"/>
            <w:r>
              <w:rPr>
                <w:sz w:val="20"/>
              </w:rPr>
              <w:t>StatPoland</w:t>
            </w:r>
            <w:proofErr w:type="spellEnd"/>
          </w:p>
        </w:tc>
      </w:tr>
      <w:tr w:rsidR="000470AA" w:rsidTr="00A24587">
        <w:trPr>
          <w:trHeight w:val="436"/>
        </w:trPr>
        <w:tc>
          <w:tcPr>
            <w:tcW w:w="2721" w:type="pct"/>
            <w:vMerge/>
          </w:tcPr>
          <w:p w:rsidR="000470AA" w:rsidRDefault="000470AA" w:rsidP="00A24587">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0470AA" w:rsidP="000470AA">
            <w:pPr>
              <w:rPr>
                <w:sz w:val="20"/>
              </w:rPr>
            </w:pPr>
            <w:r w:rsidRPr="003D5F42">
              <w:rPr>
                <w:sz w:val="20"/>
              </w:rPr>
              <w:t>@</w:t>
            </w:r>
            <w:proofErr w:type="spellStart"/>
            <w:r w:rsidRPr="003D5F42">
              <w:rPr>
                <w:sz w:val="20"/>
              </w:rPr>
              <w:t>GlownyUrzadStatystyczny</w:t>
            </w:r>
            <w:proofErr w:type="spellEnd"/>
          </w:p>
        </w:tc>
      </w:tr>
    </w:tbl>
    <w:p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65029F7C" wp14:editId="30AD50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280CF8" w:rsidRDefault="00280CF8" w:rsidP="00280CF8">
                            <w:pPr>
                              <w:rPr>
                                <w:b/>
                              </w:rPr>
                            </w:pPr>
                          </w:p>
                          <w:p w:rsidR="00280CF8" w:rsidRPr="00791C71" w:rsidRDefault="00280CF8" w:rsidP="00280CF8">
                            <w:pPr>
                              <w:rPr>
                                <w:b/>
                                <w:lang w:val="en-GB"/>
                              </w:rPr>
                            </w:pPr>
                            <w:r w:rsidRPr="00791C71">
                              <w:rPr>
                                <w:b/>
                                <w:lang w:val="en-GB"/>
                              </w:rPr>
                              <w:t>Related information</w:t>
                            </w:r>
                          </w:p>
                          <w:p w:rsidR="00280CF8" w:rsidRPr="00791C71" w:rsidRDefault="00280CF8" w:rsidP="00280CF8">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The demand for labour – annual publication</w:t>
                            </w:r>
                          </w:p>
                          <w:p w:rsidR="00280CF8" w:rsidRPr="00791C71" w:rsidRDefault="00280CF8" w:rsidP="00280CF8">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0" w:history="1">
                              <w:r w:rsidRPr="00791C71">
                                <w:rPr>
                                  <w:rStyle w:val="Hipercze"/>
                                  <w:rFonts w:cs="Arial"/>
                                  <w:color w:val="001D77"/>
                                  <w:sz w:val="18"/>
                                  <w:szCs w:val="30"/>
                                  <w:shd w:val="clear" w:color="auto" w:fill="F0F0F0"/>
                                  <w:lang w:val="en-GB"/>
                                </w:rPr>
                                <w:t>Other publications that contain the results of these surveys:  stat.gov.pl → Topics → Labour market</w:t>
                              </w:r>
                            </w:hyperlink>
                            <w:r w:rsidRPr="00791C71">
                              <w:rPr>
                                <w:rStyle w:val="Hipercze"/>
                                <w:rFonts w:cs="Arial"/>
                                <w:color w:val="001D77"/>
                                <w:sz w:val="18"/>
                                <w:szCs w:val="30"/>
                                <w:shd w:val="clear" w:color="auto" w:fill="F0F0F0"/>
                                <w:lang w:val="en-GB"/>
                              </w:rPr>
                              <w:t xml:space="preserve"> </w:t>
                            </w:r>
                          </w:p>
                          <w:p w:rsidR="00280CF8" w:rsidRPr="00791C71" w:rsidRDefault="00280CF8" w:rsidP="00280CF8">
                            <w:pPr>
                              <w:rPr>
                                <w:b/>
                                <w:color w:val="000000"/>
                                <w:szCs w:val="24"/>
                                <w:lang w:val="en-GB"/>
                              </w:rPr>
                            </w:pPr>
                          </w:p>
                          <w:p w:rsidR="00280CF8" w:rsidRPr="00791C71" w:rsidRDefault="00280CF8" w:rsidP="00280CF8">
                            <w:pPr>
                              <w:rPr>
                                <w:b/>
                                <w:color w:val="000000"/>
                                <w:szCs w:val="24"/>
                                <w:lang w:val="en-GB"/>
                              </w:rPr>
                            </w:pPr>
                            <w:r w:rsidRPr="00791C71">
                              <w:rPr>
                                <w:b/>
                                <w:color w:val="000000"/>
                                <w:szCs w:val="24"/>
                                <w:lang w:val="en-GB"/>
                              </w:rPr>
                              <w:t>Data available in databases</w:t>
                            </w:r>
                          </w:p>
                          <w:p w:rsidR="00280CF8" w:rsidRPr="00791C71" w:rsidRDefault="00720C89" w:rsidP="00280CF8">
                            <w:pPr>
                              <w:rPr>
                                <w:rStyle w:val="Hipercze"/>
                                <w:rFonts w:cs="Arial"/>
                                <w:color w:val="001D77"/>
                                <w:sz w:val="18"/>
                                <w:szCs w:val="30"/>
                                <w:shd w:val="clear" w:color="auto" w:fill="F0F0F0"/>
                                <w:lang w:val="en-GB"/>
                              </w:rPr>
                            </w:pPr>
                            <w:hyperlink r:id="rId31" w:history="1">
                              <w:r w:rsidR="00280CF8" w:rsidRPr="00791C71">
                                <w:rPr>
                                  <w:rStyle w:val="Hipercze"/>
                                  <w:rFonts w:cs="Arial"/>
                                  <w:color w:val="001D77"/>
                                  <w:sz w:val="18"/>
                                  <w:szCs w:val="30"/>
                                  <w:shd w:val="clear" w:color="auto" w:fill="F0F0F0"/>
                                  <w:lang w:val="en-GB"/>
                                </w:rPr>
                                <w:t>Knowledge databases – Labour Market</w:t>
                              </w:r>
                            </w:hyperlink>
                          </w:p>
                          <w:p w:rsidR="00280CF8" w:rsidRPr="00791C71" w:rsidRDefault="00280CF8" w:rsidP="00280CF8">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proofErr w:type="spellStart"/>
                            <w:r w:rsidRPr="00791C71">
                              <w:rPr>
                                <w:rStyle w:val="Hipercze"/>
                                <w:rFonts w:cs="Arial"/>
                                <w:color w:val="001D77"/>
                                <w:sz w:val="18"/>
                                <w:szCs w:val="30"/>
                                <w:shd w:val="clear" w:color="auto" w:fill="F0F0F0"/>
                                <w:lang w:val="en-GB"/>
                              </w:rPr>
                              <w:t>Strateg</w:t>
                            </w:r>
                            <w:proofErr w:type="spellEnd"/>
                            <w:r w:rsidRPr="00791C71">
                              <w:rPr>
                                <w:rStyle w:val="Hipercze"/>
                                <w:rFonts w:cs="Arial"/>
                                <w:color w:val="001D77"/>
                                <w:sz w:val="18"/>
                                <w:szCs w:val="30"/>
                                <w:shd w:val="clear" w:color="auto" w:fill="F0F0F0"/>
                                <w:lang w:val="en-GB"/>
                              </w:rPr>
                              <w:t xml:space="preserve"> → Themes → Labour market</w:t>
                            </w:r>
                          </w:p>
                          <w:p w:rsidR="00280CF8" w:rsidRPr="00791C71" w:rsidRDefault="00280CF8" w:rsidP="00280CF8">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hyperlink r:id="rId32" w:history="1">
                              <w:r w:rsidRPr="00791C71">
                                <w:rPr>
                                  <w:rStyle w:val="Hipercze"/>
                                  <w:rFonts w:cs="Arial"/>
                                  <w:color w:val="001D77"/>
                                  <w:sz w:val="18"/>
                                  <w:szCs w:val="30"/>
                                  <w:shd w:val="clear" w:color="auto" w:fill="F0F0F0"/>
                                  <w:lang w:val="en-GB"/>
                                </w:rPr>
                                <w:t>Local Data Bank</w:t>
                              </w:r>
                            </w:hyperlink>
                            <w:r w:rsidRPr="00791C71">
                              <w:rPr>
                                <w:rStyle w:val="Hipercze"/>
                                <w:rFonts w:cs="Arial"/>
                                <w:color w:val="001D77"/>
                                <w:sz w:val="18"/>
                                <w:szCs w:val="30"/>
                                <w:shd w:val="clear" w:color="auto" w:fill="F0F0F0"/>
                                <w:lang w:val="en-GB"/>
                              </w:rPr>
                              <w:t xml:space="preserve"> → Labour market</w:t>
                            </w:r>
                          </w:p>
                          <w:p w:rsidR="00280CF8" w:rsidRPr="00791C71" w:rsidRDefault="00280CF8" w:rsidP="00280CF8">
                            <w:pPr>
                              <w:rPr>
                                <w:b/>
                                <w:color w:val="000000"/>
                                <w:szCs w:val="24"/>
                                <w:lang w:val="en-GB"/>
                              </w:rPr>
                            </w:pPr>
                          </w:p>
                          <w:p w:rsidR="00280CF8" w:rsidRPr="00791C71" w:rsidRDefault="00280CF8" w:rsidP="00280CF8">
                            <w:pPr>
                              <w:rPr>
                                <w:b/>
                                <w:color w:val="000000"/>
                                <w:szCs w:val="24"/>
                                <w:lang w:val="en-GB"/>
                              </w:rPr>
                            </w:pPr>
                            <w:r w:rsidRPr="00791C71">
                              <w:rPr>
                                <w:b/>
                                <w:color w:val="000000"/>
                                <w:szCs w:val="24"/>
                                <w:lang w:val="en-GB"/>
                              </w:rPr>
                              <w:t>Terms used in official statistics</w:t>
                            </w:r>
                          </w:p>
                          <w:p w:rsidR="00280CF8" w:rsidRPr="00791C71" w:rsidRDefault="00720C89" w:rsidP="00280CF8">
                            <w:pPr>
                              <w:rPr>
                                <w:rStyle w:val="Hipercze"/>
                                <w:rFonts w:cs="Arial"/>
                                <w:color w:val="001D77"/>
                                <w:sz w:val="18"/>
                                <w:szCs w:val="30"/>
                                <w:shd w:val="clear" w:color="auto" w:fill="F0F0F0"/>
                                <w:lang w:val="en-GB"/>
                              </w:rPr>
                            </w:pPr>
                            <w:hyperlink r:id="rId33" w:history="1">
                              <w:r w:rsidR="00280CF8" w:rsidRPr="00791C71">
                                <w:rPr>
                                  <w:rStyle w:val="Hipercze"/>
                                  <w:rFonts w:cs="Arial"/>
                                  <w:color w:val="001D77"/>
                                  <w:sz w:val="18"/>
                                  <w:szCs w:val="30"/>
                                  <w:shd w:val="clear" w:color="auto" w:fill="F0F0F0"/>
                                  <w:lang w:val="en-GB"/>
                                </w:rPr>
                                <w:t xml:space="preserve">Demand for labour </w:t>
                              </w:r>
                            </w:hyperlink>
                          </w:p>
                          <w:p w:rsidR="00280CF8" w:rsidRPr="00D9491D" w:rsidRDefault="00720C89" w:rsidP="00280CF8">
                            <w:pPr>
                              <w:rPr>
                                <w:rStyle w:val="Hipercze"/>
                                <w:rFonts w:cs="Arial"/>
                                <w:color w:val="001D77"/>
                                <w:sz w:val="18"/>
                                <w:szCs w:val="30"/>
                                <w:shd w:val="clear" w:color="auto" w:fill="F0F0F0"/>
                              </w:rPr>
                            </w:pPr>
                            <w:hyperlink r:id="rId34" w:history="1">
                              <w:proofErr w:type="spellStart"/>
                              <w:r w:rsidR="00280CF8">
                                <w:rPr>
                                  <w:rStyle w:val="Hipercze"/>
                                  <w:rFonts w:cs="Arial"/>
                                  <w:color w:val="001D77"/>
                                  <w:sz w:val="18"/>
                                  <w:szCs w:val="30"/>
                                  <w:shd w:val="clear" w:color="auto" w:fill="F0F0F0"/>
                                </w:rPr>
                                <w:t>Vacancies</w:t>
                              </w:r>
                              <w:proofErr w:type="spellEnd"/>
                            </w:hyperlink>
                          </w:p>
                          <w:p w:rsidR="00280CF8" w:rsidRPr="00D9491D" w:rsidRDefault="00720C89" w:rsidP="00280CF8">
                            <w:pPr>
                              <w:rPr>
                                <w:rStyle w:val="Hipercze"/>
                                <w:rFonts w:cs="Arial"/>
                                <w:color w:val="001D77"/>
                                <w:sz w:val="18"/>
                                <w:szCs w:val="30"/>
                                <w:shd w:val="clear" w:color="auto" w:fill="F0F0F0"/>
                              </w:rPr>
                            </w:pPr>
                            <w:hyperlink r:id="rId35" w:history="1">
                              <w:proofErr w:type="spellStart"/>
                              <w:r w:rsidR="00280CF8" w:rsidRPr="00D9491D">
                                <w:rPr>
                                  <w:rStyle w:val="Hipercze"/>
                                  <w:rFonts w:cs="Arial"/>
                                  <w:color w:val="001D77"/>
                                  <w:sz w:val="18"/>
                                  <w:szCs w:val="30"/>
                                  <w:shd w:val="clear" w:color="auto" w:fill="F0F0F0"/>
                                </w:rPr>
                                <w:t>N</w:t>
                              </w:r>
                              <w:r w:rsidR="00280CF8">
                                <w:rPr>
                                  <w:rStyle w:val="Hipercze"/>
                                  <w:rFonts w:cs="Arial"/>
                                  <w:color w:val="001D77"/>
                                  <w:sz w:val="18"/>
                                  <w:szCs w:val="30"/>
                                  <w:shd w:val="clear" w:color="auto" w:fill="F0F0F0"/>
                                </w:rPr>
                                <w:t>ewly</w:t>
                              </w:r>
                              <w:proofErr w:type="spellEnd"/>
                              <w:r w:rsidR="00280CF8">
                                <w:rPr>
                                  <w:rStyle w:val="Hipercze"/>
                                  <w:rFonts w:cs="Arial"/>
                                  <w:color w:val="001D77"/>
                                  <w:sz w:val="18"/>
                                  <w:szCs w:val="30"/>
                                  <w:shd w:val="clear" w:color="auto" w:fill="F0F0F0"/>
                                </w:rPr>
                                <w:t xml:space="preserve"> </w:t>
                              </w:r>
                              <w:proofErr w:type="spellStart"/>
                              <w:r w:rsidR="00280CF8">
                                <w:rPr>
                                  <w:rStyle w:val="Hipercze"/>
                                  <w:rFonts w:cs="Arial"/>
                                  <w:color w:val="001D77"/>
                                  <w:sz w:val="18"/>
                                  <w:szCs w:val="30"/>
                                  <w:shd w:val="clear" w:color="auto" w:fill="F0F0F0"/>
                                </w:rPr>
                                <w:t>created</w:t>
                              </w:r>
                              <w:proofErr w:type="spellEnd"/>
                              <w:r w:rsidR="00280CF8">
                                <w:rPr>
                                  <w:rStyle w:val="Hipercze"/>
                                  <w:rFonts w:cs="Arial"/>
                                  <w:color w:val="001D77"/>
                                  <w:sz w:val="18"/>
                                  <w:szCs w:val="30"/>
                                  <w:shd w:val="clear" w:color="auto" w:fill="F0F0F0"/>
                                </w:rPr>
                                <w:t xml:space="preserve"> </w:t>
                              </w:r>
                              <w:proofErr w:type="spellStart"/>
                              <w:r w:rsidR="00280CF8">
                                <w:rPr>
                                  <w:rStyle w:val="Hipercze"/>
                                  <w:rFonts w:cs="Arial"/>
                                  <w:color w:val="001D77"/>
                                  <w:sz w:val="18"/>
                                  <w:szCs w:val="30"/>
                                  <w:shd w:val="clear" w:color="auto" w:fill="F0F0F0"/>
                                </w:rPr>
                                <w:t>jobs</w:t>
                              </w:r>
                              <w:proofErr w:type="spellEnd"/>
                              <w:r w:rsidR="00280CF8">
                                <w:rPr>
                                  <w:rStyle w:val="Hipercze"/>
                                  <w:rFonts w:cs="Arial"/>
                                  <w:color w:val="001D77"/>
                                  <w:sz w:val="18"/>
                                  <w:szCs w:val="30"/>
                                  <w:shd w:val="clear" w:color="auto" w:fill="F0F0F0"/>
                                </w:rPr>
                                <w:t xml:space="preserve"> </w:t>
                              </w:r>
                            </w:hyperlink>
                          </w:p>
                          <w:p w:rsidR="00280CF8" w:rsidRPr="004033FD" w:rsidRDefault="00280CF8" w:rsidP="00280CF8">
                            <w:pPr>
                              <w:rPr>
                                <w:b/>
                                <w:color w:val="001D77"/>
                                <w:szCs w:val="24"/>
                              </w:rPr>
                            </w:pPr>
                          </w:p>
                          <w:p w:rsidR="00280CF8" w:rsidRPr="00F4325E" w:rsidRDefault="00280CF8" w:rsidP="00280CF8">
                            <w:pPr>
                              <w:rPr>
                                <w:b/>
                                <w:color w:val="00000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029F7C" id="_x0000_s1036"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xxPwIAAHQ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tTYaWIc+7DB&#10;+pHEdziuAa0tHVp0vzjraQUq7n/uwEnO9GdLDVxM5/O4M8mYF+9nZLhTz+bUA1YQVMUDZ+NxHdKe&#10;Ra4Wr6jRjUoteGFy4EyjnTQ8rGHcnVM7Rb38LFZPA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W1dxxPwIAAHQEAAAO&#10;AAAAAAAAAAAAAAAAAC4CAABkcnMvZTJvRG9jLnhtbFBLAQItABQABgAIAAAAIQBuwDF83wAAAAkB&#10;AAAPAAAAAAAAAAAAAAAAAJkEAABkcnMvZG93bnJldi54bWxQSwUGAAAAAAQABADzAAAApQUAAAAA&#10;" fillcolor="#f2f2f2 [3052]" strokecolor="white [3212]">
                <v:textbox>
                  <w:txbxContent>
                    <w:p w:rsidR="00280CF8" w:rsidRDefault="00280CF8" w:rsidP="00280CF8">
                      <w:pPr>
                        <w:rPr>
                          <w:b/>
                        </w:rPr>
                      </w:pPr>
                    </w:p>
                    <w:p w:rsidR="00280CF8" w:rsidRPr="00791C71" w:rsidRDefault="00280CF8" w:rsidP="00280CF8">
                      <w:pPr>
                        <w:rPr>
                          <w:b/>
                          <w:lang w:val="en-GB"/>
                        </w:rPr>
                      </w:pPr>
                      <w:r w:rsidRPr="00791C71">
                        <w:rPr>
                          <w:b/>
                          <w:lang w:val="en-GB"/>
                        </w:rPr>
                        <w:t>Related information</w:t>
                      </w:r>
                    </w:p>
                    <w:p w:rsidR="00280CF8" w:rsidRPr="00791C71" w:rsidRDefault="00280CF8" w:rsidP="00280CF8">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The demand for labour – annual publication</w:t>
                      </w:r>
                    </w:p>
                    <w:p w:rsidR="00280CF8" w:rsidRPr="00791C71" w:rsidRDefault="00280CF8" w:rsidP="00280CF8">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7" w:history="1">
                        <w:r w:rsidRPr="00791C71">
                          <w:rPr>
                            <w:rStyle w:val="Hipercze"/>
                            <w:rFonts w:cs="Arial"/>
                            <w:color w:val="001D77"/>
                            <w:sz w:val="18"/>
                            <w:szCs w:val="30"/>
                            <w:shd w:val="clear" w:color="auto" w:fill="F0F0F0"/>
                            <w:lang w:val="en-GB"/>
                          </w:rPr>
                          <w:t>Other publications that contain the results of these surveys:  stat.gov.pl → Topics → Labour market</w:t>
                        </w:r>
                      </w:hyperlink>
                      <w:r w:rsidRPr="00791C71">
                        <w:rPr>
                          <w:rStyle w:val="Hipercze"/>
                          <w:rFonts w:cs="Arial"/>
                          <w:color w:val="001D77"/>
                          <w:sz w:val="18"/>
                          <w:szCs w:val="30"/>
                          <w:shd w:val="clear" w:color="auto" w:fill="F0F0F0"/>
                          <w:lang w:val="en-GB"/>
                        </w:rPr>
                        <w:t xml:space="preserve"> </w:t>
                      </w:r>
                    </w:p>
                    <w:p w:rsidR="00280CF8" w:rsidRPr="00791C71" w:rsidRDefault="00280CF8" w:rsidP="00280CF8">
                      <w:pPr>
                        <w:rPr>
                          <w:b/>
                          <w:color w:val="000000"/>
                          <w:szCs w:val="24"/>
                          <w:lang w:val="en-GB"/>
                        </w:rPr>
                      </w:pPr>
                    </w:p>
                    <w:p w:rsidR="00280CF8" w:rsidRPr="00791C71" w:rsidRDefault="00280CF8" w:rsidP="00280CF8">
                      <w:pPr>
                        <w:rPr>
                          <w:b/>
                          <w:color w:val="000000"/>
                          <w:szCs w:val="24"/>
                          <w:lang w:val="en-GB"/>
                        </w:rPr>
                      </w:pPr>
                      <w:r w:rsidRPr="00791C71">
                        <w:rPr>
                          <w:b/>
                          <w:color w:val="000000"/>
                          <w:szCs w:val="24"/>
                          <w:lang w:val="en-GB"/>
                        </w:rPr>
                        <w:t>Data available in databases</w:t>
                      </w:r>
                    </w:p>
                    <w:p w:rsidR="00280CF8" w:rsidRPr="00791C71" w:rsidRDefault="0006249F" w:rsidP="00280CF8">
                      <w:pPr>
                        <w:rPr>
                          <w:rStyle w:val="Hipercze"/>
                          <w:rFonts w:cs="Arial"/>
                          <w:color w:val="001D77"/>
                          <w:sz w:val="18"/>
                          <w:szCs w:val="30"/>
                          <w:shd w:val="clear" w:color="auto" w:fill="F0F0F0"/>
                          <w:lang w:val="en-GB"/>
                        </w:rPr>
                      </w:pPr>
                      <w:hyperlink r:id="rId38" w:history="1">
                        <w:r w:rsidR="00280CF8" w:rsidRPr="00791C71">
                          <w:rPr>
                            <w:rStyle w:val="Hipercze"/>
                            <w:rFonts w:cs="Arial"/>
                            <w:color w:val="001D77"/>
                            <w:sz w:val="18"/>
                            <w:szCs w:val="30"/>
                            <w:shd w:val="clear" w:color="auto" w:fill="F0F0F0"/>
                            <w:lang w:val="en-GB"/>
                          </w:rPr>
                          <w:t>Knowledge databases – Labour Market</w:t>
                        </w:r>
                      </w:hyperlink>
                    </w:p>
                    <w:p w:rsidR="00280CF8" w:rsidRPr="00791C71" w:rsidRDefault="00280CF8" w:rsidP="00280CF8">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proofErr w:type="spellStart"/>
                      <w:r w:rsidRPr="00791C71">
                        <w:rPr>
                          <w:rStyle w:val="Hipercze"/>
                          <w:rFonts w:cs="Arial"/>
                          <w:color w:val="001D77"/>
                          <w:sz w:val="18"/>
                          <w:szCs w:val="30"/>
                          <w:shd w:val="clear" w:color="auto" w:fill="F0F0F0"/>
                          <w:lang w:val="en-GB"/>
                        </w:rPr>
                        <w:t>Strateg</w:t>
                      </w:r>
                      <w:proofErr w:type="spellEnd"/>
                      <w:r w:rsidRPr="00791C71">
                        <w:rPr>
                          <w:rStyle w:val="Hipercze"/>
                          <w:rFonts w:cs="Arial"/>
                          <w:color w:val="001D77"/>
                          <w:sz w:val="18"/>
                          <w:szCs w:val="30"/>
                          <w:shd w:val="clear" w:color="auto" w:fill="F0F0F0"/>
                          <w:lang w:val="en-GB"/>
                        </w:rPr>
                        <w:t xml:space="preserve"> → Themes → Labour market</w:t>
                      </w:r>
                    </w:p>
                    <w:p w:rsidR="00280CF8" w:rsidRPr="00791C71" w:rsidRDefault="00280CF8" w:rsidP="00280CF8">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hyperlink r:id="rId39" w:history="1">
                        <w:r w:rsidRPr="00791C71">
                          <w:rPr>
                            <w:rStyle w:val="Hipercze"/>
                            <w:rFonts w:cs="Arial"/>
                            <w:color w:val="001D77"/>
                            <w:sz w:val="18"/>
                            <w:szCs w:val="30"/>
                            <w:shd w:val="clear" w:color="auto" w:fill="F0F0F0"/>
                            <w:lang w:val="en-GB"/>
                          </w:rPr>
                          <w:t>Local Data Bank</w:t>
                        </w:r>
                      </w:hyperlink>
                      <w:r w:rsidRPr="00791C71">
                        <w:rPr>
                          <w:rStyle w:val="Hipercze"/>
                          <w:rFonts w:cs="Arial"/>
                          <w:color w:val="001D77"/>
                          <w:sz w:val="18"/>
                          <w:szCs w:val="30"/>
                          <w:shd w:val="clear" w:color="auto" w:fill="F0F0F0"/>
                          <w:lang w:val="en-GB"/>
                        </w:rPr>
                        <w:t xml:space="preserve"> → Labour market</w:t>
                      </w:r>
                    </w:p>
                    <w:p w:rsidR="00280CF8" w:rsidRPr="00791C71" w:rsidRDefault="00280CF8" w:rsidP="00280CF8">
                      <w:pPr>
                        <w:rPr>
                          <w:b/>
                          <w:color w:val="000000"/>
                          <w:szCs w:val="24"/>
                          <w:lang w:val="en-GB"/>
                        </w:rPr>
                      </w:pPr>
                    </w:p>
                    <w:p w:rsidR="00280CF8" w:rsidRPr="00791C71" w:rsidRDefault="00280CF8" w:rsidP="00280CF8">
                      <w:pPr>
                        <w:rPr>
                          <w:b/>
                          <w:color w:val="000000"/>
                          <w:szCs w:val="24"/>
                          <w:lang w:val="en-GB"/>
                        </w:rPr>
                      </w:pPr>
                      <w:r w:rsidRPr="00791C71">
                        <w:rPr>
                          <w:b/>
                          <w:color w:val="000000"/>
                          <w:szCs w:val="24"/>
                          <w:lang w:val="en-GB"/>
                        </w:rPr>
                        <w:t>Terms used in official statistics</w:t>
                      </w:r>
                    </w:p>
                    <w:p w:rsidR="00280CF8" w:rsidRPr="00791C71" w:rsidRDefault="0006249F" w:rsidP="00280CF8">
                      <w:pPr>
                        <w:rPr>
                          <w:rStyle w:val="Hipercze"/>
                          <w:rFonts w:cs="Arial"/>
                          <w:color w:val="001D77"/>
                          <w:sz w:val="18"/>
                          <w:szCs w:val="30"/>
                          <w:shd w:val="clear" w:color="auto" w:fill="F0F0F0"/>
                          <w:lang w:val="en-GB"/>
                        </w:rPr>
                      </w:pPr>
                      <w:hyperlink r:id="rId40" w:history="1">
                        <w:r w:rsidR="00280CF8" w:rsidRPr="00791C71">
                          <w:rPr>
                            <w:rStyle w:val="Hipercze"/>
                            <w:rFonts w:cs="Arial"/>
                            <w:color w:val="001D77"/>
                            <w:sz w:val="18"/>
                            <w:szCs w:val="30"/>
                            <w:shd w:val="clear" w:color="auto" w:fill="F0F0F0"/>
                            <w:lang w:val="en-GB"/>
                          </w:rPr>
                          <w:t xml:space="preserve">Demand for labour </w:t>
                        </w:r>
                      </w:hyperlink>
                    </w:p>
                    <w:p w:rsidR="00280CF8" w:rsidRPr="00D9491D" w:rsidRDefault="00DA049A" w:rsidP="00280CF8">
                      <w:pPr>
                        <w:rPr>
                          <w:rStyle w:val="Hipercze"/>
                          <w:rFonts w:cs="Arial"/>
                          <w:color w:val="001D77"/>
                          <w:sz w:val="18"/>
                          <w:szCs w:val="30"/>
                          <w:shd w:val="clear" w:color="auto" w:fill="F0F0F0"/>
                        </w:rPr>
                      </w:pPr>
                      <w:hyperlink r:id="rId41" w:history="1">
                        <w:proofErr w:type="spellStart"/>
                        <w:r w:rsidR="00280CF8">
                          <w:rPr>
                            <w:rStyle w:val="Hipercze"/>
                            <w:rFonts w:cs="Arial"/>
                            <w:color w:val="001D77"/>
                            <w:sz w:val="18"/>
                            <w:szCs w:val="30"/>
                            <w:shd w:val="clear" w:color="auto" w:fill="F0F0F0"/>
                          </w:rPr>
                          <w:t>Vacancies</w:t>
                        </w:r>
                        <w:proofErr w:type="spellEnd"/>
                      </w:hyperlink>
                    </w:p>
                    <w:p w:rsidR="00280CF8" w:rsidRPr="00D9491D" w:rsidRDefault="00DA049A" w:rsidP="00280CF8">
                      <w:pPr>
                        <w:rPr>
                          <w:rStyle w:val="Hipercze"/>
                          <w:rFonts w:cs="Arial"/>
                          <w:color w:val="001D77"/>
                          <w:sz w:val="18"/>
                          <w:szCs w:val="30"/>
                          <w:shd w:val="clear" w:color="auto" w:fill="F0F0F0"/>
                        </w:rPr>
                      </w:pPr>
                      <w:hyperlink r:id="rId42" w:history="1">
                        <w:proofErr w:type="spellStart"/>
                        <w:r w:rsidR="00280CF8" w:rsidRPr="00D9491D">
                          <w:rPr>
                            <w:rStyle w:val="Hipercze"/>
                            <w:rFonts w:cs="Arial"/>
                            <w:color w:val="001D77"/>
                            <w:sz w:val="18"/>
                            <w:szCs w:val="30"/>
                            <w:shd w:val="clear" w:color="auto" w:fill="F0F0F0"/>
                          </w:rPr>
                          <w:t>N</w:t>
                        </w:r>
                        <w:r w:rsidR="00280CF8">
                          <w:rPr>
                            <w:rStyle w:val="Hipercze"/>
                            <w:rFonts w:cs="Arial"/>
                            <w:color w:val="001D77"/>
                            <w:sz w:val="18"/>
                            <w:szCs w:val="30"/>
                            <w:shd w:val="clear" w:color="auto" w:fill="F0F0F0"/>
                          </w:rPr>
                          <w:t>ewly</w:t>
                        </w:r>
                        <w:proofErr w:type="spellEnd"/>
                        <w:r w:rsidR="00280CF8">
                          <w:rPr>
                            <w:rStyle w:val="Hipercze"/>
                            <w:rFonts w:cs="Arial"/>
                            <w:color w:val="001D77"/>
                            <w:sz w:val="18"/>
                            <w:szCs w:val="30"/>
                            <w:shd w:val="clear" w:color="auto" w:fill="F0F0F0"/>
                          </w:rPr>
                          <w:t xml:space="preserve"> </w:t>
                        </w:r>
                        <w:proofErr w:type="spellStart"/>
                        <w:r w:rsidR="00280CF8">
                          <w:rPr>
                            <w:rStyle w:val="Hipercze"/>
                            <w:rFonts w:cs="Arial"/>
                            <w:color w:val="001D77"/>
                            <w:sz w:val="18"/>
                            <w:szCs w:val="30"/>
                            <w:shd w:val="clear" w:color="auto" w:fill="F0F0F0"/>
                          </w:rPr>
                          <w:t>created</w:t>
                        </w:r>
                        <w:proofErr w:type="spellEnd"/>
                        <w:r w:rsidR="00280CF8">
                          <w:rPr>
                            <w:rStyle w:val="Hipercze"/>
                            <w:rFonts w:cs="Arial"/>
                            <w:color w:val="001D77"/>
                            <w:sz w:val="18"/>
                            <w:szCs w:val="30"/>
                            <w:shd w:val="clear" w:color="auto" w:fill="F0F0F0"/>
                          </w:rPr>
                          <w:t xml:space="preserve"> </w:t>
                        </w:r>
                        <w:proofErr w:type="spellStart"/>
                        <w:r w:rsidR="00280CF8">
                          <w:rPr>
                            <w:rStyle w:val="Hipercze"/>
                            <w:rFonts w:cs="Arial"/>
                            <w:color w:val="001D77"/>
                            <w:sz w:val="18"/>
                            <w:szCs w:val="30"/>
                            <w:shd w:val="clear" w:color="auto" w:fill="F0F0F0"/>
                          </w:rPr>
                          <w:t>jobs</w:t>
                        </w:r>
                        <w:proofErr w:type="spellEnd"/>
                        <w:r w:rsidR="00280CF8">
                          <w:rPr>
                            <w:rStyle w:val="Hipercze"/>
                            <w:rFonts w:cs="Arial"/>
                            <w:color w:val="001D77"/>
                            <w:sz w:val="18"/>
                            <w:szCs w:val="30"/>
                            <w:shd w:val="clear" w:color="auto" w:fill="F0F0F0"/>
                          </w:rPr>
                          <w:t xml:space="preserve"> </w:t>
                        </w:r>
                      </w:hyperlink>
                    </w:p>
                    <w:p w:rsidR="00280CF8" w:rsidRPr="004033FD" w:rsidRDefault="00280CF8" w:rsidP="00280CF8">
                      <w:pPr>
                        <w:rPr>
                          <w:b/>
                          <w:color w:val="001D77"/>
                          <w:szCs w:val="24"/>
                        </w:rPr>
                      </w:pPr>
                    </w:p>
                    <w:p w:rsidR="00280CF8" w:rsidRPr="00F4325E" w:rsidRDefault="00280CF8" w:rsidP="00280CF8">
                      <w:pPr>
                        <w:rPr>
                          <w:b/>
                          <w:color w:val="000000"/>
                          <w:szCs w:val="24"/>
                        </w:rPr>
                      </w:pPr>
                    </w:p>
                  </w:txbxContent>
                </v:textbox>
                <w10:wrap type="square" anchorx="margin"/>
              </v:shape>
            </w:pict>
          </mc:Fallback>
        </mc:AlternateContent>
      </w:r>
    </w:p>
    <w:sectPr w:rsidR="00D261A2" w:rsidRPr="00001C5B" w:rsidSect="003B18B6">
      <w:headerReference w:type="default" r:id="rId43"/>
      <w:footerReference w:type="default" r:id="rId4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C89" w:rsidRDefault="00720C89" w:rsidP="000662E2">
      <w:pPr>
        <w:spacing w:after="0" w:line="240" w:lineRule="auto"/>
      </w:pPr>
      <w:r>
        <w:separator/>
      </w:r>
    </w:p>
  </w:endnote>
  <w:endnote w:type="continuationSeparator" w:id="0">
    <w:p w:rsidR="00720C89" w:rsidRDefault="00720C8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E3432B">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E3432B">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3B18B6" w:rsidRDefault="003B18B6" w:rsidP="003B18B6">
        <w:pPr>
          <w:pStyle w:val="Stopka"/>
          <w:jc w:val="center"/>
        </w:pPr>
        <w:r>
          <w:fldChar w:fldCharType="begin"/>
        </w:r>
        <w:r>
          <w:instrText>PAGE   \* MERGEFORMAT</w:instrText>
        </w:r>
        <w:r>
          <w:fldChar w:fldCharType="separate"/>
        </w:r>
        <w:r w:rsidR="00E3432B">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C89" w:rsidRDefault="00720C89" w:rsidP="000662E2">
      <w:pPr>
        <w:spacing w:after="0" w:line="240" w:lineRule="auto"/>
      </w:pPr>
      <w:r>
        <w:separator/>
      </w:r>
    </w:p>
  </w:footnote>
  <w:footnote w:type="continuationSeparator" w:id="0">
    <w:p w:rsidR="00720C89" w:rsidRDefault="00720C89"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0ADAE8A4" wp14:editId="0B1BA157">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3D10F4F"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D30555">
    <w:pPr>
      <w:pStyle w:val="Nagwek"/>
      <w:rPr>
        <w:noProof/>
        <w:lang w:eastAsia="pl-PL"/>
      </w:rPr>
    </w:pPr>
    <w:r>
      <w:rPr>
        <w:noProof/>
        <w:lang w:eastAsia="pl-PL"/>
      </w:rPr>
      <w:drawing>
        <wp:anchor distT="0" distB="0" distL="114300" distR="114300" simplePos="0" relativeHeight="251671552" behindDoc="0" locked="0" layoutInCell="1" allowOverlap="1" wp14:anchorId="39BE28B5" wp14:editId="4F2C7FF2">
          <wp:simplePos x="0" y="0"/>
          <wp:positionH relativeFrom="column">
            <wp:posOffset>0</wp:posOffset>
          </wp:positionH>
          <wp:positionV relativeFrom="paragraph">
            <wp:posOffset>-635</wp:posOffset>
          </wp:positionV>
          <wp:extent cx="1955800" cy="744855"/>
          <wp:effectExtent l="0" t="0" r="0" b="0"/>
          <wp:wrapSquare wrapText="bothSides"/>
          <wp:docPr id="4" name="Obraz 4"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0A6F80E9" wp14:editId="72B1336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A6F80E9" id="Schemat blokowy: opóźnienie 6" o:spid="_x0000_s1037"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222D3DA2" wp14:editId="3CA2341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C6DAAB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rsidR="001C7430" w:rsidRDefault="001C7430">
    <w:pPr>
      <w:pStyle w:val="Nagwek"/>
      <w:rPr>
        <w:noProof/>
        <w:lang w:eastAsia="pl-PL"/>
      </w:rPr>
    </w:pPr>
  </w:p>
  <w:p w:rsidR="001C7430" w:rsidRDefault="001C7430">
    <w:pPr>
      <w:pStyle w:val="Nagwek"/>
      <w:rPr>
        <w:noProof/>
        <w:lang w:eastAsia="pl-PL"/>
      </w:rPr>
    </w:pPr>
  </w:p>
  <w:p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10608F51" wp14:editId="6366C388">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F37172" w:rsidRPr="00C97596" w:rsidRDefault="00D2653B" w:rsidP="00F37172">
                          <w:pPr>
                            <w:jc w:val="both"/>
                            <w:rPr>
                              <w:rFonts w:ascii="Fira Sans SemiBold" w:hAnsi="Fira Sans SemiBold"/>
                              <w:color w:val="001D77"/>
                            </w:rPr>
                          </w:pPr>
                          <w:r>
                            <w:rPr>
                              <w:rFonts w:ascii="Fira Sans SemiBold" w:hAnsi="Fira Sans SemiBold"/>
                              <w:color w:val="001D77"/>
                            </w:rPr>
                            <w:t>10</w:t>
                          </w:r>
                          <w:r w:rsidR="00A810F9">
                            <w:rPr>
                              <w:rFonts w:ascii="Fira Sans SemiBold" w:hAnsi="Fira Sans SemiBold"/>
                              <w:color w:val="001D77"/>
                            </w:rPr>
                            <w:t>.</w:t>
                          </w:r>
                          <w:r w:rsidR="00961B80">
                            <w:rPr>
                              <w:rFonts w:ascii="Fira Sans SemiBold" w:hAnsi="Fira Sans SemiBold"/>
                              <w:color w:val="001D77"/>
                            </w:rPr>
                            <w:t>03</w:t>
                          </w:r>
                          <w:r w:rsidR="00A810F9">
                            <w:rPr>
                              <w:rFonts w:ascii="Fira Sans SemiBold" w:hAnsi="Fira Sans SemiBold"/>
                              <w:color w:val="001D77"/>
                            </w:rPr>
                            <w:t>.</w:t>
                          </w:r>
                          <w:r>
                            <w:rPr>
                              <w:rFonts w:ascii="Fira Sans SemiBold" w:hAnsi="Fira Sans SemiBold"/>
                              <w:color w:val="001D77"/>
                            </w:rPr>
                            <w:t>20</w:t>
                          </w:r>
                          <w:r w:rsidR="00961B80">
                            <w:rPr>
                              <w:rFonts w:ascii="Fira Sans SemiBold" w:hAnsi="Fira Sans SemiBold"/>
                              <w:color w:val="001D77"/>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608F51" id="_x0000_t202" coordsize="21600,21600" o:spt="202" path="m,l,21600r21600,l21600,xe">
              <v:stroke joinstyle="miter"/>
              <v:path gradientshapeok="t" o:connecttype="rect"/>
            </v:shapetype>
            <v:shape id="_x0000_s1038"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rsidR="00F37172" w:rsidRPr="00C97596" w:rsidRDefault="00D2653B" w:rsidP="00F37172">
                    <w:pPr>
                      <w:jc w:val="both"/>
                      <w:rPr>
                        <w:rFonts w:ascii="Fira Sans SemiBold" w:hAnsi="Fira Sans SemiBold"/>
                        <w:color w:val="001D77"/>
                      </w:rPr>
                    </w:pPr>
                    <w:r>
                      <w:rPr>
                        <w:rFonts w:ascii="Fira Sans SemiBold" w:hAnsi="Fira Sans SemiBold"/>
                        <w:color w:val="001D77"/>
                      </w:rPr>
                      <w:t>10</w:t>
                    </w:r>
                    <w:r w:rsidR="00A810F9">
                      <w:rPr>
                        <w:rFonts w:ascii="Fira Sans SemiBold" w:hAnsi="Fira Sans SemiBold"/>
                        <w:color w:val="001D77"/>
                      </w:rPr>
                      <w:t>.</w:t>
                    </w:r>
                    <w:r w:rsidR="00961B80">
                      <w:rPr>
                        <w:rFonts w:ascii="Fira Sans SemiBold" w:hAnsi="Fira Sans SemiBold"/>
                        <w:color w:val="001D77"/>
                      </w:rPr>
                      <w:t>03</w:t>
                    </w:r>
                    <w:r w:rsidR="00A810F9">
                      <w:rPr>
                        <w:rFonts w:ascii="Fira Sans SemiBold" w:hAnsi="Fira Sans SemiBold"/>
                        <w:color w:val="001D77"/>
                      </w:rPr>
                      <w:t>.</w:t>
                    </w:r>
                    <w:r>
                      <w:rPr>
                        <w:rFonts w:ascii="Fira Sans SemiBold" w:hAnsi="Fira Sans SemiBold"/>
                        <w:color w:val="001D77"/>
                      </w:rPr>
                      <w:t>20</w:t>
                    </w:r>
                    <w:r w:rsidR="00961B80">
                      <w:rPr>
                        <w:rFonts w:ascii="Fira Sans SemiBold" w:hAnsi="Fira Sans SemiBold"/>
                        <w:color w:val="001D77"/>
                      </w:rPr>
                      <w:t>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6pt;height:125.4pt;visibility:visible;mso-wrap-style:square" o:bullet="t">
        <v:imagedata r:id="rId1" o:title=""/>
      </v:shape>
    </w:pict>
  </w:numPicBullet>
  <w:numPicBullet w:numPicBulletId="1">
    <w:pict>
      <v:shape id="_x0000_i1033" type="#_x0000_t75" style="width:123.6pt;height:125.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4582E"/>
    <w:rsid w:val="000470AA"/>
    <w:rsid w:val="00057CA1"/>
    <w:rsid w:val="0006249F"/>
    <w:rsid w:val="000662E2"/>
    <w:rsid w:val="00066883"/>
    <w:rsid w:val="000670DE"/>
    <w:rsid w:val="00074322"/>
    <w:rsid w:val="00074DD8"/>
    <w:rsid w:val="000806F7"/>
    <w:rsid w:val="00093C74"/>
    <w:rsid w:val="000B0727"/>
    <w:rsid w:val="000C0DD6"/>
    <w:rsid w:val="000C135D"/>
    <w:rsid w:val="000D1D43"/>
    <w:rsid w:val="000D1EAB"/>
    <w:rsid w:val="000D225C"/>
    <w:rsid w:val="000D2A5C"/>
    <w:rsid w:val="000E0918"/>
    <w:rsid w:val="000F0AF9"/>
    <w:rsid w:val="001011C3"/>
    <w:rsid w:val="00110D87"/>
    <w:rsid w:val="00111C2D"/>
    <w:rsid w:val="00114DB9"/>
    <w:rsid w:val="00116087"/>
    <w:rsid w:val="00130296"/>
    <w:rsid w:val="001411DA"/>
    <w:rsid w:val="001423B6"/>
    <w:rsid w:val="001448A7"/>
    <w:rsid w:val="00146621"/>
    <w:rsid w:val="00154720"/>
    <w:rsid w:val="00162325"/>
    <w:rsid w:val="001743F5"/>
    <w:rsid w:val="00192433"/>
    <w:rsid w:val="001951DA"/>
    <w:rsid w:val="001C3269"/>
    <w:rsid w:val="001C7430"/>
    <w:rsid w:val="001D1DB4"/>
    <w:rsid w:val="001D2736"/>
    <w:rsid w:val="00223CE0"/>
    <w:rsid w:val="0025563A"/>
    <w:rsid w:val="002574F9"/>
    <w:rsid w:val="00262B61"/>
    <w:rsid w:val="00276811"/>
    <w:rsid w:val="00280CF8"/>
    <w:rsid w:val="00282699"/>
    <w:rsid w:val="002926DF"/>
    <w:rsid w:val="00296697"/>
    <w:rsid w:val="002A6113"/>
    <w:rsid w:val="002B0472"/>
    <w:rsid w:val="002B6B12"/>
    <w:rsid w:val="002D5D08"/>
    <w:rsid w:val="002E6140"/>
    <w:rsid w:val="002E6985"/>
    <w:rsid w:val="002E71B6"/>
    <w:rsid w:val="002F77C8"/>
    <w:rsid w:val="00304F22"/>
    <w:rsid w:val="00306C7C"/>
    <w:rsid w:val="00322EDD"/>
    <w:rsid w:val="00331527"/>
    <w:rsid w:val="00332320"/>
    <w:rsid w:val="00347D72"/>
    <w:rsid w:val="00357611"/>
    <w:rsid w:val="00367237"/>
    <w:rsid w:val="0037077F"/>
    <w:rsid w:val="00372411"/>
    <w:rsid w:val="00373882"/>
    <w:rsid w:val="003740F2"/>
    <w:rsid w:val="003843DB"/>
    <w:rsid w:val="00391300"/>
    <w:rsid w:val="00393761"/>
    <w:rsid w:val="00397D18"/>
    <w:rsid w:val="003A1B36"/>
    <w:rsid w:val="003A2056"/>
    <w:rsid w:val="003A56B5"/>
    <w:rsid w:val="003B1454"/>
    <w:rsid w:val="003B18B6"/>
    <w:rsid w:val="003C59E0"/>
    <w:rsid w:val="003C6C8D"/>
    <w:rsid w:val="003D4F95"/>
    <w:rsid w:val="003D5A08"/>
    <w:rsid w:val="003D5F42"/>
    <w:rsid w:val="003D60A9"/>
    <w:rsid w:val="003E6DAF"/>
    <w:rsid w:val="003F216B"/>
    <w:rsid w:val="003F4C97"/>
    <w:rsid w:val="003F50DE"/>
    <w:rsid w:val="003F7A34"/>
    <w:rsid w:val="003F7FE6"/>
    <w:rsid w:val="00400193"/>
    <w:rsid w:val="004212E7"/>
    <w:rsid w:val="0042446D"/>
    <w:rsid w:val="00427BF8"/>
    <w:rsid w:val="00431C02"/>
    <w:rsid w:val="00437395"/>
    <w:rsid w:val="00441C5D"/>
    <w:rsid w:val="00445047"/>
    <w:rsid w:val="00463E39"/>
    <w:rsid w:val="00464DBD"/>
    <w:rsid w:val="004657FC"/>
    <w:rsid w:val="004733F6"/>
    <w:rsid w:val="00474E69"/>
    <w:rsid w:val="00487C45"/>
    <w:rsid w:val="0049621B"/>
    <w:rsid w:val="004C1895"/>
    <w:rsid w:val="004C6D40"/>
    <w:rsid w:val="004E31B8"/>
    <w:rsid w:val="004F0C3C"/>
    <w:rsid w:val="004F63FC"/>
    <w:rsid w:val="00505A92"/>
    <w:rsid w:val="005203F1"/>
    <w:rsid w:val="00521BC3"/>
    <w:rsid w:val="005224B1"/>
    <w:rsid w:val="00533632"/>
    <w:rsid w:val="00541E6E"/>
    <w:rsid w:val="0054251F"/>
    <w:rsid w:val="005520D8"/>
    <w:rsid w:val="00556CF1"/>
    <w:rsid w:val="005762A7"/>
    <w:rsid w:val="005916D7"/>
    <w:rsid w:val="005A698C"/>
    <w:rsid w:val="005E0799"/>
    <w:rsid w:val="005E4A52"/>
    <w:rsid w:val="005F5A80"/>
    <w:rsid w:val="00601114"/>
    <w:rsid w:val="006044FF"/>
    <w:rsid w:val="00607000"/>
    <w:rsid w:val="00607CC5"/>
    <w:rsid w:val="0061791A"/>
    <w:rsid w:val="00622A84"/>
    <w:rsid w:val="006234B9"/>
    <w:rsid w:val="00633014"/>
    <w:rsid w:val="0063437B"/>
    <w:rsid w:val="00654A64"/>
    <w:rsid w:val="00663999"/>
    <w:rsid w:val="00663C94"/>
    <w:rsid w:val="006673CA"/>
    <w:rsid w:val="00673C26"/>
    <w:rsid w:val="006812AF"/>
    <w:rsid w:val="0068327D"/>
    <w:rsid w:val="00694AF0"/>
    <w:rsid w:val="006A13E0"/>
    <w:rsid w:val="006A4686"/>
    <w:rsid w:val="006B0E9E"/>
    <w:rsid w:val="006B5AE4"/>
    <w:rsid w:val="006D1507"/>
    <w:rsid w:val="006D4054"/>
    <w:rsid w:val="006E02EC"/>
    <w:rsid w:val="00720C89"/>
    <w:rsid w:val="007211B1"/>
    <w:rsid w:val="0073223E"/>
    <w:rsid w:val="00743553"/>
    <w:rsid w:val="00746187"/>
    <w:rsid w:val="00751E5B"/>
    <w:rsid w:val="0076254F"/>
    <w:rsid w:val="00770EF8"/>
    <w:rsid w:val="007801F5"/>
    <w:rsid w:val="00783CA4"/>
    <w:rsid w:val="007842FB"/>
    <w:rsid w:val="00786124"/>
    <w:rsid w:val="0079514B"/>
    <w:rsid w:val="007A2DC1"/>
    <w:rsid w:val="007D3319"/>
    <w:rsid w:val="007D335D"/>
    <w:rsid w:val="007E3314"/>
    <w:rsid w:val="007E4B03"/>
    <w:rsid w:val="007E70D6"/>
    <w:rsid w:val="007F324B"/>
    <w:rsid w:val="0080553C"/>
    <w:rsid w:val="00805B46"/>
    <w:rsid w:val="00825DC1"/>
    <w:rsid w:val="00825DC2"/>
    <w:rsid w:val="008263E3"/>
    <w:rsid w:val="00834AD3"/>
    <w:rsid w:val="00843795"/>
    <w:rsid w:val="00847F0F"/>
    <w:rsid w:val="00852448"/>
    <w:rsid w:val="00862BB8"/>
    <w:rsid w:val="00870141"/>
    <w:rsid w:val="00880527"/>
    <w:rsid w:val="0088258A"/>
    <w:rsid w:val="00883F33"/>
    <w:rsid w:val="00886332"/>
    <w:rsid w:val="008A26D9"/>
    <w:rsid w:val="008A4CE2"/>
    <w:rsid w:val="008A5152"/>
    <w:rsid w:val="008C0C29"/>
    <w:rsid w:val="008F3638"/>
    <w:rsid w:val="008F4441"/>
    <w:rsid w:val="008F6F31"/>
    <w:rsid w:val="008F74DF"/>
    <w:rsid w:val="009019B4"/>
    <w:rsid w:val="009127BA"/>
    <w:rsid w:val="00915AA6"/>
    <w:rsid w:val="009227A6"/>
    <w:rsid w:val="00933EC1"/>
    <w:rsid w:val="009530DB"/>
    <w:rsid w:val="00953676"/>
    <w:rsid w:val="0095512A"/>
    <w:rsid w:val="00961B80"/>
    <w:rsid w:val="009705EE"/>
    <w:rsid w:val="00977927"/>
    <w:rsid w:val="0098135C"/>
    <w:rsid w:val="0098156A"/>
    <w:rsid w:val="00985CF5"/>
    <w:rsid w:val="00991BAC"/>
    <w:rsid w:val="009A5961"/>
    <w:rsid w:val="009A6EA0"/>
    <w:rsid w:val="009C1335"/>
    <w:rsid w:val="009C1AB2"/>
    <w:rsid w:val="009C7251"/>
    <w:rsid w:val="009E2E3C"/>
    <w:rsid w:val="009E2E91"/>
    <w:rsid w:val="00A139F5"/>
    <w:rsid w:val="00A24587"/>
    <w:rsid w:val="00A27746"/>
    <w:rsid w:val="00A365F4"/>
    <w:rsid w:val="00A47D80"/>
    <w:rsid w:val="00A53132"/>
    <w:rsid w:val="00A563F2"/>
    <w:rsid w:val="00A566E8"/>
    <w:rsid w:val="00A810F9"/>
    <w:rsid w:val="00A86ECC"/>
    <w:rsid w:val="00A86FCC"/>
    <w:rsid w:val="00AA710D"/>
    <w:rsid w:val="00AB5DFF"/>
    <w:rsid w:val="00AB6D25"/>
    <w:rsid w:val="00AC3FCE"/>
    <w:rsid w:val="00AD5895"/>
    <w:rsid w:val="00AE2B90"/>
    <w:rsid w:val="00AE2D4B"/>
    <w:rsid w:val="00AE4F99"/>
    <w:rsid w:val="00B12859"/>
    <w:rsid w:val="00B1321E"/>
    <w:rsid w:val="00B14952"/>
    <w:rsid w:val="00B31E5A"/>
    <w:rsid w:val="00B34B6F"/>
    <w:rsid w:val="00B653AB"/>
    <w:rsid w:val="00B65F9E"/>
    <w:rsid w:val="00B66B19"/>
    <w:rsid w:val="00B72DE6"/>
    <w:rsid w:val="00B914E9"/>
    <w:rsid w:val="00B956EE"/>
    <w:rsid w:val="00BA2BA1"/>
    <w:rsid w:val="00BB4F09"/>
    <w:rsid w:val="00BC39B4"/>
    <w:rsid w:val="00BD4E33"/>
    <w:rsid w:val="00BE13B8"/>
    <w:rsid w:val="00BE3917"/>
    <w:rsid w:val="00BF67C6"/>
    <w:rsid w:val="00C030DE"/>
    <w:rsid w:val="00C056E6"/>
    <w:rsid w:val="00C22105"/>
    <w:rsid w:val="00C244B6"/>
    <w:rsid w:val="00C3702F"/>
    <w:rsid w:val="00C51A56"/>
    <w:rsid w:val="00C63DDC"/>
    <w:rsid w:val="00C64A37"/>
    <w:rsid w:val="00C67984"/>
    <w:rsid w:val="00C7127E"/>
    <w:rsid w:val="00C7158E"/>
    <w:rsid w:val="00C7250B"/>
    <w:rsid w:val="00C7346B"/>
    <w:rsid w:val="00C77C0E"/>
    <w:rsid w:val="00C91687"/>
    <w:rsid w:val="00C9209D"/>
    <w:rsid w:val="00C924A8"/>
    <w:rsid w:val="00C945FE"/>
    <w:rsid w:val="00C96FAA"/>
    <w:rsid w:val="00C97A04"/>
    <w:rsid w:val="00CA107B"/>
    <w:rsid w:val="00CA484D"/>
    <w:rsid w:val="00CA4FB6"/>
    <w:rsid w:val="00CB41A7"/>
    <w:rsid w:val="00CB55A3"/>
    <w:rsid w:val="00CB754D"/>
    <w:rsid w:val="00CC142B"/>
    <w:rsid w:val="00CC739E"/>
    <w:rsid w:val="00CD58B7"/>
    <w:rsid w:val="00CF4099"/>
    <w:rsid w:val="00D00796"/>
    <w:rsid w:val="00D261A2"/>
    <w:rsid w:val="00D2653B"/>
    <w:rsid w:val="00D30555"/>
    <w:rsid w:val="00D336DD"/>
    <w:rsid w:val="00D4761E"/>
    <w:rsid w:val="00D616D2"/>
    <w:rsid w:val="00D63B5F"/>
    <w:rsid w:val="00D64203"/>
    <w:rsid w:val="00D70EF7"/>
    <w:rsid w:val="00D8090A"/>
    <w:rsid w:val="00D8397C"/>
    <w:rsid w:val="00D94EED"/>
    <w:rsid w:val="00D96026"/>
    <w:rsid w:val="00DA049A"/>
    <w:rsid w:val="00DA7C1C"/>
    <w:rsid w:val="00DB043A"/>
    <w:rsid w:val="00DB147A"/>
    <w:rsid w:val="00DB1B7A"/>
    <w:rsid w:val="00DC6708"/>
    <w:rsid w:val="00E01436"/>
    <w:rsid w:val="00E045BD"/>
    <w:rsid w:val="00E17B77"/>
    <w:rsid w:val="00E23337"/>
    <w:rsid w:val="00E259EA"/>
    <w:rsid w:val="00E318D0"/>
    <w:rsid w:val="00E31ACC"/>
    <w:rsid w:val="00E32061"/>
    <w:rsid w:val="00E3432B"/>
    <w:rsid w:val="00E36F6B"/>
    <w:rsid w:val="00E42FF9"/>
    <w:rsid w:val="00E4714C"/>
    <w:rsid w:val="00E51AEB"/>
    <w:rsid w:val="00E522A7"/>
    <w:rsid w:val="00E54452"/>
    <w:rsid w:val="00E664C5"/>
    <w:rsid w:val="00E671A2"/>
    <w:rsid w:val="00E76D26"/>
    <w:rsid w:val="00E84408"/>
    <w:rsid w:val="00EA30A2"/>
    <w:rsid w:val="00EA77E3"/>
    <w:rsid w:val="00EB1390"/>
    <w:rsid w:val="00EB2C71"/>
    <w:rsid w:val="00EB4340"/>
    <w:rsid w:val="00EB556D"/>
    <w:rsid w:val="00EB5A7D"/>
    <w:rsid w:val="00ED55C0"/>
    <w:rsid w:val="00ED682B"/>
    <w:rsid w:val="00EE41D5"/>
    <w:rsid w:val="00F037A4"/>
    <w:rsid w:val="00F06B26"/>
    <w:rsid w:val="00F1124E"/>
    <w:rsid w:val="00F27C8F"/>
    <w:rsid w:val="00F32749"/>
    <w:rsid w:val="00F37172"/>
    <w:rsid w:val="00F4477E"/>
    <w:rsid w:val="00F60EAC"/>
    <w:rsid w:val="00F670E8"/>
    <w:rsid w:val="00F67D8F"/>
    <w:rsid w:val="00F7301C"/>
    <w:rsid w:val="00F802BE"/>
    <w:rsid w:val="00F86024"/>
    <w:rsid w:val="00F8611A"/>
    <w:rsid w:val="00FA05AA"/>
    <w:rsid w:val="00FA4729"/>
    <w:rsid w:val="00FA5128"/>
    <w:rsid w:val="00FB42D4"/>
    <w:rsid w:val="00FB5906"/>
    <w:rsid w:val="00FB762F"/>
    <w:rsid w:val="00FC2AED"/>
    <w:rsid w:val="00FD5EA7"/>
    <w:rsid w:val="00FD670D"/>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
    <w:name w:val="Siatka tabeli — jasna1"/>
    <w:basedOn w:val="Standardowy"/>
    <w:uiPriority w:val="40"/>
    <w:rsid w:val="00D265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uiPriority w:val="99"/>
    <w:semiHidden/>
    <w:unhideWhenUsed/>
    <w:rsid w:val="00CB55A3"/>
    <w:rPr>
      <w:sz w:val="16"/>
      <w:szCs w:val="16"/>
    </w:rPr>
  </w:style>
  <w:style w:type="paragraph" w:styleId="Tekstkomentarza">
    <w:name w:val="annotation text"/>
    <w:basedOn w:val="Normalny"/>
    <w:link w:val="TekstkomentarzaZnak"/>
    <w:uiPriority w:val="99"/>
    <w:semiHidden/>
    <w:unhideWhenUsed/>
    <w:rsid w:val="00CB55A3"/>
    <w:pPr>
      <w:spacing w:line="240" w:lineRule="auto"/>
    </w:pPr>
    <w:rPr>
      <w:rFonts w:eastAsia="Fira Sans Light" w:cs="Times New Roman"/>
      <w:sz w:val="20"/>
      <w:szCs w:val="20"/>
    </w:rPr>
  </w:style>
  <w:style w:type="character" w:customStyle="1" w:styleId="TekstkomentarzaZnak">
    <w:name w:val="Tekst komentarza Znak"/>
    <w:basedOn w:val="Domylnaczcionkaakapitu"/>
    <w:link w:val="Tekstkomentarza"/>
    <w:uiPriority w:val="99"/>
    <w:semiHidden/>
    <w:rsid w:val="00CB55A3"/>
    <w:rPr>
      <w:rFonts w:ascii="Fira Sans" w:eastAsia="Fira Sans Light" w:hAnsi="Fira San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55189925">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hart" Target="charts/chart5.xml"/><Relationship Id="rId26" Type="http://schemas.openxmlformats.org/officeDocument/2006/relationships/hyperlink" Target="mailto:obslugaprasowa@stat.gov.pl" TargetMode="External"/><Relationship Id="rId39" Type="http://schemas.openxmlformats.org/officeDocument/2006/relationships/hyperlink" Target="https://bdl.stat.gov.pl/BDL/dane/podgrup/temat" TargetMode="External"/><Relationship Id="rId21" Type="http://schemas.openxmlformats.org/officeDocument/2006/relationships/header" Target="header1.xml"/><Relationship Id="rId34" Type="http://schemas.openxmlformats.org/officeDocument/2006/relationships/hyperlink" Target="http://stat.gov.pl/metainformacje/slownik-pojec/pojecia-stosowane-w-statystyce-publicznej/3012,pojecie.html" TargetMode="External"/><Relationship Id="rId42" Type="http://schemas.openxmlformats.org/officeDocument/2006/relationships/hyperlink" Target="http://stat.gov.pl/metainformacje/slownik-pojec/pojecia-stosowane-w-statystyce-publicznej/3013,pojecie.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hyperlink" Target="https://bdl.stat.gov.pl/BDL/dane/podgrup/temat" TargetMode="External"/><Relationship Id="rId37" Type="http://schemas.openxmlformats.org/officeDocument/2006/relationships/hyperlink" Target="http://stat.gov.pl/obszary-tematyczne/rynek-pracy/" TargetMode="External"/><Relationship Id="rId40" Type="http://schemas.openxmlformats.org/officeDocument/2006/relationships/hyperlink" Target="https://stat.gov.pl/metainformacje/slownik-pojec/pojecia-stosowane-w-statystyce-publicznej/3011,pojecie.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hyperlink" Target="http://swaid.stat.gov.pl/SitePagesDBW/RynekPracy.aspx"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 Id="rId27" Type="http://schemas.openxmlformats.org/officeDocument/2006/relationships/image" Target="media/image7.png"/><Relationship Id="rId30" Type="http://schemas.openxmlformats.org/officeDocument/2006/relationships/hyperlink" Target="http://stat.gov.pl/obszary-tematyczne/rynek-pracy/" TargetMode="External"/><Relationship Id="rId35" Type="http://schemas.openxmlformats.org/officeDocument/2006/relationships/hyperlink" Target="http://stat.gov.pl/metainformacje/slownik-pojec/pojecia-stosowane-w-statystyce-publicznej/3013,pojecie.html"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image" Target="media/image5.wmf"/><Relationship Id="rId25" Type="http://schemas.openxmlformats.org/officeDocument/2006/relationships/hyperlink" Target="http://warszawa.stat.gov.pl/en/" TargetMode="External"/><Relationship Id="rId33" Type="http://schemas.openxmlformats.org/officeDocument/2006/relationships/hyperlink" Target="https://stat.gov.pl/metainformacje/slownik-pojec/pojecia-stosowane-w-statystyce-publicznej/3011,pojecie.html" TargetMode="External"/><Relationship Id="rId38" Type="http://schemas.openxmlformats.org/officeDocument/2006/relationships/hyperlink" Target="http://swaid.stat.gov.pl/SitePagesDBW/RynekPracy.aspx" TargetMode="External"/><Relationship Id="rId46" Type="http://schemas.openxmlformats.org/officeDocument/2006/relationships/theme" Target="theme/theme1.xml"/><Relationship Id="rId20" Type="http://schemas.openxmlformats.org/officeDocument/2006/relationships/hyperlink" Target="https://ec.europa.eu/eurostat/data/classifications" TargetMode="External"/><Relationship Id="rId41" Type="http://schemas.openxmlformats.org/officeDocument/2006/relationships/hyperlink" Target="http://stat.gov.pl/metainformacje/slownik-pojec/pojecia-stosowane-w-statystyce-publicznej/3012,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E:\0_publikacje\0_SYGNALNE\popyt_na_prace_w_2019_4kw_kraj\wersja_angielska\wykresy_popyt_na_prace_4kw_2019_kraj_02_a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0_publikacje\0_SYGNALNE\popyt_na_prace_w_2019_4kw_kraj\wersja_angielska\wykresy_popyt_na_prace_4kw_2019_kraj_02_an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E:\0_publikacje\0_SYGNALNE\popyt_na_prace_w_2019_4kw_kraj\wersja_angielska\wykresy_popyt_na_prace_4kw_2019_kraj_02_a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0_publikacje\0_SYGNALNE\popyt_na_prace_w_2019_4kw_kraj\wersja_angielska\wykresy_popyt_na_prace_4kw_2019_kraj_02_a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0_publikacje\0_SYGNALNE\popyt_na_prace_w_2019_4kw_kraj\wersja_angielska\wykresy_popyt_na_prace_4kw_2019_kraj_02_ang.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file:///E:\0_publikacje\0_SYGNALNE\popyt_na_prace_w_2019_4kw_kraj\wersja_angielska\wykresy_popyt_na_prace_4kw_2019_kraj_02_ang.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565E-2"/>
          <c:y val="0.11302984594450627"/>
          <c:w val="0.88605635491606716"/>
          <c:h val="0.63524740740740737"/>
        </c:manualLayout>
      </c:layout>
      <c:lineChart>
        <c:grouping val="standard"/>
        <c:varyColors val="0"/>
        <c:ser>
          <c:idx val="0"/>
          <c:order val="0"/>
          <c:tx>
            <c:strRef>
              <c:f>'wyk1'!$C$2</c:f>
              <c:strCache>
                <c:ptCount val="1"/>
                <c:pt idx="0">
                  <c:v>Newly created jobs</c:v>
                </c:pt>
              </c:strCache>
            </c:strRef>
          </c:tx>
          <c:spPr>
            <a:ln w="28575" cap="rnd">
              <a:solidFill>
                <a:srgbClr val="001D77"/>
              </a:solidFill>
              <a:round/>
            </a:ln>
            <a:effectLst/>
          </c:spPr>
          <c:marker>
            <c:symbol val="none"/>
          </c:marker>
          <c:cat>
            <c:multiLvlStrRef>
              <c:f>'wyk1'!$A$3:$B$34</c:f>
              <c:multiLvlStrCache>
                <c:ptCount val="3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lvl>
                <c:lvl>
                  <c:pt idx="0">
                    <c:v>2012</c:v>
                  </c:pt>
                  <c:pt idx="4">
                    <c:v>2013</c:v>
                  </c:pt>
                  <c:pt idx="8">
                    <c:v>2014</c:v>
                  </c:pt>
                  <c:pt idx="12">
                    <c:v>2015</c:v>
                  </c:pt>
                  <c:pt idx="16">
                    <c:v>2016</c:v>
                  </c:pt>
                  <c:pt idx="20">
                    <c:v>2017</c:v>
                  </c:pt>
                  <c:pt idx="24">
                    <c:v>2018</c:v>
                  </c:pt>
                  <c:pt idx="28">
                    <c:v>2019</c:v>
                  </c:pt>
                </c:lvl>
              </c:multiLvlStrCache>
            </c:multiLvlStrRef>
          </c:cat>
          <c:val>
            <c:numRef>
              <c:f>'wyk1'!$C$3:$C$34</c:f>
              <c:numCache>
                <c:formatCode>0.0</c:formatCode>
                <c:ptCount val="32"/>
                <c:pt idx="0">
                  <c:v>159.74</c:v>
                </c:pt>
                <c:pt idx="1">
                  <c:v>121.786</c:v>
                </c:pt>
                <c:pt idx="2">
                  <c:v>104.04600000000001</c:v>
                </c:pt>
                <c:pt idx="3">
                  <c:v>79.459000000000003</c:v>
                </c:pt>
                <c:pt idx="4">
                  <c:v>156.05000000000001</c:v>
                </c:pt>
                <c:pt idx="5">
                  <c:v>126.264</c:v>
                </c:pt>
                <c:pt idx="6">
                  <c:v>123.804</c:v>
                </c:pt>
                <c:pt idx="7">
                  <c:v>96.316999999999993</c:v>
                </c:pt>
                <c:pt idx="8">
                  <c:v>179.142</c:v>
                </c:pt>
                <c:pt idx="9">
                  <c:v>144.30699999999999</c:v>
                </c:pt>
                <c:pt idx="10">
                  <c:v>137.363</c:v>
                </c:pt>
                <c:pt idx="11">
                  <c:v>154</c:v>
                </c:pt>
                <c:pt idx="12">
                  <c:v>192.8</c:v>
                </c:pt>
                <c:pt idx="13">
                  <c:v>154.4</c:v>
                </c:pt>
                <c:pt idx="14">
                  <c:v>137.69999999999999</c:v>
                </c:pt>
                <c:pt idx="15">
                  <c:v>117.1</c:v>
                </c:pt>
                <c:pt idx="16">
                  <c:v>192</c:v>
                </c:pt>
                <c:pt idx="17">
                  <c:v>159.4</c:v>
                </c:pt>
                <c:pt idx="18">
                  <c:v>147.6</c:v>
                </c:pt>
                <c:pt idx="19">
                  <c:v>119.7</c:v>
                </c:pt>
                <c:pt idx="20">
                  <c:v>225.5</c:v>
                </c:pt>
                <c:pt idx="21">
                  <c:v>165.1</c:v>
                </c:pt>
                <c:pt idx="22">
                  <c:v>160.5</c:v>
                </c:pt>
                <c:pt idx="23">
                  <c:v>143</c:v>
                </c:pt>
                <c:pt idx="24" formatCode="General">
                  <c:v>258</c:v>
                </c:pt>
                <c:pt idx="25">
                  <c:v>167.9</c:v>
                </c:pt>
                <c:pt idx="26">
                  <c:v>167.3</c:v>
                </c:pt>
                <c:pt idx="27">
                  <c:v>124.5</c:v>
                </c:pt>
                <c:pt idx="28" formatCode="General">
                  <c:v>262.3</c:v>
                </c:pt>
                <c:pt idx="29" formatCode="General">
                  <c:v>146.80000000000001</c:v>
                </c:pt>
                <c:pt idx="30">
                  <c:v>151.19999999999999</c:v>
                </c:pt>
                <c:pt idx="31">
                  <c:v>114.4</c:v>
                </c:pt>
              </c:numCache>
            </c:numRef>
          </c:val>
          <c:smooth val="0"/>
          <c:extLst xmlns:c16r2="http://schemas.microsoft.com/office/drawing/2015/06/chart">
            <c:ext xmlns:c16="http://schemas.microsoft.com/office/drawing/2014/chart" uri="{C3380CC4-5D6E-409C-BE32-E72D297353CC}">
              <c16:uniqueId val="{00000000-FF1A-47E1-860D-96D9D944AADD}"/>
            </c:ext>
          </c:extLst>
        </c:ser>
        <c:ser>
          <c:idx val="1"/>
          <c:order val="1"/>
          <c:tx>
            <c:strRef>
              <c:f>'wyk1'!$D$2</c:f>
              <c:strCache>
                <c:ptCount val="1"/>
                <c:pt idx="0">
                  <c:v>Liquidated jobs</c:v>
                </c:pt>
              </c:strCache>
            </c:strRef>
          </c:tx>
          <c:spPr>
            <a:ln w="28575" cap="rnd">
              <a:solidFill>
                <a:srgbClr val="C0C0C0"/>
              </a:solidFill>
              <a:round/>
            </a:ln>
            <a:effectLst/>
          </c:spPr>
          <c:marker>
            <c:symbol val="none"/>
          </c:marker>
          <c:cat>
            <c:multiLvlStrRef>
              <c:f>'wyk1'!$A$3:$B$34</c:f>
              <c:multiLvlStrCache>
                <c:ptCount val="3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lvl>
                <c:lvl>
                  <c:pt idx="0">
                    <c:v>2012</c:v>
                  </c:pt>
                  <c:pt idx="4">
                    <c:v>2013</c:v>
                  </c:pt>
                  <c:pt idx="8">
                    <c:v>2014</c:v>
                  </c:pt>
                  <c:pt idx="12">
                    <c:v>2015</c:v>
                  </c:pt>
                  <c:pt idx="16">
                    <c:v>2016</c:v>
                  </c:pt>
                  <c:pt idx="20">
                    <c:v>2017</c:v>
                  </c:pt>
                  <c:pt idx="24">
                    <c:v>2018</c:v>
                  </c:pt>
                  <c:pt idx="28">
                    <c:v>2019</c:v>
                  </c:pt>
                </c:lvl>
              </c:multiLvlStrCache>
            </c:multiLvlStrRef>
          </c:cat>
          <c:val>
            <c:numRef>
              <c:f>'wyk1'!$D$3:$D$34</c:f>
              <c:numCache>
                <c:formatCode>General</c:formatCode>
                <c:ptCount val="32"/>
                <c:pt idx="0">
                  <c:v>95.9</c:v>
                </c:pt>
                <c:pt idx="1">
                  <c:v>83.8</c:v>
                </c:pt>
                <c:pt idx="2">
                  <c:v>97.1</c:v>
                </c:pt>
                <c:pt idx="3">
                  <c:v>99.7</c:v>
                </c:pt>
                <c:pt idx="4">
                  <c:v>115.7</c:v>
                </c:pt>
                <c:pt idx="5">
                  <c:v>80.8</c:v>
                </c:pt>
                <c:pt idx="6">
                  <c:v>83.9</c:v>
                </c:pt>
                <c:pt idx="7">
                  <c:v>66.7</c:v>
                </c:pt>
                <c:pt idx="8">
                  <c:v>95.9</c:v>
                </c:pt>
                <c:pt idx="9">
                  <c:v>72.7</c:v>
                </c:pt>
                <c:pt idx="10">
                  <c:v>79.8</c:v>
                </c:pt>
                <c:pt idx="11">
                  <c:v>71.8</c:v>
                </c:pt>
                <c:pt idx="12">
                  <c:v>95.8</c:v>
                </c:pt>
                <c:pt idx="13">
                  <c:v>71.3</c:v>
                </c:pt>
                <c:pt idx="14">
                  <c:v>74.900000000000006</c:v>
                </c:pt>
                <c:pt idx="15">
                  <c:v>75.5</c:v>
                </c:pt>
                <c:pt idx="16">
                  <c:v>82.8</c:v>
                </c:pt>
                <c:pt idx="17">
                  <c:v>68.900000000000006</c:v>
                </c:pt>
                <c:pt idx="18">
                  <c:v>71.900000000000006</c:v>
                </c:pt>
                <c:pt idx="19">
                  <c:v>60.6</c:v>
                </c:pt>
                <c:pt idx="20">
                  <c:v>79</c:v>
                </c:pt>
                <c:pt idx="21">
                  <c:v>60.9</c:v>
                </c:pt>
                <c:pt idx="22">
                  <c:v>61.9</c:v>
                </c:pt>
                <c:pt idx="23">
                  <c:v>62.4</c:v>
                </c:pt>
                <c:pt idx="24">
                  <c:v>87.9</c:v>
                </c:pt>
                <c:pt idx="25">
                  <c:v>58.8</c:v>
                </c:pt>
                <c:pt idx="26">
                  <c:v>80.599999999999994</c:v>
                </c:pt>
                <c:pt idx="27">
                  <c:v>73.2</c:v>
                </c:pt>
                <c:pt idx="28">
                  <c:v>88.7</c:v>
                </c:pt>
                <c:pt idx="29">
                  <c:v>81.900000000000006</c:v>
                </c:pt>
                <c:pt idx="30">
                  <c:v>82.1</c:v>
                </c:pt>
                <c:pt idx="31">
                  <c:v>61.3</c:v>
                </c:pt>
              </c:numCache>
            </c:numRef>
          </c:val>
          <c:smooth val="0"/>
          <c:extLst xmlns:c16r2="http://schemas.microsoft.com/office/drawing/2015/06/chart">
            <c:ext xmlns:c16="http://schemas.microsoft.com/office/drawing/2014/chart" uri="{C3380CC4-5D6E-409C-BE32-E72D297353CC}">
              <c16:uniqueId val="{00000001-FF1A-47E1-860D-96D9D944AADD}"/>
            </c:ext>
          </c:extLst>
        </c:ser>
        <c:dLbls>
          <c:showLegendKey val="0"/>
          <c:showVal val="0"/>
          <c:showCatName val="0"/>
          <c:showSerName val="0"/>
          <c:showPercent val="0"/>
          <c:showBubbleSize val="0"/>
        </c:dLbls>
        <c:smooth val="0"/>
        <c:axId val="-751540560"/>
        <c:axId val="-751551440"/>
      </c:lineChart>
      <c:catAx>
        <c:axId val="-75154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51440"/>
        <c:crosses val="autoZero"/>
        <c:auto val="1"/>
        <c:lblAlgn val="ctr"/>
        <c:lblOffset val="100"/>
        <c:noMultiLvlLbl val="0"/>
      </c:catAx>
      <c:valAx>
        <c:axId val="-751551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thousands</a:t>
                </a:r>
                <a:endParaRPr lang="en-US"/>
              </a:p>
            </c:rich>
          </c:tx>
          <c:layout>
            <c:manualLayout>
              <c:xMode val="edge"/>
              <c:yMode val="edge"/>
              <c:x val="3.1441846522781772E-2"/>
              <c:y val="2.4507037037037036E-2"/>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40560"/>
        <c:crosses val="autoZero"/>
        <c:crossBetween val="between"/>
      </c:valAx>
      <c:spPr>
        <a:noFill/>
        <a:ln>
          <a:noFill/>
        </a:ln>
        <a:effectLst/>
      </c:spPr>
    </c:plotArea>
    <c:legend>
      <c:legendPos val="b"/>
      <c:layout>
        <c:manualLayout>
          <c:xMode val="edge"/>
          <c:yMode val="edge"/>
          <c:x val="0.10302458033573142"/>
          <c:y val="0.91296296296296298"/>
          <c:w val="0.79395083932853716"/>
          <c:h val="7.29259259259259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dPt>
            <c:idx val="0"/>
            <c:bubble3D val="0"/>
            <c:spPr>
              <a:solidFill>
                <a:srgbClr val="001D77"/>
              </a:solidFill>
              <a:ln w="19050">
                <a:noFill/>
              </a:ln>
              <a:effectLst/>
            </c:spPr>
            <c:extLst xmlns:c16r2="http://schemas.microsoft.com/office/drawing/2015/06/chart">
              <c:ext xmlns:c16="http://schemas.microsoft.com/office/drawing/2014/chart" uri="{C3380CC4-5D6E-409C-BE32-E72D297353CC}">
                <c16:uniqueId val="{00000001-64D1-4398-A45B-34709F9F2A91}"/>
              </c:ext>
            </c:extLst>
          </c:dPt>
          <c:dPt>
            <c:idx val="1"/>
            <c:bubble3D val="0"/>
            <c:spPr>
              <a:solidFill>
                <a:srgbClr val="6677AD"/>
              </a:solidFill>
              <a:ln w="19050">
                <a:noFill/>
              </a:ln>
              <a:effectLst/>
            </c:spPr>
            <c:extLst xmlns:c16r2="http://schemas.microsoft.com/office/drawing/2015/06/chart">
              <c:ext xmlns:c16="http://schemas.microsoft.com/office/drawing/2014/chart" uri="{C3380CC4-5D6E-409C-BE32-E72D297353CC}">
                <c16:uniqueId val="{00000003-64D1-4398-A45B-34709F9F2A91}"/>
              </c:ext>
            </c:extLst>
          </c:dPt>
          <c:dPt>
            <c:idx val="2"/>
            <c:bubble3D val="0"/>
            <c:spPr>
              <a:solidFill>
                <a:srgbClr val="CCD2E4"/>
              </a:solidFill>
              <a:ln w="19050">
                <a:noFill/>
              </a:ln>
              <a:effectLst/>
            </c:spPr>
            <c:extLst xmlns:c16r2="http://schemas.microsoft.com/office/drawing/2015/06/chart">
              <c:ext xmlns:c16="http://schemas.microsoft.com/office/drawing/2014/chart" uri="{C3380CC4-5D6E-409C-BE32-E72D297353CC}">
                <c16:uniqueId val="{00000005-64D1-4398-A45B-34709F9F2A91}"/>
              </c:ext>
            </c:extLst>
          </c:dPt>
          <c:cat>
            <c:strRef>
              <c:f>'wyk2'!$A$4:$A$6</c:f>
              <c:strCache>
                <c:ptCount val="3"/>
                <c:pt idx="0">
                  <c:v>up to 9 persons</c:v>
                </c:pt>
                <c:pt idx="1">
                  <c:v>10-49 persons</c:v>
                </c:pt>
                <c:pt idx="2">
                  <c:v> more than 49 persons</c:v>
                </c:pt>
              </c:strCache>
            </c:strRef>
          </c:cat>
          <c:val>
            <c:numRef>
              <c:f>'wyk2'!$B$4:$B$6</c:f>
              <c:numCache>
                <c:formatCode>General</c:formatCode>
                <c:ptCount val="3"/>
                <c:pt idx="0">
                  <c:v>45.1</c:v>
                </c:pt>
                <c:pt idx="1">
                  <c:v>24.2</c:v>
                </c:pt>
                <c:pt idx="2">
                  <c:v>56.2</c:v>
                </c:pt>
              </c:numCache>
            </c:numRef>
          </c:val>
          <c:extLst xmlns:c16r2="http://schemas.microsoft.com/office/drawing/2015/06/chart">
            <c:ext xmlns:c16="http://schemas.microsoft.com/office/drawing/2014/chart" uri="{C3380CC4-5D6E-409C-BE32-E72D297353CC}">
              <c16:uniqueId val="{00000006-64D1-4398-A45B-34709F9F2A9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274154123550996"/>
          <c:y val="0.45104953039163564"/>
          <c:w val="0.33097811620262629"/>
          <c:h val="0.2860145312776891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122701838529176E-2"/>
          <c:y val="4.0108718637658441E-2"/>
          <c:w val="0.92776998401278954"/>
          <c:h val="0.30706320145829136"/>
        </c:manualLayout>
      </c:layout>
      <c:barChart>
        <c:barDir val="bar"/>
        <c:grouping val="stacked"/>
        <c:varyColors val="0"/>
        <c:ser>
          <c:idx val="0"/>
          <c:order val="0"/>
          <c:tx>
            <c:strRef>
              <c:f>'wyk4'!$A$17</c:f>
              <c:strCache>
                <c:ptCount val="1"/>
                <c:pt idx="0">
                  <c:v>Craft and related trades workers</c:v>
                </c:pt>
              </c:strCache>
            </c:strRef>
          </c:tx>
          <c:spPr>
            <a:solidFill>
              <a:srgbClr val="001D77"/>
            </a:solidFill>
            <a:ln>
              <a:noFill/>
            </a:ln>
            <a:effectLst/>
          </c:spPr>
          <c:invertIfNegative val="0"/>
          <c:val>
            <c:numRef>
              <c:f>'wyk4'!$B$17</c:f>
              <c:numCache>
                <c:formatCode>0.0</c:formatCode>
                <c:ptCount val="1"/>
                <c:pt idx="0">
                  <c:v>22.514787710655124</c:v>
                </c:pt>
              </c:numCache>
            </c:numRef>
          </c:val>
          <c:extLst xmlns:c16r2="http://schemas.microsoft.com/office/drawing/2015/06/chart">
            <c:ext xmlns:c16="http://schemas.microsoft.com/office/drawing/2014/chart" uri="{C3380CC4-5D6E-409C-BE32-E72D297353CC}">
              <c16:uniqueId val="{00000000-393A-4D7C-BE6D-42C4540A7FEB}"/>
            </c:ext>
          </c:extLst>
        </c:ser>
        <c:ser>
          <c:idx val="1"/>
          <c:order val="1"/>
          <c:tx>
            <c:strRef>
              <c:f>'wyk4'!$A$18</c:f>
              <c:strCache>
                <c:ptCount val="1"/>
                <c:pt idx="0">
                  <c:v>Professionals</c:v>
                </c:pt>
              </c:strCache>
            </c:strRef>
          </c:tx>
          <c:spPr>
            <a:solidFill>
              <a:srgbClr val="334A92"/>
            </a:solidFill>
            <a:ln>
              <a:noFill/>
            </a:ln>
            <a:effectLst/>
          </c:spPr>
          <c:invertIfNegative val="0"/>
          <c:val>
            <c:numRef>
              <c:f>'wyk4'!$B$18</c:f>
              <c:numCache>
                <c:formatCode>0.0</c:formatCode>
                <c:ptCount val="1"/>
                <c:pt idx="0">
                  <c:v>19.465569745380336</c:v>
                </c:pt>
              </c:numCache>
            </c:numRef>
          </c:val>
          <c:extLst xmlns:c16r2="http://schemas.microsoft.com/office/drawing/2015/06/chart">
            <c:ext xmlns:c16="http://schemas.microsoft.com/office/drawing/2014/chart" uri="{C3380CC4-5D6E-409C-BE32-E72D297353CC}">
              <c16:uniqueId val="{00000001-393A-4D7C-BE6D-42C4540A7FEB}"/>
            </c:ext>
          </c:extLst>
        </c:ser>
        <c:ser>
          <c:idx val="2"/>
          <c:order val="2"/>
          <c:tx>
            <c:strRef>
              <c:f>'wyk4'!$A$19</c:f>
              <c:strCache>
                <c:ptCount val="1"/>
                <c:pt idx="0">
                  <c:v>Plant and machine operators and assemblers</c:v>
                </c:pt>
              </c:strCache>
            </c:strRef>
          </c:tx>
          <c:spPr>
            <a:solidFill>
              <a:srgbClr val="6677AD"/>
            </a:solidFill>
            <a:ln>
              <a:noFill/>
            </a:ln>
            <a:effectLst/>
          </c:spPr>
          <c:invertIfNegative val="0"/>
          <c:val>
            <c:numRef>
              <c:f>'wyk4'!$B$19</c:f>
              <c:numCache>
                <c:formatCode>0.0</c:formatCode>
                <c:ptCount val="1"/>
                <c:pt idx="0">
                  <c:v>15.9165191881507</c:v>
                </c:pt>
              </c:numCache>
            </c:numRef>
          </c:val>
          <c:extLst xmlns:c16r2="http://schemas.microsoft.com/office/drawing/2015/06/chart">
            <c:ext xmlns:c16="http://schemas.microsoft.com/office/drawing/2014/chart" uri="{C3380CC4-5D6E-409C-BE32-E72D297353CC}">
              <c16:uniqueId val="{00000002-393A-4D7C-BE6D-42C4540A7FEB}"/>
            </c:ext>
          </c:extLst>
        </c:ser>
        <c:ser>
          <c:idx val="3"/>
          <c:order val="3"/>
          <c:tx>
            <c:strRef>
              <c:f>'wyk4'!$A$20</c:f>
              <c:strCache>
                <c:ptCount val="1"/>
                <c:pt idx="0">
                  <c:v>Services and sales workers</c:v>
                </c:pt>
              </c:strCache>
            </c:strRef>
          </c:tx>
          <c:spPr>
            <a:solidFill>
              <a:srgbClr val="99A5C9"/>
            </a:solidFill>
            <a:ln>
              <a:noFill/>
            </a:ln>
            <a:effectLst/>
          </c:spPr>
          <c:invertIfNegative val="0"/>
          <c:val>
            <c:numRef>
              <c:f>'wyk4'!$B$20</c:f>
              <c:numCache>
                <c:formatCode>0.0</c:formatCode>
                <c:ptCount val="1"/>
                <c:pt idx="0">
                  <c:v>11.810238994913984</c:v>
                </c:pt>
              </c:numCache>
            </c:numRef>
          </c:val>
          <c:extLst xmlns:c16r2="http://schemas.microsoft.com/office/drawing/2015/06/chart">
            <c:ext xmlns:c16="http://schemas.microsoft.com/office/drawing/2014/chart" uri="{C3380CC4-5D6E-409C-BE32-E72D297353CC}">
              <c16:uniqueId val="{00000003-393A-4D7C-BE6D-42C4540A7FEB}"/>
            </c:ext>
          </c:extLst>
        </c:ser>
        <c:ser>
          <c:idx val="4"/>
          <c:order val="4"/>
          <c:tx>
            <c:strRef>
              <c:f>'wyk4'!$A$21</c:f>
              <c:strCache>
                <c:ptCount val="1"/>
                <c:pt idx="0">
                  <c:v>Clerical support workers</c:v>
                </c:pt>
              </c:strCache>
            </c:strRef>
          </c:tx>
          <c:spPr>
            <a:solidFill>
              <a:srgbClr val="CCD2E4"/>
            </a:solidFill>
            <a:ln>
              <a:noFill/>
            </a:ln>
            <a:effectLst/>
          </c:spPr>
          <c:invertIfNegative val="0"/>
          <c:val>
            <c:numRef>
              <c:f>'wyk4'!$B$21</c:f>
              <c:numCache>
                <c:formatCode>0.0</c:formatCode>
                <c:ptCount val="1"/>
                <c:pt idx="0">
                  <c:v>10.881522934902184</c:v>
                </c:pt>
              </c:numCache>
            </c:numRef>
          </c:val>
          <c:extLst xmlns:c16r2="http://schemas.microsoft.com/office/drawing/2015/06/chart">
            <c:ext xmlns:c16="http://schemas.microsoft.com/office/drawing/2014/chart" uri="{C3380CC4-5D6E-409C-BE32-E72D297353CC}">
              <c16:uniqueId val="{00000004-393A-4D7C-BE6D-42C4540A7FEB}"/>
            </c:ext>
          </c:extLst>
        </c:ser>
        <c:ser>
          <c:idx val="5"/>
          <c:order val="5"/>
          <c:tx>
            <c:strRef>
              <c:f>'wyk4'!$A$22</c:f>
              <c:strCache>
                <c:ptCount val="1"/>
                <c:pt idx="0">
                  <c:v>Elementary occupations</c:v>
                </c:pt>
              </c:strCache>
            </c:strRef>
          </c:tx>
          <c:spPr>
            <a:solidFill>
              <a:srgbClr val="C0C0C0"/>
            </a:solidFill>
            <a:ln>
              <a:noFill/>
            </a:ln>
            <a:effectLst/>
          </c:spPr>
          <c:invertIfNegative val="0"/>
          <c:val>
            <c:numRef>
              <c:f>'wyk4'!$B$22</c:f>
              <c:numCache>
                <c:formatCode>0.0</c:formatCode>
                <c:ptCount val="1"/>
                <c:pt idx="0">
                  <c:v>8.9674909519937511</c:v>
                </c:pt>
              </c:numCache>
            </c:numRef>
          </c:val>
          <c:extLst xmlns:c16r2="http://schemas.microsoft.com/office/drawing/2015/06/chart">
            <c:ext xmlns:c16="http://schemas.microsoft.com/office/drawing/2014/chart" uri="{C3380CC4-5D6E-409C-BE32-E72D297353CC}">
              <c16:uniqueId val="{00000005-393A-4D7C-BE6D-42C4540A7FEB}"/>
            </c:ext>
          </c:extLst>
        </c:ser>
        <c:ser>
          <c:idx val="6"/>
          <c:order val="6"/>
          <c:tx>
            <c:strRef>
              <c:f>'wyk4'!$A$23</c:f>
              <c:strCache>
                <c:ptCount val="1"/>
                <c:pt idx="0">
                  <c:v>Technicians and associate professionals</c:v>
                </c:pt>
              </c:strCache>
            </c:strRef>
          </c:tx>
          <c:spPr>
            <a:solidFill>
              <a:srgbClr val="969696"/>
            </a:solidFill>
            <a:ln>
              <a:noFill/>
            </a:ln>
            <a:effectLst/>
          </c:spPr>
          <c:invertIfNegative val="0"/>
          <c:val>
            <c:numRef>
              <c:f>'wyk4'!$B$23</c:f>
              <c:numCache>
                <c:formatCode>0.0</c:formatCode>
                <c:ptCount val="1"/>
                <c:pt idx="0">
                  <c:v>7.4871255241466175</c:v>
                </c:pt>
              </c:numCache>
            </c:numRef>
          </c:val>
          <c:extLst xmlns:c16r2="http://schemas.microsoft.com/office/drawing/2015/06/chart">
            <c:ext xmlns:c16="http://schemas.microsoft.com/office/drawing/2014/chart" uri="{C3380CC4-5D6E-409C-BE32-E72D297353CC}">
              <c16:uniqueId val="{00000006-393A-4D7C-BE6D-42C4540A7FEB}"/>
            </c:ext>
          </c:extLst>
        </c:ser>
        <c:ser>
          <c:idx val="7"/>
          <c:order val="7"/>
          <c:tx>
            <c:strRef>
              <c:f>'wyk4'!$A$24</c:f>
              <c:strCache>
                <c:ptCount val="1"/>
                <c:pt idx="0">
                  <c:v>Managers</c:v>
                </c:pt>
              </c:strCache>
            </c:strRef>
          </c:tx>
          <c:spPr>
            <a:solidFill>
              <a:srgbClr val="808080"/>
            </a:solidFill>
            <a:ln>
              <a:noFill/>
            </a:ln>
            <a:effectLst/>
          </c:spPr>
          <c:invertIfNegative val="0"/>
          <c:val>
            <c:numRef>
              <c:f>'wyk4'!$B$24</c:f>
              <c:numCache>
                <c:formatCode>0.0</c:formatCode>
                <c:ptCount val="1"/>
                <c:pt idx="0">
                  <c:v>2.9200746161572679</c:v>
                </c:pt>
              </c:numCache>
            </c:numRef>
          </c:val>
          <c:extLst xmlns:c16r2="http://schemas.microsoft.com/office/drawing/2015/06/chart">
            <c:ext xmlns:c16="http://schemas.microsoft.com/office/drawing/2014/chart" uri="{C3380CC4-5D6E-409C-BE32-E72D297353CC}">
              <c16:uniqueId val="{00000007-393A-4D7C-BE6D-42C4540A7FEB}"/>
            </c:ext>
          </c:extLst>
        </c:ser>
        <c:ser>
          <c:idx val="8"/>
          <c:order val="8"/>
          <c:tx>
            <c:strRef>
              <c:f>'wyk4'!$A$25</c:f>
              <c:strCache>
                <c:ptCount val="1"/>
                <c:pt idx="0">
                  <c:v>Skilled agricultural, forestry and fishery workers</c:v>
                </c:pt>
              </c:strCache>
            </c:strRef>
          </c:tx>
          <c:spPr>
            <a:solidFill>
              <a:srgbClr val="4D4D4D"/>
            </a:solidFill>
            <a:ln>
              <a:noFill/>
            </a:ln>
            <a:effectLst/>
          </c:spPr>
          <c:invertIfNegative val="0"/>
          <c:val>
            <c:numRef>
              <c:f>'wyk4'!$B$25</c:f>
              <c:numCache>
                <c:formatCode>0.0</c:formatCode>
                <c:ptCount val="1"/>
                <c:pt idx="0">
                  <c:v>3.6670333700036667E-2</c:v>
                </c:pt>
              </c:numCache>
            </c:numRef>
          </c:val>
          <c:extLst xmlns:c16r2="http://schemas.microsoft.com/office/drawing/2015/06/chart">
            <c:ext xmlns:c16="http://schemas.microsoft.com/office/drawing/2014/chart" uri="{C3380CC4-5D6E-409C-BE32-E72D297353CC}">
              <c16:uniqueId val="{00000008-393A-4D7C-BE6D-42C4540A7FEB}"/>
            </c:ext>
          </c:extLst>
        </c:ser>
        <c:dLbls>
          <c:showLegendKey val="0"/>
          <c:showVal val="0"/>
          <c:showCatName val="0"/>
          <c:showSerName val="0"/>
          <c:showPercent val="0"/>
          <c:showBubbleSize val="0"/>
        </c:dLbls>
        <c:gapWidth val="150"/>
        <c:overlap val="100"/>
        <c:axId val="-751537840"/>
        <c:axId val="-751540016"/>
      </c:barChart>
      <c:catAx>
        <c:axId val="-751537840"/>
        <c:scaling>
          <c:orientation val="minMax"/>
        </c:scaling>
        <c:delete val="1"/>
        <c:axPos val="l"/>
        <c:numFmt formatCode="General" sourceLinked="1"/>
        <c:majorTickMark val="none"/>
        <c:minorTickMark val="none"/>
        <c:tickLblPos val="nextTo"/>
        <c:crossAx val="-751540016"/>
        <c:crosses val="autoZero"/>
        <c:auto val="1"/>
        <c:lblAlgn val="ctr"/>
        <c:lblOffset val="100"/>
        <c:noMultiLvlLbl val="0"/>
      </c:catAx>
      <c:valAx>
        <c:axId val="-751540016"/>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a:t>
                </a:r>
                <a:endParaRPr lang="en-US"/>
              </a:p>
            </c:rich>
          </c:tx>
          <c:layout>
            <c:manualLayout>
              <c:xMode val="edge"/>
              <c:yMode val="edge"/>
              <c:x val="0.96702218225419645"/>
              <c:y val="0.3658085185185185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37840"/>
        <c:crosses val="autoZero"/>
        <c:crossBetween val="between"/>
      </c:valAx>
      <c:spPr>
        <a:noFill/>
        <a:ln>
          <a:noFill/>
        </a:ln>
        <a:effectLst/>
      </c:spPr>
    </c:plotArea>
    <c:legend>
      <c:legendPos val="b"/>
      <c:layout>
        <c:manualLayout>
          <c:xMode val="edge"/>
          <c:yMode val="edge"/>
          <c:x val="0.21603157474020784"/>
          <c:y val="0.46798777777777778"/>
          <c:w val="0.59839208633093532"/>
          <c:h val="0.5203375667378679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310712384146712"/>
          <c:y val="4.4755817399691297E-2"/>
          <c:w val="0.67110191846522771"/>
          <c:h val="0.86849281116946853"/>
        </c:manualLayout>
      </c:layout>
      <c:barChart>
        <c:barDir val="bar"/>
        <c:grouping val="clustered"/>
        <c:varyColors val="0"/>
        <c:ser>
          <c:idx val="0"/>
          <c:order val="0"/>
          <c:spPr>
            <a:solidFill>
              <a:srgbClr val="001D77"/>
            </a:solidFill>
            <a:ln>
              <a:noFill/>
            </a:ln>
            <a:effectLst/>
          </c:spPr>
          <c:invertIfNegative val="0"/>
          <c:cat>
            <c:strRef>
              <c:f>'wyk6'!$A$5:$A$20</c:f>
              <c:strCache>
                <c:ptCount val="16"/>
                <c:pt idx="0">
                  <c:v>Lubelskie</c:v>
                </c:pt>
                <c:pt idx="1">
                  <c:v>Podlaskie</c:v>
                </c:pt>
                <c:pt idx="2">
                  <c:v>Świętokrzyskie</c:v>
                </c:pt>
                <c:pt idx="3">
                  <c:v>Lubuskie</c:v>
                </c:pt>
                <c:pt idx="4">
                  <c:v>Opolskie</c:v>
                </c:pt>
                <c:pt idx="5">
                  <c:v>Podkarpackie</c:v>
                </c:pt>
                <c:pt idx="6">
                  <c:v>Warmińsko-Mazurskie</c:v>
                </c:pt>
                <c:pt idx="7">
                  <c:v>Kujawsko-Pomorskie</c:v>
                </c:pt>
                <c:pt idx="8">
                  <c:v>Zachodniopomorskie</c:v>
                </c:pt>
                <c:pt idx="9">
                  <c:v>Łódzkie</c:v>
                </c:pt>
                <c:pt idx="10">
                  <c:v>Pomorskie</c:v>
                </c:pt>
                <c:pt idx="11">
                  <c:v>Wielkopolskie</c:v>
                </c:pt>
                <c:pt idx="12">
                  <c:v>Dolnośląskie</c:v>
                </c:pt>
                <c:pt idx="13">
                  <c:v>Małopolskie</c:v>
                </c:pt>
                <c:pt idx="14">
                  <c:v>Śląskie</c:v>
                </c:pt>
                <c:pt idx="15">
                  <c:v>Mazowieckie</c:v>
                </c:pt>
              </c:strCache>
            </c:strRef>
          </c:cat>
          <c:val>
            <c:numRef>
              <c:f>'wyk6'!$B$5:$B$20</c:f>
              <c:numCache>
                <c:formatCode>General</c:formatCode>
                <c:ptCount val="16"/>
                <c:pt idx="0">
                  <c:v>1.7</c:v>
                </c:pt>
                <c:pt idx="1">
                  <c:v>2</c:v>
                </c:pt>
                <c:pt idx="2">
                  <c:v>2</c:v>
                </c:pt>
                <c:pt idx="3">
                  <c:v>2.1</c:v>
                </c:pt>
                <c:pt idx="4">
                  <c:v>2.2000000000000002</c:v>
                </c:pt>
                <c:pt idx="5">
                  <c:v>2.8</c:v>
                </c:pt>
                <c:pt idx="6">
                  <c:v>3</c:v>
                </c:pt>
                <c:pt idx="7">
                  <c:v>4.3</c:v>
                </c:pt>
                <c:pt idx="8">
                  <c:v>5.4</c:v>
                </c:pt>
                <c:pt idx="9">
                  <c:v>6.7</c:v>
                </c:pt>
                <c:pt idx="10">
                  <c:v>8</c:v>
                </c:pt>
                <c:pt idx="11">
                  <c:v>9.6</c:v>
                </c:pt>
                <c:pt idx="12">
                  <c:v>10.199999999999999</c:v>
                </c:pt>
                <c:pt idx="13">
                  <c:v>13.6</c:v>
                </c:pt>
                <c:pt idx="14">
                  <c:v>16.399999999999999</c:v>
                </c:pt>
                <c:pt idx="15">
                  <c:v>35.4</c:v>
                </c:pt>
              </c:numCache>
            </c:numRef>
          </c:val>
          <c:extLst xmlns:c16r2="http://schemas.microsoft.com/office/drawing/2015/06/chart">
            <c:ext xmlns:c16="http://schemas.microsoft.com/office/drawing/2014/chart" uri="{C3380CC4-5D6E-409C-BE32-E72D297353CC}">
              <c16:uniqueId val="{00000000-6A24-402F-B420-CADA6E322EF2}"/>
            </c:ext>
          </c:extLst>
        </c:ser>
        <c:dLbls>
          <c:showLegendKey val="0"/>
          <c:showVal val="0"/>
          <c:showCatName val="0"/>
          <c:showSerName val="0"/>
          <c:showPercent val="0"/>
          <c:showBubbleSize val="0"/>
        </c:dLbls>
        <c:gapWidth val="120"/>
        <c:axId val="-751542736"/>
        <c:axId val="-751549264"/>
      </c:barChart>
      <c:catAx>
        <c:axId val="-751542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49264"/>
        <c:crosses val="autoZero"/>
        <c:auto val="1"/>
        <c:lblAlgn val="ctr"/>
        <c:lblOffset val="100"/>
        <c:noMultiLvlLbl val="0"/>
      </c:catAx>
      <c:valAx>
        <c:axId val="-751549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thousands</a:t>
                </a:r>
              </a:p>
            </c:rich>
          </c:tx>
          <c:layout>
            <c:manualLayout>
              <c:xMode val="edge"/>
              <c:yMode val="edge"/>
              <c:x val="0.86958684316085033"/>
              <c:y val="0.8735238603988604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42736"/>
        <c:crosses val="autoZero"/>
        <c:crossBetween val="between"/>
      </c:valAx>
      <c:spPr>
        <a:noFill/>
        <a:ln>
          <a:noFill/>
        </a:ln>
        <a:effectLst/>
      </c:spPr>
    </c:plotArea>
    <c:plotVisOnly val="1"/>
    <c:dispBlanksAs val="gap"/>
    <c:showDLblsOverMax val="0"/>
  </c:chart>
  <c:spPr>
    <a:solidFill>
      <a:schemeClr val="bg1"/>
    </a:solidFill>
    <a:ln w="3175" cap="flat" cmpd="sng" algn="ctr">
      <a:noFill/>
      <a:round/>
    </a:ln>
    <a:effectLst/>
  </c:spPr>
  <c:txPr>
    <a:bodyPr/>
    <a:lstStyle/>
    <a:p>
      <a:pPr>
        <a:defRPr sz="800" baseline="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249200639488406E-2"/>
          <c:y val="5.0396825396825398E-2"/>
          <c:w val="0.46330535571542764"/>
          <c:h val="0.91999206349206353"/>
        </c:manualLayout>
      </c:layout>
      <c:pieChart>
        <c:varyColors val="1"/>
        <c:ser>
          <c:idx val="0"/>
          <c:order val="0"/>
          <c:spPr>
            <a:ln>
              <a:noFill/>
            </a:ln>
          </c:spPr>
          <c:dPt>
            <c:idx val="0"/>
            <c:bubble3D val="0"/>
            <c:spPr>
              <a:solidFill>
                <a:srgbClr val="001D77"/>
              </a:solidFill>
              <a:ln w="19050">
                <a:noFill/>
              </a:ln>
              <a:effectLst/>
            </c:spPr>
            <c:extLst xmlns:c16r2="http://schemas.microsoft.com/office/drawing/2015/06/chart">
              <c:ext xmlns:c16="http://schemas.microsoft.com/office/drawing/2014/chart" uri="{C3380CC4-5D6E-409C-BE32-E72D297353CC}">
                <c16:uniqueId val="{00000001-F9A9-4A99-BFE5-9741A0A58614}"/>
              </c:ext>
            </c:extLst>
          </c:dPt>
          <c:dPt>
            <c:idx val="1"/>
            <c:bubble3D val="0"/>
            <c:spPr>
              <a:solidFill>
                <a:srgbClr val="334A92"/>
              </a:solidFill>
              <a:ln w="19050">
                <a:noFill/>
              </a:ln>
              <a:effectLst/>
            </c:spPr>
            <c:extLst xmlns:c16r2="http://schemas.microsoft.com/office/drawing/2015/06/chart">
              <c:ext xmlns:c16="http://schemas.microsoft.com/office/drawing/2014/chart" uri="{C3380CC4-5D6E-409C-BE32-E72D297353CC}">
                <c16:uniqueId val="{00000003-F9A9-4A99-BFE5-9741A0A58614}"/>
              </c:ext>
            </c:extLst>
          </c:dPt>
          <c:dPt>
            <c:idx val="2"/>
            <c:bubble3D val="0"/>
            <c:spPr>
              <a:solidFill>
                <a:srgbClr val="6677AD"/>
              </a:solidFill>
              <a:ln w="19050">
                <a:noFill/>
              </a:ln>
              <a:effectLst/>
            </c:spPr>
            <c:extLst xmlns:c16r2="http://schemas.microsoft.com/office/drawing/2015/06/chart">
              <c:ext xmlns:c16="http://schemas.microsoft.com/office/drawing/2014/chart" uri="{C3380CC4-5D6E-409C-BE32-E72D297353CC}">
                <c16:uniqueId val="{00000005-F9A9-4A99-BFE5-9741A0A58614}"/>
              </c:ext>
            </c:extLst>
          </c:dPt>
          <c:dPt>
            <c:idx val="3"/>
            <c:bubble3D val="0"/>
            <c:spPr>
              <a:solidFill>
                <a:srgbClr val="99A5C9"/>
              </a:solidFill>
              <a:ln w="19050">
                <a:noFill/>
              </a:ln>
              <a:effectLst/>
            </c:spPr>
            <c:extLst xmlns:c16r2="http://schemas.microsoft.com/office/drawing/2015/06/chart">
              <c:ext xmlns:c16="http://schemas.microsoft.com/office/drawing/2014/chart" uri="{C3380CC4-5D6E-409C-BE32-E72D297353CC}">
                <c16:uniqueId val="{00000007-F9A9-4A99-BFE5-9741A0A58614}"/>
              </c:ext>
            </c:extLst>
          </c:dPt>
          <c:dPt>
            <c:idx val="4"/>
            <c:bubble3D val="0"/>
            <c:spPr>
              <a:solidFill>
                <a:srgbClr val="CCD2E4"/>
              </a:solidFill>
              <a:ln w="19050">
                <a:noFill/>
              </a:ln>
              <a:effectLst/>
            </c:spPr>
            <c:extLst xmlns:c16r2="http://schemas.microsoft.com/office/drawing/2015/06/chart">
              <c:ext xmlns:c16="http://schemas.microsoft.com/office/drawing/2014/chart" uri="{C3380CC4-5D6E-409C-BE32-E72D297353CC}">
                <c16:uniqueId val="{00000009-F9A9-4A99-BFE5-9741A0A58614}"/>
              </c:ext>
            </c:extLst>
          </c:dPt>
          <c:cat>
            <c:strRef>
              <c:f>'wyk8'!$B$9:$B$13</c:f>
              <c:strCache>
                <c:ptCount val="5"/>
                <c:pt idx="0">
                  <c:v>Manufacturing (C)</c:v>
                </c:pt>
                <c:pt idx="1">
                  <c:v>Trade; repair of motor vehicles    (G)</c:v>
                </c:pt>
                <c:pt idx="2">
                  <c:v>Transportation and storage (H)</c:v>
                </c:pt>
                <c:pt idx="3">
                  <c:v>Construction (F)</c:v>
                </c:pt>
                <c:pt idx="4">
                  <c:v>Other sections</c:v>
                </c:pt>
              </c:strCache>
            </c:strRef>
          </c:cat>
          <c:val>
            <c:numRef>
              <c:f>'wyk8'!$C$9:$C$13</c:f>
              <c:numCache>
                <c:formatCode>0.0%</c:formatCode>
                <c:ptCount val="5"/>
                <c:pt idx="0">
                  <c:v>0.20635412251817559</c:v>
                </c:pt>
                <c:pt idx="1">
                  <c:v>0.14558406416066247</c:v>
                </c:pt>
                <c:pt idx="2">
                  <c:v>0.1330975124702507</c:v>
                </c:pt>
                <c:pt idx="3">
                  <c:v>0.12861474260750497</c:v>
                </c:pt>
                <c:pt idx="4">
                  <c:v>0.38634955824340628</c:v>
                </c:pt>
              </c:numCache>
            </c:numRef>
          </c:val>
          <c:extLst xmlns:c16r2="http://schemas.microsoft.com/office/drawing/2015/06/chart">
            <c:ext xmlns:c16="http://schemas.microsoft.com/office/drawing/2014/chart" uri="{C3380CC4-5D6E-409C-BE32-E72D297353CC}">
              <c16:uniqueId val="{0000000A-F9A9-4A99-BFE5-9741A0A5861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1994204636290975"/>
          <c:y val="0.23027777777777778"/>
          <c:w val="0.47751998401278978"/>
          <c:h val="0.514246031746031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056660560140923"/>
          <c:y val="1.4412689703773917E-2"/>
          <c:w val="0.45802246063340329"/>
          <c:h val="0.88921390392570776"/>
        </c:manualLayout>
      </c:layout>
      <c:barChart>
        <c:barDir val="bar"/>
        <c:grouping val="clustered"/>
        <c:varyColors val="0"/>
        <c:ser>
          <c:idx val="0"/>
          <c:order val="0"/>
          <c:tx>
            <c:strRef>
              <c:f>'wyk9'!$B$4</c:f>
              <c:strCache>
                <c:ptCount val="1"/>
                <c:pt idx="0">
                  <c:v>Liquidated jobs</c:v>
                </c:pt>
              </c:strCache>
            </c:strRef>
          </c:tx>
          <c:spPr>
            <a:solidFill>
              <a:srgbClr val="C0C0C0"/>
            </a:solidFill>
            <a:ln>
              <a:noFill/>
            </a:ln>
            <a:effectLst/>
          </c:spPr>
          <c:invertIfNegative val="0"/>
          <c:dPt>
            <c:idx val="14"/>
            <c:invertIfNegative val="0"/>
            <c:bubble3D val="0"/>
            <c:spPr>
              <a:solidFill>
                <a:srgbClr val="C0C0C0"/>
              </a:solidFill>
              <a:ln>
                <a:noFill/>
              </a:ln>
              <a:effectLst/>
            </c:spPr>
            <c:extLst xmlns:c16r2="http://schemas.microsoft.com/office/drawing/2015/06/chart">
              <c:ext xmlns:c16="http://schemas.microsoft.com/office/drawing/2014/chart" uri="{C3380CC4-5D6E-409C-BE32-E72D297353CC}">
                <c16:uniqueId val="{00000001-08D6-4EA6-AFC3-1385CB166856}"/>
              </c:ext>
            </c:extLst>
          </c:dPt>
          <c:cat>
            <c:strRef>
              <c:f>'wyk9'!$A$5:$A$19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'wyk9'!$B$5:$B$19</c:f>
              <c:numCache>
                <c:formatCode>0.0</c:formatCode>
                <c:ptCount val="15"/>
                <c:pt idx="0">
                  <c:v>0.6</c:v>
                </c:pt>
                <c:pt idx="1">
                  <c:v>0.5</c:v>
                </c:pt>
                <c:pt idx="2">
                  <c:v>1.6</c:v>
                </c:pt>
                <c:pt idx="3">
                  <c:v>2</c:v>
                </c:pt>
                <c:pt idx="4">
                  <c:v>1.1000000000000001</c:v>
                </c:pt>
                <c:pt idx="5">
                  <c:v>6.7</c:v>
                </c:pt>
                <c:pt idx="6">
                  <c:v>2.8</c:v>
                </c:pt>
                <c:pt idx="7">
                  <c:v>1.6</c:v>
                </c:pt>
                <c:pt idx="8">
                  <c:v>1.6</c:v>
                </c:pt>
                <c:pt idx="9">
                  <c:v>1.9</c:v>
                </c:pt>
                <c:pt idx="10">
                  <c:v>1.4</c:v>
                </c:pt>
                <c:pt idx="11">
                  <c:v>8.1999999999999993</c:v>
                </c:pt>
                <c:pt idx="12">
                  <c:v>8.9</c:v>
                </c:pt>
                <c:pt idx="13">
                  <c:v>7.9</c:v>
                </c:pt>
                <c:pt idx="14">
                  <c:v>12.7</c:v>
                </c:pt>
              </c:numCache>
            </c:numRef>
          </c:val>
          <c:extLst xmlns:c16r2="http://schemas.microsoft.com/office/drawing/2015/06/chart">
            <c:ext xmlns:c16="http://schemas.microsoft.com/office/drawing/2014/chart" uri="{C3380CC4-5D6E-409C-BE32-E72D297353CC}">
              <c16:uniqueId val="{00000002-08D6-4EA6-AFC3-1385CB166856}"/>
            </c:ext>
          </c:extLst>
        </c:ser>
        <c:ser>
          <c:idx val="1"/>
          <c:order val="1"/>
          <c:tx>
            <c:strRef>
              <c:f>'wyk9'!$C$4</c:f>
              <c:strCache>
                <c:ptCount val="1"/>
                <c:pt idx="0">
                  <c:v>Newly created jobs</c:v>
                </c:pt>
              </c:strCache>
            </c:strRef>
          </c:tx>
          <c:spPr>
            <a:solidFill>
              <a:srgbClr val="001D77"/>
            </a:solidFill>
            <a:ln>
              <a:noFill/>
            </a:ln>
            <a:effectLst/>
          </c:spPr>
          <c:invertIfNegative val="0"/>
          <c:cat>
            <c:strRef>
              <c:f>'wyk9'!$A$5:$A$19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'wyk9'!$C$5:$C$19</c:f>
              <c:numCache>
                <c:formatCode>0.0</c:formatCode>
                <c:ptCount val="15"/>
                <c:pt idx="0">
                  <c:v>1.8</c:v>
                </c:pt>
                <c:pt idx="1">
                  <c:v>2</c:v>
                </c:pt>
                <c:pt idx="2">
                  <c:v>3.6</c:v>
                </c:pt>
                <c:pt idx="3" formatCode="General">
                  <c:v>7.4</c:v>
                </c:pt>
                <c:pt idx="4" formatCode="General">
                  <c:v>1.9</c:v>
                </c:pt>
                <c:pt idx="5" formatCode="General">
                  <c:v>9.1999999999999993</c:v>
                </c:pt>
                <c:pt idx="6" formatCode="General">
                  <c:v>6.7</c:v>
                </c:pt>
                <c:pt idx="7" formatCode="General">
                  <c:v>1.9</c:v>
                </c:pt>
                <c:pt idx="8">
                  <c:v>0.5</c:v>
                </c:pt>
                <c:pt idx="9" formatCode="General">
                  <c:v>4.9000000000000004</c:v>
                </c:pt>
                <c:pt idx="10" formatCode="General">
                  <c:v>1.9</c:v>
                </c:pt>
                <c:pt idx="11" formatCode="General">
                  <c:v>13.6</c:v>
                </c:pt>
                <c:pt idx="12" formatCode="General">
                  <c:v>23.8</c:v>
                </c:pt>
                <c:pt idx="13">
                  <c:v>12.7</c:v>
                </c:pt>
                <c:pt idx="14" formatCode="General">
                  <c:v>20.399999999999999</c:v>
                </c:pt>
              </c:numCache>
            </c:numRef>
          </c:val>
          <c:extLst xmlns:c16r2="http://schemas.microsoft.com/office/drawing/2015/06/chart">
            <c:ext xmlns:c16="http://schemas.microsoft.com/office/drawing/2014/chart" uri="{C3380CC4-5D6E-409C-BE32-E72D297353CC}">
              <c16:uniqueId val="{00000003-08D6-4EA6-AFC3-1385CB166856}"/>
            </c:ext>
          </c:extLst>
        </c:ser>
        <c:dLbls>
          <c:showLegendKey val="0"/>
          <c:showVal val="0"/>
          <c:showCatName val="0"/>
          <c:showSerName val="0"/>
          <c:showPercent val="0"/>
          <c:showBubbleSize val="0"/>
        </c:dLbls>
        <c:gapWidth val="150"/>
        <c:axId val="-751547632"/>
        <c:axId val="-751544368"/>
      </c:barChart>
      <c:catAx>
        <c:axId val="-751547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44368"/>
        <c:crosses val="autoZero"/>
        <c:auto val="1"/>
        <c:lblAlgn val="ctr"/>
        <c:lblOffset val="100"/>
        <c:noMultiLvlLbl val="0"/>
      </c:catAx>
      <c:valAx>
        <c:axId val="-751544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en-US"/>
                  <a:t>t</a:t>
                </a:r>
                <a:r>
                  <a:rPr lang="pl-PL"/>
                  <a:t>housands</a:t>
                </a:r>
                <a:endParaRPr lang="en-US"/>
              </a:p>
            </c:rich>
          </c:tx>
          <c:layout>
            <c:manualLayout>
              <c:xMode val="edge"/>
              <c:yMode val="edge"/>
              <c:x val="0.87513189448441242"/>
              <c:y val="0.8829410628019324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51547632"/>
        <c:crosses val="autoZero"/>
        <c:crossBetween val="between"/>
      </c:valAx>
      <c:spPr>
        <a:noFill/>
        <a:ln>
          <a:noFill/>
        </a:ln>
        <a:effectLst/>
      </c:spPr>
    </c:plotArea>
    <c:legend>
      <c:legendPos val="b"/>
      <c:layout>
        <c:manualLayout>
          <c:xMode val="edge"/>
          <c:yMode val="edge"/>
          <c:x val="0.15520263788968824"/>
          <c:y val="0.95243961352657003"/>
          <c:w val="0.70482254196642691"/>
          <c:h val="4.756038647342995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0.75367</cdr:x>
      <cdr:y>0.29104</cdr:y>
    </cdr:from>
    <cdr:to>
      <cdr:x>0.97062</cdr:x>
      <cdr:y>0.68181</cdr:y>
    </cdr:to>
    <cdr:sp macro="" textlink="">
      <cdr:nvSpPr>
        <cdr:cNvPr id="2" name="pole tekstowe 1"/>
        <cdr:cNvSpPr txBox="1"/>
      </cdr:nvSpPr>
      <cdr:spPr>
        <a:xfrm xmlns:a="http://schemas.openxmlformats.org/drawingml/2006/main">
          <a:off x="3176588" y="6810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0.66053</cdr:x>
      <cdr:y>0.33895</cdr:y>
    </cdr:from>
    <cdr:to>
      <cdr:x>1</cdr:x>
      <cdr:y>0.4143</cdr:y>
    </cdr:to>
    <cdr:sp macro="" textlink="">
      <cdr:nvSpPr>
        <cdr:cNvPr id="3" name="pole tekstowe 2"/>
        <cdr:cNvSpPr txBox="1"/>
      </cdr:nvSpPr>
      <cdr:spPr>
        <a:xfrm xmlns:a="http://schemas.openxmlformats.org/drawingml/2006/main">
          <a:off x="2796594" y="765067"/>
          <a:ext cx="1437269" cy="170085"/>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Number</a:t>
          </a:r>
          <a:r>
            <a:rPr lang="pl-PL" sz="800" baseline="0">
              <a:solidFill>
                <a:sysClr val="windowText" lastClr="000000"/>
              </a:solidFill>
              <a:latin typeface="Fira Sans" panose="020B0503050000020004" pitchFamily="34" charset="0"/>
              <a:ea typeface="Fira Sans" panose="020B0503050000020004" pitchFamily="34" charset="0"/>
            </a:rPr>
            <a:t> of employed persons</a:t>
          </a:r>
          <a:endParaRPr lang="pl-PL" sz="800">
            <a:solidFill>
              <a:sysClr val="windowText" lastClr="000000"/>
            </a:solidFill>
            <a:latin typeface="Fira Sans" panose="020B0503050000020004" pitchFamily="34" charset="0"/>
            <a:ea typeface="Fira Sans" panose="020B05030500000200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0.89017</cdr:x>
      <cdr:y>0.34408</cdr:y>
    </cdr:from>
    <cdr:to>
      <cdr:x>0.91253</cdr:x>
      <cdr:y>0.39494</cdr:y>
    </cdr:to>
    <cdr:sp macro="" textlink="">
      <cdr:nvSpPr>
        <cdr:cNvPr id="2" name="pole tekstowe 1"/>
        <cdr:cNvSpPr txBox="1"/>
      </cdr:nvSpPr>
      <cdr:spPr>
        <a:xfrm xmlns:a="http://schemas.openxmlformats.org/drawingml/2006/main">
          <a:off x="4453267" y="857001"/>
          <a:ext cx="111861" cy="12667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userShapes>
</file>

<file path=word/drawings/drawing3.xml><?xml version="1.0" encoding="utf-8"?>
<c:userShapes xmlns:c="http://schemas.openxmlformats.org/drawingml/2006/chart">
  <cdr:relSizeAnchor xmlns:cdr="http://schemas.openxmlformats.org/drawingml/2006/chartDrawing">
    <cdr:from>
      <cdr:x>0.4522</cdr:x>
      <cdr:y>0.12527</cdr:y>
    </cdr:from>
    <cdr:to>
      <cdr:x>0.46681</cdr:x>
      <cdr:y>0.1521</cdr:y>
    </cdr:to>
    <cdr:sp macro="" textlink="">
      <cdr:nvSpPr>
        <cdr:cNvPr id="2" name="pole tekstowe 1"/>
        <cdr:cNvSpPr txBox="1"/>
      </cdr:nvSpPr>
      <cdr:spPr>
        <a:xfrm xmlns:a="http://schemas.openxmlformats.org/drawingml/2006/main">
          <a:off x="2258262" y="519227"/>
          <a:ext cx="73002" cy="11124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0.4515</cdr:x>
      <cdr:y>0.24519</cdr:y>
    </cdr:from>
    <cdr:to>
      <cdr:x>0.46542</cdr:x>
      <cdr:y>0.27371</cdr:y>
    </cdr:to>
    <cdr:sp macro="" textlink="">
      <cdr:nvSpPr>
        <cdr:cNvPr id="3" name="pole tekstowe 2"/>
        <cdr:cNvSpPr txBox="1"/>
      </cdr:nvSpPr>
      <cdr:spPr>
        <a:xfrm xmlns:a="http://schemas.openxmlformats.org/drawingml/2006/main">
          <a:off x="2254784" y="1016335"/>
          <a:ext cx="69526" cy="11819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2" ma:contentTypeDescription="Utwórz nowy dokument." ma:contentTypeScope="" ma:versionID="61828af194c162a3f8ba12efac41088b">
  <xsd:schema xmlns:xsd="http://www.w3.org/2001/XMLSchema" xmlns:xs="http://www.w3.org/2001/XMLSchema" xmlns:p="http://schemas.microsoft.com/office/2006/metadata/properties" xmlns:ns2="b5698c14-9734-4c2e-b0a6-c0f0e0420a38" xmlns:ns3="30d47203-49ec-4c8c-a442-62231931aabb" targetNamespace="http://schemas.microsoft.com/office/2006/metadata/properties" ma:root="true" ma:fieldsID="496f7d50f109622d7e203c236940c321" ns2:_="" ns3:_="">
    <xsd:import namespace="b5698c14-9734-4c2e-b0a6-c0f0e0420a38"/>
    <xsd:import namespace="30d47203-49ec-4c8c-a442-62231931aabb"/>
    <xsd:element name="properties">
      <xsd:complexType>
        <xsd:sequence>
          <xsd:element name="documentManagement">
            <xsd:complexType>
              <xsd:all>
                <xsd:element ref="ns2:Tematyka" minOccurs="0"/>
                <xsd:element ref="ns3: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98c14-9734-4c2e-b0a6-c0f0e0420a38" elementFormDefault="qualified">
    <xsd:import namespace="http://schemas.microsoft.com/office/2006/documentManagement/types"/>
    <xsd:import namespace="http://schemas.microsoft.com/office/infopath/2007/PartnerControls"/>
    <xsd:element name="Tematyka" ma:index="2" nillable="true" ma:displayName=":" ma:description="Należy wybrać tematykę pliku" ma:format="Dropdown" ma:internalName="Tematyka">
      <xsd:simpleType>
        <xsd:restriction base="dms:Choice">
          <xsd:enumeration value="00 - Organizacja Systemu Publikacyjnego"/>
          <xsd:enumeration value="00 - Zasady - skład i typografia"/>
          <xsd:enumeration value="01 - Analizy statystyczne"/>
          <xsd:enumeration value="02 - Informacje statystyczne"/>
          <xsd:enumeration value="03 - Roczniki statystyczne"/>
          <xsd:enumeration value="04 - Foldery i publikacje okolicznościowe"/>
          <xsd:enumeration value="05 - Prace eksperymentalne"/>
          <xsd:enumeration value="06 - Metodologia badań statystycznych"/>
          <xsd:enumeration value="07 - Informacje sygnalne"/>
          <xsd:enumeration value="08 - Archiwum"/>
          <xsd:enumeration value="10 - Księga Identyfikacji Wizualnej"/>
        </xsd:restriction>
      </xsd:simple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3"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atyka xmlns="b5698c14-9734-4c2e-b0a6-c0f0e0420a38">07 - Informacje sygnalne</Tematyka>
    <Kolejno_x015b__x0107_ xmlns="30d47203-49ec-4c8c-a442-62231931aabb">4</Kolejno_x015b__x0107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7A47-89EC-43EA-AAB4-9D5ED18F2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98c14-9734-4c2e-b0a6-c0f0e0420a38"/>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32107-2FBB-4146-95ED-5B0627E14A6C}">
  <ds:schemaRefs>
    <ds:schemaRef ds:uri="http://schemas.microsoft.com/sharepoint/v3/contenttype/forms"/>
  </ds:schemaRefs>
</ds:datastoreItem>
</file>

<file path=customXml/itemProps3.xml><?xml version="1.0" encoding="utf-8"?>
<ds:datastoreItem xmlns:ds="http://schemas.openxmlformats.org/officeDocument/2006/customXml" ds:itemID="{9EF6CD60-0EFD-4CE3-B0D7-A5FBDCDB3FA8}">
  <ds:schemaRefs>
    <ds:schemaRef ds:uri="http://schemas.microsoft.com/office/2006/metadata/properties"/>
    <ds:schemaRef ds:uri="http://schemas.microsoft.com/office/infopath/2007/PartnerControls"/>
    <ds:schemaRef ds:uri="b5698c14-9734-4c2e-b0a6-c0f0e0420a38"/>
    <ds:schemaRef ds:uri="30d47203-49ec-4c8c-a442-62231931aabb"/>
  </ds:schemaRefs>
</ds:datastoreItem>
</file>

<file path=customXml/itemProps4.xml><?xml version="1.0" encoding="utf-8"?>
<ds:datastoreItem xmlns:ds="http://schemas.openxmlformats.org/officeDocument/2006/customXml" ds:itemID="{039E3170-8EEE-4D55-B0E6-B13AC2A0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1358</Words>
  <Characters>8152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2020-02-28T09:05:00Z</cp:lastPrinted>
  <dcterms:created xsi:type="dcterms:W3CDTF">2020-03-02T06:43:00Z</dcterms:created>
  <dcterms:modified xsi:type="dcterms:W3CDTF">2020-03-10T07:51:00Z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