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11F1" w14:textId="77777777" w:rsidR="00393761" w:rsidRPr="00F35399" w:rsidRDefault="00F35399" w:rsidP="00074DD8">
      <w:pPr>
        <w:pStyle w:val="tytuinformacji"/>
        <w:rPr>
          <w:color w:val="auto"/>
          <w:sz w:val="32"/>
          <w:lang w:val="en-GB"/>
        </w:rPr>
      </w:pPr>
      <w:bookmarkStart w:id="0" w:name="_GoBack"/>
      <w:r w:rsidRPr="00F35399">
        <w:rPr>
          <w:shd w:val="clear" w:color="auto" w:fill="FFFFFF"/>
          <w:lang w:val="en-GB"/>
        </w:rPr>
        <w:t xml:space="preserve">The demand for labour in the second quarter of </w:t>
      </w:r>
      <w:bookmarkEnd w:id="0"/>
      <w:r w:rsidRPr="00F35399">
        <w:rPr>
          <w:shd w:val="clear" w:color="auto" w:fill="FFFFFF"/>
          <w:lang w:val="en-GB"/>
        </w:rPr>
        <w:t>2020</w:t>
      </w:r>
      <w:r w:rsidR="00593F44" w:rsidRPr="00F35399">
        <w:rPr>
          <w:shd w:val="clear" w:color="auto" w:fill="FFFFFF"/>
          <w:lang w:val="en-GB"/>
        </w:rPr>
        <w:t xml:space="preserve"> </w:t>
      </w:r>
      <w:r w:rsidR="008D3718" w:rsidRPr="00F35399">
        <w:rPr>
          <w:shd w:val="clear" w:color="auto" w:fill="FFFFFF"/>
          <w:lang w:val="en-GB"/>
        </w:rPr>
        <w:br/>
      </w:r>
    </w:p>
    <w:p w14:paraId="43812B49" w14:textId="2DE325DE" w:rsidR="00593F44" w:rsidRPr="00F35399" w:rsidRDefault="00D41DF8" w:rsidP="002F77A4">
      <w:pPr>
        <w:pStyle w:val="LID"/>
        <w:rPr>
          <w:lang w:val="en-GB"/>
        </w:rPr>
      </w:pPr>
      <w:r>
        <w:rPr>
          <w:color w:val="FF0000"/>
        </w:rPr>
        <mc:AlternateContent>
          <mc:Choice Requires="wps">
            <w:drawing>
              <wp:anchor distT="45720" distB="45720" distL="114300" distR="114300" simplePos="0" relativeHeight="251660288" behindDoc="0" locked="0" layoutInCell="1" allowOverlap="1" wp14:anchorId="0089321B" wp14:editId="3CE164C1">
                <wp:simplePos x="0" y="0"/>
                <wp:positionH relativeFrom="margin">
                  <wp:align>left</wp:align>
                </wp:positionH>
                <wp:positionV relativeFrom="paragraph">
                  <wp:posOffset>88265</wp:posOffset>
                </wp:positionV>
                <wp:extent cx="1771650" cy="1330960"/>
                <wp:effectExtent l="0" t="0" r="0" b="0"/>
                <wp:wrapSquare wrapText="bothSides"/>
                <wp:docPr id="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330960"/>
                        </a:xfrm>
                        <a:prstGeom prst="rect">
                          <a:avLst/>
                        </a:prstGeom>
                        <a:solidFill>
                          <a:srgbClr val="001D77"/>
                        </a:solidFill>
                        <a:ln w="9525">
                          <a:noFill/>
                          <a:miter lim="800000"/>
                          <a:headEnd/>
                          <a:tailEnd/>
                        </a:ln>
                      </wps:spPr>
                      <wps:txbx>
                        <w:txbxContent>
                          <w:p w14:paraId="01978A4B" w14:textId="77777777" w:rsidR="00E63142" w:rsidRPr="00F35399" w:rsidRDefault="00E63142" w:rsidP="008D3718">
                            <w:pPr>
                              <w:spacing w:after="0" w:line="240" w:lineRule="auto"/>
                              <w:jc w:val="center"/>
                              <w:rPr>
                                <w:rFonts w:ascii="Fira Sans SemiBold" w:hAnsi="Fira Sans SemiBold"/>
                                <w:color w:val="FFFFFF" w:themeColor="background1"/>
                                <w:sz w:val="72"/>
                                <w:lang w:val="en-GB"/>
                              </w:rPr>
                            </w:pPr>
                            <w:r w:rsidRPr="00F35399">
                              <w:rPr>
                                <w:b/>
                                <w:noProof/>
                                <w:color w:val="92D050"/>
                                <w:sz w:val="72"/>
                                <w:szCs w:val="72"/>
                                <w:lang w:val="en-GB" w:eastAsia="pl-PL"/>
                              </w:rPr>
                              <w:t>↑</w:t>
                            </w:r>
                            <w:r w:rsidRPr="00F35399">
                              <w:rPr>
                                <w:rFonts w:ascii="Fira Sans SemiBold" w:hAnsi="Fira Sans SemiBold"/>
                                <w:color w:val="FFFFFF" w:themeColor="background1"/>
                                <w:sz w:val="72"/>
                                <w:lang w:val="en-GB"/>
                              </w:rPr>
                              <w:t>6</w:t>
                            </w:r>
                            <w:r w:rsidR="00F35399" w:rsidRPr="00F35399">
                              <w:rPr>
                                <w:rFonts w:ascii="Fira Sans SemiBold" w:hAnsi="Fira Sans SemiBold"/>
                                <w:color w:val="FFFFFF" w:themeColor="background1"/>
                                <w:sz w:val="72"/>
                                <w:lang w:val="en-GB"/>
                              </w:rPr>
                              <w:t>.</w:t>
                            </w:r>
                            <w:r w:rsidRPr="00F35399">
                              <w:rPr>
                                <w:rFonts w:ascii="Fira Sans SemiBold" w:hAnsi="Fira Sans SemiBold"/>
                                <w:color w:val="FFFFFF" w:themeColor="background1"/>
                                <w:sz w:val="72"/>
                                <w:lang w:val="en-GB"/>
                              </w:rPr>
                              <w:t>4%</w:t>
                            </w:r>
                          </w:p>
                          <w:p w14:paraId="2DA10E4D" w14:textId="77777777" w:rsidR="00E63142" w:rsidRPr="00F35399" w:rsidRDefault="00F35399" w:rsidP="006D6290">
                            <w:pPr>
                              <w:pStyle w:val="tekstnaniebieskimtle"/>
                              <w:rPr>
                                <w:color w:val="FFFFFF" w:themeColor="background1"/>
                                <w:sz w:val="18"/>
                                <w:szCs w:val="20"/>
                                <w:lang w:val="en-GB"/>
                              </w:rPr>
                            </w:pPr>
                            <w:r w:rsidRPr="00F35399">
                              <w:rPr>
                                <w:lang w:val="en-GB"/>
                              </w:rPr>
                              <w:t xml:space="preserve">increase in the number </w:t>
                            </w:r>
                            <w:r w:rsidRPr="00F35399">
                              <w:rPr>
                                <w:lang w:val="en-GB"/>
                              </w:rPr>
                              <w:br/>
                              <w:t>of job vacancies compared to the first quarter of 2020</w:t>
                            </w:r>
                          </w:p>
                          <w:p w14:paraId="16AE7C83" w14:textId="77777777" w:rsidR="00E63142" w:rsidRPr="001B5A69" w:rsidRDefault="00E63142" w:rsidP="00444C2C">
                            <w:pPr>
                              <w:pStyle w:val="tekstnaniebieskimtle"/>
                              <w:ind w:left="57" w:right="-113"/>
                            </w:pPr>
                            <w:r w:rsidRPr="004C2074">
                              <w:br/>
                            </w:r>
                            <w:r w:rsidRPr="00593F44">
                              <w:t xml:space="preserve">miejsc pracy w porównaniu </w:t>
                            </w:r>
                            <w:r>
                              <w:br/>
                            </w:r>
                            <w:r w:rsidRPr="00593F44">
                              <w:t>do I</w:t>
                            </w:r>
                            <w:r>
                              <w:t>V</w:t>
                            </w:r>
                            <w:r w:rsidRPr="00593F44">
                              <w:t xml:space="preserve"> kwartału 2019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9321B" id="_x0000_t202" coordsize="21600,21600" o:spt="202" path="m,l,21600r21600,l21600,xe">
                <v:stroke joinstyle="miter"/>
                <v:path gradientshapeok="t" o:connecttype="rect"/>
              </v:shapetype>
              <v:shape id="Pole tekstowe 2" o:spid="_x0000_s1026" type="#_x0000_t202" style="position:absolute;margin-left:0;margin-top:6.95pt;width:139.5pt;height:104.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" fillcolor="#001d77" stroked="f">
                <v:textbox>
                  <w:txbxContent>
                    <w:p w14:paraId="01978A4B" w14:textId="77777777" w:rsidR="00E63142" w:rsidRPr="00F35399" w:rsidRDefault="00E63142" w:rsidP="008D3718">
                      <w:pPr>
                        <w:spacing w:after="0" w:line="240" w:lineRule="auto"/>
                        <w:jc w:val="center"/>
                        <w:rPr>
                          <w:rFonts w:ascii="Fira Sans SemiBold" w:hAnsi="Fira Sans SemiBold"/>
                          <w:color w:val="FFFFFF" w:themeColor="background1"/>
                          <w:sz w:val="72"/>
                          <w:lang w:val="en-GB"/>
                        </w:rPr>
                      </w:pPr>
                      <w:r w:rsidRPr="00F35399">
                        <w:rPr>
                          <w:b/>
                          <w:noProof/>
                          <w:color w:val="92D050"/>
                          <w:sz w:val="72"/>
                          <w:szCs w:val="72"/>
                          <w:lang w:val="en-GB" w:eastAsia="pl-PL"/>
                        </w:rPr>
                        <w:t>↑</w:t>
                      </w:r>
                      <w:r w:rsidRPr="00F35399">
                        <w:rPr>
                          <w:rFonts w:ascii="Fira Sans SemiBold" w:hAnsi="Fira Sans SemiBold"/>
                          <w:color w:val="FFFFFF" w:themeColor="background1"/>
                          <w:sz w:val="72"/>
                          <w:lang w:val="en-GB"/>
                        </w:rPr>
                        <w:t>6</w:t>
                      </w:r>
                      <w:r w:rsidR="00F35399" w:rsidRPr="00F35399">
                        <w:rPr>
                          <w:rFonts w:ascii="Fira Sans SemiBold" w:hAnsi="Fira Sans SemiBold"/>
                          <w:color w:val="FFFFFF" w:themeColor="background1"/>
                          <w:sz w:val="72"/>
                          <w:lang w:val="en-GB"/>
                        </w:rPr>
                        <w:t>.</w:t>
                      </w:r>
                      <w:r w:rsidRPr="00F35399">
                        <w:rPr>
                          <w:rFonts w:ascii="Fira Sans SemiBold" w:hAnsi="Fira Sans SemiBold"/>
                          <w:color w:val="FFFFFF" w:themeColor="background1"/>
                          <w:sz w:val="72"/>
                          <w:lang w:val="en-GB"/>
                        </w:rPr>
                        <w:t>4%</w:t>
                      </w:r>
                    </w:p>
                    <w:p w14:paraId="2DA10E4D" w14:textId="77777777" w:rsidR="00E63142" w:rsidRPr="00F35399" w:rsidRDefault="00F35399" w:rsidP="006D6290">
                      <w:pPr>
                        <w:pStyle w:val="tekstnaniebieskimtle"/>
                        <w:rPr>
                          <w:color w:val="FFFFFF" w:themeColor="background1"/>
                          <w:sz w:val="18"/>
                          <w:szCs w:val="20"/>
                          <w:lang w:val="en-GB"/>
                        </w:rPr>
                      </w:pPr>
                      <w:r w:rsidRPr="00F35399">
                        <w:rPr>
                          <w:lang w:val="en-GB"/>
                        </w:rPr>
                        <w:t xml:space="preserve">increase in the number </w:t>
                      </w:r>
                      <w:r w:rsidRPr="00F35399">
                        <w:rPr>
                          <w:lang w:val="en-GB"/>
                        </w:rPr>
                        <w:br/>
                        <w:t>of job vacancies compared to the first quarter of 2020</w:t>
                      </w:r>
                    </w:p>
                    <w:p w14:paraId="16AE7C83" w14:textId="77777777" w:rsidR="00E63142" w:rsidRPr="001B5A69" w:rsidRDefault="00E63142" w:rsidP="00444C2C">
                      <w:pPr>
                        <w:pStyle w:val="tekstnaniebieskimtle"/>
                        <w:ind w:left="57" w:right="-113"/>
                      </w:pPr>
                      <w:r w:rsidRPr="004C2074">
                        <w:br/>
                      </w:r>
                      <w:r w:rsidRPr="00593F44">
                        <w:t xml:space="preserve">miejsc pracy w porównaniu </w:t>
                      </w:r>
                      <w:r>
                        <w:br/>
                      </w:r>
                      <w:r w:rsidRPr="00593F44">
                        <w:t>do I</w:t>
                      </w:r>
                      <w:r>
                        <w:t>V</w:t>
                      </w:r>
                      <w:r w:rsidRPr="00593F44">
                        <w:t xml:space="preserve"> kwartału 2019 r.</w:t>
                      </w:r>
                    </w:p>
                  </w:txbxContent>
                </v:textbox>
                <w10:wrap type="square" anchorx="margin"/>
              </v:shape>
            </w:pict>
          </mc:Fallback>
        </mc:AlternateContent>
      </w:r>
      <w:r w:rsidR="00F35399" w:rsidRPr="00856A1C">
        <w:rPr>
          <w:lang w:val="en-US"/>
        </w:rPr>
        <w:t xml:space="preserve">At the end of the second quarter of 2020, the number </w:t>
      </w:r>
      <w:r w:rsidR="00F35399">
        <w:rPr>
          <w:lang w:val="en-US"/>
        </w:rPr>
        <w:br/>
      </w:r>
      <w:r w:rsidR="00F35399" w:rsidRPr="00856A1C">
        <w:rPr>
          <w:lang w:val="en-US"/>
        </w:rPr>
        <w:t xml:space="preserve">of job vacancies in Poland, in entities of the national economy or in their local units employing at least </w:t>
      </w:r>
      <w:r w:rsidR="00F35399">
        <w:rPr>
          <w:lang w:val="en-US"/>
        </w:rPr>
        <w:br/>
      </w:r>
      <w:r w:rsidR="00F35399" w:rsidRPr="00856A1C">
        <w:rPr>
          <w:lang w:val="en-US"/>
        </w:rPr>
        <w:t xml:space="preserve">1 person, was </w:t>
      </w:r>
      <w:r w:rsidR="00F35399">
        <w:rPr>
          <w:lang w:val="en-US"/>
        </w:rPr>
        <w:t>81.</w:t>
      </w:r>
      <w:r w:rsidR="00F35399" w:rsidRPr="00856A1C">
        <w:rPr>
          <w:lang w:val="en-US"/>
        </w:rPr>
        <w:t xml:space="preserve">4 thousand and was 4.9 thousand </w:t>
      </w:r>
      <w:r w:rsidR="00F35399">
        <w:rPr>
          <w:lang w:val="en-US"/>
        </w:rPr>
        <w:br/>
      </w:r>
      <w:r w:rsidR="00F35399" w:rsidRPr="00856A1C">
        <w:rPr>
          <w:lang w:val="en-US"/>
        </w:rPr>
        <w:t xml:space="preserve">or 6.4% higher than at the end of the first quarter of 2020. As compared to the end of the second quarter of 2019, </w:t>
      </w:r>
      <w:r w:rsidR="00F35399">
        <w:rPr>
          <w:lang w:val="en-US"/>
        </w:rPr>
        <w:br/>
      </w:r>
      <w:r w:rsidR="00F35399" w:rsidRPr="00856A1C">
        <w:rPr>
          <w:lang w:val="en-US"/>
        </w:rPr>
        <w:t xml:space="preserve">the number of vacancies was lower by 70.4 thousand </w:t>
      </w:r>
      <w:r w:rsidR="00F35399">
        <w:rPr>
          <w:lang w:val="en-US"/>
        </w:rPr>
        <w:br/>
      </w:r>
      <w:r w:rsidR="00F35399" w:rsidRPr="00856A1C">
        <w:rPr>
          <w:lang w:val="en-US"/>
        </w:rPr>
        <w:t>or 46.4%. At the end of the second quarter of 2020, there were still 17.0 thousand unfilled newly created jobs.</w:t>
      </w:r>
    </w:p>
    <w:p w14:paraId="4D66561A" w14:textId="77777777" w:rsidR="00D7282D" w:rsidRPr="00CE49AE" w:rsidRDefault="00D7282D" w:rsidP="002F77A4">
      <w:pPr>
        <w:pStyle w:val="LID"/>
        <w:rPr>
          <w:b w:val="0"/>
          <w:lang w:val="en-GB"/>
        </w:rPr>
      </w:pPr>
    </w:p>
    <w:p w14:paraId="6A020154" w14:textId="37D3E13B" w:rsidR="00E32275" w:rsidRPr="00CE49AE" w:rsidRDefault="00D41DF8" w:rsidP="002F77A4">
      <w:pPr>
        <w:pStyle w:val="LID"/>
        <w:rPr>
          <w:b w:val="0"/>
          <w:lang w:val="en-GB"/>
        </w:rPr>
      </w:pPr>
      <w:r>
        <w:rPr>
          <w:b w:val="0"/>
          <w:color w:val="FF0000"/>
          <w:spacing w:val="-2"/>
        </w:rPr>
        <mc:AlternateContent>
          <mc:Choice Requires="wps">
            <w:drawing>
              <wp:anchor distT="45720" distB="45720" distL="114300" distR="114300" simplePos="0" relativeHeight="251659264" behindDoc="1" locked="0" layoutInCell="1" allowOverlap="1" wp14:anchorId="2A53DE7F" wp14:editId="4831C15D">
                <wp:simplePos x="0" y="0"/>
                <wp:positionH relativeFrom="column">
                  <wp:posOffset>5241925</wp:posOffset>
                </wp:positionH>
                <wp:positionV relativeFrom="paragraph">
                  <wp:posOffset>332740</wp:posOffset>
                </wp:positionV>
                <wp:extent cx="1760855" cy="1967230"/>
                <wp:effectExtent l="0" t="0" r="0" b="0"/>
                <wp:wrapTight wrapText="bothSides">
                  <wp:wrapPolygon edited="0">
                    <wp:start x="701" y="0"/>
                    <wp:lineTo x="701" y="21335"/>
                    <wp:lineTo x="20798" y="21335"/>
                    <wp:lineTo x="20798" y="0"/>
                    <wp:lineTo x="701" y="0"/>
                  </wp:wrapPolygon>
                </wp:wrapTight>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967230"/>
                        </a:xfrm>
                        <a:prstGeom prst="rect">
                          <a:avLst/>
                        </a:prstGeom>
                        <a:noFill/>
                        <a:ln w="9525">
                          <a:noFill/>
                          <a:miter lim="800000"/>
                          <a:headEnd/>
                          <a:tailEnd/>
                        </a:ln>
                      </wps:spPr>
                      <wps:txbx>
                        <w:txbxContent>
                          <w:p w14:paraId="6A90E165" w14:textId="77777777" w:rsidR="00E63142" w:rsidRDefault="00E63142" w:rsidP="00460F7B">
                            <w:pPr>
                              <w:pStyle w:val="tekstzboku"/>
                              <w:spacing w:before="0"/>
                            </w:pPr>
                          </w:p>
                          <w:p w14:paraId="5323E237" w14:textId="77777777" w:rsidR="00E63142" w:rsidRPr="00CE49AE" w:rsidRDefault="00CE49AE" w:rsidP="00460F7B">
                            <w:pPr>
                              <w:pStyle w:val="tekstzboku"/>
                              <w:spacing w:before="0"/>
                              <w:rPr>
                                <w:spacing w:val="-3"/>
                                <w:lang w:val="en-GB"/>
                              </w:rPr>
                            </w:pPr>
                            <w:r w:rsidRPr="008944A6">
                              <w:rPr>
                                <w:spacing w:val="-3"/>
                                <w:lang w:val="en-US"/>
                              </w:rPr>
                              <w:t xml:space="preserve">In the </w:t>
                            </w:r>
                            <w:r>
                              <w:rPr>
                                <w:spacing w:val="-3"/>
                                <w:lang w:val="en-US"/>
                              </w:rPr>
                              <w:t>second</w:t>
                            </w:r>
                            <w:r w:rsidRPr="008944A6">
                              <w:rPr>
                                <w:spacing w:val="-3"/>
                                <w:lang w:val="en-US"/>
                              </w:rPr>
                              <w:t xml:space="preserve"> quarter of 2020</w:t>
                            </w:r>
                            <w:r>
                              <w:rPr>
                                <w:spacing w:val="-3"/>
                                <w:lang w:val="en-US"/>
                              </w:rPr>
                              <w:t>,</w:t>
                            </w:r>
                            <w:r w:rsidRPr="008944A6">
                              <w:rPr>
                                <w:spacing w:val="-3"/>
                                <w:lang w:val="en-US"/>
                              </w:rPr>
                              <w:t xml:space="preserve"> fewer new jobs were created and more jobs were liquidated than </w:t>
                            </w:r>
                            <w:r>
                              <w:rPr>
                                <w:spacing w:val="-3"/>
                                <w:lang w:val="en-US"/>
                              </w:rPr>
                              <w:t>a year ago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3DE7F" id="_x0000_s1027" type="#_x0000_t202" style="position:absolute;margin-left:412.75pt;margin-top:26.2pt;width:138.65pt;height:154.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" filled="f" stroked="f">
                <v:textbox>
                  <w:txbxContent>
                    <w:p w14:paraId="6A90E165" w14:textId="77777777" w:rsidR="00E63142" w:rsidRDefault="00E63142" w:rsidP="00460F7B">
                      <w:pPr>
                        <w:pStyle w:val="tekstzboku"/>
                        <w:spacing w:before="0"/>
                      </w:pPr>
                    </w:p>
                    <w:p w14:paraId="5323E237" w14:textId="77777777" w:rsidR="00E63142" w:rsidRPr="00CE49AE" w:rsidRDefault="00CE49AE" w:rsidP="00460F7B">
                      <w:pPr>
                        <w:pStyle w:val="tekstzboku"/>
                        <w:spacing w:before="0"/>
                        <w:rPr>
                          <w:spacing w:val="-3"/>
                          <w:lang w:val="en-GB"/>
                        </w:rPr>
                      </w:pPr>
                      <w:r w:rsidRPr="008944A6">
                        <w:rPr>
                          <w:spacing w:val="-3"/>
                          <w:lang w:val="en-US"/>
                        </w:rPr>
                        <w:t xml:space="preserve">In the </w:t>
                      </w:r>
                      <w:r>
                        <w:rPr>
                          <w:spacing w:val="-3"/>
                          <w:lang w:val="en-US"/>
                        </w:rPr>
                        <w:t>second</w:t>
                      </w:r>
                      <w:r w:rsidRPr="008944A6">
                        <w:rPr>
                          <w:spacing w:val="-3"/>
                          <w:lang w:val="en-US"/>
                        </w:rPr>
                        <w:t xml:space="preserve"> quarter of 2020</w:t>
                      </w:r>
                      <w:r>
                        <w:rPr>
                          <w:spacing w:val="-3"/>
                          <w:lang w:val="en-US"/>
                        </w:rPr>
                        <w:t>,</w:t>
                      </w:r>
                      <w:r w:rsidRPr="008944A6">
                        <w:rPr>
                          <w:spacing w:val="-3"/>
                          <w:lang w:val="en-US"/>
                        </w:rPr>
                        <w:t xml:space="preserve"> fewer new jobs were created and more jobs were liquidated than </w:t>
                      </w:r>
                      <w:r>
                        <w:rPr>
                          <w:spacing w:val="-3"/>
                          <w:lang w:val="en-US"/>
                        </w:rPr>
                        <w:t>a year ago</w:t>
                      </w:r>
                    </w:p>
                  </w:txbxContent>
                </v:textbox>
                <w10:wrap type="tight"/>
              </v:shape>
            </w:pict>
          </mc:Fallback>
        </mc:AlternateContent>
      </w:r>
      <w:r w:rsidR="00CE49AE" w:rsidRPr="00CE49AE">
        <w:rPr>
          <w:rFonts w:eastAsia="Times New Roman"/>
          <w:b w:val="0"/>
          <w:lang w:val="en-US"/>
        </w:rPr>
        <w:t>In the second quarter of 2020, there were 44.2% fewer new jobs than in the corresponding period of the previous year. Moreover, 21.9% more jobs were liquidated than in the previous quarter and 14.3% more than in the second quarter of 2019.</w:t>
      </w:r>
    </w:p>
    <w:p w14:paraId="69F9E435" w14:textId="77777777" w:rsidR="00593F44" w:rsidRPr="00CE49AE" w:rsidRDefault="00CE49AE" w:rsidP="002F77A4">
      <w:pPr>
        <w:rPr>
          <w:color w:val="000000"/>
          <w:lang w:val="en-GB"/>
        </w:rPr>
      </w:pPr>
      <w:r w:rsidRPr="00AF7C4B">
        <w:rPr>
          <w:rFonts w:eastAsia="Times New Roman"/>
          <w:szCs w:val="19"/>
          <w:lang w:val="en-US" w:eastAsia="pl-PL"/>
        </w:rPr>
        <w:t>The Survey on the demand for labour is conducted by a representative method on a quarterly basis, using the Z-05 reporting form. It covers units employing at least one person. Reporting units should be understood as entities of the national economy or their local units, from which data are collected. The results of the survey are generalised to the general population of national economy entities employing at least one person.</w:t>
      </w:r>
    </w:p>
    <w:p w14:paraId="32B4A64A" w14:textId="77777777" w:rsidR="00F6700A" w:rsidRPr="00CE49AE" w:rsidRDefault="00CE49AE" w:rsidP="00E33659">
      <w:pPr>
        <w:spacing w:after="240"/>
        <w:rPr>
          <w:color w:val="000000"/>
          <w:lang w:val="en-GB"/>
        </w:rPr>
      </w:pPr>
      <w:r w:rsidRPr="00AF7C4B">
        <w:rPr>
          <w:lang w:val="en-US"/>
        </w:rPr>
        <w:t>In the second quarter of 2020, similarly to the previous one, the survey results were different from those previously obtained. Due to the ongoing epidemic situation, the labour market is experiencing changes, and the results of the survey make it possible to capture them</w:t>
      </w:r>
      <w:r w:rsidRPr="00856A1C">
        <w:rPr>
          <w:lang w:val="en-US"/>
        </w:rPr>
        <w:t>.</w:t>
      </w:r>
    </w:p>
    <w:tbl>
      <w:tblPr>
        <w:tblpPr w:leftFromText="141" w:rightFromText="141" w:vertAnchor="text" w:horzAnchor="margin" w:tblpY="445"/>
        <w:tblW w:w="7655"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480"/>
        <w:gridCol w:w="1843"/>
        <w:gridCol w:w="1701"/>
        <w:gridCol w:w="1631"/>
      </w:tblGrid>
      <w:tr w:rsidR="00CE49AE" w:rsidRPr="00F6700A" w14:paraId="5D1D9CB7" w14:textId="77777777" w:rsidTr="00CE49AE">
        <w:trPr>
          <w:trHeight w:val="273"/>
        </w:trPr>
        <w:tc>
          <w:tcPr>
            <w:tcW w:w="2480" w:type="dxa"/>
            <w:vMerge w:val="restart"/>
            <w:tcBorders>
              <w:top w:val="nil"/>
              <w:bottom w:val="single" w:sz="4" w:space="0" w:color="001D77"/>
            </w:tcBorders>
            <w:shd w:val="clear" w:color="auto" w:fill="auto"/>
            <w:vAlign w:val="center"/>
            <w:hideMark/>
          </w:tcPr>
          <w:p w14:paraId="575C20F9" w14:textId="77777777" w:rsidR="00CE49AE" w:rsidRPr="00F6700A" w:rsidRDefault="00CE49AE" w:rsidP="00CE49AE">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JOBS</w:t>
            </w:r>
          </w:p>
        </w:tc>
        <w:tc>
          <w:tcPr>
            <w:tcW w:w="1843" w:type="dxa"/>
            <w:tcBorders>
              <w:top w:val="nil"/>
              <w:bottom w:val="single" w:sz="4" w:space="0" w:color="001D77"/>
            </w:tcBorders>
            <w:shd w:val="clear" w:color="auto" w:fill="auto"/>
            <w:vAlign w:val="center"/>
            <w:hideMark/>
          </w:tcPr>
          <w:p w14:paraId="0469E43A" w14:textId="77777777" w:rsidR="00CE49AE" w:rsidRPr="00F6700A" w:rsidRDefault="00CE49AE" w:rsidP="00CE49AE">
            <w:pPr>
              <w:spacing w:before="0" w:after="0" w:line="240" w:lineRule="auto"/>
              <w:jc w:val="center"/>
              <w:rPr>
                <w:rFonts w:eastAsia="Times New Roman" w:cs="Calibri"/>
                <w:color w:val="000000"/>
                <w:sz w:val="16"/>
                <w:szCs w:val="16"/>
                <w:lang w:eastAsia="pl-PL"/>
              </w:rPr>
            </w:pPr>
            <w:r w:rsidRPr="00F6700A">
              <w:rPr>
                <w:rFonts w:eastAsia="Times New Roman" w:cs="Calibri"/>
                <w:color w:val="000000"/>
                <w:sz w:val="16"/>
                <w:szCs w:val="16"/>
                <w:lang w:eastAsia="pl-PL"/>
              </w:rPr>
              <w:t>2019</w:t>
            </w:r>
          </w:p>
        </w:tc>
        <w:tc>
          <w:tcPr>
            <w:tcW w:w="3332" w:type="dxa"/>
            <w:gridSpan w:val="2"/>
            <w:tcBorders>
              <w:top w:val="nil"/>
              <w:bottom w:val="single" w:sz="4" w:space="0" w:color="001D77"/>
            </w:tcBorders>
            <w:shd w:val="clear" w:color="auto" w:fill="auto"/>
            <w:vAlign w:val="center"/>
          </w:tcPr>
          <w:p w14:paraId="6D652A88" w14:textId="77777777" w:rsidR="00CE49AE" w:rsidRPr="00F6700A" w:rsidRDefault="00CE49AE" w:rsidP="00CE49AE">
            <w:pPr>
              <w:spacing w:before="0" w:after="0" w:line="240" w:lineRule="auto"/>
              <w:jc w:val="center"/>
              <w:rPr>
                <w:rFonts w:eastAsia="Times New Roman" w:cs="Calibri"/>
                <w:color w:val="000000"/>
                <w:sz w:val="16"/>
                <w:szCs w:val="16"/>
                <w:lang w:eastAsia="pl-PL"/>
              </w:rPr>
            </w:pPr>
            <w:r w:rsidRPr="00F6700A">
              <w:rPr>
                <w:rFonts w:eastAsia="Times New Roman" w:cs="Calibri"/>
                <w:color w:val="000000"/>
                <w:sz w:val="16"/>
                <w:szCs w:val="16"/>
                <w:lang w:eastAsia="pl-PL"/>
              </w:rPr>
              <w:t>2020</w:t>
            </w:r>
          </w:p>
        </w:tc>
      </w:tr>
      <w:tr w:rsidR="00CE49AE" w:rsidRPr="00F6700A" w14:paraId="27DBC868" w14:textId="77777777" w:rsidTr="00CE49AE">
        <w:trPr>
          <w:trHeight w:val="273"/>
        </w:trPr>
        <w:tc>
          <w:tcPr>
            <w:tcW w:w="2480" w:type="dxa"/>
            <w:vMerge/>
            <w:tcBorders>
              <w:top w:val="single" w:sz="4" w:space="0" w:color="001D77"/>
              <w:bottom w:val="single" w:sz="12" w:space="0" w:color="001D77"/>
            </w:tcBorders>
            <w:vAlign w:val="center"/>
            <w:hideMark/>
          </w:tcPr>
          <w:p w14:paraId="5411F551" w14:textId="77777777" w:rsidR="00CE49AE" w:rsidRPr="00F6700A" w:rsidRDefault="00CE49AE" w:rsidP="00CE49AE">
            <w:pPr>
              <w:spacing w:before="0" w:after="0" w:line="240" w:lineRule="auto"/>
              <w:rPr>
                <w:rFonts w:eastAsia="Times New Roman" w:cs="Calibri"/>
                <w:color w:val="000000"/>
                <w:sz w:val="16"/>
                <w:szCs w:val="16"/>
                <w:lang w:eastAsia="pl-PL"/>
              </w:rPr>
            </w:pPr>
          </w:p>
        </w:tc>
        <w:tc>
          <w:tcPr>
            <w:tcW w:w="1843" w:type="dxa"/>
            <w:tcBorders>
              <w:top w:val="single" w:sz="4" w:space="0" w:color="001D77"/>
              <w:bottom w:val="single" w:sz="12" w:space="0" w:color="001D77"/>
            </w:tcBorders>
            <w:shd w:val="clear" w:color="auto" w:fill="auto"/>
            <w:vAlign w:val="center"/>
            <w:hideMark/>
          </w:tcPr>
          <w:p w14:paraId="4FFD004A" w14:textId="77777777" w:rsidR="00CE49AE" w:rsidRPr="00F6700A" w:rsidRDefault="00CE49AE" w:rsidP="00CE49AE">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I</w:t>
            </w:r>
            <w:r w:rsidRPr="00F6700A">
              <w:rPr>
                <w:rFonts w:eastAsia="Times New Roman" w:cs="Calibri"/>
                <w:color w:val="000000"/>
                <w:sz w:val="16"/>
                <w:szCs w:val="16"/>
                <w:lang w:eastAsia="pl-PL"/>
              </w:rPr>
              <w:t xml:space="preserve">I </w:t>
            </w:r>
            <w:r>
              <w:rPr>
                <w:rFonts w:eastAsia="Times New Roman" w:cs="Calibri"/>
                <w:color w:val="000000"/>
                <w:sz w:val="16"/>
                <w:szCs w:val="16"/>
                <w:lang w:eastAsia="pl-PL"/>
              </w:rPr>
              <w:t>quarter</w:t>
            </w:r>
          </w:p>
        </w:tc>
        <w:tc>
          <w:tcPr>
            <w:tcW w:w="1701" w:type="dxa"/>
            <w:tcBorders>
              <w:top w:val="single" w:sz="4" w:space="0" w:color="001D77"/>
              <w:bottom w:val="single" w:sz="12" w:space="0" w:color="001D77"/>
            </w:tcBorders>
            <w:shd w:val="clear" w:color="auto" w:fill="auto"/>
            <w:vAlign w:val="center"/>
            <w:hideMark/>
          </w:tcPr>
          <w:p w14:paraId="3800E4E2" w14:textId="77777777" w:rsidR="00CE49AE" w:rsidRPr="00F6700A" w:rsidRDefault="00CE49AE" w:rsidP="00CE49AE">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I</w:t>
            </w:r>
            <w:r w:rsidRPr="00F6700A">
              <w:rPr>
                <w:rFonts w:eastAsia="Times New Roman" w:cs="Calibri"/>
                <w:color w:val="000000"/>
                <w:sz w:val="16"/>
                <w:szCs w:val="16"/>
                <w:lang w:eastAsia="pl-PL"/>
              </w:rPr>
              <w:t xml:space="preserve"> </w:t>
            </w:r>
            <w:r>
              <w:rPr>
                <w:rFonts w:eastAsia="Times New Roman" w:cs="Calibri"/>
                <w:color w:val="000000"/>
                <w:sz w:val="16"/>
                <w:szCs w:val="16"/>
                <w:lang w:eastAsia="pl-PL"/>
              </w:rPr>
              <w:t>quarter</w:t>
            </w:r>
          </w:p>
        </w:tc>
        <w:tc>
          <w:tcPr>
            <w:tcW w:w="1631" w:type="dxa"/>
            <w:tcBorders>
              <w:top w:val="single" w:sz="4" w:space="0" w:color="001D77"/>
              <w:bottom w:val="single" w:sz="12" w:space="0" w:color="001D77"/>
            </w:tcBorders>
            <w:shd w:val="clear" w:color="auto" w:fill="auto"/>
            <w:vAlign w:val="center"/>
            <w:hideMark/>
          </w:tcPr>
          <w:p w14:paraId="15598F51" w14:textId="77777777" w:rsidR="00CE49AE" w:rsidRPr="00F6700A" w:rsidRDefault="00CE49AE" w:rsidP="00CE49AE">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I</w:t>
            </w:r>
            <w:r w:rsidRPr="00F6700A">
              <w:rPr>
                <w:rFonts w:eastAsia="Times New Roman" w:cs="Calibri"/>
                <w:color w:val="000000"/>
                <w:sz w:val="16"/>
                <w:szCs w:val="16"/>
                <w:lang w:eastAsia="pl-PL"/>
              </w:rPr>
              <w:t xml:space="preserve">I </w:t>
            </w:r>
            <w:r>
              <w:rPr>
                <w:rFonts w:eastAsia="Times New Roman" w:cs="Calibri"/>
                <w:color w:val="000000"/>
                <w:sz w:val="16"/>
                <w:szCs w:val="16"/>
                <w:lang w:eastAsia="pl-PL"/>
              </w:rPr>
              <w:t>quarter</w:t>
            </w:r>
          </w:p>
        </w:tc>
      </w:tr>
      <w:tr w:rsidR="00CE49AE" w:rsidRPr="004C2074" w14:paraId="6E4E586E" w14:textId="77777777" w:rsidTr="00CE49AE">
        <w:trPr>
          <w:trHeight w:val="273"/>
        </w:trPr>
        <w:tc>
          <w:tcPr>
            <w:tcW w:w="7655" w:type="dxa"/>
            <w:gridSpan w:val="4"/>
            <w:tcBorders>
              <w:top w:val="single" w:sz="12" w:space="0" w:color="001D77"/>
              <w:bottom w:val="single" w:sz="4" w:space="0" w:color="001D77"/>
            </w:tcBorders>
            <w:shd w:val="clear" w:color="auto" w:fill="auto"/>
            <w:vAlign w:val="center"/>
            <w:hideMark/>
          </w:tcPr>
          <w:p w14:paraId="35A3F72D" w14:textId="77777777" w:rsidR="00CE49AE" w:rsidRPr="00547B91" w:rsidRDefault="00CE49AE" w:rsidP="00CE49AE">
            <w:pPr>
              <w:spacing w:before="0" w:after="0" w:line="240" w:lineRule="auto"/>
              <w:jc w:val="center"/>
              <w:rPr>
                <w:rFonts w:eastAsia="Times New Roman" w:cs="Calibri"/>
                <w:color w:val="000000"/>
                <w:sz w:val="16"/>
                <w:szCs w:val="16"/>
                <w:lang w:val="en-GB" w:eastAsia="pl-PL"/>
              </w:rPr>
            </w:pPr>
            <w:r w:rsidRPr="00547B91">
              <w:rPr>
                <w:rFonts w:eastAsia="Times New Roman" w:cs="Calibri"/>
                <w:color w:val="000000"/>
                <w:sz w:val="16"/>
                <w:szCs w:val="16"/>
                <w:lang w:val="en-GB" w:eastAsia="pl-PL"/>
              </w:rPr>
              <w:t>as of the end of the quarter (in thousands)</w:t>
            </w:r>
            <w:r w:rsidRPr="00547B91">
              <w:rPr>
                <w:rFonts w:eastAsia="Times New Roman" w:cs="Calibri"/>
                <w:color w:val="000000"/>
                <w:sz w:val="16"/>
                <w:szCs w:val="16"/>
                <w:lang w:val="en-GB" w:eastAsia="pl-PL"/>
              </w:rPr>
              <w:tab/>
            </w:r>
          </w:p>
        </w:tc>
      </w:tr>
      <w:tr w:rsidR="00CE49AE" w:rsidRPr="00F6700A" w14:paraId="079243A3" w14:textId="77777777" w:rsidTr="00CE49AE">
        <w:trPr>
          <w:trHeight w:val="273"/>
        </w:trPr>
        <w:tc>
          <w:tcPr>
            <w:tcW w:w="2480" w:type="dxa"/>
            <w:tcBorders>
              <w:top w:val="single" w:sz="4" w:space="0" w:color="001D77"/>
            </w:tcBorders>
            <w:shd w:val="clear" w:color="auto" w:fill="auto"/>
            <w:vAlign w:val="center"/>
            <w:hideMark/>
          </w:tcPr>
          <w:p w14:paraId="4EA3610E" w14:textId="77777777" w:rsidR="00CE49AE" w:rsidRPr="00F6700A" w:rsidRDefault="00CE49AE" w:rsidP="00CE49AE">
            <w:pPr>
              <w:spacing w:before="0" w:after="0" w:line="240" w:lineRule="auto"/>
              <w:rPr>
                <w:rFonts w:eastAsia="Times New Roman" w:cs="Calibri"/>
                <w:color w:val="000000"/>
                <w:sz w:val="16"/>
                <w:szCs w:val="16"/>
                <w:lang w:eastAsia="pl-PL"/>
              </w:rPr>
            </w:pPr>
            <w:r w:rsidRPr="00547B91">
              <w:rPr>
                <w:rFonts w:eastAsia="Times New Roman" w:cs="Calibri"/>
                <w:color w:val="000000"/>
                <w:sz w:val="16"/>
                <w:szCs w:val="16"/>
                <w:lang w:eastAsia="pl-PL"/>
              </w:rPr>
              <w:t>Vacancies</w:t>
            </w:r>
          </w:p>
        </w:tc>
        <w:tc>
          <w:tcPr>
            <w:tcW w:w="1843" w:type="dxa"/>
            <w:tcBorders>
              <w:top w:val="single" w:sz="4" w:space="0" w:color="001D77"/>
            </w:tcBorders>
            <w:shd w:val="clear" w:color="auto" w:fill="auto"/>
            <w:vAlign w:val="center"/>
            <w:hideMark/>
          </w:tcPr>
          <w:p w14:paraId="6CCF41E8"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151,8</w:t>
            </w:r>
          </w:p>
        </w:tc>
        <w:tc>
          <w:tcPr>
            <w:tcW w:w="1701" w:type="dxa"/>
            <w:tcBorders>
              <w:top w:val="single" w:sz="4" w:space="0" w:color="001D77"/>
            </w:tcBorders>
            <w:shd w:val="clear" w:color="auto" w:fill="auto"/>
            <w:vAlign w:val="center"/>
            <w:hideMark/>
          </w:tcPr>
          <w:p w14:paraId="662049BB"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76,5</w:t>
            </w:r>
          </w:p>
        </w:tc>
        <w:tc>
          <w:tcPr>
            <w:tcW w:w="1631" w:type="dxa"/>
            <w:tcBorders>
              <w:top w:val="single" w:sz="4" w:space="0" w:color="001D77"/>
            </w:tcBorders>
            <w:shd w:val="clear" w:color="auto" w:fill="auto"/>
            <w:vAlign w:val="center"/>
            <w:hideMark/>
          </w:tcPr>
          <w:p w14:paraId="7FB96CDC"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81,4</w:t>
            </w:r>
          </w:p>
        </w:tc>
      </w:tr>
      <w:tr w:rsidR="00CE49AE" w:rsidRPr="00F6700A" w14:paraId="63AF7F00" w14:textId="77777777" w:rsidTr="00CE49AE">
        <w:trPr>
          <w:trHeight w:val="273"/>
        </w:trPr>
        <w:tc>
          <w:tcPr>
            <w:tcW w:w="2480" w:type="dxa"/>
            <w:shd w:val="clear" w:color="auto" w:fill="auto"/>
            <w:vAlign w:val="center"/>
            <w:hideMark/>
          </w:tcPr>
          <w:p w14:paraId="113986AE" w14:textId="77777777" w:rsidR="00CE49AE" w:rsidRPr="00F6700A" w:rsidRDefault="00CE49AE" w:rsidP="00CE49AE">
            <w:pPr>
              <w:spacing w:before="0" w:after="0" w:line="240" w:lineRule="auto"/>
              <w:rPr>
                <w:rFonts w:eastAsia="Times New Roman" w:cs="Calibri"/>
                <w:color w:val="000000"/>
                <w:sz w:val="16"/>
                <w:szCs w:val="16"/>
                <w:lang w:eastAsia="pl-PL"/>
              </w:rPr>
            </w:pPr>
            <w:r w:rsidRPr="00547B91">
              <w:rPr>
                <w:rFonts w:eastAsia="Times New Roman" w:cs="Calibri"/>
                <w:color w:val="000000"/>
                <w:sz w:val="16"/>
                <w:szCs w:val="16"/>
                <w:lang w:eastAsia="pl-PL"/>
              </w:rPr>
              <w:t xml:space="preserve">Vacancies </w:t>
            </w:r>
            <w:r w:rsidR="00A92CA4">
              <w:rPr>
                <w:rFonts w:eastAsia="Times New Roman" w:cs="Calibri"/>
                <w:color w:val="000000"/>
                <w:sz w:val="16"/>
                <w:szCs w:val="16"/>
                <w:lang w:eastAsia="pl-PL"/>
              </w:rPr>
              <w:t>—</w:t>
            </w:r>
            <w:r w:rsidRPr="00547B91">
              <w:rPr>
                <w:rFonts w:eastAsia="Times New Roman" w:cs="Calibri"/>
                <w:color w:val="000000"/>
                <w:sz w:val="16"/>
                <w:szCs w:val="16"/>
                <w:lang w:eastAsia="pl-PL"/>
              </w:rPr>
              <w:t xml:space="preserve"> newly created jobs</w:t>
            </w:r>
          </w:p>
        </w:tc>
        <w:tc>
          <w:tcPr>
            <w:tcW w:w="1843" w:type="dxa"/>
            <w:shd w:val="clear" w:color="auto" w:fill="auto"/>
            <w:vAlign w:val="center"/>
            <w:hideMark/>
          </w:tcPr>
          <w:p w14:paraId="66F0791B"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31,5</w:t>
            </w:r>
          </w:p>
        </w:tc>
        <w:tc>
          <w:tcPr>
            <w:tcW w:w="1701" w:type="dxa"/>
            <w:shd w:val="clear" w:color="auto" w:fill="auto"/>
            <w:vAlign w:val="center"/>
            <w:hideMark/>
          </w:tcPr>
          <w:p w14:paraId="3262EDFB"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16,2</w:t>
            </w:r>
          </w:p>
        </w:tc>
        <w:tc>
          <w:tcPr>
            <w:tcW w:w="1631" w:type="dxa"/>
            <w:shd w:val="clear" w:color="auto" w:fill="auto"/>
            <w:vAlign w:val="center"/>
            <w:hideMark/>
          </w:tcPr>
          <w:p w14:paraId="1850829D"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17,0</w:t>
            </w:r>
          </w:p>
        </w:tc>
      </w:tr>
      <w:tr w:rsidR="00CE49AE" w:rsidRPr="004C2074" w14:paraId="6EDAA76B" w14:textId="77777777" w:rsidTr="00CE49AE">
        <w:trPr>
          <w:trHeight w:val="273"/>
        </w:trPr>
        <w:tc>
          <w:tcPr>
            <w:tcW w:w="7655" w:type="dxa"/>
            <w:gridSpan w:val="4"/>
            <w:shd w:val="clear" w:color="auto" w:fill="auto"/>
            <w:vAlign w:val="center"/>
            <w:hideMark/>
          </w:tcPr>
          <w:p w14:paraId="5EA80528" w14:textId="77777777" w:rsidR="00CE49AE" w:rsidRPr="00547B91" w:rsidRDefault="00CE49AE" w:rsidP="00CE49AE">
            <w:pPr>
              <w:spacing w:before="0" w:after="0" w:line="240" w:lineRule="auto"/>
              <w:jc w:val="center"/>
              <w:rPr>
                <w:rFonts w:eastAsia="Times New Roman" w:cs="Calibri"/>
                <w:color w:val="000000"/>
                <w:sz w:val="16"/>
                <w:szCs w:val="16"/>
                <w:lang w:val="en-GB" w:eastAsia="pl-PL"/>
              </w:rPr>
            </w:pPr>
            <w:r w:rsidRPr="00547B91">
              <w:rPr>
                <w:rFonts w:eastAsia="Times New Roman" w:cs="Calibri"/>
                <w:color w:val="000000"/>
                <w:sz w:val="16"/>
                <w:szCs w:val="16"/>
                <w:lang w:val="en-GB" w:eastAsia="pl-PL"/>
              </w:rPr>
              <w:t>during the quarter (in thousands)</w:t>
            </w:r>
          </w:p>
        </w:tc>
      </w:tr>
      <w:tr w:rsidR="00CE49AE" w:rsidRPr="00F6700A" w14:paraId="755BBA62" w14:textId="77777777" w:rsidTr="00CE49AE">
        <w:trPr>
          <w:trHeight w:val="273"/>
        </w:trPr>
        <w:tc>
          <w:tcPr>
            <w:tcW w:w="2480" w:type="dxa"/>
            <w:shd w:val="clear" w:color="auto" w:fill="auto"/>
            <w:vAlign w:val="center"/>
            <w:hideMark/>
          </w:tcPr>
          <w:p w14:paraId="5555B68C" w14:textId="77777777" w:rsidR="00CE49AE" w:rsidRPr="00F6700A" w:rsidRDefault="00CE49AE" w:rsidP="00CE49AE">
            <w:pPr>
              <w:spacing w:before="0" w:after="0" w:line="240" w:lineRule="auto"/>
              <w:rPr>
                <w:rFonts w:eastAsia="Times New Roman" w:cs="Calibri"/>
                <w:color w:val="000000"/>
                <w:sz w:val="16"/>
                <w:szCs w:val="16"/>
                <w:lang w:eastAsia="pl-PL"/>
              </w:rPr>
            </w:pPr>
            <w:r w:rsidRPr="00547B91">
              <w:rPr>
                <w:rFonts w:eastAsia="Times New Roman" w:cs="Calibri"/>
                <w:color w:val="000000"/>
                <w:sz w:val="16"/>
                <w:szCs w:val="16"/>
                <w:lang w:eastAsia="pl-PL"/>
              </w:rPr>
              <w:t>Newly created</w:t>
            </w:r>
          </w:p>
        </w:tc>
        <w:tc>
          <w:tcPr>
            <w:tcW w:w="1843" w:type="dxa"/>
            <w:shd w:val="clear" w:color="auto" w:fill="auto"/>
            <w:vAlign w:val="center"/>
            <w:hideMark/>
          </w:tcPr>
          <w:p w14:paraId="5448EA4E"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146,8</w:t>
            </w:r>
          </w:p>
        </w:tc>
        <w:tc>
          <w:tcPr>
            <w:tcW w:w="1701" w:type="dxa"/>
            <w:shd w:val="clear" w:color="auto" w:fill="auto"/>
            <w:vAlign w:val="center"/>
            <w:hideMark/>
          </w:tcPr>
          <w:p w14:paraId="0C519D30"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170,6</w:t>
            </w:r>
          </w:p>
        </w:tc>
        <w:tc>
          <w:tcPr>
            <w:tcW w:w="1631" w:type="dxa"/>
            <w:shd w:val="clear" w:color="auto" w:fill="auto"/>
            <w:vAlign w:val="center"/>
            <w:hideMark/>
          </w:tcPr>
          <w:p w14:paraId="3207EEAA"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81,9</w:t>
            </w:r>
          </w:p>
        </w:tc>
      </w:tr>
      <w:tr w:rsidR="00CE49AE" w:rsidRPr="00F6700A" w14:paraId="649535D8" w14:textId="77777777" w:rsidTr="00CE49AE">
        <w:trPr>
          <w:trHeight w:val="273"/>
        </w:trPr>
        <w:tc>
          <w:tcPr>
            <w:tcW w:w="2480" w:type="dxa"/>
            <w:shd w:val="clear" w:color="auto" w:fill="auto"/>
            <w:vAlign w:val="center"/>
            <w:hideMark/>
          </w:tcPr>
          <w:p w14:paraId="5B0A3E81" w14:textId="77777777" w:rsidR="00CE49AE" w:rsidRPr="00F6700A" w:rsidRDefault="00CE49AE" w:rsidP="00CE49AE">
            <w:pPr>
              <w:spacing w:before="0" w:after="0" w:line="240" w:lineRule="auto"/>
              <w:rPr>
                <w:rFonts w:eastAsia="Times New Roman" w:cs="Calibri"/>
                <w:color w:val="000000"/>
                <w:sz w:val="16"/>
                <w:szCs w:val="16"/>
                <w:lang w:eastAsia="pl-PL"/>
              </w:rPr>
            </w:pPr>
            <w:r w:rsidRPr="00547B91">
              <w:rPr>
                <w:rFonts w:eastAsia="Times New Roman" w:cs="Calibri"/>
                <w:color w:val="000000"/>
                <w:sz w:val="16"/>
                <w:szCs w:val="16"/>
                <w:lang w:eastAsia="pl-PL"/>
              </w:rPr>
              <w:t>Liquidated</w:t>
            </w:r>
          </w:p>
        </w:tc>
        <w:tc>
          <w:tcPr>
            <w:tcW w:w="1843" w:type="dxa"/>
            <w:shd w:val="clear" w:color="auto" w:fill="auto"/>
            <w:vAlign w:val="center"/>
            <w:hideMark/>
          </w:tcPr>
          <w:p w14:paraId="330CD346"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81,9</w:t>
            </w:r>
          </w:p>
        </w:tc>
        <w:tc>
          <w:tcPr>
            <w:tcW w:w="1701" w:type="dxa"/>
            <w:shd w:val="clear" w:color="auto" w:fill="auto"/>
            <w:vAlign w:val="center"/>
            <w:hideMark/>
          </w:tcPr>
          <w:p w14:paraId="0E11FA4D"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119,9</w:t>
            </w:r>
          </w:p>
        </w:tc>
        <w:tc>
          <w:tcPr>
            <w:tcW w:w="1631" w:type="dxa"/>
            <w:shd w:val="clear" w:color="auto" w:fill="auto"/>
            <w:vAlign w:val="center"/>
            <w:hideMark/>
          </w:tcPr>
          <w:p w14:paraId="62BC1597" w14:textId="77777777" w:rsidR="00CE49AE" w:rsidRDefault="00CE49AE" w:rsidP="00CE49AE">
            <w:pPr>
              <w:spacing w:before="0" w:after="0" w:line="240" w:lineRule="auto"/>
              <w:jc w:val="right"/>
              <w:rPr>
                <w:rFonts w:cs="Calibri"/>
                <w:color w:val="000000"/>
                <w:sz w:val="16"/>
                <w:szCs w:val="16"/>
              </w:rPr>
            </w:pPr>
            <w:r>
              <w:rPr>
                <w:rFonts w:cs="Calibri"/>
                <w:color w:val="000000"/>
                <w:sz w:val="16"/>
                <w:szCs w:val="16"/>
              </w:rPr>
              <w:t>93,6</w:t>
            </w:r>
          </w:p>
        </w:tc>
      </w:tr>
    </w:tbl>
    <w:p w14:paraId="4B3F8033" w14:textId="77777777" w:rsidR="00F6700A" w:rsidRPr="00CE49AE" w:rsidRDefault="00CE49AE" w:rsidP="00F6700A">
      <w:pPr>
        <w:pStyle w:val="tytuwykresu"/>
        <w:ind w:left="851" w:hanging="851"/>
        <w:rPr>
          <w:lang w:val="en-GB"/>
        </w:rPr>
      </w:pPr>
      <w:r w:rsidRPr="00CE49AE">
        <w:rPr>
          <w:szCs w:val="18"/>
          <w:lang w:val="en-GB"/>
        </w:rPr>
        <w:t>Table 1. Jobs in Poland — basic results of the survey</w:t>
      </w:r>
      <w:r w:rsidR="00F6700A" w:rsidRPr="00CE49AE">
        <w:rPr>
          <w:lang w:val="en-GB"/>
        </w:rPr>
        <w:br/>
      </w:r>
    </w:p>
    <w:p w14:paraId="5E261179" w14:textId="77777777" w:rsidR="004E72C7" w:rsidRPr="00CE49AE" w:rsidRDefault="004E72C7" w:rsidP="008B2AA1">
      <w:pPr>
        <w:pStyle w:val="tytuwykresu"/>
        <w:spacing w:before="240"/>
        <w:ind w:left="794" w:hanging="794"/>
        <w:rPr>
          <w:szCs w:val="18"/>
          <w:lang w:val="en-GB"/>
        </w:rPr>
      </w:pPr>
    </w:p>
    <w:p w14:paraId="75792CD7" w14:textId="77777777" w:rsidR="004E72C7" w:rsidRPr="00CE49AE" w:rsidRDefault="004E72C7">
      <w:pPr>
        <w:spacing w:before="0" w:after="160" w:line="259" w:lineRule="auto"/>
        <w:rPr>
          <w:b/>
          <w:spacing w:val="-2"/>
          <w:sz w:val="18"/>
          <w:szCs w:val="18"/>
          <w:lang w:val="en-GB"/>
        </w:rPr>
      </w:pPr>
      <w:r w:rsidRPr="00CE49AE">
        <w:rPr>
          <w:szCs w:val="18"/>
          <w:lang w:val="en-GB"/>
        </w:rPr>
        <w:br w:type="page"/>
      </w:r>
    </w:p>
    <w:p w14:paraId="44BA24CC" w14:textId="77777777" w:rsidR="00785D1A" w:rsidRPr="005516BE" w:rsidRDefault="00547B91" w:rsidP="005516BE">
      <w:pPr>
        <w:pStyle w:val="tytuwykresu"/>
        <w:spacing w:before="240"/>
        <w:ind w:left="652" w:hanging="652"/>
        <w:rPr>
          <w:b w:val="0"/>
          <w:szCs w:val="18"/>
          <w:lang w:val="en-GB"/>
        </w:rPr>
      </w:pPr>
      <w:r>
        <w:rPr>
          <w:noProof/>
          <w:lang w:eastAsia="pl-PL"/>
        </w:rPr>
        <w:lastRenderedPageBreak/>
        <w:drawing>
          <wp:anchor distT="0" distB="0" distL="114300" distR="114300" simplePos="0" relativeHeight="251659776" behindDoc="0" locked="0" layoutInCell="1" allowOverlap="1" wp14:anchorId="6E8B79D0" wp14:editId="77CD176F">
            <wp:simplePos x="0" y="0"/>
            <wp:positionH relativeFrom="column">
              <wp:posOffset>2540</wp:posOffset>
            </wp:positionH>
            <wp:positionV relativeFrom="paragraph">
              <wp:posOffset>388102</wp:posOffset>
            </wp:positionV>
            <wp:extent cx="5004000" cy="2700000"/>
            <wp:effectExtent l="0" t="0" r="0" b="0"/>
            <wp:wrapSquare wrapText="bothSides"/>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516BE" w:rsidRPr="005516BE">
        <w:rPr>
          <w:noProof/>
          <w:lang w:val="en-GB" w:eastAsia="pl-PL"/>
        </w:rPr>
        <w:t>Chart 1. Newly created and liquidated jobs in Poland</w:t>
      </w:r>
      <w:r w:rsidR="0010704A" w:rsidRPr="005516BE">
        <w:rPr>
          <w:szCs w:val="18"/>
          <w:lang w:val="en-GB"/>
        </w:rPr>
        <w:t xml:space="preserve"> </w:t>
      </w:r>
      <w:r w:rsidR="008B2AA1" w:rsidRPr="005516BE">
        <w:rPr>
          <w:szCs w:val="18"/>
          <w:lang w:val="en-GB"/>
        </w:rPr>
        <w:br/>
      </w:r>
      <w:r w:rsidR="005516BE" w:rsidRPr="005516BE">
        <w:rPr>
          <w:b w:val="0"/>
          <w:szCs w:val="18"/>
          <w:lang w:val="en-GB"/>
        </w:rPr>
        <w:t>As of the end of the quarter</w:t>
      </w:r>
    </w:p>
    <w:p w14:paraId="34228724" w14:textId="77777777" w:rsidR="008A3ED7" w:rsidRPr="005516BE" w:rsidRDefault="008A3ED7" w:rsidP="002F77A4">
      <w:pPr>
        <w:rPr>
          <w:rFonts w:eastAsia="Times New Roman"/>
          <w:spacing w:val="2"/>
          <w:szCs w:val="19"/>
          <w:lang w:val="en-GB" w:eastAsia="pl-PL"/>
        </w:rPr>
      </w:pPr>
    </w:p>
    <w:p w14:paraId="2BA75289" w14:textId="77777777" w:rsidR="005516BE" w:rsidRPr="00BE0408" w:rsidRDefault="005516BE" w:rsidP="005516BE">
      <w:pPr>
        <w:rPr>
          <w:rFonts w:eastAsia="Times New Roman"/>
          <w:spacing w:val="2"/>
          <w:szCs w:val="19"/>
          <w:lang w:val="en-US" w:eastAsia="pl-PL"/>
        </w:rPr>
      </w:pPr>
      <w:r>
        <w:rPr>
          <w:rFonts w:eastAsia="Times New Roman"/>
          <w:spacing w:val="2"/>
          <w:szCs w:val="19"/>
          <w:lang w:val="en-US" w:eastAsia="pl-PL"/>
        </w:rPr>
        <w:t>An</w:t>
      </w:r>
      <w:r w:rsidRPr="008E7FB9">
        <w:rPr>
          <w:rFonts w:eastAsia="Times New Roman"/>
          <w:spacing w:val="2"/>
          <w:szCs w:val="19"/>
          <w:lang w:val="en-US" w:eastAsia="pl-PL"/>
        </w:rPr>
        <w:t xml:space="preserve"> </w:t>
      </w:r>
      <w:r w:rsidRPr="00BE0408">
        <w:rPr>
          <w:rFonts w:eastAsia="Times New Roman"/>
          <w:spacing w:val="2"/>
          <w:szCs w:val="19"/>
          <w:lang w:val="en-US" w:eastAsia="pl-PL"/>
        </w:rPr>
        <w:t xml:space="preserve">increase or decrease in the number of newly created and liquidated jobs is affected by many factors, and from March 2020 also by the threat of COVID-19 disease. The analysis of the presented series of data shows that in Poland creating and liquidating jobs is of a cyclical nature. In the case of newly created jobs, their number was the highest in the second quarters and usually the lowest in the fourth quarters. The increasing trend in the number of newly created jobs has continued since 2012 — the number reached the highest level in 2019. The impact of COVID-19 is, however, reflected in a significant decrease in the number of newly created jobs as compared to the corresponding quarter of 2019. </w:t>
      </w:r>
    </w:p>
    <w:p w14:paraId="4D161F2C" w14:textId="77777777" w:rsidR="005516BE" w:rsidRDefault="005516BE" w:rsidP="005516BE">
      <w:pPr>
        <w:pStyle w:val="HTML-wstpniesformatowany"/>
        <w:spacing w:before="120" w:after="120" w:line="240" w:lineRule="exact"/>
        <w:rPr>
          <w:rFonts w:ascii="Fira Sans" w:eastAsia="Times New Roman" w:hAnsi="Fira Sans" w:cstheme="minorBidi"/>
          <w:spacing w:val="2"/>
          <w:sz w:val="19"/>
          <w:szCs w:val="19"/>
          <w:lang w:val="en-US" w:eastAsia="pl-PL"/>
        </w:rPr>
      </w:pPr>
      <w:r w:rsidRPr="00BE0408">
        <w:rPr>
          <w:rFonts w:ascii="Fira Sans" w:eastAsia="Times New Roman" w:hAnsi="Fira Sans" w:cstheme="minorBidi"/>
          <w:spacing w:val="2"/>
          <w:sz w:val="19"/>
          <w:szCs w:val="19"/>
          <w:lang w:val="en-US" w:eastAsia="pl-PL"/>
        </w:rPr>
        <w:t>From 2012 to 2019, the largest number of jobs were liquidated in the first quarters, and the lowest numbers of job losses occurred in different quarters of individual years.</w:t>
      </w:r>
      <w:r w:rsidRPr="00BE0408">
        <w:rPr>
          <w:rFonts w:ascii="Courier New" w:eastAsia="Times New Roman" w:hAnsi="Courier New" w:cs="Courier New"/>
          <w:lang w:val="en" w:eastAsia="pl-PL"/>
        </w:rPr>
        <w:t xml:space="preserve"> </w:t>
      </w:r>
      <w:r w:rsidRPr="00BE0408">
        <w:rPr>
          <w:rFonts w:ascii="Fira Sans" w:eastAsia="Times New Roman" w:hAnsi="Fira Sans" w:cstheme="minorBidi"/>
          <w:spacing w:val="2"/>
          <w:sz w:val="19"/>
          <w:szCs w:val="19"/>
          <w:lang w:val="en-US" w:eastAsia="pl-PL"/>
        </w:rPr>
        <w:t xml:space="preserve">The difference between newly created and liquidated jobs was systematically growing. This cyclicality in the second quarter of 2020 was disturbed and the number of liquidated jobs was higher than the number of newly created ones. From the beginning of 2012 until </w:t>
      </w:r>
      <w:r w:rsidRPr="004D4F52">
        <w:rPr>
          <w:rFonts w:ascii="Fira Sans" w:eastAsia="Times New Roman" w:hAnsi="Fira Sans" w:cstheme="minorBidi"/>
          <w:spacing w:val="2"/>
          <w:sz w:val="19"/>
          <w:szCs w:val="19"/>
          <w:lang w:val="en-US" w:eastAsia="pl-PL"/>
        </w:rPr>
        <w:t>the second quarter of 2020, such a situation occurred only in the fourth quarter of 2012.</w:t>
      </w:r>
    </w:p>
    <w:p w14:paraId="64B6A6CF" w14:textId="77777777" w:rsidR="004C2074" w:rsidRPr="004C2074" w:rsidRDefault="004C2074" w:rsidP="004C2074">
      <w:pPr>
        <w:rPr>
          <w:rFonts w:eastAsia="Times New Roman"/>
          <w:szCs w:val="19"/>
          <w:lang w:val="en-US" w:eastAsia="pl-PL"/>
        </w:rPr>
      </w:pPr>
      <w:r w:rsidRPr="004C2074">
        <w:rPr>
          <w:rFonts w:eastAsia="Times New Roman"/>
          <w:spacing w:val="2"/>
          <w:szCs w:val="19"/>
          <w:lang w:val="en-US" w:eastAsia="pl-PL"/>
        </w:rPr>
        <w:t>The survey results indicate that at the end of the second quarter of 2020 among the entities of the national economy employing at least 1 person the majority, because 90.9%, belonged to the private sector</w:t>
      </w:r>
      <w:r w:rsidRPr="004C2074">
        <w:rPr>
          <w:rStyle w:val="tlid-translation"/>
          <w:lang w:val="en"/>
        </w:rPr>
        <w:t xml:space="preserve">. In terms of the size expressed in the number of employed persons, units with up to 9 employed persons - they constituted 64.7% of </w:t>
      </w:r>
      <w:r w:rsidRPr="004C2074">
        <w:rPr>
          <w:lang w:val="en-US"/>
        </w:rPr>
        <w:t>units.</w:t>
      </w:r>
    </w:p>
    <w:p w14:paraId="4E2A4C82" w14:textId="77777777" w:rsidR="00785D1A" w:rsidRPr="004C2074" w:rsidRDefault="004C2074" w:rsidP="004C2074">
      <w:pPr>
        <w:rPr>
          <w:rFonts w:eastAsia="Times New Roman" w:cs="Times New Roman"/>
          <w:szCs w:val="19"/>
          <w:lang w:val="en-GB" w:eastAsia="pl-PL"/>
        </w:rPr>
      </w:pPr>
      <w:r w:rsidRPr="004C2074">
        <w:rPr>
          <w:rFonts w:eastAsia="Times New Roman"/>
          <w:szCs w:val="19"/>
          <w:lang w:val="en-US" w:eastAsia="pl-PL"/>
        </w:rPr>
        <w:t xml:space="preserve">At the end of the second quarter of 2020, only 27.4 thousand units or 4.3% of their total number had job vacancies at their disposal. </w:t>
      </w:r>
      <w:r w:rsidRPr="004C2074">
        <w:rPr>
          <w:szCs w:val="19"/>
          <w:lang w:val="en-US"/>
        </w:rPr>
        <w:t>The ownership and size structure of units reporting job vacancies reflects the structure of the whole population.</w:t>
      </w:r>
      <w:r w:rsidRPr="004C2074">
        <w:rPr>
          <w:rFonts w:eastAsia="Times New Roman"/>
          <w:szCs w:val="19"/>
          <w:lang w:val="en-US" w:eastAsia="pl-PL"/>
        </w:rPr>
        <w:t xml:space="preserve"> The vast majority, that is 85.0% belonged to the private sector. Units with up to 9 employed persons constituted just over half (50.7%) of the total number of units.</w:t>
      </w:r>
    </w:p>
    <w:p w14:paraId="47C5F3FD" w14:textId="77777777" w:rsidR="00603EBB" w:rsidRPr="004C2074" w:rsidRDefault="00603EBB" w:rsidP="00785D1A">
      <w:pPr>
        <w:rPr>
          <w:rFonts w:eastAsia="Times New Roman" w:cs="Times New Roman"/>
          <w:szCs w:val="19"/>
          <w:lang w:val="en-GB" w:eastAsia="pl-PL"/>
        </w:rPr>
      </w:pPr>
    </w:p>
    <w:p w14:paraId="102E05CF" w14:textId="77777777" w:rsidR="008A3ED7" w:rsidRPr="005516BE" w:rsidRDefault="008A3ED7">
      <w:pPr>
        <w:spacing w:before="0" w:after="160" w:line="259" w:lineRule="auto"/>
        <w:rPr>
          <w:rFonts w:ascii="Fira Sans SemiBold" w:hAnsi="Fira Sans SemiBold"/>
          <w:color w:val="001D77"/>
          <w:lang w:val="en-GB"/>
        </w:rPr>
      </w:pPr>
      <w:r w:rsidRPr="005516BE">
        <w:rPr>
          <w:rFonts w:ascii="Fira Sans SemiBold" w:hAnsi="Fira Sans SemiBold"/>
          <w:color w:val="001D77"/>
          <w:lang w:val="en-GB"/>
        </w:rPr>
        <w:br w:type="page"/>
      </w:r>
    </w:p>
    <w:p w14:paraId="50A181F5" w14:textId="77777777" w:rsidR="00593F44" w:rsidRPr="005516BE" w:rsidRDefault="005516BE" w:rsidP="00603EBB">
      <w:pPr>
        <w:spacing w:before="240" w:line="240" w:lineRule="auto"/>
        <w:rPr>
          <w:rFonts w:ascii="Fira Sans SemiBold" w:hAnsi="Fira Sans SemiBold"/>
          <w:color w:val="001D77"/>
          <w:lang w:val="en-GB"/>
        </w:rPr>
      </w:pPr>
      <w:r w:rsidRPr="005516BE">
        <w:rPr>
          <w:rFonts w:ascii="Fira Sans SemiBold" w:hAnsi="Fira Sans SemiBold"/>
          <w:color w:val="001D77"/>
          <w:lang w:val="en-GB"/>
        </w:rPr>
        <w:lastRenderedPageBreak/>
        <w:t>Job vacancies</w:t>
      </w:r>
    </w:p>
    <w:p w14:paraId="5F0370D7" w14:textId="77777777" w:rsidR="00593F44" w:rsidRPr="005516BE" w:rsidRDefault="00593F44" w:rsidP="00593F44">
      <w:pPr>
        <w:rPr>
          <w:color w:val="000000" w:themeColor="text1"/>
          <w:lang w:val="en-GB"/>
        </w:rPr>
      </w:pPr>
    </w:p>
    <w:p w14:paraId="220CC3F8" w14:textId="2CE1764D" w:rsidR="00603EBB" w:rsidRPr="005516BE" w:rsidRDefault="00547B91" w:rsidP="005516BE">
      <w:pPr>
        <w:pStyle w:val="tytuwykresu"/>
        <w:ind w:left="680" w:hanging="680"/>
        <w:rPr>
          <w:szCs w:val="18"/>
          <w:lang w:val="en-GB"/>
        </w:rPr>
      </w:pPr>
      <w:r>
        <w:rPr>
          <w:noProof/>
          <w:lang w:eastAsia="pl-PL"/>
        </w:rPr>
        <w:drawing>
          <wp:anchor distT="0" distB="0" distL="900430" distR="900430" simplePos="0" relativeHeight="251660800" behindDoc="0" locked="0" layoutInCell="1" allowOverlap="1" wp14:anchorId="1208F117" wp14:editId="7C15CB41">
            <wp:simplePos x="0" y="0"/>
            <wp:positionH relativeFrom="column">
              <wp:posOffset>311079</wp:posOffset>
            </wp:positionH>
            <wp:positionV relativeFrom="paragraph">
              <wp:posOffset>398526</wp:posOffset>
            </wp:positionV>
            <wp:extent cx="4233600" cy="2257200"/>
            <wp:effectExtent l="0" t="0" r="0" b="0"/>
            <wp:wrapSquare wrapText="bothSides"/>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D41DF8">
        <w:rPr>
          <w:noProof/>
          <w:szCs w:val="18"/>
          <w:lang w:eastAsia="pl-PL"/>
        </w:rPr>
        <mc:AlternateContent>
          <mc:Choice Requires="wps">
            <w:drawing>
              <wp:anchor distT="0" distB="0" distL="114300" distR="114300" simplePos="0" relativeHeight="251662336" behindDoc="0" locked="0" layoutInCell="1" allowOverlap="1" wp14:anchorId="6B237CE3" wp14:editId="19AA1482">
                <wp:simplePos x="0" y="0"/>
                <wp:positionH relativeFrom="column">
                  <wp:posOffset>5213350</wp:posOffset>
                </wp:positionH>
                <wp:positionV relativeFrom="paragraph">
                  <wp:posOffset>744855</wp:posOffset>
                </wp:positionV>
                <wp:extent cx="1807210" cy="12827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D3B48" w14:textId="77777777" w:rsidR="00E63142" w:rsidRPr="005516BE" w:rsidRDefault="005516BE" w:rsidP="00603EBB">
                            <w:pPr>
                              <w:spacing w:before="0"/>
                              <w:rPr>
                                <w:rFonts w:cs="Times New Roman"/>
                                <w:bCs/>
                                <w:color w:val="001D77"/>
                                <w:sz w:val="18"/>
                                <w:szCs w:val="18"/>
                                <w:lang w:val="en-GB"/>
                              </w:rPr>
                            </w:pPr>
                            <w:r w:rsidRPr="00E15EC3">
                              <w:rPr>
                                <w:bCs/>
                                <w:color w:val="001D77"/>
                                <w:sz w:val="18"/>
                                <w:szCs w:val="18"/>
                                <w:lang w:val="en-US"/>
                              </w:rPr>
                              <w:t xml:space="preserve">Job vacancies as of the end of the </w:t>
                            </w:r>
                            <w:r>
                              <w:rPr>
                                <w:bCs/>
                                <w:color w:val="001D77"/>
                                <w:sz w:val="18"/>
                                <w:szCs w:val="18"/>
                                <w:lang w:val="en-US"/>
                              </w:rPr>
                              <w:t>second</w:t>
                            </w:r>
                            <w:r w:rsidRPr="00E15EC3">
                              <w:rPr>
                                <w:bCs/>
                                <w:color w:val="001D77"/>
                                <w:sz w:val="18"/>
                                <w:szCs w:val="18"/>
                                <w:lang w:val="en-US"/>
                              </w:rPr>
                              <w:t xml:space="preserve"> quarter of 2020 </w:t>
                            </w:r>
                            <w:r>
                              <w:rPr>
                                <w:bCs/>
                                <w:color w:val="001D77"/>
                                <w:sz w:val="18"/>
                                <w:szCs w:val="18"/>
                                <w:lang w:val="en-US"/>
                              </w:rPr>
                              <w:t>were concentrated mainly in the private sector</w:t>
                            </w:r>
                            <w:r w:rsidRPr="00E15EC3">
                              <w:rPr>
                                <w:bCs/>
                                <w:color w:val="001D77"/>
                                <w:sz w:val="18"/>
                                <w:szCs w:val="18"/>
                                <w:lang w:val="en-US"/>
                              </w:rPr>
                              <w:t xml:space="preserve"> (</w:t>
                            </w:r>
                            <w:r>
                              <w:rPr>
                                <w:bCs/>
                                <w:color w:val="001D77"/>
                                <w:sz w:val="18"/>
                                <w:szCs w:val="18"/>
                                <w:lang w:val="en-US"/>
                              </w:rPr>
                              <w:t>7</w:t>
                            </w:r>
                            <w:r w:rsidR="00C703C8">
                              <w:rPr>
                                <w:bCs/>
                                <w:color w:val="001D77"/>
                                <w:sz w:val="18"/>
                                <w:szCs w:val="18"/>
                                <w:lang w:val="en-US"/>
                              </w:rPr>
                              <w:t>8</w:t>
                            </w:r>
                            <w:r>
                              <w:rPr>
                                <w:bCs/>
                                <w:color w:val="001D77"/>
                                <w:sz w:val="18"/>
                                <w:szCs w:val="18"/>
                                <w:lang w:val="en-US"/>
                              </w:rPr>
                              <w:t>.</w:t>
                            </w:r>
                            <w:r w:rsidR="00C703C8">
                              <w:rPr>
                                <w:bCs/>
                                <w:color w:val="001D77"/>
                                <w:sz w:val="18"/>
                                <w:szCs w:val="18"/>
                                <w:lang w:val="en-US"/>
                              </w:rPr>
                              <w:t>1</w:t>
                            </w:r>
                            <w:r w:rsidRPr="00E15EC3">
                              <w:rPr>
                                <w:bCs/>
                                <w:color w:val="001D77"/>
                                <w:sz w:val="18"/>
                                <w:szCs w:val="18"/>
                                <w:lang w:val="en-US"/>
                              </w:rPr>
                              <w:t>%). Most of them were reported in units with the number of employed persons larger than</w:t>
                            </w:r>
                            <w:r>
                              <w:rPr>
                                <w:bCs/>
                                <w:color w:val="001D77"/>
                                <w:sz w:val="18"/>
                                <w:szCs w:val="18"/>
                                <w:lang w:val="en-US"/>
                              </w:rPr>
                              <w:t xml:space="preserve"> 49</w:t>
                            </w:r>
                            <w:r w:rsidRPr="00E15EC3">
                              <w:rPr>
                                <w:bCs/>
                                <w:color w:val="001D77"/>
                                <w:sz w:val="18"/>
                                <w:szCs w:val="18"/>
                                <w:lang w:val="en-US"/>
                              </w:rPr>
                              <w:t xml:space="preserve"> (</w:t>
                            </w:r>
                            <w:r>
                              <w:rPr>
                                <w:bCs/>
                                <w:color w:val="001D77"/>
                                <w:sz w:val="18"/>
                                <w:szCs w:val="18"/>
                                <w:lang w:val="en-US"/>
                              </w:rPr>
                              <w:t>52.</w:t>
                            </w:r>
                            <w:r w:rsidR="00C703C8">
                              <w:rPr>
                                <w:bCs/>
                                <w:color w:val="001D77"/>
                                <w:sz w:val="18"/>
                                <w:szCs w:val="18"/>
                                <w:lang w:val="en-US"/>
                              </w:rPr>
                              <w:t>0</w:t>
                            </w:r>
                            <w:r w:rsidRPr="00E15EC3">
                              <w:rPr>
                                <w:bCs/>
                                <w:color w:val="001D77"/>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7CE3" id="Text Box 23" o:spid="_x0000_s1028" type="#_x0000_t202" style="position:absolute;left:0;text-align:left;margin-left:410.5pt;margin-top:58.65pt;width:142.3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" filled="f" stroked="f">
                <v:textbox>
                  <w:txbxContent>
                    <w:p w14:paraId="78AD3B48" w14:textId="77777777" w:rsidR="00E63142" w:rsidRPr="005516BE" w:rsidRDefault="005516BE" w:rsidP="00603EBB">
                      <w:pPr>
                        <w:spacing w:before="0"/>
                        <w:rPr>
                          <w:rFonts w:cs="Times New Roman"/>
                          <w:bCs/>
                          <w:color w:val="001D77"/>
                          <w:sz w:val="18"/>
                          <w:szCs w:val="18"/>
                          <w:lang w:val="en-GB"/>
                        </w:rPr>
                      </w:pPr>
                      <w:r w:rsidRPr="00E15EC3">
                        <w:rPr>
                          <w:bCs/>
                          <w:color w:val="001D77"/>
                          <w:sz w:val="18"/>
                          <w:szCs w:val="18"/>
                          <w:lang w:val="en-US"/>
                        </w:rPr>
                        <w:t xml:space="preserve">Job vacancies as of the end of the </w:t>
                      </w:r>
                      <w:r>
                        <w:rPr>
                          <w:bCs/>
                          <w:color w:val="001D77"/>
                          <w:sz w:val="18"/>
                          <w:szCs w:val="18"/>
                          <w:lang w:val="en-US"/>
                        </w:rPr>
                        <w:t>second</w:t>
                      </w:r>
                      <w:r w:rsidRPr="00E15EC3">
                        <w:rPr>
                          <w:bCs/>
                          <w:color w:val="001D77"/>
                          <w:sz w:val="18"/>
                          <w:szCs w:val="18"/>
                          <w:lang w:val="en-US"/>
                        </w:rPr>
                        <w:t xml:space="preserve"> quarter of 2020 </w:t>
                      </w:r>
                      <w:r>
                        <w:rPr>
                          <w:bCs/>
                          <w:color w:val="001D77"/>
                          <w:sz w:val="18"/>
                          <w:szCs w:val="18"/>
                          <w:lang w:val="en-US"/>
                        </w:rPr>
                        <w:t>were concentrated mainly in the private sector</w:t>
                      </w:r>
                      <w:r w:rsidRPr="00E15EC3">
                        <w:rPr>
                          <w:bCs/>
                          <w:color w:val="001D77"/>
                          <w:sz w:val="18"/>
                          <w:szCs w:val="18"/>
                          <w:lang w:val="en-US"/>
                        </w:rPr>
                        <w:t xml:space="preserve"> (</w:t>
                      </w:r>
                      <w:r>
                        <w:rPr>
                          <w:bCs/>
                          <w:color w:val="001D77"/>
                          <w:sz w:val="18"/>
                          <w:szCs w:val="18"/>
                          <w:lang w:val="en-US"/>
                        </w:rPr>
                        <w:t>7</w:t>
                      </w:r>
                      <w:r w:rsidR="00C703C8">
                        <w:rPr>
                          <w:bCs/>
                          <w:color w:val="001D77"/>
                          <w:sz w:val="18"/>
                          <w:szCs w:val="18"/>
                          <w:lang w:val="en-US"/>
                        </w:rPr>
                        <w:t>8</w:t>
                      </w:r>
                      <w:r>
                        <w:rPr>
                          <w:bCs/>
                          <w:color w:val="001D77"/>
                          <w:sz w:val="18"/>
                          <w:szCs w:val="18"/>
                          <w:lang w:val="en-US"/>
                        </w:rPr>
                        <w:t>.</w:t>
                      </w:r>
                      <w:r w:rsidR="00C703C8">
                        <w:rPr>
                          <w:bCs/>
                          <w:color w:val="001D77"/>
                          <w:sz w:val="18"/>
                          <w:szCs w:val="18"/>
                          <w:lang w:val="en-US"/>
                        </w:rPr>
                        <w:t>1</w:t>
                      </w:r>
                      <w:r w:rsidRPr="00E15EC3">
                        <w:rPr>
                          <w:bCs/>
                          <w:color w:val="001D77"/>
                          <w:sz w:val="18"/>
                          <w:szCs w:val="18"/>
                          <w:lang w:val="en-US"/>
                        </w:rPr>
                        <w:t>%). Most of them were reported in units with the number of employed persons larger than</w:t>
                      </w:r>
                      <w:r>
                        <w:rPr>
                          <w:bCs/>
                          <w:color w:val="001D77"/>
                          <w:sz w:val="18"/>
                          <w:szCs w:val="18"/>
                          <w:lang w:val="en-US"/>
                        </w:rPr>
                        <w:t xml:space="preserve"> 49</w:t>
                      </w:r>
                      <w:r w:rsidRPr="00E15EC3">
                        <w:rPr>
                          <w:bCs/>
                          <w:color w:val="001D77"/>
                          <w:sz w:val="18"/>
                          <w:szCs w:val="18"/>
                          <w:lang w:val="en-US"/>
                        </w:rPr>
                        <w:t xml:space="preserve"> (</w:t>
                      </w:r>
                      <w:r>
                        <w:rPr>
                          <w:bCs/>
                          <w:color w:val="001D77"/>
                          <w:sz w:val="18"/>
                          <w:szCs w:val="18"/>
                          <w:lang w:val="en-US"/>
                        </w:rPr>
                        <w:t>52.</w:t>
                      </w:r>
                      <w:r w:rsidR="00C703C8">
                        <w:rPr>
                          <w:bCs/>
                          <w:color w:val="001D77"/>
                          <w:sz w:val="18"/>
                          <w:szCs w:val="18"/>
                          <w:lang w:val="en-US"/>
                        </w:rPr>
                        <w:t>0</w:t>
                      </w:r>
                      <w:r w:rsidRPr="00E15EC3">
                        <w:rPr>
                          <w:bCs/>
                          <w:color w:val="001D77"/>
                          <w:sz w:val="18"/>
                          <w:szCs w:val="18"/>
                          <w:lang w:val="en-US"/>
                        </w:rPr>
                        <w:t>%)</w:t>
                      </w:r>
                    </w:p>
                  </w:txbxContent>
                </v:textbox>
              </v:shape>
            </w:pict>
          </mc:Fallback>
        </mc:AlternateContent>
      </w:r>
      <w:r w:rsidR="005516BE" w:rsidRPr="005516BE">
        <w:rPr>
          <w:noProof/>
          <w:lang w:val="en-GB" w:eastAsia="pl-PL"/>
        </w:rPr>
        <w:t>Chart 2. The structure of job vacancies in Poland by size of units as of the end of the second quarter of 2020</w:t>
      </w:r>
    </w:p>
    <w:p w14:paraId="5EC6CF18" w14:textId="77777777" w:rsidR="00E33659" w:rsidRPr="005516BE" w:rsidRDefault="00E33659" w:rsidP="003F0B35">
      <w:pPr>
        <w:pStyle w:val="tytuwykresu"/>
        <w:ind w:left="794" w:hanging="794"/>
        <w:rPr>
          <w:szCs w:val="18"/>
          <w:lang w:val="en-GB"/>
        </w:rPr>
      </w:pPr>
    </w:p>
    <w:p w14:paraId="0C03A8EF" w14:textId="77777777" w:rsidR="00593F44" w:rsidRPr="005516BE" w:rsidRDefault="005516BE" w:rsidP="00593F44">
      <w:pPr>
        <w:rPr>
          <w:lang w:val="en-GB"/>
        </w:rPr>
      </w:pPr>
      <w:r w:rsidRPr="009B0C11">
        <w:rPr>
          <w:color w:val="000000"/>
          <w:lang w:val="en-US"/>
        </w:rPr>
        <w:t xml:space="preserve">The number of reported job vacancies as of the end of the </w:t>
      </w:r>
      <w:r>
        <w:rPr>
          <w:color w:val="000000"/>
          <w:lang w:val="en-US"/>
        </w:rPr>
        <w:t>second</w:t>
      </w:r>
      <w:r w:rsidRPr="009B0C11">
        <w:rPr>
          <w:color w:val="000000"/>
          <w:lang w:val="en-US"/>
        </w:rPr>
        <w:t xml:space="preserve"> quarter of 2020 </w:t>
      </w:r>
      <w:r>
        <w:rPr>
          <w:color w:val="000000"/>
          <w:lang w:val="en-US"/>
        </w:rPr>
        <w:t>was</w:t>
      </w:r>
      <w:r w:rsidRPr="009B0C11">
        <w:rPr>
          <w:color w:val="000000"/>
          <w:lang w:val="en-US"/>
        </w:rPr>
        <w:t xml:space="preserve"> </w:t>
      </w:r>
      <w:r w:rsidR="00D41DF8">
        <w:rPr>
          <w:color w:val="000000"/>
          <w:lang w:val="en-US"/>
        </w:rPr>
        <w:br/>
      </w:r>
      <w:r>
        <w:rPr>
          <w:color w:val="000000"/>
          <w:lang w:val="en-US"/>
        </w:rPr>
        <w:t>81.4 thousand</w:t>
      </w:r>
      <w:r w:rsidRPr="009B0C11">
        <w:rPr>
          <w:color w:val="000000"/>
          <w:lang w:val="en-US"/>
        </w:rPr>
        <w:t xml:space="preserve">, </w:t>
      </w:r>
      <w:r>
        <w:rPr>
          <w:color w:val="000000"/>
          <w:lang w:val="en-US"/>
        </w:rPr>
        <w:t>of which</w:t>
      </w:r>
      <w:r w:rsidRPr="009B0C11">
        <w:rPr>
          <w:color w:val="000000"/>
          <w:lang w:val="en-US"/>
        </w:rPr>
        <w:t xml:space="preserve"> </w:t>
      </w:r>
      <w:r>
        <w:rPr>
          <w:color w:val="000000"/>
          <w:lang w:val="en-US"/>
        </w:rPr>
        <w:t>63.6</w:t>
      </w:r>
      <w:r w:rsidRPr="009B0C11">
        <w:rPr>
          <w:color w:val="000000"/>
          <w:lang w:val="en-US"/>
        </w:rPr>
        <w:t xml:space="preserve"> </w:t>
      </w:r>
      <w:r>
        <w:rPr>
          <w:color w:val="000000"/>
          <w:lang w:val="en-US"/>
        </w:rPr>
        <w:t>thousand in the private sector.</w:t>
      </w:r>
      <w:r w:rsidRPr="000A2ABC">
        <w:rPr>
          <w:rFonts w:cs="Fira Sans"/>
          <w:color w:val="000000"/>
          <w:szCs w:val="19"/>
          <w:lang w:val="en-US"/>
        </w:rPr>
        <w:t xml:space="preserve"> </w:t>
      </w:r>
      <w:r w:rsidRPr="000A2ABC">
        <w:rPr>
          <w:color w:val="000000"/>
          <w:lang w:val="en-US"/>
        </w:rPr>
        <w:t>Vacancies occurred mainly in units with more than 49 employed persons</w:t>
      </w:r>
      <w:r w:rsidR="00A92CA4">
        <w:rPr>
          <w:color w:val="000000"/>
          <w:lang w:val="en-US"/>
        </w:rPr>
        <w:t xml:space="preserve"> </w:t>
      </w:r>
      <w:r w:rsidR="00A92CA4" w:rsidRPr="00BE0408">
        <w:rPr>
          <w:shd w:val="clear" w:color="auto" w:fill="FFFFFF"/>
          <w:lang w:val="en-US"/>
        </w:rPr>
        <w:t>—</w:t>
      </w:r>
      <w:r w:rsidR="00A92CA4">
        <w:rPr>
          <w:color w:val="000000"/>
          <w:lang w:val="en-US"/>
        </w:rPr>
        <w:t xml:space="preserve"> </w:t>
      </w:r>
      <w:r>
        <w:rPr>
          <w:color w:val="000000"/>
          <w:lang w:val="en-US"/>
        </w:rPr>
        <w:t>42.3 thousand.</w:t>
      </w:r>
    </w:p>
    <w:p w14:paraId="03748ACE" w14:textId="77777777" w:rsidR="00603EBB" w:rsidRPr="005516BE" w:rsidRDefault="00603EBB" w:rsidP="00593F44">
      <w:pPr>
        <w:rPr>
          <w:lang w:val="en-GB"/>
        </w:rPr>
      </w:pPr>
    </w:p>
    <w:p w14:paraId="28FDBA3C" w14:textId="3D610CE1" w:rsidR="00603EBB" w:rsidRPr="005516BE" w:rsidRDefault="006D6290" w:rsidP="005516BE">
      <w:pPr>
        <w:pStyle w:val="tytuwykresu"/>
        <w:ind w:left="652" w:hanging="652"/>
        <w:rPr>
          <w:szCs w:val="18"/>
          <w:lang w:val="en-GB"/>
        </w:rPr>
      </w:pPr>
      <w:r>
        <w:rPr>
          <w:noProof/>
          <w:lang w:eastAsia="pl-PL"/>
        </w:rPr>
        <w:drawing>
          <wp:anchor distT="0" distB="0" distL="114300" distR="114300" simplePos="0" relativeHeight="251653632" behindDoc="0" locked="0" layoutInCell="1" allowOverlap="1" wp14:anchorId="4B7B0F78" wp14:editId="4B0D43F0">
            <wp:simplePos x="0" y="0"/>
            <wp:positionH relativeFrom="column">
              <wp:posOffset>66675</wp:posOffset>
            </wp:positionH>
            <wp:positionV relativeFrom="paragraph">
              <wp:posOffset>417195</wp:posOffset>
            </wp:positionV>
            <wp:extent cx="5111115" cy="4377055"/>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ykres_3.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11115" cy="4377055"/>
                    </a:xfrm>
                    <a:prstGeom prst="rect">
                      <a:avLst/>
                    </a:prstGeom>
                  </pic:spPr>
                </pic:pic>
              </a:graphicData>
            </a:graphic>
            <wp14:sizeRelV relativeFrom="margin">
              <wp14:pctHeight>0</wp14:pctHeight>
            </wp14:sizeRelV>
          </wp:anchor>
        </w:drawing>
      </w:r>
      <w:r w:rsidR="00D41DF8">
        <w:rPr>
          <w:noProof/>
          <w:szCs w:val="18"/>
          <w:lang w:eastAsia="pl-PL"/>
        </w:rPr>
        <mc:AlternateContent>
          <mc:Choice Requires="wps">
            <w:drawing>
              <wp:anchor distT="0" distB="0" distL="114300" distR="114300" simplePos="0" relativeHeight="251663360" behindDoc="0" locked="0" layoutInCell="1" allowOverlap="1" wp14:anchorId="56F423C1" wp14:editId="7E8E8A6A">
                <wp:simplePos x="0" y="0"/>
                <wp:positionH relativeFrom="column">
                  <wp:posOffset>5213350</wp:posOffset>
                </wp:positionH>
                <wp:positionV relativeFrom="paragraph">
                  <wp:posOffset>744855</wp:posOffset>
                </wp:positionV>
                <wp:extent cx="1762125" cy="1282700"/>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D502C" w14:textId="77777777" w:rsidR="00E63142" w:rsidRPr="005516BE" w:rsidRDefault="005516BE" w:rsidP="00603EBB">
                            <w:pPr>
                              <w:spacing w:before="0"/>
                              <w:rPr>
                                <w:rFonts w:cs="Times New Roman"/>
                                <w:bCs/>
                                <w:color w:val="001D77"/>
                                <w:sz w:val="18"/>
                                <w:szCs w:val="18"/>
                                <w:lang w:val="en-GB"/>
                              </w:rPr>
                            </w:pPr>
                            <w:r w:rsidRPr="004B4F44">
                              <w:rPr>
                                <w:bCs/>
                                <w:color w:val="001D77"/>
                                <w:sz w:val="18"/>
                                <w:szCs w:val="18"/>
                                <w:lang w:val="en-US"/>
                              </w:rPr>
                              <w:t xml:space="preserve">As in the previous quarters, most job vacancies were in </w:t>
                            </w:r>
                            <w:r w:rsidRPr="004B4F44">
                              <w:rPr>
                                <w:bCs/>
                                <w:color w:val="001D77"/>
                                <w:sz w:val="18"/>
                                <w:szCs w:val="18"/>
                                <w:lang w:val="en-US"/>
                              </w:rPr>
                              <w:br/>
                            </w:r>
                            <w:r>
                              <w:rPr>
                                <w:bCs/>
                                <w:color w:val="001D77"/>
                                <w:sz w:val="18"/>
                                <w:szCs w:val="18"/>
                                <w:lang w:val="en-US"/>
                              </w:rPr>
                              <w:t xml:space="preserve">units conducting activities </w:t>
                            </w:r>
                            <w:r>
                              <w:rPr>
                                <w:bCs/>
                                <w:color w:val="001D77"/>
                                <w:sz w:val="18"/>
                                <w:szCs w:val="18"/>
                                <w:lang w:val="en-US"/>
                              </w:rPr>
                              <w:br/>
                              <w:t>in the field of manufacturing</w:t>
                            </w:r>
                            <w:r w:rsidR="00E63142" w:rsidRPr="005516BE">
                              <w:rPr>
                                <w:bCs/>
                                <w:color w:val="001D77"/>
                                <w:sz w:val="18"/>
                                <w:szCs w:val="18"/>
                                <w:lang w:val="en-GB"/>
                              </w:rPr>
                              <w:t xml:space="preserve"> (22</w:t>
                            </w:r>
                            <w:r w:rsidRPr="005516BE">
                              <w:rPr>
                                <w:bCs/>
                                <w:color w:val="001D77"/>
                                <w:sz w:val="18"/>
                                <w:szCs w:val="18"/>
                                <w:lang w:val="en-GB"/>
                              </w:rPr>
                              <w:t>.</w:t>
                            </w:r>
                            <w:r w:rsidR="00E63142" w:rsidRPr="005516BE">
                              <w:rPr>
                                <w:bCs/>
                                <w:color w:val="001D77"/>
                                <w:sz w:val="18"/>
                                <w:szCs w:val="18"/>
                                <w:lang w:val="en-G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423C1" id="_x0000_s1029" type="#_x0000_t202" style="position:absolute;left:0;text-align:left;margin-left:410.5pt;margin-top:58.65pt;width:138.7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wIuwIAAMM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" filled="f" stroked="f">
                <v:textbox>
                  <w:txbxContent>
                    <w:p w14:paraId="244D502C" w14:textId="77777777" w:rsidR="00E63142" w:rsidRPr="005516BE" w:rsidRDefault="005516BE" w:rsidP="00603EBB">
                      <w:pPr>
                        <w:spacing w:before="0"/>
                        <w:rPr>
                          <w:rFonts w:cs="Times New Roman"/>
                          <w:bCs/>
                          <w:color w:val="001D77"/>
                          <w:sz w:val="18"/>
                          <w:szCs w:val="18"/>
                          <w:lang w:val="en-GB"/>
                        </w:rPr>
                      </w:pPr>
                      <w:r w:rsidRPr="004B4F44">
                        <w:rPr>
                          <w:bCs/>
                          <w:color w:val="001D77"/>
                          <w:sz w:val="18"/>
                          <w:szCs w:val="18"/>
                          <w:lang w:val="en-US"/>
                        </w:rPr>
                        <w:t xml:space="preserve">As in the previous quarters, most job vacancies were in </w:t>
                      </w:r>
                      <w:r w:rsidRPr="004B4F44">
                        <w:rPr>
                          <w:bCs/>
                          <w:color w:val="001D77"/>
                          <w:sz w:val="18"/>
                          <w:szCs w:val="18"/>
                          <w:lang w:val="en-US"/>
                        </w:rPr>
                        <w:br/>
                      </w:r>
                      <w:r>
                        <w:rPr>
                          <w:bCs/>
                          <w:color w:val="001D77"/>
                          <w:sz w:val="18"/>
                          <w:szCs w:val="18"/>
                          <w:lang w:val="en-US"/>
                        </w:rPr>
                        <w:t xml:space="preserve">units conducting activities </w:t>
                      </w:r>
                      <w:r>
                        <w:rPr>
                          <w:bCs/>
                          <w:color w:val="001D77"/>
                          <w:sz w:val="18"/>
                          <w:szCs w:val="18"/>
                          <w:lang w:val="en-US"/>
                        </w:rPr>
                        <w:br/>
                        <w:t>in the field of manufacturing</w:t>
                      </w:r>
                      <w:r w:rsidR="00E63142" w:rsidRPr="005516BE">
                        <w:rPr>
                          <w:bCs/>
                          <w:color w:val="001D77"/>
                          <w:sz w:val="18"/>
                          <w:szCs w:val="18"/>
                          <w:lang w:val="en-GB"/>
                        </w:rPr>
                        <w:t xml:space="preserve"> (22</w:t>
                      </w:r>
                      <w:r w:rsidRPr="005516BE">
                        <w:rPr>
                          <w:bCs/>
                          <w:color w:val="001D77"/>
                          <w:sz w:val="18"/>
                          <w:szCs w:val="18"/>
                          <w:lang w:val="en-GB"/>
                        </w:rPr>
                        <w:t>.</w:t>
                      </w:r>
                      <w:r w:rsidR="00E63142" w:rsidRPr="005516BE">
                        <w:rPr>
                          <w:bCs/>
                          <w:color w:val="001D77"/>
                          <w:sz w:val="18"/>
                          <w:szCs w:val="18"/>
                          <w:lang w:val="en-GB"/>
                        </w:rPr>
                        <w:t>0%)</w:t>
                      </w:r>
                    </w:p>
                  </w:txbxContent>
                </v:textbox>
              </v:shape>
            </w:pict>
          </mc:Fallback>
        </mc:AlternateContent>
      </w:r>
      <w:r w:rsidR="005516BE" w:rsidRPr="005516BE">
        <w:rPr>
          <w:noProof/>
          <w:lang w:val="en-GB" w:eastAsia="pl-PL"/>
        </w:rPr>
        <w:t xml:space="preserve">Chart 3. Job vacancies and vacancies </w:t>
      </w:r>
      <w:r w:rsidR="00A92CA4">
        <w:rPr>
          <w:noProof/>
          <w:lang w:val="en-GB" w:eastAsia="pl-PL"/>
        </w:rPr>
        <w:t>—</w:t>
      </w:r>
      <w:r w:rsidR="005516BE" w:rsidRPr="005516BE">
        <w:rPr>
          <w:noProof/>
          <w:lang w:val="en-GB" w:eastAsia="pl-PL"/>
        </w:rPr>
        <w:t xml:space="preserve"> newly created jobs in Poland by selected PKD 2007 </w:t>
      </w:r>
      <w:r w:rsidR="005516BE">
        <w:rPr>
          <w:noProof/>
          <w:lang w:val="en-GB" w:eastAsia="pl-PL"/>
        </w:rPr>
        <w:br/>
      </w:r>
      <w:r w:rsidR="005516BE" w:rsidRPr="005516BE">
        <w:rPr>
          <w:noProof/>
          <w:lang w:val="en-GB" w:eastAsia="pl-PL"/>
        </w:rPr>
        <w:t>(NACE Rev.2) sections as of the end of the second quarter of 2020</w:t>
      </w:r>
    </w:p>
    <w:p w14:paraId="28DE4885" w14:textId="77777777" w:rsidR="00545F9C" w:rsidRPr="005516BE" w:rsidRDefault="00545F9C" w:rsidP="002F77A4">
      <w:pPr>
        <w:rPr>
          <w:lang w:val="en-GB"/>
        </w:rPr>
      </w:pPr>
    </w:p>
    <w:p w14:paraId="7290DD0C" w14:textId="77777777" w:rsidR="006D6290" w:rsidRPr="005516BE" w:rsidRDefault="006D6290">
      <w:pPr>
        <w:spacing w:before="0" w:after="160" w:line="259" w:lineRule="auto"/>
        <w:rPr>
          <w:lang w:val="en-GB"/>
        </w:rPr>
      </w:pPr>
      <w:r w:rsidRPr="005516BE">
        <w:rPr>
          <w:lang w:val="en-GB"/>
        </w:rPr>
        <w:br w:type="page"/>
      </w:r>
    </w:p>
    <w:p w14:paraId="3A7D012F" w14:textId="77777777" w:rsidR="0079133D" w:rsidRPr="005C36AC" w:rsidRDefault="005C36AC" w:rsidP="002F77A4">
      <w:pPr>
        <w:rPr>
          <w:bCs/>
          <w:lang w:val="en-GB"/>
        </w:rPr>
      </w:pPr>
      <w:r>
        <w:rPr>
          <w:lang w:val="en-US"/>
        </w:rPr>
        <w:lastRenderedPageBreak/>
        <w:t>In the second quarter of 2020,</w:t>
      </w:r>
      <w:r w:rsidRPr="00B6373E">
        <w:rPr>
          <w:lang w:val="en-US"/>
        </w:rPr>
        <w:t xml:space="preserve"> most job vacancies were in units conducting activities in the field of</w:t>
      </w:r>
      <w:r>
        <w:rPr>
          <w:lang w:val="en-US"/>
        </w:rPr>
        <w:t xml:space="preserve"> manufacturing</w:t>
      </w:r>
      <w:r w:rsidRPr="00B6373E">
        <w:rPr>
          <w:lang w:val="en-US"/>
        </w:rPr>
        <w:t xml:space="preserve"> </w:t>
      </w:r>
      <w:r w:rsidR="00A92CA4">
        <w:rPr>
          <w:lang w:val="en-US"/>
        </w:rPr>
        <w:t>—</w:t>
      </w:r>
      <w:r>
        <w:rPr>
          <w:lang w:val="en-US"/>
        </w:rPr>
        <w:t xml:space="preserve"> 17.9 thousand </w:t>
      </w:r>
      <w:r w:rsidRPr="00B6373E">
        <w:rPr>
          <w:bCs/>
          <w:lang w:val="en-US"/>
        </w:rPr>
        <w:t>(</w:t>
      </w:r>
      <w:r>
        <w:rPr>
          <w:bCs/>
          <w:lang w:val="en-US"/>
        </w:rPr>
        <w:t xml:space="preserve">22.0%), then in </w:t>
      </w:r>
      <w:r>
        <w:rPr>
          <w:szCs w:val="19"/>
          <w:lang w:val="en-US"/>
        </w:rPr>
        <w:t>t</w:t>
      </w:r>
      <w:r w:rsidRPr="00B6373E">
        <w:rPr>
          <w:szCs w:val="19"/>
          <w:lang w:val="en-US"/>
        </w:rPr>
        <w:t>rade; repair of motor vehicles</w:t>
      </w:r>
      <w:r w:rsidRPr="006C6409">
        <w:rPr>
          <w:bCs/>
          <w:vertAlign w:val="superscript"/>
          <w:lang w:val="en-GB"/>
        </w:rPr>
        <w:t>∆</w:t>
      </w:r>
      <w:r w:rsidRPr="005C36AC">
        <w:rPr>
          <w:rFonts w:ascii="Cambria Math" w:hAnsi="Cambria Math"/>
          <w:szCs w:val="19"/>
          <w:lang w:val="en-US"/>
        </w:rPr>
        <w:t xml:space="preserve"> </w:t>
      </w:r>
      <w:r w:rsidR="00B426B1">
        <w:rPr>
          <w:rFonts w:ascii="Cambria Math" w:hAnsi="Cambria Math"/>
          <w:szCs w:val="19"/>
          <w:lang w:val="en-US"/>
        </w:rPr>
        <w:br/>
      </w:r>
      <w:r w:rsidRPr="00BE70FF">
        <w:rPr>
          <w:szCs w:val="19"/>
          <w:lang w:val="en-US"/>
        </w:rPr>
        <w:t>11.5 thousand</w:t>
      </w:r>
      <w:r w:rsidRPr="00B6373E">
        <w:rPr>
          <w:bCs/>
          <w:lang w:val="en-US"/>
        </w:rPr>
        <w:t xml:space="preserve"> </w:t>
      </w:r>
      <w:r>
        <w:rPr>
          <w:bCs/>
          <w:lang w:val="en-US"/>
        </w:rPr>
        <w:t>(14.1%) and in construction</w:t>
      </w:r>
      <w:r w:rsidR="00A92CA4">
        <w:rPr>
          <w:bCs/>
          <w:lang w:val="en-US"/>
        </w:rPr>
        <w:t xml:space="preserve"> </w:t>
      </w:r>
      <w:r w:rsidR="00A92CA4" w:rsidRPr="00BE0408">
        <w:rPr>
          <w:shd w:val="clear" w:color="auto" w:fill="FFFFFF"/>
          <w:lang w:val="en-US"/>
        </w:rPr>
        <w:t>—</w:t>
      </w:r>
      <w:r>
        <w:rPr>
          <w:bCs/>
          <w:lang w:val="en-US"/>
        </w:rPr>
        <w:t xml:space="preserve"> 11.1 thousand</w:t>
      </w:r>
      <w:r w:rsidR="00B426B1">
        <w:rPr>
          <w:bCs/>
          <w:lang w:val="en-US"/>
        </w:rPr>
        <w:t xml:space="preserve"> </w:t>
      </w:r>
      <w:r>
        <w:rPr>
          <w:bCs/>
          <w:lang w:val="en-US"/>
        </w:rPr>
        <w:t>(13.6</w:t>
      </w:r>
      <w:r w:rsidRPr="00B6373E">
        <w:rPr>
          <w:bCs/>
          <w:lang w:val="en-US"/>
        </w:rPr>
        <w:t>%).</w:t>
      </w:r>
    </w:p>
    <w:p w14:paraId="68A32A3C" w14:textId="77777777" w:rsidR="00547B91" w:rsidRPr="005C36AC" w:rsidRDefault="00547B91" w:rsidP="002F77A4">
      <w:pPr>
        <w:rPr>
          <w:lang w:val="en-GB"/>
        </w:rPr>
      </w:pPr>
    </w:p>
    <w:p w14:paraId="5698288C" w14:textId="77777777" w:rsidR="002F2EF8" w:rsidRPr="005C36AC" w:rsidRDefault="00547B91" w:rsidP="005C36AC">
      <w:pPr>
        <w:pStyle w:val="tytuwykresu"/>
        <w:ind w:left="680" w:hanging="680"/>
        <w:rPr>
          <w:spacing w:val="-4"/>
          <w:szCs w:val="18"/>
          <w:lang w:val="en-GB"/>
        </w:rPr>
      </w:pPr>
      <w:r>
        <w:rPr>
          <w:noProof/>
          <w:lang w:eastAsia="pl-PL"/>
        </w:rPr>
        <w:drawing>
          <wp:anchor distT="0" distB="0" distL="114300" distR="114300" simplePos="0" relativeHeight="251661824" behindDoc="0" locked="0" layoutInCell="1" allowOverlap="1" wp14:anchorId="6F0C8D95" wp14:editId="4FA0919A">
            <wp:simplePos x="0" y="0"/>
            <wp:positionH relativeFrom="column">
              <wp:posOffset>58638</wp:posOffset>
            </wp:positionH>
            <wp:positionV relativeFrom="paragraph">
              <wp:posOffset>382024</wp:posOffset>
            </wp:positionV>
            <wp:extent cx="5004000" cy="2700000"/>
            <wp:effectExtent l="0" t="0" r="0" b="0"/>
            <wp:wrapSquare wrapText="bothSides"/>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5C36AC" w:rsidRPr="005C36AC">
        <w:rPr>
          <w:noProof/>
          <w:lang w:val="en-GB" w:eastAsia="pl-PL"/>
        </w:rPr>
        <w:t xml:space="preserve">Chart 4. The structure of job vacancies in Poland by major occupational groups as of the end </w:t>
      </w:r>
      <w:r w:rsidR="005C36AC">
        <w:rPr>
          <w:noProof/>
          <w:lang w:val="en-GB" w:eastAsia="pl-PL"/>
        </w:rPr>
        <w:br/>
      </w:r>
      <w:r w:rsidR="005C36AC" w:rsidRPr="005C36AC">
        <w:rPr>
          <w:noProof/>
          <w:lang w:val="en-GB" w:eastAsia="pl-PL"/>
        </w:rPr>
        <w:t>of the second quarter of 2020</w:t>
      </w:r>
    </w:p>
    <w:p w14:paraId="26585A27" w14:textId="77777777" w:rsidR="002F2EF8" w:rsidRPr="005C36AC" w:rsidRDefault="002F2EF8" w:rsidP="002F2EF8">
      <w:pPr>
        <w:rPr>
          <w:lang w:val="en-GB"/>
        </w:rPr>
      </w:pPr>
    </w:p>
    <w:p w14:paraId="26875519" w14:textId="77777777" w:rsidR="00603EBB" w:rsidRPr="005C36AC" w:rsidRDefault="005C36AC" w:rsidP="00593F44">
      <w:pPr>
        <w:rPr>
          <w:rFonts w:eastAsia="Times New Roman" w:cs="Times New Roman"/>
          <w:szCs w:val="19"/>
          <w:lang w:val="en-GB" w:eastAsia="pl-PL"/>
        </w:rPr>
      </w:pPr>
      <w:r w:rsidRPr="006C6409">
        <w:rPr>
          <w:rFonts w:eastAsia="Times New Roman"/>
          <w:color w:val="000000" w:themeColor="text1"/>
          <w:szCs w:val="19"/>
          <w:lang w:val="en-US" w:eastAsia="pl-PL"/>
        </w:rPr>
        <w:t xml:space="preserve">Units that had job vacancies were most often looking for </w:t>
      </w:r>
      <w:r w:rsidRPr="006C6409">
        <w:rPr>
          <w:color w:val="000000" w:themeColor="text1"/>
          <w:szCs w:val="19"/>
          <w:lang w:val="en-US"/>
        </w:rPr>
        <w:t xml:space="preserve">craft and related trades workers </w:t>
      </w:r>
      <w:r>
        <w:rPr>
          <w:color w:val="000000" w:themeColor="text1"/>
          <w:szCs w:val="19"/>
          <w:lang w:val="en-US"/>
        </w:rPr>
        <w:br/>
      </w:r>
      <w:r w:rsidR="00A92CA4">
        <w:rPr>
          <w:color w:val="000000" w:themeColor="text1"/>
          <w:szCs w:val="19"/>
          <w:lang w:val="en-US"/>
        </w:rPr>
        <w:t>—</w:t>
      </w:r>
      <w:r>
        <w:rPr>
          <w:color w:val="000000" w:themeColor="text1"/>
          <w:szCs w:val="19"/>
          <w:lang w:val="en-US"/>
        </w:rPr>
        <w:t xml:space="preserve"> </w:t>
      </w:r>
      <w:r w:rsidRPr="006C6409">
        <w:rPr>
          <w:color w:val="000000" w:themeColor="text1"/>
          <w:szCs w:val="19"/>
          <w:lang w:val="en-US"/>
        </w:rPr>
        <w:t>19.9 thousand</w:t>
      </w:r>
      <w:r w:rsidRPr="006C6409">
        <w:rPr>
          <w:rFonts w:eastAsia="Times New Roman"/>
          <w:color w:val="000000" w:themeColor="text1"/>
          <w:szCs w:val="19"/>
          <w:lang w:val="en-US" w:eastAsia="pl-PL"/>
        </w:rPr>
        <w:t xml:space="preserve"> (24.4%). Significant shares were constituted also by job vacancies for professionals </w:t>
      </w:r>
      <w:r w:rsidR="00A92CA4">
        <w:rPr>
          <w:rFonts w:eastAsia="Times New Roman"/>
          <w:color w:val="000000" w:themeColor="text1"/>
          <w:szCs w:val="19"/>
          <w:lang w:val="en-US" w:eastAsia="pl-PL"/>
        </w:rPr>
        <w:t>—</w:t>
      </w:r>
      <w:r>
        <w:rPr>
          <w:rFonts w:eastAsia="Times New Roman"/>
          <w:color w:val="000000" w:themeColor="text1"/>
          <w:szCs w:val="19"/>
          <w:lang w:val="en-US" w:eastAsia="pl-PL"/>
        </w:rPr>
        <w:t xml:space="preserve"> </w:t>
      </w:r>
      <w:r w:rsidRPr="006C6409">
        <w:rPr>
          <w:rFonts w:eastAsia="Times New Roman"/>
          <w:color w:val="000000" w:themeColor="text1"/>
          <w:szCs w:val="19"/>
          <w:lang w:val="en-US" w:eastAsia="pl-PL"/>
        </w:rPr>
        <w:t xml:space="preserve">17.8 thousand (21.9% of the total number of job vacancies), </w:t>
      </w:r>
      <w:r w:rsidRPr="006C6409">
        <w:rPr>
          <w:color w:val="000000" w:themeColor="text1"/>
          <w:szCs w:val="19"/>
          <w:lang w:val="en-US"/>
        </w:rPr>
        <w:t>plant and machine operators and assemblers</w:t>
      </w:r>
      <w:r w:rsidRPr="006C6409">
        <w:rPr>
          <w:rFonts w:eastAsia="Times New Roman"/>
          <w:color w:val="000000" w:themeColor="text1"/>
          <w:szCs w:val="19"/>
          <w:lang w:val="en-US" w:eastAsia="pl-PL"/>
        </w:rPr>
        <w:t xml:space="preserve"> </w:t>
      </w:r>
      <w:r w:rsidR="00A92CA4">
        <w:rPr>
          <w:rFonts w:eastAsia="Times New Roman"/>
          <w:color w:val="000000" w:themeColor="text1"/>
          <w:szCs w:val="19"/>
          <w:lang w:val="en-US" w:eastAsia="pl-PL"/>
        </w:rPr>
        <w:t>—</w:t>
      </w:r>
      <w:r w:rsidRPr="006C6409">
        <w:rPr>
          <w:rFonts w:eastAsia="Times New Roman"/>
          <w:color w:val="000000" w:themeColor="text1"/>
          <w:szCs w:val="19"/>
          <w:lang w:val="en-US" w:eastAsia="pl-PL"/>
        </w:rPr>
        <w:t xml:space="preserve"> 12.5 thousand(15.4%) and </w:t>
      </w:r>
      <w:r w:rsidRPr="006C6409">
        <w:rPr>
          <w:color w:val="000000" w:themeColor="text1"/>
          <w:szCs w:val="19"/>
          <w:lang w:val="en-US"/>
        </w:rPr>
        <w:t>clerical support workers</w:t>
      </w:r>
      <w:r w:rsidRPr="006C6409">
        <w:rPr>
          <w:rFonts w:eastAsia="Times New Roman"/>
          <w:color w:val="000000" w:themeColor="text1"/>
          <w:szCs w:val="19"/>
          <w:lang w:val="en-US" w:eastAsia="pl-PL"/>
        </w:rPr>
        <w:t xml:space="preserve"> </w:t>
      </w:r>
      <w:r w:rsidR="00A92CA4">
        <w:rPr>
          <w:rFonts w:eastAsia="Times New Roman"/>
          <w:color w:val="000000" w:themeColor="text1"/>
          <w:szCs w:val="19"/>
          <w:lang w:val="en-US" w:eastAsia="pl-PL"/>
        </w:rPr>
        <w:t>—</w:t>
      </w:r>
      <w:r w:rsidRPr="006C6409">
        <w:rPr>
          <w:rFonts w:eastAsia="Times New Roman"/>
          <w:color w:val="000000" w:themeColor="text1"/>
          <w:szCs w:val="19"/>
          <w:lang w:val="en-US" w:eastAsia="pl-PL"/>
        </w:rPr>
        <w:t xml:space="preserve"> 7.9 thousand (9.7%).</w:t>
      </w:r>
    </w:p>
    <w:p w14:paraId="30D86C23" w14:textId="77777777" w:rsidR="00260AB5" w:rsidRPr="005C36AC" w:rsidRDefault="00260AB5" w:rsidP="00593F44">
      <w:pPr>
        <w:rPr>
          <w:lang w:val="en-GB"/>
        </w:rPr>
      </w:pPr>
    </w:p>
    <w:p w14:paraId="79B93C33" w14:textId="7CC78DD6" w:rsidR="002F2EF8" w:rsidRPr="005C36AC" w:rsidRDefault="001D4169" w:rsidP="005C36AC">
      <w:pPr>
        <w:pStyle w:val="tytuwykresu"/>
        <w:ind w:left="652" w:hanging="652"/>
        <w:rPr>
          <w:spacing w:val="-3"/>
          <w:szCs w:val="18"/>
          <w:lang w:val="en-GB"/>
        </w:rPr>
      </w:pPr>
      <w:r>
        <w:rPr>
          <w:noProof/>
          <w:lang w:eastAsia="pl-PL"/>
        </w:rPr>
        <w:drawing>
          <wp:anchor distT="0" distB="0" distL="114300" distR="114300" simplePos="0" relativeHeight="251654656" behindDoc="0" locked="0" layoutInCell="1" allowOverlap="1" wp14:anchorId="5DFEA02D" wp14:editId="0C53D962">
            <wp:simplePos x="0" y="0"/>
            <wp:positionH relativeFrom="column">
              <wp:posOffset>2540</wp:posOffset>
            </wp:positionH>
            <wp:positionV relativeFrom="paragraph">
              <wp:posOffset>400050</wp:posOffset>
            </wp:positionV>
            <wp:extent cx="5114925" cy="25546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ykres_5_pl.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14925" cy="2554605"/>
                    </a:xfrm>
                    <a:prstGeom prst="rect">
                      <a:avLst/>
                    </a:prstGeom>
                  </pic:spPr>
                </pic:pic>
              </a:graphicData>
            </a:graphic>
          </wp:anchor>
        </w:drawing>
      </w:r>
      <w:r w:rsidR="00D41DF8">
        <w:rPr>
          <w:noProof/>
          <w:spacing w:val="-3"/>
          <w:szCs w:val="18"/>
          <w:lang w:eastAsia="pl-PL"/>
        </w:rPr>
        <mc:AlternateContent>
          <mc:Choice Requires="wps">
            <w:drawing>
              <wp:anchor distT="0" distB="0" distL="114300" distR="114300" simplePos="0" relativeHeight="251664384" behindDoc="0" locked="0" layoutInCell="1" allowOverlap="1" wp14:anchorId="07C741D2" wp14:editId="068A2559">
                <wp:simplePos x="0" y="0"/>
                <wp:positionH relativeFrom="column">
                  <wp:posOffset>5212080</wp:posOffset>
                </wp:positionH>
                <wp:positionV relativeFrom="paragraph">
                  <wp:posOffset>743585</wp:posOffset>
                </wp:positionV>
                <wp:extent cx="1798320" cy="113284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13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A44A" w14:textId="77777777" w:rsidR="00E63142" w:rsidRPr="009F3AFA" w:rsidRDefault="009F3AFA" w:rsidP="002F2EF8">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unfilled jobs were </w:t>
                            </w:r>
                            <w:r>
                              <w:rPr>
                                <w:bCs/>
                                <w:color w:val="001D77"/>
                                <w:sz w:val="18"/>
                                <w:szCs w:val="18"/>
                                <w:lang w:val="en-US"/>
                              </w:rPr>
                              <w:t>offered primarily to</w:t>
                            </w:r>
                            <w:r w:rsidR="00E63142" w:rsidRPr="009F3AFA">
                              <w:rPr>
                                <w:bCs/>
                                <w:color w:val="001D77"/>
                                <w:sz w:val="18"/>
                                <w:szCs w:val="18"/>
                                <w:lang w:val="en-GB"/>
                              </w:rPr>
                              <w:t xml:space="preserve"> </w:t>
                            </w:r>
                            <w:r>
                              <w:rPr>
                                <w:bCs/>
                                <w:color w:val="001D77"/>
                                <w:sz w:val="18"/>
                                <w:szCs w:val="18"/>
                                <w:lang w:val="en-GB"/>
                              </w:rPr>
                              <w:t>c</w:t>
                            </w:r>
                            <w:r w:rsidRPr="009F3AFA">
                              <w:rPr>
                                <w:bCs/>
                                <w:color w:val="001D77"/>
                                <w:sz w:val="18"/>
                                <w:szCs w:val="18"/>
                                <w:lang w:val="en-GB"/>
                              </w:rPr>
                              <w:t>raft and related trades workers</w:t>
                            </w:r>
                            <w:r w:rsidR="00E63142" w:rsidRPr="009F3AFA">
                              <w:rPr>
                                <w:bCs/>
                                <w:color w:val="001D77"/>
                                <w:sz w:val="18"/>
                                <w:szCs w:val="18"/>
                                <w:lang w:val="en-GB"/>
                              </w:rPr>
                              <w:t xml:space="preserve"> (24</w:t>
                            </w:r>
                            <w:r w:rsidR="00B426B1">
                              <w:rPr>
                                <w:bCs/>
                                <w:color w:val="001D77"/>
                                <w:sz w:val="18"/>
                                <w:szCs w:val="18"/>
                                <w:lang w:val="en-GB"/>
                              </w:rPr>
                              <w:t>.</w:t>
                            </w:r>
                            <w:r w:rsidR="00E63142" w:rsidRPr="009F3AFA">
                              <w:rPr>
                                <w:bCs/>
                                <w:color w:val="001D77"/>
                                <w:sz w:val="18"/>
                                <w:szCs w:val="18"/>
                                <w:lang w:val="en-G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741D2" id="_x0000_s1030" type="#_x0000_t202" style="position:absolute;left:0;text-align:left;margin-left:410.4pt;margin-top:58.55pt;width:141.6pt;height:8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VUuw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" filled="f" stroked="f">
                <v:textbox>
                  <w:txbxContent>
                    <w:p w14:paraId="1400A44A" w14:textId="77777777" w:rsidR="00E63142" w:rsidRPr="009F3AFA" w:rsidRDefault="009F3AFA" w:rsidP="002F2EF8">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unfilled jobs were </w:t>
                      </w:r>
                      <w:r>
                        <w:rPr>
                          <w:bCs/>
                          <w:color w:val="001D77"/>
                          <w:sz w:val="18"/>
                          <w:szCs w:val="18"/>
                          <w:lang w:val="en-US"/>
                        </w:rPr>
                        <w:t>offered primarily to</w:t>
                      </w:r>
                      <w:r w:rsidR="00E63142" w:rsidRPr="009F3AFA">
                        <w:rPr>
                          <w:bCs/>
                          <w:color w:val="001D77"/>
                          <w:sz w:val="18"/>
                          <w:szCs w:val="18"/>
                          <w:lang w:val="en-GB"/>
                        </w:rPr>
                        <w:t xml:space="preserve"> </w:t>
                      </w:r>
                      <w:r>
                        <w:rPr>
                          <w:bCs/>
                          <w:color w:val="001D77"/>
                          <w:sz w:val="18"/>
                          <w:szCs w:val="18"/>
                          <w:lang w:val="en-GB"/>
                        </w:rPr>
                        <w:t>c</w:t>
                      </w:r>
                      <w:r w:rsidRPr="009F3AFA">
                        <w:rPr>
                          <w:bCs/>
                          <w:color w:val="001D77"/>
                          <w:sz w:val="18"/>
                          <w:szCs w:val="18"/>
                          <w:lang w:val="en-GB"/>
                        </w:rPr>
                        <w:t>raft and related trades workers</w:t>
                      </w:r>
                      <w:r w:rsidR="00E63142" w:rsidRPr="009F3AFA">
                        <w:rPr>
                          <w:bCs/>
                          <w:color w:val="001D77"/>
                          <w:sz w:val="18"/>
                          <w:szCs w:val="18"/>
                          <w:lang w:val="en-GB"/>
                        </w:rPr>
                        <w:t xml:space="preserve"> (24</w:t>
                      </w:r>
                      <w:r w:rsidR="00B426B1">
                        <w:rPr>
                          <w:bCs/>
                          <w:color w:val="001D77"/>
                          <w:sz w:val="18"/>
                          <w:szCs w:val="18"/>
                          <w:lang w:val="en-GB"/>
                        </w:rPr>
                        <w:t>.</w:t>
                      </w:r>
                      <w:r w:rsidR="00E63142" w:rsidRPr="009F3AFA">
                        <w:rPr>
                          <w:bCs/>
                          <w:color w:val="001D77"/>
                          <w:sz w:val="18"/>
                          <w:szCs w:val="18"/>
                          <w:lang w:val="en-GB"/>
                        </w:rPr>
                        <w:t>4%)</w:t>
                      </w:r>
                    </w:p>
                  </w:txbxContent>
                </v:textbox>
              </v:shape>
            </w:pict>
          </mc:Fallback>
        </mc:AlternateContent>
      </w:r>
      <w:r w:rsidR="005C36AC" w:rsidRPr="005C36AC">
        <w:rPr>
          <w:noProof/>
          <w:lang w:val="en-GB" w:eastAsia="pl-PL"/>
        </w:rPr>
        <w:t xml:space="preserve">Chart 5. Job vacancies and vacancies </w:t>
      </w:r>
      <w:r w:rsidR="00A92CA4">
        <w:rPr>
          <w:noProof/>
          <w:lang w:val="en-GB" w:eastAsia="pl-PL"/>
        </w:rPr>
        <w:t>—</w:t>
      </w:r>
      <w:r w:rsidR="005C36AC" w:rsidRPr="005C36AC">
        <w:rPr>
          <w:noProof/>
          <w:lang w:val="en-GB" w:eastAsia="pl-PL"/>
        </w:rPr>
        <w:t xml:space="preserve"> newly created jobs in Poland by occupations as of the end </w:t>
      </w:r>
      <w:r w:rsidR="005C36AC">
        <w:rPr>
          <w:noProof/>
          <w:lang w:val="en-GB" w:eastAsia="pl-PL"/>
        </w:rPr>
        <w:br/>
      </w:r>
      <w:r w:rsidR="005C36AC" w:rsidRPr="005C36AC">
        <w:rPr>
          <w:noProof/>
          <w:lang w:val="en-GB" w:eastAsia="pl-PL"/>
        </w:rPr>
        <w:t>of the second quarter of 2020</w:t>
      </w:r>
    </w:p>
    <w:p w14:paraId="5247674A" w14:textId="77777777" w:rsidR="002F2EF8" w:rsidRPr="005C36AC" w:rsidRDefault="002F2EF8" w:rsidP="002F2EF8">
      <w:pPr>
        <w:rPr>
          <w:lang w:val="en-GB"/>
        </w:rPr>
      </w:pPr>
    </w:p>
    <w:p w14:paraId="185257FA" w14:textId="77777777" w:rsidR="0063128F" w:rsidRPr="005C36AC" w:rsidRDefault="0063128F">
      <w:pPr>
        <w:spacing w:before="0" w:after="160" w:line="259" w:lineRule="auto"/>
        <w:rPr>
          <w:b/>
          <w:sz w:val="18"/>
          <w:szCs w:val="18"/>
          <w:lang w:val="en-GB"/>
        </w:rPr>
      </w:pPr>
      <w:r w:rsidRPr="005C36AC">
        <w:rPr>
          <w:szCs w:val="18"/>
          <w:lang w:val="en-GB"/>
        </w:rPr>
        <w:br w:type="page"/>
      </w:r>
    </w:p>
    <w:p w14:paraId="2A05E059" w14:textId="77777777" w:rsidR="00C64AE8" w:rsidRPr="000A4B6A" w:rsidRDefault="0063128F" w:rsidP="002F77A4">
      <w:pPr>
        <w:pStyle w:val="tytuwykresu"/>
        <w:ind w:left="851" w:hanging="851"/>
        <w:rPr>
          <w:spacing w:val="0"/>
          <w:szCs w:val="18"/>
          <w:lang w:val="en-GB"/>
        </w:rPr>
      </w:pPr>
      <w:r>
        <w:rPr>
          <w:noProof/>
          <w:lang w:eastAsia="pl-PL"/>
        </w:rPr>
        <w:lastRenderedPageBreak/>
        <w:drawing>
          <wp:anchor distT="0" distB="0" distL="114300" distR="114300" simplePos="0" relativeHeight="251657728" behindDoc="0" locked="0" layoutInCell="1" allowOverlap="1" wp14:anchorId="0234D821" wp14:editId="40541E5D">
            <wp:simplePos x="0" y="0"/>
            <wp:positionH relativeFrom="column">
              <wp:posOffset>2540</wp:posOffset>
            </wp:positionH>
            <wp:positionV relativeFrom="paragraph">
              <wp:posOffset>266307</wp:posOffset>
            </wp:positionV>
            <wp:extent cx="5004000" cy="2880000"/>
            <wp:effectExtent l="0" t="0" r="0" b="0"/>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0A4B6A" w:rsidRPr="000A4B6A">
        <w:rPr>
          <w:noProof/>
          <w:lang w:val="en-GB" w:eastAsia="pl-PL"/>
        </w:rPr>
        <w:t>Chart 6. Job vacancies by voivodships as of the end of the second quarter of 2020</w:t>
      </w:r>
    </w:p>
    <w:p w14:paraId="3E7C7798" w14:textId="77777777" w:rsidR="00C64AE8" w:rsidRPr="000A4B6A" w:rsidRDefault="00C64AE8" w:rsidP="00C64AE8">
      <w:pPr>
        <w:rPr>
          <w:lang w:val="en-GB"/>
        </w:rPr>
      </w:pPr>
    </w:p>
    <w:p w14:paraId="4804E413" w14:textId="77777777" w:rsidR="002C5CF0" w:rsidRPr="000A4B6A" w:rsidRDefault="000A4B6A" w:rsidP="002F77A4">
      <w:pPr>
        <w:rPr>
          <w:lang w:val="en-GB"/>
        </w:rPr>
      </w:pPr>
      <w:r w:rsidRPr="00C95524">
        <w:rPr>
          <w:szCs w:val="19"/>
          <w:lang w:val="en-US"/>
        </w:rPr>
        <w:t xml:space="preserve">At the end of the </w:t>
      </w:r>
      <w:r>
        <w:rPr>
          <w:szCs w:val="19"/>
          <w:lang w:val="en-US"/>
        </w:rPr>
        <w:t>second</w:t>
      </w:r>
      <w:r w:rsidRPr="00C95524">
        <w:rPr>
          <w:szCs w:val="19"/>
          <w:lang w:val="en-US"/>
        </w:rPr>
        <w:t xml:space="preserve"> quarter of 2020</w:t>
      </w:r>
      <w:r>
        <w:rPr>
          <w:szCs w:val="19"/>
          <w:lang w:val="en-US"/>
        </w:rPr>
        <w:t>,</w:t>
      </w:r>
      <w:r w:rsidRPr="00C95524">
        <w:rPr>
          <w:szCs w:val="19"/>
          <w:lang w:val="en-US"/>
        </w:rPr>
        <w:t xml:space="preserve"> the following voivodships had t</w:t>
      </w:r>
      <w:r>
        <w:rPr>
          <w:szCs w:val="19"/>
          <w:lang w:val="en-US"/>
        </w:rPr>
        <w:t>he largest number of vacancies</w:t>
      </w:r>
      <w:r>
        <w:rPr>
          <w:lang w:val="en-US"/>
        </w:rPr>
        <w:t xml:space="preserve">: Mazowieckie </w:t>
      </w:r>
      <w:r w:rsidR="00A92CA4">
        <w:rPr>
          <w:lang w:val="en-US"/>
        </w:rPr>
        <w:t>—</w:t>
      </w:r>
      <w:r>
        <w:rPr>
          <w:lang w:val="en-US"/>
        </w:rPr>
        <w:t xml:space="preserve"> 22.0 thousand (27.0</w:t>
      </w:r>
      <w:r w:rsidRPr="00C95524">
        <w:rPr>
          <w:lang w:val="en-US"/>
        </w:rPr>
        <w:t xml:space="preserve">% </w:t>
      </w:r>
      <w:r>
        <w:rPr>
          <w:lang w:val="en-US"/>
        </w:rPr>
        <w:t xml:space="preserve">of job vacancies in Poland), Śląskie </w:t>
      </w:r>
      <w:r w:rsidR="00A92CA4">
        <w:rPr>
          <w:lang w:val="en-US"/>
        </w:rPr>
        <w:t>—</w:t>
      </w:r>
      <w:r>
        <w:rPr>
          <w:lang w:val="en-US"/>
        </w:rPr>
        <w:t xml:space="preserve"> 8.5 thousand </w:t>
      </w:r>
      <w:r w:rsidRPr="00C95524">
        <w:rPr>
          <w:lang w:val="en-US"/>
        </w:rPr>
        <w:t>(1</w:t>
      </w:r>
      <w:r>
        <w:rPr>
          <w:lang w:val="en-US"/>
        </w:rPr>
        <w:t>0.4%) and</w:t>
      </w:r>
      <w:r w:rsidRPr="00C95524">
        <w:rPr>
          <w:lang w:val="en-US"/>
        </w:rPr>
        <w:t xml:space="preserve"> </w:t>
      </w:r>
      <w:r>
        <w:rPr>
          <w:lang w:val="en-US"/>
        </w:rPr>
        <w:t xml:space="preserve">Dolnośląskie </w:t>
      </w:r>
      <w:r w:rsidR="00A92CA4">
        <w:rPr>
          <w:lang w:val="en-US"/>
        </w:rPr>
        <w:t>—</w:t>
      </w:r>
      <w:r>
        <w:rPr>
          <w:lang w:val="en-US"/>
        </w:rPr>
        <w:t xml:space="preserve"> 8.0 thousand</w:t>
      </w:r>
      <w:r w:rsidRPr="00C95524">
        <w:rPr>
          <w:lang w:val="en-US"/>
        </w:rPr>
        <w:t xml:space="preserve"> </w:t>
      </w:r>
      <w:r>
        <w:rPr>
          <w:lang w:val="en-US"/>
        </w:rPr>
        <w:t>(9.8</w:t>
      </w:r>
      <w:r w:rsidRPr="00C95524">
        <w:rPr>
          <w:lang w:val="en-US"/>
        </w:rPr>
        <w:t xml:space="preserve">%), </w:t>
      </w:r>
      <w:r>
        <w:rPr>
          <w:lang w:val="en-US"/>
        </w:rPr>
        <w:t xml:space="preserve">whereas the smallest numbers of vacancies were recorded in the voivodships: Podlaskie </w:t>
      </w:r>
      <w:r w:rsidR="00A92CA4">
        <w:rPr>
          <w:lang w:val="en-US"/>
        </w:rPr>
        <w:t>—</w:t>
      </w:r>
      <w:r>
        <w:rPr>
          <w:lang w:val="en-US"/>
        </w:rPr>
        <w:t xml:space="preserve"> 0.9 thousand (1.1%), Opolskie</w:t>
      </w:r>
      <w:r w:rsidR="00A92FE1">
        <w:rPr>
          <w:lang w:val="en-US"/>
        </w:rPr>
        <w:t xml:space="preserve"> </w:t>
      </w:r>
      <w:r w:rsidR="00A92CA4">
        <w:rPr>
          <w:lang w:val="en-US"/>
        </w:rPr>
        <w:t>—</w:t>
      </w:r>
      <w:r>
        <w:rPr>
          <w:lang w:val="en-US"/>
        </w:rPr>
        <w:t xml:space="preserve"> 1.2 thousand (1.5%) and Warmińsko-M</w:t>
      </w:r>
      <w:r w:rsidRPr="00C95524">
        <w:rPr>
          <w:lang w:val="en-US"/>
        </w:rPr>
        <w:t>azurski</w:t>
      </w:r>
      <w:r>
        <w:rPr>
          <w:lang w:val="en-US"/>
        </w:rPr>
        <w:t>e</w:t>
      </w:r>
      <w:r w:rsidR="00A92FE1">
        <w:rPr>
          <w:lang w:val="en-US"/>
        </w:rPr>
        <w:t xml:space="preserve"> </w:t>
      </w:r>
      <w:r w:rsidR="00A92CA4">
        <w:rPr>
          <w:lang w:val="en-US"/>
        </w:rPr>
        <w:t>—</w:t>
      </w:r>
      <w:r>
        <w:rPr>
          <w:lang w:val="en-US"/>
        </w:rPr>
        <w:t xml:space="preserve"> 1.2 thousand (1.5%).</w:t>
      </w:r>
    </w:p>
    <w:p w14:paraId="7EAE8F48" w14:textId="77777777" w:rsidR="004A036A" w:rsidRPr="000A4B6A" w:rsidRDefault="004A036A">
      <w:pPr>
        <w:spacing w:before="0" w:after="160" w:line="259" w:lineRule="auto"/>
        <w:rPr>
          <w:b/>
          <w:noProof/>
          <w:sz w:val="18"/>
          <w:szCs w:val="18"/>
          <w:lang w:val="en-GB" w:eastAsia="pl-PL"/>
        </w:rPr>
      </w:pPr>
    </w:p>
    <w:p w14:paraId="09BBA9F5" w14:textId="5285A2B2" w:rsidR="004A036A" w:rsidRPr="000A4B6A" w:rsidRDefault="00D41DF8" w:rsidP="00BA5E0E">
      <w:pPr>
        <w:pStyle w:val="LID"/>
        <w:tabs>
          <w:tab w:val="left" w:pos="284"/>
        </w:tabs>
        <w:ind w:left="652" w:hanging="652"/>
        <w:rPr>
          <w:spacing w:val="-2"/>
          <w:sz w:val="18"/>
          <w:szCs w:val="18"/>
          <w:lang w:val="en-GB"/>
        </w:rPr>
      </w:pPr>
      <w:r>
        <w:rPr>
          <w:spacing w:val="-3"/>
          <w:szCs w:val="18"/>
        </w:rPr>
        <mc:AlternateContent>
          <mc:Choice Requires="wps">
            <w:drawing>
              <wp:anchor distT="0" distB="0" distL="114300" distR="114300" simplePos="0" relativeHeight="251665408" behindDoc="0" locked="0" layoutInCell="1" allowOverlap="1" wp14:anchorId="761DAE5A" wp14:editId="058ECE1B">
                <wp:simplePos x="0" y="0"/>
                <wp:positionH relativeFrom="column">
                  <wp:posOffset>5225415</wp:posOffset>
                </wp:positionH>
                <wp:positionV relativeFrom="paragraph">
                  <wp:posOffset>255905</wp:posOffset>
                </wp:positionV>
                <wp:extent cx="1791970" cy="180403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80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1768D" w14:textId="77777777" w:rsidR="00E63142" w:rsidRPr="000A4B6A" w:rsidRDefault="000A4B6A" w:rsidP="00460F7B">
                            <w:pPr>
                              <w:spacing w:before="0"/>
                              <w:rPr>
                                <w:bCs/>
                                <w:color w:val="001D77"/>
                                <w:sz w:val="18"/>
                                <w:szCs w:val="18"/>
                                <w:lang w:val="en-GB"/>
                              </w:rPr>
                            </w:pPr>
                            <w:r w:rsidRPr="00D15EB9">
                              <w:rPr>
                                <w:bCs/>
                                <w:color w:val="001D77"/>
                                <w:sz w:val="18"/>
                                <w:szCs w:val="18"/>
                                <w:lang w:val="en-US"/>
                              </w:rPr>
                              <w:t>The job vacancy rate – the proportion of total posts that are vacant, expressed as a percentage of the sum of the number of occupied posts and the number of job vacancies</w:t>
                            </w:r>
                          </w:p>
                          <w:p w14:paraId="3B2DA536" w14:textId="77777777" w:rsidR="00E63142" w:rsidRPr="000A4B6A" w:rsidRDefault="00E63142" w:rsidP="00460F7B">
                            <w:pPr>
                              <w:spacing w:before="0"/>
                              <w:rPr>
                                <w:bCs/>
                                <w:color w:val="001D77"/>
                                <w:sz w:val="18"/>
                                <w:szCs w:val="18"/>
                                <w:lang w:val="en-GB"/>
                              </w:rPr>
                            </w:pPr>
                          </w:p>
                          <w:p w14:paraId="6127E5FA" w14:textId="77777777" w:rsidR="00E63142" w:rsidRPr="000A4B6A" w:rsidRDefault="000A4B6A" w:rsidP="007D39FA">
                            <w:pPr>
                              <w:rPr>
                                <w:rFonts w:cs="Times New Roman"/>
                                <w:bCs/>
                                <w:color w:val="001D77"/>
                                <w:sz w:val="18"/>
                                <w:szCs w:val="18"/>
                                <w:lang w:val="en-GB"/>
                              </w:rPr>
                            </w:pPr>
                            <w:r w:rsidRPr="00D15EB9">
                              <w:rPr>
                                <w:bCs/>
                                <w:color w:val="001D77"/>
                                <w:sz w:val="18"/>
                                <w:szCs w:val="18"/>
                                <w:lang w:val="en-US"/>
                              </w:rPr>
                              <w:t xml:space="preserve">The job vacancy rate in Poland in the </w:t>
                            </w:r>
                            <w:r>
                              <w:rPr>
                                <w:bCs/>
                                <w:color w:val="001D77"/>
                                <w:sz w:val="18"/>
                                <w:szCs w:val="18"/>
                                <w:lang w:val="en-US"/>
                              </w:rPr>
                              <w:t>second</w:t>
                            </w:r>
                            <w:r w:rsidRPr="00D15EB9">
                              <w:rPr>
                                <w:bCs/>
                                <w:color w:val="001D77"/>
                                <w:sz w:val="18"/>
                                <w:szCs w:val="18"/>
                                <w:lang w:val="en-US"/>
                              </w:rPr>
                              <w:t xml:space="preserve"> quarter of 2020 was</w:t>
                            </w:r>
                            <w:r w:rsidR="00E63142" w:rsidRPr="000A4B6A">
                              <w:rPr>
                                <w:bCs/>
                                <w:color w:val="001D77"/>
                                <w:sz w:val="18"/>
                                <w:szCs w:val="18"/>
                                <w:lang w:val="en-GB"/>
                              </w:rPr>
                              <w:t xml:space="preserve"> 0</w:t>
                            </w:r>
                            <w:r w:rsidR="00B426B1">
                              <w:rPr>
                                <w:bCs/>
                                <w:color w:val="001D77"/>
                                <w:sz w:val="18"/>
                                <w:szCs w:val="18"/>
                                <w:lang w:val="en-GB"/>
                              </w:rPr>
                              <w:t>.</w:t>
                            </w:r>
                            <w:r w:rsidR="00E63142" w:rsidRPr="000A4B6A">
                              <w:rPr>
                                <w:bCs/>
                                <w:color w:val="001D77"/>
                                <w:sz w:val="18"/>
                                <w:szCs w:val="18"/>
                                <w:lang w:val="en-GB"/>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DAE5A" id="_x0000_s1031" type="#_x0000_t202" style="position:absolute;left:0;text-align:left;margin-left:411.45pt;margin-top:20.15pt;width:141.1pt;height:14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m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" filled="f" stroked="f">
                <v:textbox>
                  <w:txbxContent>
                    <w:p w14:paraId="0801768D" w14:textId="77777777" w:rsidR="00E63142" w:rsidRPr="000A4B6A" w:rsidRDefault="000A4B6A" w:rsidP="00460F7B">
                      <w:pPr>
                        <w:spacing w:before="0"/>
                        <w:rPr>
                          <w:bCs/>
                          <w:color w:val="001D77"/>
                          <w:sz w:val="18"/>
                          <w:szCs w:val="18"/>
                          <w:lang w:val="en-GB"/>
                        </w:rPr>
                      </w:pPr>
                      <w:r w:rsidRPr="00D15EB9">
                        <w:rPr>
                          <w:bCs/>
                          <w:color w:val="001D77"/>
                          <w:sz w:val="18"/>
                          <w:szCs w:val="18"/>
                          <w:lang w:val="en-US"/>
                        </w:rPr>
                        <w:t>The job vacancy rate – the proportion of total posts that are vacant, expressed as a percentage of the sum of the number of occupied posts and the number of job vacancies</w:t>
                      </w:r>
                    </w:p>
                    <w:p w14:paraId="3B2DA536" w14:textId="77777777" w:rsidR="00E63142" w:rsidRPr="000A4B6A" w:rsidRDefault="00E63142" w:rsidP="00460F7B">
                      <w:pPr>
                        <w:spacing w:before="0"/>
                        <w:rPr>
                          <w:bCs/>
                          <w:color w:val="001D77"/>
                          <w:sz w:val="18"/>
                          <w:szCs w:val="18"/>
                          <w:lang w:val="en-GB"/>
                        </w:rPr>
                      </w:pPr>
                    </w:p>
                    <w:p w14:paraId="6127E5FA" w14:textId="77777777" w:rsidR="00E63142" w:rsidRPr="000A4B6A" w:rsidRDefault="000A4B6A" w:rsidP="007D39FA">
                      <w:pPr>
                        <w:rPr>
                          <w:rFonts w:cs="Times New Roman"/>
                          <w:bCs/>
                          <w:color w:val="001D77"/>
                          <w:sz w:val="18"/>
                          <w:szCs w:val="18"/>
                          <w:lang w:val="en-GB"/>
                        </w:rPr>
                      </w:pPr>
                      <w:r w:rsidRPr="00D15EB9">
                        <w:rPr>
                          <w:bCs/>
                          <w:color w:val="001D77"/>
                          <w:sz w:val="18"/>
                          <w:szCs w:val="18"/>
                          <w:lang w:val="en-US"/>
                        </w:rPr>
                        <w:t xml:space="preserve">The job vacancy rate in Poland in the </w:t>
                      </w:r>
                      <w:r>
                        <w:rPr>
                          <w:bCs/>
                          <w:color w:val="001D77"/>
                          <w:sz w:val="18"/>
                          <w:szCs w:val="18"/>
                          <w:lang w:val="en-US"/>
                        </w:rPr>
                        <w:t>second</w:t>
                      </w:r>
                      <w:r w:rsidRPr="00D15EB9">
                        <w:rPr>
                          <w:bCs/>
                          <w:color w:val="001D77"/>
                          <w:sz w:val="18"/>
                          <w:szCs w:val="18"/>
                          <w:lang w:val="en-US"/>
                        </w:rPr>
                        <w:t xml:space="preserve"> quarter of 2020 was</w:t>
                      </w:r>
                      <w:r w:rsidR="00E63142" w:rsidRPr="000A4B6A">
                        <w:rPr>
                          <w:bCs/>
                          <w:color w:val="001D77"/>
                          <w:sz w:val="18"/>
                          <w:szCs w:val="18"/>
                          <w:lang w:val="en-GB"/>
                        </w:rPr>
                        <w:t xml:space="preserve"> 0</w:t>
                      </w:r>
                      <w:r w:rsidR="00B426B1">
                        <w:rPr>
                          <w:bCs/>
                          <w:color w:val="001D77"/>
                          <w:sz w:val="18"/>
                          <w:szCs w:val="18"/>
                          <w:lang w:val="en-GB"/>
                        </w:rPr>
                        <w:t>.</w:t>
                      </w:r>
                      <w:r w:rsidR="00E63142" w:rsidRPr="000A4B6A">
                        <w:rPr>
                          <w:bCs/>
                          <w:color w:val="001D77"/>
                          <w:sz w:val="18"/>
                          <w:szCs w:val="18"/>
                          <w:lang w:val="en-GB"/>
                        </w:rPr>
                        <w:t>66%</w:t>
                      </w:r>
                    </w:p>
                  </w:txbxContent>
                </v:textbox>
              </v:shape>
            </w:pict>
          </mc:Fallback>
        </mc:AlternateContent>
      </w:r>
      <w:r w:rsidR="00653F1A" w:rsidRPr="00D7282D">
        <w:drawing>
          <wp:anchor distT="0" distB="0" distL="114300" distR="114300" simplePos="0" relativeHeight="251656704" behindDoc="0" locked="0" layoutInCell="1" allowOverlap="1" wp14:anchorId="6BB697FF" wp14:editId="56F201A7">
            <wp:simplePos x="0" y="0"/>
            <wp:positionH relativeFrom="column">
              <wp:posOffset>2540</wp:posOffset>
            </wp:positionH>
            <wp:positionV relativeFrom="paragraph">
              <wp:posOffset>280035</wp:posOffset>
            </wp:positionV>
            <wp:extent cx="5028565" cy="3122295"/>
            <wp:effectExtent l="0" t="0" r="0" b="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apa.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28565" cy="3122295"/>
                    </a:xfrm>
                    <a:prstGeom prst="rect">
                      <a:avLst/>
                    </a:prstGeom>
                  </pic:spPr>
                </pic:pic>
              </a:graphicData>
            </a:graphic>
            <wp14:sizeRelH relativeFrom="margin">
              <wp14:pctWidth>0</wp14:pctWidth>
            </wp14:sizeRelH>
          </wp:anchor>
        </w:drawing>
      </w:r>
      <w:r>
        <w:rPr>
          <w:spacing w:val="-3"/>
          <w:szCs w:val="18"/>
        </w:rPr>
        <mc:AlternateContent>
          <mc:Choice Requires="wps">
            <w:drawing>
              <wp:anchor distT="0" distB="0" distL="114300" distR="114300" simplePos="0" relativeHeight="251669504" behindDoc="0" locked="0" layoutInCell="1" allowOverlap="1" wp14:anchorId="1D3652CA" wp14:editId="24A95003">
                <wp:simplePos x="0" y="0"/>
                <wp:positionH relativeFrom="column">
                  <wp:posOffset>5224780</wp:posOffset>
                </wp:positionH>
                <wp:positionV relativeFrom="paragraph">
                  <wp:posOffset>2226945</wp:posOffset>
                </wp:positionV>
                <wp:extent cx="1762125" cy="1171575"/>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E2C9A" w14:textId="77777777" w:rsidR="00E63142" w:rsidRPr="000A4B6A" w:rsidRDefault="000A4B6A" w:rsidP="00A170E2">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the lowest job vacancy rate was in the</w:t>
                            </w:r>
                            <w:r w:rsidR="00E63142" w:rsidRPr="000A4B6A">
                              <w:rPr>
                                <w:bCs/>
                                <w:color w:val="001D77"/>
                                <w:sz w:val="18"/>
                                <w:szCs w:val="18"/>
                                <w:lang w:val="en-GB"/>
                              </w:rPr>
                              <w:t xml:space="preserve"> </w:t>
                            </w:r>
                            <w:r>
                              <w:rPr>
                                <w:bCs/>
                                <w:color w:val="001D77"/>
                                <w:sz w:val="18"/>
                                <w:szCs w:val="18"/>
                                <w:lang w:val="en-GB"/>
                              </w:rPr>
                              <w:t>L</w:t>
                            </w:r>
                            <w:r w:rsidR="00E63142" w:rsidRPr="000A4B6A">
                              <w:rPr>
                                <w:bCs/>
                                <w:color w:val="001D77"/>
                                <w:sz w:val="18"/>
                                <w:szCs w:val="18"/>
                                <w:lang w:val="en-GB"/>
                              </w:rPr>
                              <w:t>ubelski</w:t>
                            </w:r>
                            <w:r>
                              <w:rPr>
                                <w:bCs/>
                                <w:color w:val="001D77"/>
                                <w:sz w:val="18"/>
                                <w:szCs w:val="18"/>
                                <w:lang w:val="en-GB"/>
                              </w:rPr>
                              <w:t>e Voivodship</w:t>
                            </w:r>
                            <w:r w:rsidR="00E63142" w:rsidRPr="000A4B6A">
                              <w:rPr>
                                <w:bCs/>
                                <w:color w:val="001D77"/>
                                <w:sz w:val="18"/>
                                <w:szCs w:val="18"/>
                                <w:lang w:val="en-GB"/>
                              </w:rPr>
                              <w:t xml:space="preserve"> – 0</w:t>
                            </w:r>
                            <w:r w:rsidR="00B426B1">
                              <w:rPr>
                                <w:bCs/>
                                <w:color w:val="001D77"/>
                                <w:sz w:val="18"/>
                                <w:szCs w:val="18"/>
                                <w:lang w:val="en-GB"/>
                              </w:rPr>
                              <w:t>.</w:t>
                            </w:r>
                            <w:r w:rsidR="00E63142" w:rsidRPr="000A4B6A">
                              <w:rPr>
                                <w:bCs/>
                                <w:color w:val="001D77"/>
                                <w:sz w:val="18"/>
                                <w:szCs w:val="18"/>
                                <w:lang w:val="en-GB"/>
                              </w:rPr>
                              <w:t xml:space="preserve">31%, </w:t>
                            </w:r>
                            <w:r w:rsidR="00BC10D0" w:rsidRPr="00D15EB9">
                              <w:rPr>
                                <w:bCs/>
                                <w:color w:val="001D77"/>
                                <w:sz w:val="18"/>
                                <w:szCs w:val="18"/>
                                <w:lang w:val="en-US"/>
                              </w:rPr>
                              <w:t>while the highest in the Zachodniopomorskie Voivodship</w:t>
                            </w:r>
                            <w:r w:rsidR="00E63142" w:rsidRPr="000A4B6A">
                              <w:rPr>
                                <w:bCs/>
                                <w:color w:val="001D77"/>
                                <w:sz w:val="18"/>
                                <w:szCs w:val="18"/>
                                <w:lang w:val="en-GB"/>
                              </w:rPr>
                              <w:t xml:space="preserve"> – 0</w:t>
                            </w:r>
                            <w:r w:rsidR="00B426B1">
                              <w:rPr>
                                <w:bCs/>
                                <w:color w:val="001D77"/>
                                <w:sz w:val="18"/>
                                <w:szCs w:val="18"/>
                                <w:lang w:val="en-GB"/>
                              </w:rPr>
                              <w:t>.</w:t>
                            </w:r>
                            <w:r w:rsidR="00E63142" w:rsidRPr="000A4B6A">
                              <w:rPr>
                                <w:bCs/>
                                <w:color w:val="001D77"/>
                                <w:sz w:val="18"/>
                                <w:szCs w:val="18"/>
                                <w:lang w:val="en-GB"/>
                              </w:rPr>
                              <w:t>89%</w:t>
                            </w:r>
                          </w:p>
                          <w:p w14:paraId="2251C96B" w14:textId="77777777" w:rsidR="00E63142" w:rsidRPr="000A4B6A" w:rsidRDefault="00E63142" w:rsidP="00A170E2">
                            <w:pPr>
                              <w:spacing w:before="0"/>
                              <w:rPr>
                                <w:rFonts w:cs="Times New Roman"/>
                                <w:bCs/>
                                <w:color w:val="001D77"/>
                                <w:sz w:val="18"/>
                                <w:szCs w:val="18"/>
                                <w:lang w:val="en-GB"/>
                              </w:rPr>
                            </w:pPr>
                          </w:p>
                          <w:p w14:paraId="36A8CD90" w14:textId="77777777" w:rsidR="00E63142" w:rsidRPr="000A4B6A" w:rsidRDefault="00E63142" w:rsidP="00A170E2">
                            <w:pPr>
                              <w:spacing w:before="0"/>
                              <w:rPr>
                                <w:rFonts w:cs="Times New Roman"/>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652CA" id="_x0000_s1032" type="#_x0000_t202" style="position:absolute;left:0;text-align:left;margin-left:411.4pt;margin-top:175.35pt;width:138.7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HugIAAMM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" filled="f" stroked="f">
                <v:textbox>
                  <w:txbxContent>
                    <w:p w14:paraId="0D8E2C9A" w14:textId="77777777" w:rsidR="00E63142" w:rsidRPr="000A4B6A" w:rsidRDefault="000A4B6A" w:rsidP="00A170E2">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the lowest job vacancy rate was in the</w:t>
                      </w:r>
                      <w:r w:rsidR="00E63142" w:rsidRPr="000A4B6A">
                        <w:rPr>
                          <w:bCs/>
                          <w:color w:val="001D77"/>
                          <w:sz w:val="18"/>
                          <w:szCs w:val="18"/>
                          <w:lang w:val="en-GB"/>
                        </w:rPr>
                        <w:t xml:space="preserve"> </w:t>
                      </w:r>
                      <w:r>
                        <w:rPr>
                          <w:bCs/>
                          <w:color w:val="001D77"/>
                          <w:sz w:val="18"/>
                          <w:szCs w:val="18"/>
                          <w:lang w:val="en-GB"/>
                        </w:rPr>
                        <w:t>L</w:t>
                      </w:r>
                      <w:r w:rsidR="00E63142" w:rsidRPr="000A4B6A">
                        <w:rPr>
                          <w:bCs/>
                          <w:color w:val="001D77"/>
                          <w:sz w:val="18"/>
                          <w:szCs w:val="18"/>
                          <w:lang w:val="en-GB"/>
                        </w:rPr>
                        <w:t>ubelski</w:t>
                      </w:r>
                      <w:r>
                        <w:rPr>
                          <w:bCs/>
                          <w:color w:val="001D77"/>
                          <w:sz w:val="18"/>
                          <w:szCs w:val="18"/>
                          <w:lang w:val="en-GB"/>
                        </w:rPr>
                        <w:t>e Voivodship</w:t>
                      </w:r>
                      <w:r w:rsidR="00E63142" w:rsidRPr="000A4B6A">
                        <w:rPr>
                          <w:bCs/>
                          <w:color w:val="001D77"/>
                          <w:sz w:val="18"/>
                          <w:szCs w:val="18"/>
                          <w:lang w:val="en-GB"/>
                        </w:rPr>
                        <w:t xml:space="preserve"> – 0</w:t>
                      </w:r>
                      <w:r w:rsidR="00B426B1">
                        <w:rPr>
                          <w:bCs/>
                          <w:color w:val="001D77"/>
                          <w:sz w:val="18"/>
                          <w:szCs w:val="18"/>
                          <w:lang w:val="en-GB"/>
                        </w:rPr>
                        <w:t>.</w:t>
                      </w:r>
                      <w:r w:rsidR="00E63142" w:rsidRPr="000A4B6A">
                        <w:rPr>
                          <w:bCs/>
                          <w:color w:val="001D77"/>
                          <w:sz w:val="18"/>
                          <w:szCs w:val="18"/>
                          <w:lang w:val="en-GB"/>
                        </w:rPr>
                        <w:t xml:space="preserve">31%, </w:t>
                      </w:r>
                      <w:r w:rsidR="00BC10D0" w:rsidRPr="00D15EB9">
                        <w:rPr>
                          <w:bCs/>
                          <w:color w:val="001D77"/>
                          <w:sz w:val="18"/>
                          <w:szCs w:val="18"/>
                          <w:lang w:val="en-US"/>
                        </w:rPr>
                        <w:t>while the highest in the Zachodniopomorskie Voivodship</w:t>
                      </w:r>
                      <w:r w:rsidR="00E63142" w:rsidRPr="000A4B6A">
                        <w:rPr>
                          <w:bCs/>
                          <w:color w:val="001D77"/>
                          <w:sz w:val="18"/>
                          <w:szCs w:val="18"/>
                          <w:lang w:val="en-GB"/>
                        </w:rPr>
                        <w:t xml:space="preserve"> – 0</w:t>
                      </w:r>
                      <w:r w:rsidR="00B426B1">
                        <w:rPr>
                          <w:bCs/>
                          <w:color w:val="001D77"/>
                          <w:sz w:val="18"/>
                          <w:szCs w:val="18"/>
                          <w:lang w:val="en-GB"/>
                        </w:rPr>
                        <w:t>.</w:t>
                      </w:r>
                      <w:r w:rsidR="00E63142" w:rsidRPr="000A4B6A">
                        <w:rPr>
                          <w:bCs/>
                          <w:color w:val="001D77"/>
                          <w:sz w:val="18"/>
                          <w:szCs w:val="18"/>
                          <w:lang w:val="en-GB"/>
                        </w:rPr>
                        <w:t>89%</w:t>
                      </w:r>
                    </w:p>
                    <w:p w14:paraId="2251C96B" w14:textId="77777777" w:rsidR="00E63142" w:rsidRPr="000A4B6A" w:rsidRDefault="00E63142" w:rsidP="00A170E2">
                      <w:pPr>
                        <w:spacing w:before="0"/>
                        <w:rPr>
                          <w:rFonts w:cs="Times New Roman"/>
                          <w:bCs/>
                          <w:color w:val="001D77"/>
                          <w:sz w:val="18"/>
                          <w:szCs w:val="18"/>
                          <w:lang w:val="en-GB"/>
                        </w:rPr>
                      </w:pPr>
                    </w:p>
                    <w:p w14:paraId="36A8CD90" w14:textId="77777777" w:rsidR="00E63142" w:rsidRPr="000A4B6A" w:rsidRDefault="00E63142" w:rsidP="00A170E2">
                      <w:pPr>
                        <w:spacing w:before="0"/>
                        <w:rPr>
                          <w:rFonts w:cs="Times New Roman"/>
                          <w:bCs/>
                          <w:color w:val="001D77"/>
                          <w:sz w:val="18"/>
                          <w:szCs w:val="18"/>
                          <w:lang w:val="en-GB"/>
                        </w:rPr>
                      </w:pPr>
                    </w:p>
                  </w:txbxContent>
                </v:textbox>
              </v:shape>
            </w:pict>
          </mc:Fallback>
        </mc:AlternateContent>
      </w:r>
      <w:r w:rsidR="000A4B6A" w:rsidRPr="000A4B6A">
        <w:rPr>
          <w:lang w:val="en-GB"/>
        </w:rPr>
        <w:t>Map 1. Job vacancy rate by voivodships as of the end of the second quarter of 2020</w:t>
      </w:r>
    </w:p>
    <w:p w14:paraId="7F73C596" w14:textId="77777777" w:rsidR="00A2001D" w:rsidRPr="000A4B6A" w:rsidRDefault="00A2001D" w:rsidP="00A2001D">
      <w:pPr>
        <w:rPr>
          <w:rFonts w:eastAsia="Times New Roman" w:cs="Times New Roman"/>
          <w:szCs w:val="19"/>
          <w:lang w:val="en-GB" w:eastAsia="pl-PL"/>
        </w:rPr>
      </w:pPr>
    </w:p>
    <w:p w14:paraId="1770046E" w14:textId="77777777" w:rsidR="00193F18" w:rsidRPr="000A4B6A" w:rsidRDefault="00193F18">
      <w:pPr>
        <w:spacing w:before="0" w:after="160" w:line="259" w:lineRule="auto"/>
        <w:rPr>
          <w:rFonts w:eastAsia="Times New Roman" w:cs="Times New Roman"/>
          <w:szCs w:val="19"/>
          <w:lang w:val="en-GB" w:eastAsia="pl-PL"/>
        </w:rPr>
      </w:pPr>
      <w:r w:rsidRPr="000A4B6A">
        <w:rPr>
          <w:rFonts w:eastAsia="Times New Roman" w:cs="Times New Roman"/>
          <w:szCs w:val="19"/>
          <w:lang w:val="en-GB" w:eastAsia="pl-PL"/>
        </w:rPr>
        <w:br w:type="page"/>
      </w:r>
    </w:p>
    <w:p w14:paraId="3F66AA08" w14:textId="77777777" w:rsidR="00B613E7" w:rsidRPr="004C2074" w:rsidRDefault="004C2074" w:rsidP="00B613E7">
      <w:pPr>
        <w:rPr>
          <w:lang w:val="en-GB"/>
        </w:rPr>
      </w:pPr>
      <w:r w:rsidRPr="004C2074">
        <w:rPr>
          <w:rStyle w:val="tlid-translation"/>
          <w:lang w:val="en"/>
        </w:rPr>
        <w:lastRenderedPageBreak/>
        <w:t xml:space="preserve">The value of the job vacancy rate decreased </w:t>
      </w:r>
      <w:r w:rsidRPr="004C2074">
        <w:rPr>
          <w:rStyle w:val="gt-baf-cell"/>
          <w:lang w:val="en-GB"/>
        </w:rPr>
        <w:t>instantly</w:t>
      </w:r>
      <w:r w:rsidRPr="004C2074">
        <w:rPr>
          <w:rStyle w:val="tlid-translation"/>
          <w:lang w:val="en"/>
        </w:rPr>
        <w:t xml:space="preserve"> in 2020, ending the upward trend that had been ongoing since 2012. The epidemic situation contributed to the decrease in the index value. Additionally, in the second quarter of 2020, the number of liquidated jobs exceeded the number of newly created jobs, and the vacancy rate fell to the level of 2016.</w:t>
      </w:r>
    </w:p>
    <w:p w14:paraId="6095C5FA" w14:textId="77777777" w:rsidR="00B613E7" w:rsidRPr="004C2074" w:rsidRDefault="00B613E7" w:rsidP="00B613E7">
      <w:pPr>
        <w:rPr>
          <w:lang w:val="en-GB"/>
        </w:rPr>
      </w:pPr>
    </w:p>
    <w:p w14:paraId="6CD8F630" w14:textId="77777777" w:rsidR="00883EFE" w:rsidRPr="004C2074" w:rsidRDefault="00442B2F" w:rsidP="004C2074">
      <w:pPr>
        <w:pStyle w:val="tytuwykresu"/>
        <w:spacing w:before="240"/>
        <w:ind w:left="624" w:hanging="624"/>
        <w:rPr>
          <w:b w:val="0"/>
          <w:szCs w:val="18"/>
          <w:lang w:val="en-GB"/>
        </w:rPr>
      </w:pPr>
      <w:r w:rsidRPr="004C2074">
        <w:rPr>
          <w:b w:val="0"/>
          <w:noProof/>
          <w:lang w:eastAsia="pl-PL"/>
        </w:rPr>
        <w:drawing>
          <wp:anchor distT="0" distB="0" distL="114300" distR="114300" simplePos="0" relativeHeight="251658752" behindDoc="0" locked="0" layoutInCell="1" allowOverlap="1" wp14:anchorId="4812D12B" wp14:editId="14EF4AE5">
            <wp:simplePos x="0" y="0"/>
            <wp:positionH relativeFrom="column">
              <wp:posOffset>43512</wp:posOffset>
            </wp:positionH>
            <wp:positionV relativeFrom="paragraph">
              <wp:posOffset>459187</wp:posOffset>
            </wp:positionV>
            <wp:extent cx="5001895" cy="2463165"/>
            <wp:effectExtent l="0" t="0" r="0" b="0"/>
            <wp:wrapSquare wrapText="bothSides"/>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4C2074" w:rsidRPr="004C2074">
        <w:rPr>
          <w:szCs w:val="18"/>
          <w:lang w:val="en-GB"/>
        </w:rPr>
        <w:t>Chart</w:t>
      </w:r>
      <w:r w:rsidR="00193F18" w:rsidRPr="004C2074">
        <w:rPr>
          <w:szCs w:val="18"/>
          <w:lang w:val="en-GB"/>
        </w:rPr>
        <w:t xml:space="preserve"> 7. </w:t>
      </w:r>
      <w:r w:rsidR="004C2074" w:rsidRPr="004C2074">
        <w:rPr>
          <w:szCs w:val="18"/>
          <w:lang w:val="en-GB"/>
        </w:rPr>
        <w:t>Job vacancy rate in Poland</w:t>
      </w:r>
      <w:r w:rsidRPr="004C2074">
        <w:rPr>
          <w:szCs w:val="18"/>
          <w:lang w:val="en-GB"/>
        </w:rPr>
        <w:br/>
      </w:r>
      <w:r w:rsidR="004C2074" w:rsidRPr="004C2074">
        <w:rPr>
          <w:b w:val="0"/>
          <w:szCs w:val="18"/>
          <w:lang w:val="en-GB"/>
        </w:rPr>
        <w:t>As of the end of the quarter</w:t>
      </w:r>
    </w:p>
    <w:p w14:paraId="5A697EA1" w14:textId="77777777" w:rsidR="00B613E7" w:rsidRPr="004C2074" w:rsidRDefault="00B613E7" w:rsidP="00B613E7">
      <w:pPr>
        <w:rPr>
          <w:lang w:val="en-GB"/>
        </w:rPr>
      </w:pPr>
    </w:p>
    <w:p w14:paraId="1C2BD59C" w14:textId="144A9D4B" w:rsidR="00A2001D" w:rsidRPr="00C13DC2" w:rsidRDefault="00D41DF8" w:rsidP="009154E3">
      <w:pPr>
        <w:spacing w:before="240" w:line="240" w:lineRule="auto"/>
        <w:jc w:val="both"/>
        <w:rPr>
          <w:rFonts w:ascii="Fira Sans SemiBold" w:hAnsi="Fira Sans SemiBold"/>
          <w:color w:val="001D77"/>
          <w:lang w:val="en-GB"/>
        </w:rPr>
      </w:pPr>
      <w:r>
        <w:rPr>
          <w:rFonts w:ascii="Fira Sans Extra Condensed SemiB" w:hAnsi="Fira Sans Extra Condensed SemiB"/>
          <w:noProof/>
          <w:color w:val="FF0000"/>
          <w:spacing w:val="-3"/>
          <w:sz w:val="40"/>
          <w:szCs w:val="18"/>
          <w:lang w:eastAsia="pl-PL"/>
        </w:rPr>
        <mc:AlternateContent>
          <mc:Choice Requires="wps">
            <w:drawing>
              <wp:anchor distT="0" distB="0" distL="114300" distR="114300" simplePos="0" relativeHeight="251666432" behindDoc="0" locked="0" layoutInCell="1" allowOverlap="1" wp14:anchorId="3B18F8BA" wp14:editId="6BFE4283">
                <wp:simplePos x="0" y="0"/>
                <wp:positionH relativeFrom="column">
                  <wp:posOffset>5225415</wp:posOffset>
                </wp:positionH>
                <wp:positionV relativeFrom="paragraph">
                  <wp:posOffset>276860</wp:posOffset>
                </wp:positionV>
                <wp:extent cx="1762125" cy="1171575"/>
                <wp:effectExtent l="0" t="0" r="0" b="0"/>
                <wp:wrapNone/>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7CEF" w14:textId="77777777" w:rsidR="00E63142" w:rsidRPr="00BC10D0" w:rsidRDefault="00BC10D0" w:rsidP="00A2001D">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the majority of new jobs were created in the private sector</w:t>
                            </w:r>
                            <w:r w:rsidR="00E63142" w:rsidRPr="00BC10D0">
                              <w:rPr>
                                <w:bCs/>
                                <w:color w:val="001D77"/>
                                <w:sz w:val="18"/>
                                <w:szCs w:val="18"/>
                                <w:lang w:val="en-GB"/>
                              </w:rPr>
                              <w:t xml:space="preserve"> (92</w:t>
                            </w:r>
                            <w:r w:rsidR="00B426B1">
                              <w:rPr>
                                <w:bCs/>
                                <w:color w:val="001D77"/>
                                <w:sz w:val="18"/>
                                <w:szCs w:val="18"/>
                                <w:lang w:val="en-GB"/>
                              </w:rPr>
                              <w:t>.</w:t>
                            </w:r>
                            <w:r w:rsidR="00E63142" w:rsidRPr="00BC10D0">
                              <w:rPr>
                                <w:bCs/>
                                <w:color w:val="001D77"/>
                                <w:sz w:val="18"/>
                                <w:szCs w:val="18"/>
                                <w:lang w:val="en-GB"/>
                              </w:rPr>
                              <w:t>3%)</w:t>
                            </w:r>
                            <w:r w:rsidR="00E63142" w:rsidRPr="00BC10D0">
                              <w:rPr>
                                <w:rFonts w:cs="Times New Roman"/>
                                <w:bCs/>
                                <w:color w:val="001D77"/>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8F8BA" id="_x0000_s1033" type="#_x0000_t202" style="position:absolute;left:0;text-align:left;margin-left:411.45pt;margin-top:21.8pt;width:138.75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aaug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" filled="f" stroked="f">
                <v:textbox>
                  <w:txbxContent>
                    <w:p w14:paraId="0C4F7CEF" w14:textId="77777777" w:rsidR="00E63142" w:rsidRPr="00BC10D0" w:rsidRDefault="00BC10D0" w:rsidP="00A2001D">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the majority of new jobs were created in the private sector</w:t>
                      </w:r>
                      <w:r w:rsidR="00E63142" w:rsidRPr="00BC10D0">
                        <w:rPr>
                          <w:bCs/>
                          <w:color w:val="001D77"/>
                          <w:sz w:val="18"/>
                          <w:szCs w:val="18"/>
                          <w:lang w:val="en-GB"/>
                        </w:rPr>
                        <w:t xml:space="preserve"> (92</w:t>
                      </w:r>
                      <w:r w:rsidR="00B426B1">
                        <w:rPr>
                          <w:bCs/>
                          <w:color w:val="001D77"/>
                          <w:sz w:val="18"/>
                          <w:szCs w:val="18"/>
                          <w:lang w:val="en-GB"/>
                        </w:rPr>
                        <w:t>.</w:t>
                      </w:r>
                      <w:r w:rsidR="00E63142" w:rsidRPr="00BC10D0">
                        <w:rPr>
                          <w:bCs/>
                          <w:color w:val="001D77"/>
                          <w:sz w:val="18"/>
                          <w:szCs w:val="18"/>
                          <w:lang w:val="en-GB"/>
                        </w:rPr>
                        <w:t>3%)</w:t>
                      </w:r>
                      <w:r w:rsidR="00E63142" w:rsidRPr="00BC10D0">
                        <w:rPr>
                          <w:rFonts w:cs="Times New Roman"/>
                          <w:bCs/>
                          <w:color w:val="001D77"/>
                          <w:sz w:val="18"/>
                          <w:szCs w:val="18"/>
                          <w:lang w:val="en-GB"/>
                        </w:rPr>
                        <w:t xml:space="preserve"> </w:t>
                      </w:r>
                    </w:p>
                  </w:txbxContent>
                </v:textbox>
              </v:shape>
            </w:pict>
          </mc:Fallback>
        </mc:AlternateContent>
      </w:r>
      <w:r w:rsidR="00A2001D" w:rsidRPr="00C13DC2">
        <w:rPr>
          <w:rFonts w:ascii="Fira Sans SemiBold" w:hAnsi="Fira Sans SemiBold"/>
          <w:color w:val="001D77"/>
          <w:lang w:val="en-GB"/>
        </w:rPr>
        <w:t>N</w:t>
      </w:r>
      <w:r w:rsidR="00BC10D0" w:rsidRPr="00C13DC2">
        <w:rPr>
          <w:rFonts w:ascii="Fira Sans SemiBold" w:hAnsi="Fira Sans SemiBold"/>
          <w:color w:val="001D77"/>
          <w:lang w:val="en-GB"/>
        </w:rPr>
        <w:t>ewly created jobs</w:t>
      </w:r>
    </w:p>
    <w:p w14:paraId="58AE8375" w14:textId="77777777" w:rsidR="00A2001D" w:rsidRPr="00C13DC2" w:rsidRDefault="00C13DC2" w:rsidP="002F77A4">
      <w:pPr>
        <w:pStyle w:val="tytuinformacji"/>
        <w:spacing w:after="120" w:line="240" w:lineRule="exact"/>
        <w:rPr>
          <w:rFonts w:ascii="Fira Sans" w:hAnsi="Fira Sans"/>
          <w:color w:val="auto"/>
          <w:sz w:val="19"/>
          <w:szCs w:val="19"/>
          <w:lang w:val="en-GB"/>
        </w:rPr>
      </w:pPr>
      <w:r w:rsidRPr="00292FB1">
        <w:rPr>
          <w:rFonts w:ascii="Fira Sans" w:hAnsi="Fira Sans"/>
          <w:color w:val="auto"/>
          <w:sz w:val="19"/>
          <w:szCs w:val="19"/>
          <w:lang w:val="en-US"/>
        </w:rPr>
        <w:t xml:space="preserve">In the </w:t>
      </w:r>
      <w:r>
        <w:rPr>
          <w:rFonts w:ascii="Fira Sans" w:hAnsi="Fira Sans"/>
          <w:color w:val="auto"/>
          <w:sz w:val="19"/>
          <w:szCs w:val="19"/>
          <w:lang w:val="en-US"/>
        </w:rPr>
        <w:t>second</w:t>
      </w:r>
      <w:r w:rsidRPr="00292FB1">
        <w:rPr>
          <w:rFonts w:ascii="Fira Sans" w:hAnsi="Fira Sans"/>
          <w:color w:val="auto"/>
          <w:sz w:val="19"/>
          <w:szCs w:val="19"/>
          <w:lang w:val="en-US"/>
        </w:rPr>
        <w:t xml:space="preserve"> qu</w:t>
      </w:r>
      <w:r>
        <w:rPr>
          <w:rFonts w:ascii="Fira Sans" w:hAnsi="Fira Sans"/>
          <w:color w:val="auto"/>
          <w:sz w:val="19"/>
          <w:szCs w:val="19"/>
          <w:lang w:val="en-US"/>
        </w:rPr>
        <w:t>arter of 2020,</w:t>
      </w:r>
      <w:r w:rsidRPr="00292FB1">
        <w:rPr>
          <w:rFonts w:ascii="Fira Sans" w:hAnsi="Fira Sans"/>
          <w:color w:val="auto"/>
          <w:sz w:val="19"/>
          <w:szCs w:val="19"/>
          <w:lang w:val="en-US"/>
        </w:rPr>
        <w:t xml:space="preserve"> </w:t>
      </w:r>
      <w:r>
        <w:rPr>
          <w:rFonts w:ascii="Fira Sans" w:hAnsi="Fira Sans"/>
          <w:color w:val="auto"/>
          <w:sz w:val="19"/>
          <w:szCs w:val="19"/>
          <w:lang w:val="en-US"/>
        </w:rPr>
        <w:t>81.9 thousand new jobs were created in Poland</w:t>
      </w:r>
      <w:r w:rsidRPr="00BE0408">
        <w:rPr>
          <w:rFonts w:ascii="Fira Sans" w:hAnsi="Fira Sans"/>
          <w:color w:val="auto"/>
          <w:sz w:val="19"/>
          <w:szCs w:val="19"/>
          <w:lang w:val="en-US"/>
        </w:rPr>
        <w:t xml:space="preserve"> There were 88.7 thousand (</w:t>
      </w:r>
      <w:r>
        <w:rPr>
          <w:rFonts w:ascii="Fira Sans" w:hAnsi="Fira Sans"/>
          <w:color w:val="auto"/>
          <w:sz w:val="19"/>
          <w:szCs w:val="19"/>
          <w:lang w:val="en-US"/>
        </w:rPr>
        <w:t>48</w:t>
      </w:r>
      <w:r w:rsidRPr="00BE0408">
        <w:rPr>
          <w:rFonts w:ascii="Fira Sans" w:hAnsi="Fira Sans"/>
          <w:color w:val="auto"/>
          <w:sz w:val="19"/>
          <w:szCs w:val="19"/>
          <w:lang w:val="en-US"/>
        </w:rPr>
        <w:t>.0%) fewer of them as compared to the first quarter of 2020. The largest number of new jobs were created in the group of units with up to 9 employed persons — 36.3 thousand (44.3%). Their number in units with more than 49 employed persons amounted to 23.3 thousand (28.4%) and in units with 10 to 49 employed persons — 22.3 thousand (27.2%).</w:t>
      </w:r>
    </w:p>
    <w:p w14:paraId="39F60BC7" w14:textId="77777777" w:rsidR="00910BBB" w:rsidRPr="00C13DC2" w:rsidRDefault="00C13DC2" w:rsidP="00910BBB">
      <w:pPr>
        <w:rPr>
          <w:szCs w:val="19"/>
          <w:shd w:val="clear" w:color="auto" w:fill="FFFFFF"/>
          <w:lang w:val="en-GB"/>
        </w:rPr>
      </w:pPr>
      <w:r w:rsidRPr="00BE0408">
        <w:rPr>
          <w:szCs w:val="19"/>
          <w:shd w:val="clear" w:color="auto" w:fill="FFFFFF"/>
          <w:lang w:val="en-US"/>
        </w:rPr>
        <w:t>New jobs were generated mainly in units conducting activities in the field of t</w:t>
      </w:r>
      <w:r w:rsidRPr="00BE0408">
        <w:rPr>
          <w:szCs w:val="19"/>
          <w:lang w:val="en-US"/>
        </w:rPr>
        <w:t>rade; repair of motor vehicles</w:t>
      </w:r>
      <w:r w:rsidRPr="003E75A7">
        <w:rPr>
          <w:szCs w:val="19"/>
          <w:shd w:val="clear" w:color="auto" w:fill="FFFFFF"/>
          <w:vertAlign w:val="superscript"/>
          <w:lang w:val="en-GB"/>
        </w:rPr>
        <w:t>∆</w:t>
      </w:r>
      <w:r w:rsidRPr="00BE0408">
        <w:rPr>
          <w:bCs/>
          <w:lang w:val="en-US"/>
        </w:rPr>
        <w:t xml:space="preserve"> </w:t>
      </w:r>
      <w:r w:rsidRPr="00BE0408">
        <w:rPr>
          <w:szCs w:val="19"/>
          <w:shd w:val="clear" w:color="auto" w:fill="FFFFFF"/>
          <w:lang w:val="en-US"/>
        </w:rPr>
        <w:t xml:space="preserve">— 16.1 thousand (19.7%), manufacturing </w:t>
      </w:r>
      <w:r w:rsidR="00A92CA4">
        <w:rPr>
          <w:szCs w:val="19"/>
          <w:shd w:val="clear" w:color="auto" w:fill="FFFFFF"/>
          <w:lang w:val="en-US"/>
        </w:rPr>
        <w:t>—</w:t>
      </w:r>
      <w:r w:rsidRPr="00BE0408">
        <w:rPr>
          <w:szCs w:val="19"/>
          <w:shd w:val="clear" w:color="auto" w:fill="FFFFFF"/>
          <w:lang w:val="en-US"/>
        </w:rPr>
        <w:t xml:space="preserve"> 15.7 thousand (19.2%), construction — 10.5 thousand (12.8%). </w:t>
      </w:r>
      <w:r w:rsidRPr="00BE0408">
        <w:rPr>
          <w:szCs w:val="19"/>
          <w:lang w:val="en-US"/>
        </w:rPr>
        <w:t>The fewest new jobs were created in units conducting activities in the electricity, gas, steam and air conditioning supply section</w:t>
      </w:r>
      <w:r w:rsidRPr="00BE0408">
        <w:rPr>
          <w:szCs w:val="19"/>
          <w:shd w:val="clear" w:color="auto" w:fill="FFFFFF"/>
          <w:lang w:val="en-US"/>
        </w:rPr>
        <w:t xml:space="preserve"> — 0.2 thousand (0.2%). Not many new jobs were also created in the fields of: mining and quarrying — 0.4 thousand (0.5%), arts, entertainment and recreation — 0.8 thousand (1.0%), agriculture, forestry and fishing — 0.9 thousand (1.1%) and water supply; sewerage, waste management and remediation activities — 0.9 thousand (1.1%).</w:t>
      </w:r>
    </w:p>
    <w:p w14:paraId="2F2E96D4" w14:textId="77777777" w:rsidR="00E84D6C" w:rsidRPr="00B426B1" w:rsidRDefault="00E84D6C" w:rsidP="00B426B1">
      <w:pPr>
        <w:spacing w:before="0" w:after="0" w:line="240" w:lineRule="auto"/>
        <w:rPr>
          <w:rFonts w:eastAsia="Times New Roman" w:cs="Arial"/>
          <w:bCs/>
          <w:sz w:val="8"/>
          <w:szCs w:val="8"/>
          <w:lang w:val="en-GB" w:eastAsia="pl-PL"/>
        </w:rPr>
      </w:pPr>
    </w:p>
    <w:p w14:paraId="295D0C13" w14:textId="77777777" w:rsidR="00B426B1" w:rsidRDefault="00C13DC2" w:rsidP="0030201A">
      <w:pPr>
        <w:rPr>
          <w:shd w:val="clear" w:color="auto" w:fill="FFFFFF"/>
          <w:lang w:val="en-US"/>
        </w:rPr>
      </w:pPr>
      <w:r w:rsidRPr="00BE0408">
        <w:rPr>
          <w:shd w:val="clear" w:color="auto" w:fill="FFFFFF"/>
          <w:lang w:val="en-US"/>
        </w:rPr>
        <w:t xml:space="preserve">In the second quarter of 2020, the highest number of jobs were generated in the Mazowieckie Voivodship — </w:t>
      </w:r>
      <w:r>
        <w:rPr>
          <w:shd w:val="clear" w:color="auto" w:fill="FFFFFF"/>
          <w:lang w:val="en-US"/>
        </w:rPr>
        <w:t xml:space="preserve">16.3 </w:t>
      </w:r>
      <w:r w:rsidRPr="00BE0408">
        <w:rPr>
          <w:shd w:val="clear" w:color="auto" w:fill="FFFFFF"/>
          <w:lang w:val="en-US"/>
        </w:rPr>
        <w:t xml:space="preserve">thousand (19.9%) ,followed by the Śląskie </w:t>
      </w:r>
      <w:r w:rsidR="00A92CA4" w:rsidRPr="00BE0408">
        <w:rPr>
          <w:shd w:val="clear" w:color="auto" w:fill="FFFFFF"/>
          <w:lang w:val="en-US"/>
        </w:rPr>
        <w:t>—</w:t>
      </w:r>
      <w:r w:rsidRPr="00BE0408">
        <w:rPr>
          <w:shd w:val="clear" w:color="auto" w:fill="FFFFFF"/>
          <w:lang w:val="en-US"/>
        </w:rPr>
        <w:t xml:space="preserve"> 9.5 thousand (11.6%) and Małopolskie </w:t>
      </w:r>
      <w:r w:rsidR="00A92CA4" w:rsidRPr="00BE0408">
        <w:rPr>
          <w:shd w:val="clear" w:color="auto" w:fill="FFFFFF"/>
          <w:lang w:val="en-US"/>
        </w:rPr>
        <w:t>—</w:t>
      </w:r>
      <w:r w:rsidR="00A92CA4">
        <w:rPr>
          <w:shd w:val="clear" w:color="auto" w:fill="FFFFFF"/>
          <w:lang w:val="en-US"/>
        </w:rPr>
        <w:t xml:space="preserve"> </w:t>
      </w:r>
      <w:r w:rsidRPr="00BE0408">
        <w:rPr>
          <w:shd w:val="clear" w:color="auto" w:fill="FFFFFF"/>
          <w:lang w:val="en-US"/>
        </w:rPr>
        <w:t>9.0 thousand</w:t>
      </w:r>
      <w:r w:rsidR="00A92CA4">
        <w:rPr>
          <w:shd w:val="clear" w:color="auto" w:fill="FFFFFF"/>
          <w:lang w:val="en-US"/>
        </w:rPr>
        <w:t xml:space="preserve"> </w:t>
      </w:r>
      <w:r w:rsidRPr="00BE0408">
        <w:rPr>
          <w:shd w:val="clear" w:color="auto" w:fill="FFFFFF"/>
          <w:lang w:val="en-US"/>
        </w:rPr>
        <w:t xml:space="preserve">(11.0%) voivodships, while the lowest numbers in the voivodships: Opolskie </w:t>
      </w:r>
      <w:r w:rsidR="00A92CA4" w:rsidRPr="00BE0408">
        <w:rPr>
          <w:shd w:val="clear" w:color="auto" w:fill="FFFFFF"/>
          <w:lang w:val="en-US"/>
        </w:rPr>
        <w:t>—</w:t>
      </w:r>
      <w:r w:rsidR="00A92CA4">
        <w:rPr>
          <w:shd w:val="clear" w:color="auto" w:fill="FFFFFF"/>
          <w:lang w:val="en-US"/>
        </w:rPr>
        <w:t xml:space="preserve"> </w:t>
      </w:r>
      <w:r w:rsidRPr="00BE0408">
        <w:rPr>
          <w:shd w:val="clear" w:color="auto" w:fill="FFFFFF"/>
          <w:lang w:val="en-US"/>
        </w:rPr>
        <w:t xml:space="preserve">0.7 thousand (0.9%), Zachodniopomorskie </w:t>
      </w:r>
      <w:r w:rsidR="00A92CA4" w:rsidRPr="00BE0408">
        <w:rPr>
          <w:shd w:val="clear" w:color="auto" w:fill="FFFFFF"/>
          <w:lang w:val="en-US"/>
        </w:rPr>
        <w:t>—</w:t>
      </w:r>
      <w:r w:rsidRPr="00BE0408">
        <w:rPr>
          <w:shd w:val="clear" w:color="auto" w:fill="FFFFFF"/>
          <w:lang w:val="en-US"/>
        </w:rPr>
        <w:t xml:space="preserve"> 1.2 thousand (1.5%) and Lubuskie </w:t>
      </w:r>
      <w:r w:rsidR="00A92CA4" w:rsidRPr="00BE0408">
        <w:rPr>
          <w:shd w:val="clear" w:color="auto" w:fill="FFFFFF"/>
          <w:lang w:val="en-US"/>
        </w:rPr>
        <w:t>—</w:t>
      </w:r>
      <w:r w:rsidRPr="00BE0408">
        <w:rPr>
          <w:shd w:val="clear" w:color="auto" w:fill="FFFFFF"/>
          <w:lang w:val="en-US"/>
        </w:rPr>
        <w:t xml:space="preserve"> 1.4 thousand (1.7%).</w:t>
      </w:r>
      <w:r w:rsidR="00B426B1">
        <w:rPr>
          <w:shd w:val="clear" w:color="auto" w:fill="FFFFFF"/>
          <w:lang w:val="en-US"/>
        </w:rPr>
        <w:t xml:space="preserve"> </w:t>
      </w:r>
    </w:p>
    <w:p w14:paraId="71A4EC32" w14:textId="77777777" w:rsidR="0030201A" w:rsidRPr="00C13DC2" w:rsidRDefault="00C13DC2" w:rsidP="0030201A">
      <w:pPr>
        <w:rPr>
          <w:rFonts w:ascii="Calibri" w:hAnsi="Calibri"/>
          <w:sz w:val="22"/>
          <w:lang w:val="en-GB"/>
        </w:rPr>
      </w:pPr>
      <w:r w:rsidRPr="00BE0408">
        <w:rPr>
          <w:shd w:val="clear" w:color="auto" w:fill="FFFFFF"/>
          <w:lang w:val="en-US"/>
        </w:rPr>
        <w:t>At the end of the second quarter of 2020, there were</w:t>
      </w:r>
      <w:r w:rsidRPr="00BE0408">
        <w:rPr>
          <w:lang w:val="en-US"/>
        </w:rPr>
        <w:t xml:space="preserve"> 17.0 thousand (20.8%) unfilled newly created jobs, mainly in the private sector </w:t>
      </w:r>
      <w:r w:rsidRPr="00BE0408">
        <w:rPr>
          <w:shd w:val="clear" w:color="auto" w:fill="FFFFFF"/>
          <w:lang w:val="en-US"/>
        </w:rPr>
        <w:t>— 15.3 thousand (90.0%). They occurred mainly in units with up to 9 employed persons</w:t>
      </w:r>
      <w:r w:rsidRPr="00BE0408">
        <w:rPr>
          <w:lang w:val="en-US"/>
        </w:rPr>
        <w:t xml:space="preserve"> </w:t>
      </w:r>
      <w:r w:rsidRPr="00BE0408">
        <w:rPr>
          <w:spacing w:val="4"/>
          <w:lang w:val="en-US" w:eastAsia="pl-PL"/>
        </w:rPr>
        <w:t>—</w:t>
      </w:r>
      <w:r w:rsidRPr="00BE0408">
        <w:rPr>
          <w:lang w:val="en-US"/>
        </w:rPr>
        <w:t xml:space="preserve"> 6.9 thousand (40.6%) and in those with more 49 persons — 6.5 thousand (38.2%</w:t>
      </w:r>
      <w:r w:rsidRPr="007D5881">
        <w:rPr>
          <w:lang w:val="en-US"/>
        </w:rPr>
        <w:t>).</w:t>
      </w:r>
    </w:p>
    <w:p w14:paraId="5F063C50" w14:textId="77777777" w:rsidR="0030201A" w:rsidRPr="00C13DC2" w:rsidRDefault="00C13DC2" w:rsidP="0030201A">
      <w:pPr>
        <w:rPr>
          <w:lang w:val="en-GB"/>
        </w:rPr>
      </w:pPr>
      <w:r w:rsidRPr="002D43E7">
        <w:rPr>
          <w:lang w:val="en-US"/>
        </w:rPr>
        <w:t xml:space="preserve">As compared to the previous quarter, the number of vacant </w:t>
      </w:r>
      <w:r>
        <w:rPr>
          <w:lang w:val="en-US"/>
        </w:rPr>
        <w:t>newly created jobs increased by 0.8 thousand (4.9</w:t>
      </w:r>
      <w:r w:rsidRPr="002D43E7">
        <w:rPr>
          <w:lang w:val="en-US"/>
        </w:rPr>
        <w:t>%), a</w:t>
      </w:r>
      <w:r>
        <w:rPr>
          <w:lang w:val="en-US"/>
        </w:rPr>
        <w:t>nd in comparison with the second quarter of 2019 decreased by 14.5 thousand</w:t>
      </w:r>
      <w:r w:rsidRPr="002D43E7">
        <w:rPr>
          <w:lang w:val="en-US"/>
        </w:rPr>
        <w:t xml:space="preserve"> </w:t>
      </w:r>
      <w:r>
        <w:rPr>
          <w:lang w:val="en-US"/>
        </w:rPr>
        <w:t>(46.0</w:t>
      </w:r>
      <w:r w:rsidRPr="00DD4E77">
        <w:rPr>
          <w:lang w:val="en-US"/>
        </w:rPr>
        <w:t>%).</w:t>
      </w:r>
    </w:p>
    <w:p w14:paraId="0D44B689" w14:textId="77777777" w:rsidR="0030201A" w:rsidRPr="00C13DC2" w:rsidRDefault="00C13DC2" w:rsidP="0030201A">
      <w:pPr>
        <w:rPr>
          <w:rFonts w:eastAsia="Times New Roman"/>
          <w:sz w:val="18"/>
          <w:szCs w:val="18"/>
          <w:lang w:val="en-GB" w:eastAsia="pl-PL"/>
        </w:rPr>
      </w:pPr>
      <w:r w:rsidRPr="00F85962">
        <w:rPr>
          <w:szCs w:val="19"/>
          <w:lang w:val="en-US"/>
        </w:rPr>
        <w:t>Newly created jobs were not filled mainly in units running activities</w:t>
      </w:r>
      <w:r>
        <w:rPr>
          <w:szCs w:val="19"/>
          <w:lang w:val="en-US"/>
        </w:rPr>
        <w:t xml:space="preserve"> in </w:t>
      </w:r>
      <w:r w:rsidRPr="00F85962">
        <w:rPr>
          <w:szCs w:val="19"/>
          <w:lang w:val="en-US"/>
        </w:rPr>
        <w:t>the field of</w:t>
      </w:r>
      <w:r w:rsidRPr="00F85962">
        <w:rPr>
          <w:rFonts w:eastAsia="Times New Roman"/>
          <w:szCs w:val="19"/>
          <w:lang w:val="en-US" w:eastAsia="pl-PL"/>
        </w:rPr>
        <w:t xml:space="preserve"> </w:t>
      </w:r>
      <w:r>
        <w:rPr>
          <w:rFonts w:eastAsia="Times New Roman"/>
          <w:szCs w:val="19"/>
          <w:lang w:val="en-US" w:eastAsia="pl-PL"/>
        </w:rPr>
        <w:t>manufacturing — 4.1 thousand (24.</w:t>
      </w:r>
      <w:r w:rsidRPr="00F85962">
        <w:rPr>
          <w:rFonts w:eastAsia="Times New Roman"/>
          <w:szCs w:val="19"/>
          <w:lang w:val="en-US" w:eastAsia="pl-PL"/>
        </w:rPr>
        <w:t>1</w:t>
      </w:r>
      <w:r>
        <w:rPr>
          <w:rFonts w:eastAsia="Times New Roman"/>
          <w:szCs w:val="19"/>
          <w:lang w:val="en-US" w:eastAsia="pl-PL"/>
        </w:rPr>
        <w:t>%), construction — 2.9 thousand (17.1</w:t>
      </w:r>
      <w:r w:rsidRPr="00F85962">
        <w:rPr>
          <w:rFonts w:eastAsia="Times New Roman"/>
          <w:szCs w:val="19"/>
          <w:lang w:val="en-US" w:eastAsia="pl-PL"/>
        </w:rPr>
        <w:t xml:space="preserve">%), </w:t>
      </w:r>
      <w:r>
        <w:rPr>
          <w:rFonts w:eastAsia="Times New Roman"/>
          <w:szCs w:val="19"/>
          <w:lang w:val="en-US" w:eastAsia="pl-PL"/>
        </w:rPr>
        <w:t>and trade; repair of motor vehicles</w:t>
      </w:r>
      <w:r w:rsidRPr="00E65CE0">
        <w:rPr>
          <w:rFonts w:eastAsia="Times New Roman"/>
          <w:szCs w:val="19"/>
          <w:vertAlign w:val="superscript"/>
          <w:lang w:val="en-US" w:eastAsia="pl-PL"/>
        </w:rPr>
        <w:t>∆</w:t>
      </w:r>
      <w:r w:rsidRPr="00E65CE0">
        <w:rPr>
          <w:rFonts w:eastAsia="Times New Roman"/>
          <w:szCs w:val="19"/>
          <w:lang w:val="en-US" w:eastAsia="pl-PL"/>
        </w:rPr>
        <w:t xml:space="preserve"> </w:t>
      </w:r>
      <w:r>
        <w:rPr>
          <w:rFonts w:eastAsia="Times New Roman"/>
          <w:szCs w:val="19"/>
          <w:lang w:val="en-US" w:eastAsia="pl-PL"/>
        </w:rPr>
        <w:t>— 2.3 thousand (13.5</w:t>
      </w:r>
      <w:r w:rsidRPr="00F85962">
        <w:rPr>
          <w:rFonts w:eastAsia="Times New Roman"/>
          <w:szCs w:val="19"/>
          <w:lang w:val="en-US" w:eastAsia="pl-PL"/>
        </w:rPr>
        <w:t xml:space="preserve">%). They were intended mainly </w:t>
      </w:r>
      <w:r w:rsidRPr="009832CE">
        <w:rPr>
          <w:rFonts w:eastAsia="Times New Roman"/>
          <w:color w:val="000000" w:themeColor="text1"/>
          <w:szCs w:val="19"/>
          <w:lang w:val="en-US" w:eastAsia="pl-PL"/>
        </w:rPr>
        <w:t>for</w:t>
      </w:r>
      <w:r w:rsidRPr="00E65CE0">
        <w:rPr>
          <w:rFonts w:eastAsia="Times New Roman"/>
          <w:strike/>
          <w:color w:val="FF0000"/>
          <w:szCs w:val="19"/>
          <w:lang w:val="en-US" w:eastAsia="pl-PL"/>
        </w:rPr>
        <w:t xml:space="preserve"> </w:t>
      </w:r>
      <w:r>
        <w:rPr>
          <w:rFonts w:eastAsia="Times New Roman"/>
          <w:szCs w:val="19"/>
          <w:lang w:val="en-US" w:eastAsia="pl-PL"/>
        </w:rPr>
        <w:t>professionals — 4.5 thousand</w:t>
      </w:r>
      <w:r w:rsidRPr="00F85962">
        <w:rPr>
          <w:rFonts w:eastAsia="Times New Roman"/>
          <w:szCs w:val="19"/>
          <w:lang w:val="en-US" w:eastAsia="pl-PL"/>
        </w:rPr>
        <w:t xml:space="preserve"> </w:t>
      </w:r>
      <w:r>
        <w:rPr>
          <w:rFonts w:eastAsia="Times New Roman"/>
          <w:szCs w:val="19"/>
          <w:lang w:val="en-US" w:eastAsia="pl-PL"/>
        </w:rPr>
        <w:t xml:space="preserve">(26.5%), </w:t>
      </w:r>
      <w:r w:rsidRPr="00BE0408">
        <w:rPr>
          <w:rFonts w:eastAsia="Times New Roman"/>
          <w:szCs w:val="19"/>
          <w:lang w:val="en-US" w:eastAsia="pl-PL"/>
        </w:rPr>
        <w:t>craft and related trades workers — 3.4 thousand (20.0%), and plant and machine operators and assemblers — 2.2 thousand (12.9</w:t>
      </w:r>
      <w:r w:rsidRPr="002B7821">
        <w:rPr>
          <w:rFonts w:eastAsia="Times New Roman"/>
          <w:szCs w:val="19"/>
          <w:lang w:val="en-US" w:eastAsia="pl-PL"/>
        </w:rPr>
        <w:t>%).</w:t>
      </w:r>
    </w:p>
    <w:p w14:paraId="201B67B5" w14:textId="77777777" w:rsidR="00A2001D" w:rsidRPr="00C13DC2" w:rsidRDefault="00C13DC2" w:rsidP="006120D1">
      <w:pPr>
        <w:rPr>
          <w:b/>
          <w:spacing w:val="-3"/>
          <w:sz w:val="18"/>
          <w:szCs w:val="18"/>
          <w:lang w:val="en-GB"/>
        </w:rPr>
      </w:pPr>
      <w:r w:rsidRPr="00BE0408">
        <w:rPr>
          <w:rFonts w:eastAsia="Times New Roman"/>
          <w:spacing w:val="4"/>
          <w:szCs w:val="19"/>
          <w:lang w:val="en-US" w:eastAsia="pl-PL"/>
        </w:rPr>
        <w:lastRenderedPageBreak/>
        <w:t xml:space="preserve">The largest number of vacant newly created jobs, that is 4.9 thousand (28.8%) were in the Mazowieckie Voivodship, then in the Małopolskie Voivodship </w:t>
      </w:r>
      <w:r w:rsidR="00A92CA4">
        <w:rPr>
          <w:rFonts w:eastAsia="Times New Roman"/>
          <w:spacing w:val="4"/>
          <w:szCs w:val="19"/>
          <w:lang w:val="en-US" w:eastAsia="pl-PL"/>
        </w:rPr>
        <w:t>—</w:t>
      </w:r>
      <w:r w:rsidRPr="00BE0408">
        <w:rPr>
          <w:rFonts w:eastAsia="Times New Roman"/>
          <w:spacing w:val="4"/>
          <w:szCs w:val="19"/>
          <w:lang w:val="en-US" w:eastAsia="pl-PL"/>
        </w:rPr>
        <w:t xml:space="preserve"> 2.2 thousand (12.9%) and the Dolnośląskie Voivodship </w:t>
      </w:r>
      <w:r w:rsidR="00A92CA4">
        <w:rPr>
          <w:rFonts w:eastAsia="Times New Roman"/>
          <w:spacing w:val="4"/>
          <w:szCs w:val="19"/>
          <w:lang w:val="en-US" w:eastAsia="pl-PL"/>
        </w:rPr>
        <w:t>—</w:t>
      </w:r>
      <w:r w:rsidRPr="00BE0408">
        <w:rPr>
          <w:rFonts w:eastAsia="Times New Roman"/>
          <w:spacing w:val="4"/>
          <w:szCs w:val="19"/>
          <w:lang w:val="en-US" w:eastAsia="pl-PL"/>
        </w:rPr>
        <w:t xml:space="preserve"> 2.0 thousand (11.8 %), while the lowest number occurred in the Podlaskie, Podkarpackie and Warmińsko-Mazurskie voivodships </w:t>
      </w:r>
      <w:r w:rsidR="00A92CA4">
        <w:rPr>
          <w:rFonts w:eastAsia="Times New Roman"/>
          <w:spacing w:val="4"/>
          <w:szCs w:val="19"/>
          <w:lang w:val="en-US" w:eastAsia="pl-PL"/>
        </w:rPr>
        <w:t>—</w:t>
      </w:r>
      <w:r w:rsidRPr="00BE0408">
        <w:rPr>
          <w:rFonts w:eastAsia="Times New Roman"/>
          <w:spacing w:val="4"/>
          <w:szCs w:val="19"/>
          <w:lang w:val="en-US" w:eastAsia="pl-PL"/>
        </w:rPr>
        <w:t xml:space="preserve"> 0.1 thousand (0.6%) each.</w:t>
      </w:r>
    </w:p>
    <w:p w14:paraId="56665E99" w14:textId="77777777" w:rsidR="00A2001D" w:rsidRPr="00C13DC2" w:rsidRDefault="00A2001D" w:rsidP="00A2001D">
      <w:pPr>
        <w:rPr>
          <w:rFonts w:eastAsia="Times New Roman" w:cs="Times New Roman"/>
          <w:szCs w:val="19"/>
          <w:lang w:val="en-GB" w:eastAsia="pl-PL"/>
        </w:rPr>
      </w:pPr>
    </w:p>
    <w:p w14:paraId="3047F73D" w14:textId="5107A003" w:rsidR="00A2001D" w:rsidRPr="004C2074" w:rsidRDefault="00C13DC2" w:rsidP="00A2001D">
      <w:pPr>
        <w:spacing w:before="240" w:line="240" w:lineRule="auto"/>
        <w:rPr>
          <w:rFonts w:ascii="Fira Sans SemiBold" w:hAnsi="Fira Sans SemiBold"/>
          <w:color w:val="001D77"/>
          <w:lang w:val="en-GB"/>
        </w:rPr>
      </w:pPr>
      <w:r w:rsidRPr="004C2074">
        <w:rPr>
          <w:rFonts w:ascii="Fira Sans SemiBold" w:hAnsi="Fira Sans SemiBold"/>
          <w:color w:val="001D77"/>
          <w:lang w:val="en-GB"/>
        </w:rPr>
        <w:t>Liquidated jobs</w:t>
      </w:r>
      <w:r w:rsidR="00D41DF8">
        <w:rPr>
          <w:noProof/>
          <w:spacing w:val="-3"/>
          <w:szCs w:val="18"/>
          <w:lang w:eastAsia="pl-PL"/>
        </w:rPr>
        <mc:AlternateContent>
          <mc:Choice Requires="wps">
            <w:drawing>
              <wp:anchor distT="0" distB="0" distL="114300" distR="114300" simplePos="0" relativeHeight="251667456" behindDoc="0" locked="0" layoutInCell="1" allowOverlap="1" wp14:anchorId="480AC0A0" wp14:editId="77BE0D0D">
                <wp:simplePos x="0" y="0"/>
                <wp:positionH relativeFrom="column">
                  <wp:posOffset>5213350</wp:posOffset>
                </wp:positionH>
                <wp:positionV relativeFrom="paragraph">
                  <wp:posOffset>243840</wp:posOffset>
                </wp:positionV>
                <wp:extent cx="1762125" cy="992505"/>
                <wp:effectExtent l="0" t="0" r="0" b="0"/>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1882" w14:textId="77777777" w:rsidR="00E63142" w:rsidRPr="00C13DC2" w:rsidRDefault="00C13DC2" w:rsidP="00A2001D">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jobs were liquidated mainly in the private sector</w:t>
                            </w:r>
                            <w:r w:rsidR="00E63142" w:rsidRPr="00C13DC2">
                              <w:rPr>
                                <w:bCs/>
                                <w:color w:val="001D77"/>
                                <w:sz w:val="18"/>
                                <w:szCs w:val="18"/>
                                <w:lang w:val="en-GB"/>
                              </w:rPr>
                              <w:t xml:space="preserve"> (93</w:t>
                            </w:r>
                            <w:r w:rsidR="00B426B1">
                              <w:rPr>
                                <w:bCs/>
                                <w:color w:val="001D77"/>
                                <w:sz w:val="18"/>
                                <w:szCs w:val="18"/>
                                <w:lang w:val="en-GB"/>
                              </w:rPr>
                              <w:t>.</w:t>
                            </w:r>
                            <w:r w:rsidR="00E63142" w:rsidRPr="00C13DC2">
                              <w:rPr>
                                <w:bCs/>
                                <w:color w:val="001D77"/>
                                <w:sz w:val="18"/>
                                <w:szCs w:val="18"/>
                                <w:lang w:val="en-GB"/>
                              </w:rPr>
                              <w:t>6%)</w:t>
                            </w:r>
                            <w:r w:rsidR="00E63142" w:rsidRPr="00C13DC2" w:rsidDel="00C24560">
                              <w:rPr>
                                <w:bCs/>
                                <w:color w:val="001D77"/>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C0A0" id="_x0000_s1034" type="#_x0000_t202" style="position:absolute;margin-left:410.5pt;margin-top:19.2pt;width:138.75pt;height:7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L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" filled="f" stroked="f">
                <v:textbox>
                  <w:txbxContent>
                    <w:p w14:paraId="0DEE1882" w14:textId="77777777" w:rsidR="00E63142" w:rsidRPr="00C13DC2" w:rsidRDefault="00C13DC2" w:rsidP="00A2001D">
                      <w:pPr>
                        <w:spacing w:before="0"/>
                        <w:rPr>
                          <w:rFonts w:cs="Times New Roman"/>
                          <w:bCs/>
                          <w:color w:val="001D77"/>
                          <w:sz w:val="18"/>
                          <w:szCs w:val="18"/>
                          <w:lang w:val="en-GB"/>
                        </w:rPr>
                      </w:pPr>
                      <w:r w:rsidRPr="00D15EB9">
                        <w:rPr>
                          <w:bCs/>
                          <w:color w:val="001D77"/>
                          <w:sz w:val="18"/>
                          <w:szCs w:val="18"/>
                          <w:lang w:val="en-US"/>
                        </w:rPr>
                        <w:t xml:space="preserve">In the </w:t>
                      </w:r>
                      <w:r>
                        <w:rPr>
                          <w:bCs/>
                          <w:color w:val="001D77"/>
                          <w:sz w:val="18"/>
                          <w:szCs w:val="18"/>
                          <w:lang w:val="en-US"/>
                        </w:rPr>
                        <w:t>second</w:t>
                      </w:r>
                      <w:r w:rsidRPr="00D15EB9">
                        <w:rPr>
                          <w:bCs/>
                          <w:color w:val="001D77"/>
                          <w:sz w:val="18"/>
                          <w:szCs w:val="18"/>
                          <w:lang w:val="en-US"/>
                        </w:rPr>
                        <w:t xml:space="preserve"> quarter of 2020</w:t>
                      </w:r>
                      <w:r>
                        <w:rPr>
                          <w:bCs/>
                          <w:color w:val="001D77"/>
                          <w:sz w:val="18"/>
                          <w:szCs w:val="18"/>
                          <w:lang w:val="en-US"/>
                        </w:rPr>
                        <w:t>,</w:t>
                      </w:r>
                      <w:r w:rsidRPr="00D15EB9">
                        <w:rPr>
                          <w:bCs/>
                          <w:color w:val="001D77"/>
                          <w:sz w:val="18"/>
                          <w:szCs w:val="18"/>
                          <w:lang w:val="en-US"/>
                        </w:rPr>
                        <w:t xml:space="preserve"> jobs were liquidated mainly in the private sector</w:t>
                      </w:r>
                      <w:r w:rsidR="00E63142" w:rsidRPr="00C13DC2">
                        <w:rPr>
                          <w:bCs/>
                          <w:color w:val="001D77"/>
                          <w:sz w:val="18"/>
                          <w:szCs w:val="18"/>
                          <w:lang w:val="en-GB"/>
                        </w:rPr>
                        <w:t xml:space="preserve"> (93</w:t>
                      </w:r>
                      <w:r w:rsidR="00B426B1">
                        <w:rPr>
                          <w:bCs/>
                          <w:color w:val="001D77"/>
                          <w:sz w:val="18"/>
                          <w:szCs w:val="18"/>
                          <w:lang w:val="en-GB"/>
                        </w:rPr>
                        <w:t>.</w:t>
                      </w:r>
                      <w:r w:rsidR="00E63142" w:rsidRPr="00C13DC2">
                        <w:rPr>
                          <w:bCs/>
                          <w:color w:val="001D77"/>
                          <w:sz w:val="18"/>
                          <w:szCs w:val="18"/>
                          <w:lang w:val="en-GB"/>
                        </w:rPr>
                        <w:t>6%)</w:t>
                      </w:r>
                      <w:r w:rsidR="00E63142" w:rsidRPr="00C13DC2" w:rsidDel="00C24560">
                        <w:rPr>
                          <w:bCs/>
                          <w:color w:val="001D77"/>
                          <w:sz w:val="18"/>
                          <w:szCs w:val="18"/>
                          <w:lang w:val="en-GB"/>
                        </w:rPr>
                        <w:t xml:space="preserve"> </w:t>
                      </w:r>
                    </w:p>
                  </w:txbxContent>
                </v:textbox>
              </v:shape>
            </w:pict>
          </mc:Fallback>
        </mc:AlternateContent>
      </w:r>
    </w:p>
    <w:p w14:paraId="53E4A8F7" w14:textId="77777777" w:rsidR="00A2001D" w:rsidRPr="00C13DC2" w:rsidRDefault="00C13DC2" w:rsidP="002F77A4">
      <w:pPr>
        <w:rPr>
          <w:lang w:val="en-GB"/>
        </w:rPr>
      </w:pPr>
      <w:r w:rsidRPr="00211159">
        <w:rPr>
          <w:szCs w:val="19"/>
          <w:lang w:val="en-US"/>
        </w:rPr>
        <w:t xml:space="preserve">In the second quarter of 2020, 93.6 thousand jobs were liquidated in Poland, that is 26.3 thousand (21.9%) fewer than in the first quarter of 2020. Jobs were liquidated most often in units with 10 to 49 employed persons </w:t>
      </w:r>
      <w:r w:rsidRPr="00211159">
        <w:rPr>
          <w:rFonts w:eastAsia="Times New Roman"/>
          <w:spacing w:val="4"/>
          <w:szCs w:val="19"/>
          <w:lang w:val="en-US" w:eastAsia="pl-PL"/>
        </w:rPr>
        <w:t>— 40.9</w:t>
      </w:r>
      <w:r w:rsidRPr="00211159">
        <w:rPr>
          <w:szCs w:val="19"/>
          <w:lang w:val="en-US"/>
        </w:rPr>
        <w:t xml:space="preserve"> thousand (43.7%), as well as units with more than 49 persons </w:t>
      </w:r>
      <w:r w:rsidR="00A92CA4">
        <w:rPr>
          <w:szCs w:val="19"/>
          <w:lang w:val="en-US"/>
        </w:rPr>
        <w:t>—</w:t>
      </w:r>
      <w:r w:rsidRPr="00211159">
        <w:rPr>
          <w:szCs w:val="19"/>
          <w:lang w:val="en-US"/>
        </w:rPr>
        <w:t xml:space="preserve"> 27.4 thousand (29.3%).</w:t>
      </w:r>
    </w:p>
    <w:p w14:paraId="0632E25A" w14:textId="77777777" w:rsidR="00A2001D" w:rsidRPr="00C13DC2" w:rsidRDefault="00A2001D" w:rsidP="00A2001D">
      <w:pPr>
        <w:rPr>
          <w:color w:val="000000" w:themeColor="text1"/>
          <w:lang w:val="en-GB"/>
        </w:rPr>
      </w:pPr>
    </w:p>
    <w:p w14:paraId="69224945" w14:textId="4B96658A" w:rsidR="00A2001D" w:rsidRPr="00C13DC2" w:rsidRDefault="00096343" w:rsidP="00C13DC2">
      <w:pPr>
        <w:pStyle w:val="tytuwykresu"/>
        <w:ind w:left="737" w:hanging="737"/>
        <w:rPr>
          <w:spacing w:val="0"/>
          <w:szCs w:val="18"/>
          <w:lang w:val="en-GB"/>
        </w:rPr>
      </w:pPr>
      <w:r>
        <w:rPr>
          <w:noProof/>
          <w:lang w:eastAsia="pl-PL"/>
        </w:rPr>
        <w:drawing>
          <wp:anchor distT="0" distB="0" distL="114300" distR="114300" simplePos="0" relativeHeight="251656192" behindDoc="0" locked="0" layoutInCell="1" allowOverlap="1" wp14:anchorId="5F8C97C9" wp14:editId="2FA7D5CF">
            <wp:simplePos x="0" y="0"/>
            <wp:positionH relativeFrom="column">
              <wp:posOffset>170815</wp:posOffset>
            </wp:positionH>
            <wp:positionV relativeFrom="paragraph">
              <wp:posOffset>382270</wp:posOffset>
            </wp:positionV>
            <wp:extent cx="4678045" cy="2047240"/>
            <wp:effectExtent l="0" t="0" r="0" b="0"/>
            <wp:wrapSquare wrapText="bothSides"/>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D41DF8">
        <w:rPr>
          <w:noProof/>
          <w:spacing w:val="-3"/>
          <w:szCs w:val="18"/>
          <w:lang w:eastAsia="pl-PL"/>
        </w:rPr>
        <mc:AlternateContent>
          <mc:Choice Requires="wps">
            <w:drawing>
              <wp:anchor distT="0" distB="0" distL="114300" distR="114300" simplePos="0" relativeHeight="251668480" behindDoc="0" locked="0" layoutInCell="1" allowOverlap="1" wp14:anchorId="54C22D3B" wp14:editId="598482AF">
                <wp:simplePos x="0" y="0"/>
                <wp:positionH relativeFrom="column">
                  <wp:posOffset>5214620</wp:posOffset>
                </wp:positionH>
                <wp:positionV relativeFrom="paragraph">
                  <wp:posOffset>875665</wp:posOffset>
                </wp:positionV>
                <wp:extent cx="1874520" cy="1572260"/>
                <wp:effectExtent l="0" t="0" r="0" b="0"/>
                <wp:wrapNone/>
                <wp:docPr id="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57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931D" w14:textId="77777777" w:rsidR="00E63142" w:rsidRPr="00C13DC2" w:rsidRDefault="00C13DC2" w:rsidP="004D0F46">
                            <w:pPr>
                              <w:pStyle w:val="tekstzboku"/>
                              <w:rPr>
                                <w:lang w:val="en-GB"/>
                              </w:rPr>
                            </w:pPr>
                            <w:r w:rsidRPr="00D15EB9">
                              <w:rPr>
                                <w:bCs w:val="0"/>
                                <w:lang w:val="en-US"/>
                              </w:rPr>
                              <w:t xml:space="preserve">In the </w:t>
                            </w:r>
                            <w:r>
                              <w:rPr>
                                <w:bCs w:val="0"/>
                                <w:lang w:val="en-US"/>
                              </w:rPr>
                              <w:t>second</w:t>
                            </w:r>
                            <w:r w:rsidRPr="00D15EB9">
                              <w:rPr>
                                <w:bCs w:val="0"/>
                                <w:lang w:val="en-US"/>
                              </w:rPr>
                              <w:t xml:space="preserve"> quarter </w:t>
                            </w:r>
                            <w:r>
                              <w:rPr>
                                <w:bCs w:val="0"/>
                                <w:lang w:val="en-US"/>
                              </w:rPr>
                              <w:t xml:space="preserve">of 2020, </w:t>
                            </w:r>
                            <w:r w:rsidRPr="00D15EB9">
                              <w:rPr>
                                <w:bCs w:val="0"/>
                                <w:lang w:val="en-US"/>
                              </w:rPr>
                              <w:t>jobs were liquidated most often in units conducti</w:t>
                            </w:r>
                            <w:r>
                              <w:rPr>
                                <w:bCs w:val="0"/>
                                <w:lang w:val="en-US"/>
                              </w:rPr>
                              <w:t>ng activities in the field manufacturing</w:t>
                            </w:r>
                            <w:r w:rsidR="00E63142" w:rsidRPr="00C13DC2">
                              <w:rPr>
                                <w:lang w:val="en-GB"/>
                              </w:rPr>
                              <w:t xml:space="preserve"> (23</w:t>
                            </w:r>
                            <w:r w:rsidR="00B426B1">
                              <w:rPr>
                                <w:lang w:val="en-GB"/>
                              </w:rPr>
                              <w:t>.</w:t>
                            </w:r>
                            <w:r w:rsidR="00E63142" w:rsidRPr="00C13DC2">
                              <w:rPr>
                                <w:lang w:val="en-G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22D3B" id="_x0000_s1035" type="#_x0000_t202" style="position:absolute;left:0;text-align:left;margin-left:410.6pt;margin-top:68.95pt;width:147.6pt;height:1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" filled="f" stroked="f">
                <v:textbox>
                  <w:txbxContent>
                    <w:p w14:paraId="5CD9931D" w14:textId="77777777" w:rsidR="00E63142" w:rsidRPr="00C13DC2" w:rsidRDefault="00C13DC2" w:rsidP="004D0F46">
                      <w:pPr>
                        <w:pStyle w:val="tekstzboku"/>
                        <w:rPr>
                          <w:lang w:val="en-GB"/>
                        </w:rPr>
                      </w:pPr>
                      <w:r w:rsidRPr="00D15EB9">
                        <w:rPr>
                          <w:bCs w:val="0"/>
                          <w:lang w:val="en-US"/>
                        </w:rPr>
                        <w:t xml:space="preserve">In the </w:t>
                      </w:r>
                      <w:r>
                        <w:rPr>
                          <w:bCs w:val="0"/>
                          <w:lang w:val="en-US"/>
                        </w:rPr>
                        <w:t>second</w:t>
                      </w:r>
                      <w:r w:rsidRPr="00D15EB9">
                        <w:rPr>
                          <w:bCs w:val="0"/>
                          <w:lang w:val="en-US"/>
                        </w:rPr>
                        <w:t xml:space="preserve"> quarter </w:t>
                      </w:r>
                      <w:r>
                        <w:rPr>
                          <w:bCs w:val="0"/>
                          <w:lang w:val="en-US"/>
                        </w:rPr>
                        <w:t xml:space="preserve">of 2020, </w:t>
                      </w:r>
                      <w:r w:rsidRPr="00D15EB9">
                        <w:rPr>
                          <w:bCs w:val="0"/>
                          <w:lang w:val="en-US"/>
                        </w:rPr>
                        <w:t>jobs were liquidated most often in units conducti</w:t>
                      </w:r>
                      <w:r>
                        <w:rPr>
                          <w:bCs w:val="0"/>
                          <w:lang w:val="en-US"/>
                        </w:rPr>
                        <w:t>ng activities in the field manufacturing</w:t>
                      </w:r>
                      <w:r w:rsidR="00E63142" w:rsidRPr="00C13DC2">
                        <w:rPr>
                          <w:lang w:val="en-GB"/>
                        </w:rPr>
                        <w:t xml:space="preserve"> (23</w:t>
                      </w:r>
                      <w:r w:rsidR="00B426B1">
                        <w:rPr>
                          <w:lang w:val="en-GB"/>
                        </w:rPr>
                        <w:t>.</w:t>
                      </w:r>
                      <w:r w:rsidR="00E63142" w:rsidRPr="00C13DC2">
                        <w:rPr>
                          <w:lang w:val="en-GB"/>
                        </w:rPr>
                        <w:t>0%)</w:t>
                      </w:r>
                    </w:p>
                  </w:txbxContent>
                </v:textbox>
              </v:shape>
            </w:pict>
          </mc:Fallback>
        </mc:AlternateContent>
      </w:r>
      <w:r w:rsidR="00C13DC2" w:rsidRPr="004C2074">
        <w:rPr>
          <w:spacing w:val="0"/>
          <w:szCs w:val="18"/>
          <w:lang w:val="en-GB"/>
        </w:rPr>
        <w:t>Chart</w:t>
      </w:r>
      <w:r w:rsidR="00A2001D" w:rsidRPr="004C2074">
        <w:rPr>
          <w:spacing w:val="0"/>
          <w:szCs w:val="18"/>
          <w:lang w:val="en-GB"/>
        </w:rPr>
        <w:t xml:space="preserve"> </w:t>
      </w:r>
      <w:r w:rsidR="00193F18" w:rsidRPr="004C2074">
        <w:rPr>
          <w:spacing w:val="0"/>
          <w:szCs w:val="18"/>
          <w:lang w:val="en-GB"/>
        </w:rPr>
        <w:t>8</w:t>
      </w:r>
      <w:r w:rsidR="00A2001D" w:rsidRPr="004C2074">
        <w:rPr>
          <w:spacing w:val="0"/>
          <w:szCs w:val="18"/>
          <w:lang w:val="en-GB"/>
        </w:rPr>
        <w:t xml:space="preserve">. </w:t>
      </w:r>
      <w:r w:rsidR="00C13DC2" w:rsidRPr="00C13DC2">
        <w:rPr>
          <w:spacing w:val="0"/>
          <w:szCs w:val="18"/>
          <w:lang w:val="en-GB"/>
        </w:rPr>
        <w:t xml:space="preserve">The structure of liquidated jobs in Poland by PKD 2007 (NACE Rev.2) sections </w:t>
      </w:r>
      <w:r w:rsidR="00C13DC2">
        <w:rPr>
          <w:spacing w:val="0"/>
          <w:szCs w:val="18"/>
          <w:lang w:val="en-GB"/>
        </w:rPr>
        <w:br/>
      </w:r>
      <w:r w:rsidR="00C13DC2" w:rsidRPr="00C13DC2">
        <w:rPr>
          <w:spacing w:val="0"/>
          <w:szCs w:val="18"/>
          <w:lang w:val="en-GB"/>
        </w:rPr>
        <w:t>in the second quarter of 2020</w:t>
      </w:r>
      <w:r w:rsidR="00A2001D" w:rsidRPr="00C13DC2">
        <w:rPr>
          <w:noProof/>
          <w:spacing w:val="-3"/>
          <w:szCs w:val="18"/>
          <w:lang w:val="en-GB" w:eastAsia="pl-PL"/>
        </w:rPr>
        <w:t xml:space="preserve"> </w:t>
      </w:r>
    </w:p>
    <w:p w14:paraId="6361CD35" w14:textId="77777777" w:rsidR="00DE7595" w:rsidRPr="00C13DC2" w:rsidRDefault="00DE7595">
      <w:pPr>
        <w:spacing w:before="0" w:after="160" w:line="259" w:lineRule="auto"/>
        <w:rPr>
          <w:b/>
          <w:sz w:val="18"/>
          <w:szCs w:val="18"/>
          <w:lang w:val="en-GB"/>
        </w:rPr>
      </w:pPr>
    </w:p>
    <w:p w14:paraId="3A0A4EBC" w14:textId="77777777" w:rsidR="00A2001D" w:rsidRPr="00C13DC2" w:rsidRDefault="00096343" w:rsidP="00C13DC2">
      <w:pPr>
        <w:pStyle w:val="tytuwykresu"/>
        <w:ind w:left="680" w:hanging="680"/>
        <w:rPr>
          <w:spacing w:val="0"/>
          <w:szCs w:val="18"/>
          <w:lang w:val="en-GB"/>
        </w:rPr>
      </w:pPr>
      <w:r>
        <w:rPr>
          <w:noProof/>
          <w:lang w:eastAsia="pl-PL"/>
        </w:rPr>
        <w:drawing>
          <wp:anchor distT="0" distB="0" distL="114300" distR="114300" simplePos="0" relativeHeight="251657216" behindDoc="0" locked="0" layoutInCell="1" allowOverlap="1" wp14:anchorId="384E11C4" wp14:editId="260C642C">
            <wp:simplePos x="0" y="0"/>
            <wp:positionH relativeFrom="column">
              <wp:posOffset>30589</wp:posOffset>
            </wp:positionH>
            <wp:positionV relativeFrom="paragraph">
              <wp:posOffset>384938</wp:posOffset>
            </wp:positionV>
            <wp:extent cx="5023050" cy="4162429"/>
            <wp:effectExtent l="0" t="0" r="0" b="0"/>
            <wp:wrapSquare wrapText="bothSides"/>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C13DC2" w:rsidRPr="00C13DC2">
        <w:rPr>
          <w:spacing w:val="0"/>
          <w:szCs w:val="18"/>
          <w:lang w:val="en-GB"/>
        </w:rPr>
        <w:t>Chart</w:t>
      </w:r>
      <w:r w:rsidR="00A2001D" w:rsidRPr="00C13DC2">
        <w:rPr>
          <w:spacing w:val="0"/>
          <w:szCs w:val="18"/>
          <w:lang w:val="en-GB"/>
        </w:rPr>
        <w:t xml:space="preserve"> </w:t>
      </w:r>
      <w:r w:rsidR="00193F18" w:rsidRPr="00C13DC2">
        <w:rPr>
          <w:spacing w:val="0"/>
          <w:szCs w:val="18"/>
          <w:lang w:val="en-GB"/>
        </w:rPr>
        <w:t>9</w:t>
      </w:r>
      <w:r w:rsidR="00A2001D" w:rsidRPr="00C13DC2">
        <w:rPr>
          <w:spacing w:val="0"/>
          <w:szCs w:val="18"/>
          <w:lang w:val="en-GB"/>
        </w:rPr>
        <w:t xml:space="preserve">. </w:t>
      </w:r>
      <w:r w:rsidR="00C13DC2" w:rsidRPr="00C13DC2">
        <w:rPr>
          <w:spacing w:val="0"/>
          <w:szCs w:val="18"/>
          <w:lang w:val="en-GB"/>
        </w:rPr>
        <w:t xml:space="preserve">Newly created and liquidated jobs in Poland in selected PKD 2007 (NACE Rev.2) sections </w:t>
      </w:r>
      <w:r w:rsidR="00C13DC2">
        <w:rPr>
          <w:spacing w:val="0"/>
          <w:szCs w:val="18"/>
          <w:lang w:val="en-GB"/>
        </w:rPr>
        <w:br/>
      </w:r>
      <w:r w:rsidR="00C13DC2" w:rsidRPr="00C13DC2">
        <w:rPr>
          <w:spacing w:val="0"/>
          <w:szCs w:val="18"/>
          <w:lang w:val="en-GB"/>
        </w:rPr>
        <w:t>in the second quarter of 2020</w:t>
      </w:r>
    </w:p>
    <w:p w14:paraId="387B4C07" w14:textId="77777777" w:rsidR="00A2001D" w:rsidRPr="00C13DC2" w:rsidRDefault="00A2001D" w:rsidP="00A2001D">
      <w:pPr>
        <w:rPr>
          <w:lang w:val="en-GB"/>
        </w:rPr>
      </w:pPr>
    </w:p>
    <w:p w14:paraId="6D207830" w14:textId="77777777" w:rsidR="00435F41" w:rsidRPr="00F35399" w:rsidRDefault="00C13DC2" w:rsidP="002F77A4">
      <w:pPr>
        <w:rPr>
          <w:spacing w:val="-2"/>
          <w:lang w:val="en-GB"/>
        </w:rPr>
      </w:pPr>
      <w:r w:rsidRPr="00AF7C4B">
        <w:rPr>
          <w:szCs w:val="19"/>
          <w:lang w:val="en-US"/>
        </w:rPr>
        <w:t>Jobs were liquidated most often in units conducting activities in the fields of:</w:t>
      </w:r>
      <w:r w:rsidRPr="00AF7C4B">
        <w:rPr>
          <w:lang w:val="en-US"/>
        </w:rPr>
        <w:t xml:space="preserve"> manufacturing </w:t>
      </w:r>
      <w:r w:rsidR="00A92CA4">
        <w:rPr>
          <w:lang w:val="en-US"/>
        </w:rPr>
        <w:t>—</w:t>
      </w:r>
      <w:r w:rsidRPr="00AF7C4B">
        <w:rPr>
          <w:lang w:val="en-US"/>
        </w:rPr>
        <w:t xml:space="preserve"> 21.5 thousand (23.0%),</w:t>
      </w:r>
      <w:r w:rsidRPr="00AF7C4B">
        <w:rPr>
          <w:szCs w:val="19"/>
          <w:lang w:val="en-US"/>
        </w:rPr>
        <w:t xml:space="preserve">  trade; repair of motor vehicles</w:t>
      </w:r>
      <w:r w:rsidRPr="00AF7C4B">
        <w:rPr>
          <w:rFonts w:eastAsia="Times New Roman"/>
          <w:szCs w:val="19"/>
          <w:vertAlign w:val="superscript"/>
          <w:lang w:val="en-US" w:eastAsia="pl-PL"/>
        </w:rPr>
        <w:t>∆</w:t>
      </w:r>
      <w:r w:rsidR="00A92CA4" w:rsidRPr="00A92CA4">
        <w:rPr>
          <w:rFonts w:eastAsia="Times New Roman"/>
          <w:szCs w:val="19"/>
          <w:lang w:val="en-US" w:eastAsia="pl-PL"/>
        </w:rPr>
        <w:t xml:space="preserve"> </w:t>
      </w:r>
      <w:r w:rsidR="00A92CA4">
        <w:rPr>
          <w:lang w:val="en-US"/>
        </w:rPr>
        <w:t>—</w:t>
      </w:r>
      <w:r w:rsidRPr="00AF7C4B">
        <w:rPr>
          <w:lang w:val="en-US"/>
        </w:rPr>
        <w:t xml:space="preserve"> 18.3 thousand (19.6%) and construction</w:t>
      </w:r>
      <w:r w:rsidR="00A92CA4">
        <w:rPr>
          <w:lang w:val="en-US"/>
        </w:rPr>
        <w:t xml:space="preserve"> </w:t>
      </w:r>
      <w:r w:rsidR="00A92CA4" w:rsidRPr="00BE0408">
        <w:rPr>
          <w:shd w:val="clear" w:color="auto" w:fill="FFFFFF"/>
          <w:lang w:val="en-US"/>
        </w:rPr>
        <w:t>—</w:t>
      </w:r>
      <w:r w:rsidR="00A92CA4">
        <w:rPr>
          <w:lang w:val="en-US"/>
        </w:rPr>
        <w:t xml:space="preserve"> </w:t>
      </w:r>
      <w:r w:rsidRPr="00AF7C4B">
        <w:rPr>
          <w:lang w:val="en-US"/>
        </w:rPr>
        <w:t>12.1 thousand (12.9%). The fewest jobs were liquidated in units conducting activities within mining and quarrying — 0.1 thousand ( 0,1%).</w:t>
      </w:r>
    </w:p>
    <w:p w14:paraId="11AFCCDD" w14:textId="77777777" w:rsidR="006E7D96" w:rsidRPr="00F35399" w:rsidRDefault="006E7D96" w:rsidP="002F77A4">
      <w:pPr>
        <w:rPr>
          <w:lang w:val="en-GB"/>
        </w:rPr>
      </w:pPr>
    </w:p>
    <w:p w14:paraId="205304D7" w14:textId="77777777" w:rsidR="00610175" w:rsidRPr="00F35399" w:rsidRDefault="00610175">
      <w:pPr>
        <w:spacing w:before="0" w:after="160" w:line="259" w:lineRule="auto"/>
        <w:rPr>
          <w:lang w:val="en-GB"/>
        </w:rPr>
      </w:pPr>
    </w:p>
    <w:p w14:paraId="2BED7BAE" w14:textId="77777777" w:rsidR="006E7D96" w:rsidRPr="00F35399" w:rsidRDefault="006E7D96" w:rsidP="00593F44">
      <w:pPr>
        <w:rPr>
          <w:szCs w:val="19"/>
          <w:lang w:val="en-GB"/>
        </w:rPr>
      </w:pPr>
    </w:p>
    <w:p w14:paraId="50AE984E" w14:textId="77777777" w:rsidR="001536AD" w:rsidRPr="00F35399" w:rsidRDefault="001536AD" w:rsidP="00593F44">
      <w:pPr>
        <w:rPr>
          <w:szCs w:val="19"/>
          <w:lang w:val="en-GB"/>
        </w:rPr>
      </w:pPr>
    </w:p>
    <w:p w14:paraId="5515B6DC" w14:textId="77777777" w:rsidR="001536AD" w:rsidRPr="00F35399" w:rsidRDefault="001536AD" w:rsidP="00593F44">
      <w:pPr>
        <w:rPr>
          <w:szCs w:val="19"/>
          <w:lang w:val="en-GB"/>
        </w:rPr>
      </w:pPr>
    </w:p>
    <w:p w14:paraId="3D14FD8C" w14:textId="77777777" w:rsidR="001536AD" w:rsidRPr="00F35399" w:rsidRDefault="001536AD" w:rsidP="00593F44">
      <w:pPr>
        <w:rPr>
          <w:szCs w:val="19"/>
          <w:lang w:val="en-GB"/>
        </w:rPr>
      </w:pPr>
    </w:p>
    <w:p w14:paraId="694FC5B7" w14:textId="77777777" w:rsidR="001536AD" w:rsidRPr="00F35399" w:rsidRDefault="001536AD" w:rsidP="00593F44">
      <w:pPr>
        <w:rPr>
          <w:szCs w:val="19"/>
          <w:lang w:val="en-GB"/>
        </w:rPr>
      </w:pPr>
    </w:p>
    <w:p w14:paraId="3460DFDD" w14:textId="77777777" w:rsidR="001536AD" w:rsidRPr="00F35399" w:rsidRDefault="001536AD" w:rsidP="00593F44">
      <w:pPr>
        <w:rPr>
          <w:szCs w:val="19"/>
          <w:lang w:val="en-GB"/>
        </w:rPr>
      </w:pPr>
    </w:p>
    <w:p w14:paraId="0378E7B9" w14:textId="77777777" w:rsidR="001536AD" w:rsidRPr="00F35399" w:rsidRDefault="001536AD" w:rsidP="00593F44">
      <w:pPr>
        <w:rPr>
          <w:szCs w:val="19"/>
          <w:lang w:val="en-GB"/>
        </w:rPr>
      </w:pPr>
    </w:p>
    <w:p w14:paraId="505E4DCB" w14:textId="77777777" w:rsidR="00442B2F" w:rsidRPr="00F35399" w:rsidRDefault="00442B2F" w:rsidP="00593F44">
      <w:pPr>
        <w:rPr>
          <w:szCs w:val="19"/>
          <w:lang w:val="en-GB"/>
        </w:rPr>
      </w:pPr>
    </w:p>
    <w:p w14:paraId="4CDB3751" w14:textId="77777777" w:rsidR="00442B2F" w:rsidRPr="00F35399" w:rsidRDefault="00442B2F" w:rsidP="00593F44">
      <w:pPr>
        <w:rPr>
          <w:szCs w:val="19"/>
          <w:lang w:val="en-GB"/>
        </w:rPr>
      </w:pPr>
    </w:p>
    <w:p w14:paraId="10E5FEB6" w14:textId="77777777" w:rsidR="00442B2F" w:rsidRPr="00F35399" w:rsidRDefault="00442B2F" w:rsidP="00593F44">
      <w:pPr>
        <w:rPr>
          <w:szCs w:val="19"/>
          <w:lang w:val="en-GB"/>
        </w:rPr>
      </w:pPr>
    </w:p>
    <w:p w14:paraId="62694F40" w14:textId="77777777" w:rsidR="00442B2F" w:rsidRPr="00F35399" w:rsidRDefault="00442B2F" w:rsidP="00593F44">
      <w:pPr>
        <w:rPr>
          <w:szCs w:val="19"/>
          <w:lang w:val="en-GB"/>
        </w:rPr>
      </w:pPr>
    </w:p>
    <w:p w14:paraId="7D1240DC" w14:textId="77777777" w:rsidR="00442B2F" w:rsidRPr="00F35399" w:rsidRDefault="00442B2F" w:rsidP="00593F44">
      <w:pPr>
        <w:rPr>
          <w:szCs w:val="19"/>
          <w:lang w:val="en-GB"/>
        </w:rPr>
      </w:pPr>
    </w:p>
    <w:p w14:paraId="404F265E" w14:textId="77777777" w:rsidR="00442B2F" w:rsidRPr="00F35399" w:rsidRDefault="00442B2F" w:rsidP="00593F44">
      <w:pPr>
        <w:rPr>
          <w:szCs w:val="19"/>
          <w:lang w:val="en-GB"/>
        </w:rPr>
      </w:pPr>
    </w:p>
    <w:p w14:paraId="377FB419" w14:textId="77777777" w:rsidR="00442B2F" w:rsidRPr="00F35399" w:rsidRDefault="00442B2F" w:rsidP="00593F44">
      <w:pPr>
        <w:rPr>
          <w:szCs w:val="19"/>
          <w:lang w:val="en-GB"/>
        </w:rPr>
      </w:pPr>
    </w:p>
    <w:p w14:paraId="392CF5A7" w14:textId="77777777" w:rsidR="00442B2F" w:rsidRPr="00F35399" w:rsidRDefault="00442B2F" w:rsidP="00593F44">
      <w:pPr>
        <w:rPr>
          <w:szCs w:val="19"/>
          <w:lang w:val="en-GB"/>
        </w:rPr>
      </w:pPr>
    </w:p>
    <w:p w14:paraId="0CD8E7F4" w14:textId="77777777" w:rsidR="00442B2F" w:rsidRPr="00F35399" w:rsidRDefault="00442B2F" w:rsidP="00593F44">
      <w:pPr>
        <w:rPr>
          <w:szCs w:val="19"/>
          <w:lang w:val="en-GB"/>
        </w:rPr>
      </w:pPr>
    </w:p>
    <w:p w14:paraId="78473EC6" w14:textId="77777777" w:rsidR="00442B2F" w:rsidRPr="00F35399" w:rsidRDefault="00442B2F" w:rsidP="00593F44">
      <w:pPr>
        <w:rPr>
          <w:szCs w:val="19"/>
          <w:lang w:val="en-GB"/>
        </w:rPr>
      </w:pPr>
    </w:p>
    <w:p w14:paraId="6040288A" w14:textId="77777777" w:rsidR="00442B2F" w:rsidRPr="00F35399" w:rsidRDefault="00442B2F" w:rsidP="00593F44">
      <w:pPr>
        <w:rPr>
          <w:szCs w:val="19"/>
          <w:lang w:val="en-GB"/>
        </w:rPr>
      </w:pPr>
    </w:p>
    <w:p w14:paraId="186024A8" w14:textId="77777777" w:rsidR="00442B2F" w:rsidRPr="00F35399" w:rsidRDefault="00442B2F" w:rsidP="00593F44">
      <w:pPr>
        <w:rPr>
          <w:szCs w:val="19"/>
          <w:lang w:val="en-GB"/>
        </w:rPr>
      </w:pPr>
    </w:p>
    <w:p w14:paraId="3B6AF16F" w14:textId="77777777" w:rsidR="00442B2F" w:rsidRPr="00F35399" w:rsidRDefault="00442B2F" w:rsidP="00593F44">
      <w:pPr>
        <w:rPr>
          <w:szCs w:val="19"/>
          <w:lang w:val="en-GB"/>
        </w:rPr>
      </w:pPr>
    </w:p>
    <w:p w14:paraId="10BD1634" w14:textId="77777777" w:rsidR="00442B2F" w:rsidRPr="00F35399" w:rsidRDefault="00442B2F" w:rsidP="00593F44">
      <w:pPr>
        <w:rPr>
          <w:szCs w:val="19"/>
          <w:lang w:val="en-GB"/>
        </w:rPr>
      </w:pPr>
    </w:p>
    <w:p w14:paraId="41098B6D" w14:textId="77777777" w:rsidR="00442B2F" w:rsidRPr="00F35399" w:rsidRDefault="00442B2F" w:rsidP="00593F44">
      <w:pPr>
        <w:rPr>
          <w:szCs w:val="19"/>
          <w:lang w:val="en-GB"/>
        </w:rPr>
      </w:pPr>
    </w:p>
    <w:p w14:paraId="2636B9D4" w14:textId="77777777" w:rsidR="00442B2F" w:rsidRPr="00F35399" w:rsidRDefault="00442B2F" w:rsidP="00593F44">
      <w:pPr>
        <w:rPr>
          <w:szCs w:val="19"/>
          <w:lang w:val="en-GB"/>
        </w:rPr>
      </w:pPr>
    </w:p>
    <w:p w14:paraId="1C83BCB4" w14:textId="77777777" w:rsidR="001536AD" w:rsidRPr="00F35399" w:rsidRDefault="001536AD" w:rsidP="00593F44">
      <w:pPr>
        <w:rPr>
          <w:szCs w:val="19"/>
          <w:lang w:val="en-GB"/>
        </w:rPr>
      </w:pPr>
    </w:p>
    <w:p w14:paraId="04EB1232" w14:textId="77777777" w:rsidR="001536AD" w:rsidRPr="00F35399" w:rsidRDefault="001536AD" w:rsidP="00593F44">
      <w:pPr>
        <w:rPr>
          <w:szCs w:val="19"/>
          <w:lang w:val="en-GB"/>
        </w:rPr>
      </w:pPr>
    </w:p>
    <w:p w14:paraId="4925C29C" w14:textId="77777777" w:rsidR="006E7D96" w:rsidRPr="00F35399" w:rsidRDefault="006E7D96" w:rsidP="00593F44">
      <w:pPr>
        <w:rPr>
          <w:szCs w:val="19"/>
          <w:lang w:val="en-GB"/>
        </w:rPr>
      </w:pPr>
    </w:p>
    <w:p w14:paraId="48A7A839" w14:textId="77777777" w:rsidR="00442B2F" w:rsidRPr="00F35399" w:rsidRDefault="00442B2F" w:rsidP="00593F44">
      <w:pPr>
        <w:rPr>
          <w:szCs w:val="19"/>
          <w:lang w:val="en-GB"/>
        </w:rPr>
      </w:pPr>
    </w:p>
    <w:p w14:paraId="62ED6C78" w14:textId="77777777" w:rsidR="00264291" w:rsidRPr="00F35399" w:rsidRDefault="00264291" w:rsidP="00593F44">
      <w:pPr>
        <w:rPr>
          <w:szCs w:val="19"/>
          <w:lang w:val="en-GB"/>
        </w:rPr>
      </w:pPr>
    </w:p>
    <w:p w14:paraId="496728A9" w14:textId="77777777" w:rsidR="006E7D96" w:rsidRPr="00F35399" w:rsidRDefault="006E7D96" w:rsidP="00593F44">
      <w:pPr>
        <w:rPr>
          <w:szCs w:val="19"/>
          <w:lang w:val="en-GB"/>
        </w:rPr>
      </w:pPr>
    </w:p>
    <w:p w14:paraId="158FB8E8" w14:textId="77777777" w:rsidR="00BD159E" w:rsidRDefault="007E7B05" w:rsidP="00593F44">
      <w:pPr>
        <w:rPr>
          <w:color w:val="0000FF"/>
          <w:szCs w:val="19"/>
          <w:lang w:val="en-GB"/>
        </w:rPr>
      </w:pPr>
      <w:r w:rsidRPr="007E7B05">
        <w:rPr>
          <w:szCs w:val="19"/>
          <w:lang w:val="en-GB"/>
        </w:rPr>
        <w:t>In this news release abbreviated names of NACE, Rev. 2 sections were used. Abbreviations are marked with a ‘</w:t>
      </w:r>
      <w:r>
        <w:rPr>
          <w:szCs w:val="19"/>
        </w:rPr>
        <w:t>Δ</w:t>
      </w:r>
      <w:r w:rsidRPr="007E7B05">
        <w:rPr>
          <w:szCs w:val="19"/>
          <w:lang w:val="en-GB"/>
        </w:rPr>
        <w:t xml:space="preserve">’ symbol. Full names are available on the Eurostat website at: </w:t>
      </w:r>
      <w:hyperlink r:id="rId20" w:history="1">
        <w:r w:rsidRPr="00243189">
          <w:rPr>
            <w:rStyle w:val="Hipercze"/>
            <w:rFonts w:cstheme="minorBidi"/>
            <w:szCs w:val="19"/>
            <w:lang w:val="en-GB"/>
          </w:rPr>
          <w:t>https://ec.europa.eu/eurostat/data/classifications</w:t>
        </w:r>
      </w:hyperlink>
    </w:p>
    <w:p w14:paraId="45B56A22" w14:textId="77777777" w:rsidR="000046D3" w:rsidRPr="007E7B05" w:rsidRDefault="000046D3" w:rsidP="006851D8">
      <w:pPr>
        <w:jc w:val="both"/>
        <w:rPr>
          <w:lang w:val="en-GB" w:eastAsia="pl-PL"/>
        </w:rPr>
      </w:pPr>
    </w:p>
    <w:p w14:paraId="5BB569A0" w14:textId="77777777" w:rsidR="000046D3" w:rsidRPr="00F35399" w:rsidRDefault="0020480A" w:rsidP="006851D8">
      <w:pPr>
        <w:jc w:val="both"/>
        <w:rPr>
          <w:lang w:val="en-GB" w:eastAsia="pl-PL"/>
        </w:rPr>
      </w:pPr>
      <w:r w:rsidRPr="00091E25">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r w:rsidRPr="0020480A">
        <w:rPr>
          <w:lang w:val="en-GB"/>
        </w:rPr>
        <w:t>."</w:t>
      </w:r>
    </w:p>
    <w:p w14:paraId="59A1FFB5" w14:textId="77777777" w:rsidR="00694AF0" w:rsidRPr="00F35399" w:rsidRDefault="00694AF0" w:rsidP="00E76D26">
      <w:pPr>
        <w:rPr>
          <w:sz w:val="18"/>
          <w:lang w:val="en-GB"/>
        </w:rPr>
        <w:sectPr w:rsidR="00694AF0" w:rsidRPr="00F35399" w:rsidSect="00FC52FD">
          <w:headerReference w:type="default" r:id="rId21"/>
          <w:footerReference w:type="default" r:id="rId22"/>
          <w:headerReference w:type="first" r:id="rId23"/>
          <w:footerReference w:type="first" r:id="rId24"/>
          <w:pgSz w:w="11906" w:h="16838" w:code="9"/>
          <w:pgMar w:top="720" w:right="3119" w:bottom="720" w:left="720" w:header="283" w:footer="397" w:gutter="0"/>
          <w:cols w:space="708"/>
          <w:titlePg/>
          <w:docGrid w:linePitch="360"/>
        </w:sectPr>
      </w:pPr>
    </w:p>
    <w:p w14:paraId="36DBA1C4" w14:textId="77777777" w:rsidR="008E1770" w:rsidRPr="00F35399" w:rsidRDefault="008E1770" w:rsidP="008E1770">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53"/>
        <w:gridCol w:w="3814"/>
      </w:tblGrid>
      <w:tr w:rsidR="008E1770" w:rsidRPr="004C2074" w14:paraId="6344EABA" w14:textId="77777777" w:rsidTr="008E1770">
        <w:trPr>
          <w:trHeight w:val="1912"/>
        </w:trPr>
        <w:tc>
          <w:tcPr>
            <w:tcW w:w="4253" w:type="dxa"/>
          </w:tcPr>
          <w:p w14:paraId="22D99BF8" w14:textId="77777777" w:rsidR="008E1770" w:rsidRPr="007E7B05" w:rsidRDefault="007E7B05" w:rsidP="00AA5EEE">
            <w:pPr>
              <w:spacing w:before="0" w:after="0" w:line="276" w:lineRule="auto"/>
              <w:rPr>
                <w:rFonts w:cs="Arial"/>
                <w:color w:val="000000" w:themeColor="text1"/>
                <w:sz w:val="20"/>
                <w:lang w:val="en-GB"/>
              </w:rPr>
            </w:pPr>
            <w:r w:rsidRPr="007E7B05">
              <w:rPr>
                <w:rFonts w:cs="Arial"/>
                <w:color w:val="000000" w:themeColor="text1"/>
                <w:sz w:val="20"/>
                <w:lang w:val="en-GB"/>
              </w:rPr>
              <w:t>Prepared by:</w:t>
            </w:r>
          </w:p>
          <w:p w14:paraId="114142AD" w14:textId="77777777" w:rsidR="008E1770" w:rsidRPr="007E7B05" w:rsidRDefault="007E7B05" w:rsidP="008E1770">
            <w:pPr>
              <w:spacing w:before="0" w:after="0" w:line="240" w:lineRule="auto"/>
              <w:rPr>
                <w:rFonts w:cs="Arial"/>
                <w:b/>
                <w:color w:val="000000" w:themeColor="text1"/>
                <w:sz w:val="20"/>
                <w:lang w:val="en-GB"/>
              </w:rPr>
            </w:pPr>
            <w:r w:rsidRPr="007E7B05">
              <w:rPr>
                <w:rFonts w:cs="Arial"/>
                <w:b/>
                <w:color w:val="000000" w:themeColor="text1"/>
                <w:sz w:val="20"/>
                <w:lang w:val="en-GB"/>
              </w:rPr>
              <w:t>The Statistical Office in Bydgoszcz</w:t>
            </w:r>
          </w:p>
          <w:p w14:paraId="0FA7A890" w14:textId="77777777" w:rsidR="00BD159E" w:rsidRPr="00BB4F09" w:rsidRDefault="007E7B05" w:rsidP="005363D0">
            <w:pPr>
              <w:pStyle w:val="Nagwek3"/>
              <w:spacing w:before="60" w:line="276" w:lineRule="auto"/>
              <w:rPr>
                <w:rFonts w:ascii="Fira Sans" w:hAnsi="Fira Sans" w:cs="Arial"/>
                <w:b/>
                <w:color w:val="000000" w:themeColor="text1"/>
                <w:sz w:val="20"/>
                <w:szCs w:val="28"/>
              </w:rPr>
            </w:pPr>
            <w:r w:rsidRPr="007E7B05">
              <w:rPr>
                <w:rFonts w:ascii="Fira Sans" w:hAnsi="Fira Sans" w:cs="Arial"/>
                <w:b/>
                <w:color w:val="000000" w:themeColor="text1"/>
                <w:sz w:val="20"/>
                <w:szCs w:val="28"/>
              </w:rPr>
              <w:t>Director Wiesława Gierańczyk, Ph.D.</w:t>
            </w:r>
          </w:p>
          <w:p w14:paraId="2DFA5B41" w14:textId="77777777" w:rsidR="00BD159E" w:rsidRPr="008F3638" w:rsidRDefault="007E7B05" w:rsidP="005363D0">
            <w:pPr>
              <w:pStyle w:val="Nagwek3"/>
              <w:spacing w:before="0" w:line="276" w:lineRule="auto"/>
              <w:rPr>
                <w:rFonts w:ascii="Fira Sans" w:hAnsi="Fira Sans" w:cs="Arial"/>
                <w:color w:val="000000" w:themeColor="text1"/>
                <w:sz w:val="20"/>
                <w:lang w:val="fi-FI"/>
              </w:rPr>
            </w:pPr>
            <w:r w:rsidRPr="007E7B05">
              <w:rPr>
                <w:rFonts w:ascii="Fira Sans" w:hAnsi="Fira Sans" w:cs="Arial"/>
                <w:color w:val="000000" w:themeColor="text1"/>
                <w:sz w:val="20"/>
                <w:lang w:val="fi-FI"/>
              </w:rPr>
              <w:t>Office: tel. (+48 52) 366 93 90</w:t>
            </w:r>
          </w:p>
          <w:p w14:paraId="788B9644" w14:textId="77777777" w:rsidR="008E1770" w:rsidRPr="00D14F03" w:rsidRDefault="008E1770" w:rsidP="00BD159E">
            <w:pPr>
              <w:pStyle w:val="Nagwek3"/>
              <w:spacing w:before="0" w:line="240" w:lineRule="auto"/>
              <w:rPr>
                <w:rFonts w:ascii="Fira Sans" w:hAnsi="Fira Sans" w:cs="Arial"/>
                <w:b/>
                <w:color w:val="001D77"/>
                <w:sz w:val="20"/>
                <w:szCs w:val="20"/>
                <w:u w:val="single"/>
              </w:rPr>
            </w:pPr>
          </w:p>
        </w:tc>
        <w:tc>
          <w:tcPr>
            <w:tcW w:w="3814" w:type="dxa"/>
          </w:tcPr>
          <w:p w14:paraId="1E109DC0" w14:textId="77777777" w:rsidR="008E1770" w:rsidRDefault="007E7B05" w:rsidP="00AA5EEE">
            <w:pPr>
              <w:spacing w:before="0" w:after="0" w:line="276" w:lineRule="auto"/>
              <w:rPr>
                <w:rFonts w:cs="Arial"/>
                <w:b/>
                <w:color w:val="000000" w:themeColor="text1"/>
                <w:sz w:val="20"/>
                <w:lang w:val="en-GB"/>
              </w:rPr>
            </w:pPr>
            <w:r w:rsidRPr="007E7B05">
              <w:rPr>
                <w:rFonts w:cs="Arial"/>
                <w:color w:val="000000" w:themeColor="text1"/>
                <w:sz w:val="20"/>
                <w:lang w:val="en-GB"/>
              </w:rPr>
              <w:t>Issued by:</w:t>
            </w:r>
            <w:r w:rsidR="008E1770" w:rsidRPr="007E7B05">
              <w:rPr>
                <w:rFonts w:cs="Arial"/>
                <w:color w:val="000000" w:themeColor="text1"/>
                <w:sz w:val="20"/>
                <w:lang w:val="en-GB"/>
              </w:rPr>
              <w:br/>
            </w:r>
            <w:r w:rsidRPr="007E7B05">
              <w:rPr>
                <w:rFonts w:cs="Arial"/>
                <w:b/>
                <w:color w:val="000000" w:themeColor="text1"/>
                <w:sz w:val="20"/>
                <w:lang w:val="en-GB"/>
              </w:rPr>
              <w:t>The Spokeperson for the President</w:t>
            </w:r>
          </w:p>
          <w:p w14:paraId="7E8089B7" w14:textId="77777777" w:rsidR="007E7B05" w:rsidRPr="007E7B05" w:rsidRDefault="007E7B05" w:rsidP="00AA5EEE">
            <w:pPr>
              <w:spacing w:before="0" w:after="0" w:line="276" w:lineRule="auto"/>
              <w:rPr>
                <w:rFonts w:cs="Arial"/>
                <w:b/>
                <w:color w:val="000000" w:themeColor="text1"/>
                <w:sz w:val="20"/>
                <w:lang w:val="en-GB"/>
              </w:rPr>
            </w:pPr>
            <w:r w:rsidRPr="007E7B05">
              <w:rPr>
                <w:rFonts w:cs="Arial"/>
                <w:b/>
                <w:color w:val="000000" w:themeColor="text1"/>
                <w:sz w:val="20"/>
                <w:lang w:val="en-GB"/>
              </w:rPr>
              <w:t>of Statistics Poland</w:t>
            </w:r>
          </w:p>
          <w:p w14:paraId="24302FD0" w14:textId="77777777" w:rsidR="008E1770" w:rsidRPr="007E7B05" w:rsidRDefault="008E1770" w:rsidP="00807D81">
            <w:pPr>
              <w:pStyle w:val="Nagwek3"/>
              <w:spacing w:before="0" w:line="276" w:lineRule="auto"/>
              <w:rPr>
                <w:rFonts w:ascii="Fira Sans" w:hAnsi="Fira Sans" w:cs="Arial"/>
                <w:b/>
                <w:color w:val="000000" w:themeColor="text1"/>
                <w:sz w:val="20"/>
                <w:szCs w:val="28"/>
                <w:lang w:val="en-GB"/>
              </w:rPr>
            </w:pPr>
            <w:r w:rsidRPr="007E7B05">
              <w:rPr>
                <w:rFonts w:ascii="Fira Sans" w:hAnsi="Fira Sans" w:cs="Arial"/>
                <w:b/>
                <w:color w:val="000000" w:themeColor="text1"/>
                <w:sz w:val="20"/>
                <w:szCs w:val="28"/>
                <w:lang w:val="en-GB"/>
              </w:rPr>
              <w:t xml:space="preserve">Karolina </w:t>
            </w:r>
            <w:r w:rsidR="00D83C5E" w:rsidRPr="007E7B05">
              <w:rPr>
                <w:rFonts w:ascii="Fira Sans" w:hAnsi="Fira Sans" w:cs="Arial"/>
                <w:b/>
                <w:color w:val="000000" w:themeColor="text1"/>
                <w:sz w:val="20"/>
                <w:szCs w:val="28"/>
                <w:lang w:val="en-GB"/>
              </w:rPr>
              <w:t>Banaszek</w:t>
            </w:r>
          </w:p>
          <w:p w14:paraId="67A6FBA1" w14:textId="77777777" w:rsidR="00807D81" w:rsidRPr="00807D81" w:rsidRDefault="007E7B05" w:rsidP="00807D81">
            <w:pPr>
              <w:pStyle w:val="Nagwek3"/>
              <w:spacing w:before="0" w:line="276" w:lineRule="auto"/>
              <w:rPr>
                <w:rFonts w:ascii="Fira Sans" w:hAnsi="Fira Sans" w:cs="Arial"/>
                <w:color w:val="auto"/>
                <w:sz w:val="20"/>
                <w:szCs w:val="20"/>
                <w:lang w:val="en-US"/>
              </w:rPr>
            </w:pPr>
            <w:r w:rsidRPr="007E7B05">
              <w:rPr>
                <w:rFonts w:ascii="Fira Sans" w:hAnsi="Fira Sans" w:cs="Arial"/>
                <w:color w:val="auto"/>
                <w:sz w:val="20"/>
                <w:lang w:val="fi-FI"/>
              </w:rPr>
              <w:t>Mobile: (+48) 695 255 011</w:t>
            </w:r>
          </w:p>
          <w:p w14:paraId="0C102AC1" w14:textId="77777777" w:rsidR="008E1770" w:rsidRPr="008F3638" w:rsidRDefault="008E1770" w:rsidP="00AA5EEE">
            <w:pPr>
              <w:pStyle w:val="Nagwek3"/>
              <w:spacing w:before="0" w:line="240" w:lineRule="auto"/>
              <w:rPr>
                <w:rFonts w:ascii="Fira Sans" w:hAnsi="Fira Sans" w:cs="Arial"/>
                <w:color w:val="000000" w:themeColor="text1"/>
                <w:sz w:val="20"/>
                <w:szCs w:val="20"/>
                <w:lang w:val="en-US"/>
              </w:rPr>
            </w:pPr>
          </w:p>
        </w:tc>
      </w:tr>
    </w:tbl>
    <w:p w14:paraId="65EDDFBF" w14:textId="77777777" w:rsidR="008E1770" w:rsidRPr="009872E1" w:rsidRDefault="008E1770" w:rsidP="008E1770">
      <w:pPr>
        <w:rPr>
          <w:sz w:val="18"/>
          <w:lang w:val="en-GB"/>
        </w:rPr>
      </w:pPr>
    </w:p>
    <w:p w14:paraId="71AD9E17" w14:textId="77777777" w:rsidR="008E1770" w:rsidRPr="009872E1" w:rsidRDefault="008E1770" w:rsidP="008E1770">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7E7B05" w:rsidRPr="004C2074" w14:paraId="5ABA3E76" w14:textId="77777777" w:rsidTr="00807D81">
        <w:trPr>
          <w:trHeight w:val="610"/>
        </w:trPr>
        <w:tc>
          <w:tcPr>
            <w:tcW w:w="2721" w:type="pct"/>
            <w:vMerge w:val="restart"/>
          </w:tcPr>
          <w:p w14:paraId="2C96D44A" w14:textId="77777777" w:rsidR="007E7B05" w:rsidRPr="00D2653B" w:rsidRDefault="007E7B05" w:rsidP="007E7B05">
            <w:pPr>
              <w:rPr>
                <w:b/>
                <w:sz w:val="20"/>
                <w:lang w:val="en-GB"/>
              </w:rPr>
            </w:pPr>
            <w:r w:rsidRPr="00D2653B">
              <w:rPr>
                <w:b/>
                <w:sz w:val="20"/>
                <w:lang w:val="en-GB"/>
              </w:rPr>
              <w:t>Press Office</w:t>
            </w:r>
          </w:p>
          <w:p w14:paraId="315ADF25" w14:textId="77777777" w:rsidR="007E7B05" w:rsidRPr="00D2653B" w:rsidRDefault="007E7B05" w:rsidP="007E7B05">
            <w:pPr>
              <w:rPr>
                <w:sz w:val="20"/>
                <w:lang w:val="en-GB"/>
              </w:rPr>
            </w:pPr>
            <w:r w:rsidRPr="00743553">
              <w:rPr>
                <w:rFonts w:cs="Arial"/>
                <w:sz w:val="20"/>
                <w:szCs w:val="24"/>
                <w:lang w:val="fi-FI"/>
              </w:rPr>
              <w:t xml:space="preserve">Office: tel. (+48 </w:t>
            </w:r>
            <w:r w:rsidRPr="003A56B5">
              <w:rPr>
                <w:rFonts w:cs="Arial"/>
                <w:color w:val="000000" w:themeColor="text1"/>
                <w:sz w:val="20"/>
                <w:szCs w:val="24"/>
                <w:lang w:val="fi-FI"/>
              </w:rPr>
              <w:t xml:space="preserve">22) </w:t>
            </w:r>
            <w:r w:rsidRPr="00D2653B">
              <w:rPr>
                <w:sz w:val="20"/>
                <w:lang w:val="en-GB"/>
              </w:rPr>
              <w:t xml:space="preserve">608 34 91, 608 38 04 </w:t>
            </w:r>
          </w:p>
          <w:p w14:paraId="062F5421" w14:textId="77777777" w:rsidR="007E7B05" w:rsidRPr="00D2653B" w:rsidRDefault="007E7B05" w:rsidP="007E7B05">
            <w:pPr>
              <w:rPr>
                <w:sz w:val="18"/>
                <w:lang w:val="en-GB"/>
              </w:rPr>
            </w:pPr>
            <w:r w:rsidRPr="00D2653B">
              <w:rPr>
                <w:b/>
                <w:sz w:val="20"/>
                <w:lang w:val="en-GB"/>
              </w:rPr>
              <w:t>e-mail:</w:t>
            </w:r>
            <w:r w:rsidRPr="00D2653B">
              <w:rPr>
                <w:sz w:val="20"/>
                <w:lang w:val="en-GB"/>
              </w:rPr>
              <w:t xml:space="preserve"> </w:t>
            </w:r>
            <w:hyperlink r:id="rId25" w:history="1">
              <w:r w:rsidRPr="00D2653B">
                <w:rPr>
                  <w:rStyle w:val="Hipercze"/>
                  <w:rFonts w:cstheme="minorBidi"/>
                  <w:b/>
                  <w:color w:val="auto"/>
                  <w:sz w:val="20"/>
                  <w:lang w:val="en-GB"/>
                </w:rPr>
                <w:t>obslugaprasowa@stat.gov.pl</w:t>
              </w:r>
            </w:hyperlink>
          </w:p>
        </w:tc>
        <w:tc>
          <w:tcPr>
            <w:tcW w:w="369" w:type="pct"/>
            <w:vAlign w:val="center"/>
          </w:tcPr>
          <w:p w14:paraId="60BB269D" w14:textId="77777777" w:rsidR="007E7B05" w:rsidRPr="00534151" w:rsidRDefault="007E7B05" w:rsidP="007E7B05">
            <w:pPr>
              <w:rPr>
                <w:sz w:val="18"/>
                <w:lang w:val="en-US"/>
              </w:rPr>
            </w:pPr>
            <w:r>
              <w:rPr>
                <w:noProof/>
                <w:sz w:val="20"/>
                <w:lang w:eastAsia="pl-PL"/>
              </w:rPr>
              <w:drawing>
                <wp:anchor distT="0" distB="0" distL="114300" distR="114300" simplePos="0" relativeHeight="251658240" behindDoc="0" locked="0" layoutInCell="1" allowOverlap="1" wp14:anchorId="446BA8E7" wp14:editId="713B733E">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06C550D2" w14:textId="77777777" w:rsidR="007E7B05" w:rsidRPr="0042209C" w:rsidRDefault="007E7B05" w:rsidP="007E7B05">
            <w:pPr>
              <w:rPr>
                <w:sz w:val="18"/>
                <w:lang w:val="en-US"/>
              </w:rPr>
            </w:pPr>
            <w:r w:rsidRPr="0042209C">
              <w:rPr>
                <w:sz w:val="20"/>
                <w:lang w:val="en-US"/>
              </w:rPr>
              <w:t>www.stat.gov.pl</w:t>
            </w:r>
            <w:r>
              <w:rPr>
                <w:sz w:val="20"/>
                <w:lang w:val="en-US"/>
              </w:rPr>
              <w:t>/en/</w:t>
            </w:r>
          </w:p>
        </w:tc>
      </w:tr>
      <w:tr w:rsidR="008E1770" w:rsidRPr="0042209C" w14:paraId="49893EFF" w14:textId="77777777" w:rsidTr="00AA5EEE">
        <w:trPr>
          <w:trHeight w:val="436"/>
        </w:trPr>
        <w:tc>
          <w:tcPr>
            <w:tcW w:w="2721" w:type="pct"/>
            <w:vMerge/>
            <w:vAlign w:val="center"/>
          </w:tcPr>
          <w:p w14:paraId="35FB1B38" w14:textId="77777777" w:rsidR="008E1770" w:rsidRPr="0042209C" w:rsidRDefault="008E1770" w:rsidP="00AA5EEE">
            <w:pPr>
              <w:rPr>
                <w:sz w:val="18"/>
                <w:lang w:val="en-US"/>
              </w:rPr>
            </w:pPr>
          </w:p>
        </w:tc>
        <w:tc>
          <w:tcPr>
            <w:tcW w:w="369" w:type="pct"/>
            <w:vAlign w:val="center"/>
          </w:tcPr>
          <w:p w14:paraId="7D5011D3" w14:textId="77777777" w:rsidR="008E1770" w:rsidRPr="0042209C" w:rsidRDefault="008E1770" w:rsidP="00AA5EEE">
            <w:pPr>
              <w:rPr>
                <w:sz w:val="18"/>
                <w:lang w:val="en-US"/>
              </w:rPr>
            </w:pPr>
            <w:r>
              <w:rPr>
                <w:noProof/>
                <w:sz w:val="20"/>
                <w:lang w:eastAsia="pl-PL"/>
              </w:rPr>
              <w:drawing>
                <wp:anchor distT="0" distB="0" distL="114300" distR="114300" simplePos="0" relativeHeight="251649024" behindDoc="0" locked="0" layoutInCell="1" allowOverlap="1" wp14:anchorId="10C0FCC0" wp14:editId="56AD0287">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03C8CDBB" w14:textId="77777777" w:rsidR="008E1770" w:rsidRPr="0042209C" w:rsidRDefault="007E7B05" w:rsidP="00AA5EEE">
            <w:pPr>
              <w:rPr>
                <w:sz w:val="18"/>
                <w:lang w:val="en-US"/>
              </w:rPr>
            </w:pPr>
            <w:r>
              <w:rPr>
                <w:sz w:val="20"/>
              </w:rPr>
              <w:t>@StatPoland</w:t>
            </w:r>
          </w:p>
        </w:tc>
      </w:tr>
      <w:tr w:rsidR="008E1770" w:rsidRPr="0042209C" w14:paraId="0FCC0B6A" w14:textId="77777777" w:rsidTr="00AA5EEE">
        <w:trPr>
          <w:trHeight w:val="436"/>
        </w:trPr>
        <w:tc>
          <w:tcPr>
            <w:tcW w:w="2721" w:type="pct"/>
            <w:vMerge/>
            <w:vAlign w:val="center"/>
          </w:tcPr>
          <w:p w14:paraId="3142A217" w14:textId="77777777" w:rsidR="008E1770" w:rsidRPr="0042209C" w:rsidRDefault="008E1770" w:rsidP="00AA5EEE">
            <w:pPr>
              <w:rPr>
                <w:sz w:val="18"/>
                <w:lang w:val="en-US"/>
              </w:rPr>
            </w:pPr>
          </w:p>
        </w:tc>
        <w:tc>
          <w:tcPr>
            <w:tcW w:w="369" w:type="pct"/>
            <w:vAlign w:val="center"/>
          </w:tcPr>
          <w:p w14:paraId="645123F2" w14:textId="77777777" w:rsidR="008E1770" w:rsidRPr="0042209C" w:rsidRDefault="008E1770" w:rsidP="00AA5EEE">
            <w:pPr>
              <w:rPr>
                <w:sz w:val="18"/>
                <w:lang w:val="en-US"/>
              </w:rPr>
            </w:pPr>
            <w:r>
              <w:rPr>
                <w:noProof/>
                <w:sz w:val="20"/>
                <w:lang w:eastAsia="pl-PL"/>
              </w:rPr>
              <w:drawing>
                <wp:anchor distT="0" distB="0" distL="114300" distR="114300" simplePos="0" relativeHeight="251648000" behindDoc="0" locked="0" layoutInCell="1" allowOverlap="1" wp14:anchorId="4646D866" wp14:editId="26E8955A">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17DCE1B8" w14:textId="77777777" w:rsidR="008E1770" w:rsidRPr="0042209C" w:rsidRDefault="008E1770" w:rsidP="00AA5EEE">
            <w:pPr>
              <w:rPr>
                <w:sz w:val="20"/>
                <w:lang w:val="en-US"/>
              </w:rPr>
            </w:pPr>
            <w:r w:rsidRPr="0042209C">
              <w:rPr>
                <w:sz w:val="20"/>
                <w:lang w:val="en-US"/>
              </w:rPr>
              <w:t>@GlownyUrzadStatystyczny</w:t>
            </w:r>
          </w:p>
        </w:tc>
      </w:tr>
    </w:tbl>
    <w:p w14:paraId="21DEA47F" w14:textId="2D217822" w:rsidR="00896319" w:rsidRPr="0042209C" w:rsidRDefault="00D41DF8" w:rsidP="00896319">
      <w:pPr>
        <w:rPr>
          <w:sz w:val="18"/>
          <w:lang w:val="en-US"/>
        </w:rPr>
      </w:pPr>
      <w:r>
        <w:rPr>
          <w:noProof/>
          <w:sz w:val="18"/>
          <w:lang w:eastAsia="pl-PL"/>
        </w:rPr>
        <mc:AlternateContent>
          <mc:Choice Requires="wps">
            <w:drawing>
              <wp:anchor distT="45720" distB="45720" distL="114300" distR="114300" simplePos="0" relativeHeight="251661312" behindDoc="0" locked="0" layoutInCell="1" allowOverlap="1" wp14:anchorId="43B65E6F" wp14:editId="0E1A970D">
                <wp:simplePos x="0" y="0"/>
                <wp:positionH relativeFrom="margin">
                  <wp:posOffset>20320</wp:posOffset>
                </wp:positionH>
                <wp:positionV relativeFrom="paragraph">
                  <wp:posOffset>421640</wp:posOffset>
                </wp:positionV>
                <wp:extent cx="6559550" cy="4629150"/>
                <wp:effectExtent l="0" t="0" r="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629150"/>
                        </a:xfrm>
                        <a:prstGeom prst="rect">
                          <a:avLst/>
                        </a:prstGeom>
                        <a:solidFill>
                          <a:schemeClr val="bg1">
                            <a:lumMod val="95000"/>
                          </a:schemeClr>
                        </a:solidFill>
                        <a:ln w="9525">
                          <a:solidFill>
                            <a:schemeClr val="bg1"/>
                          </a:solidFill>
                          <a:miter lim="800000"/>
                          <a:headEnd/>
                          <a:tailEnd/>
                        </a:ln>
                      </wps:spPr>
                      <wps:txbx>
                        <w:txbxContent>
                          <w:p w14:paraId="3366DD72" w14:textId="77777777" w:rsidR="00E63142" w:rsidRDefault="00E63142" w:rsidP="003138BE">
                            <w:pPr>
                              <w:rPr>
                                <w:b/>
                              </w:rPr>
                            </w:pPr>
                          </w:p>
                          <w:p w14:paraId="0C4A3EED" w14:textId="77777777" w:rsidR="00E63142" w:rsidRPr="007E7B05" w:rsidRDefault="007E7B05" w:rsidP="003138BE">
                            <w:pPr>
                              <w:rPr>
                                <w:b/>
                                <w:lang w:val="en-GB"/>
                              </w:rPr>
                            </w:pPr>
                            <w:r w:rsidRPr="00791C71">
                              <w:rPr>
                                <w:b/>
                                <w:lang w:val="en-GB"/>
                              </w:rPr>
                              <w:t>Related information</w:t>
                            </w:r>
                          </w:p>
                          <w:p w14:paraId="175CBBC7"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The demand for labour – annual publication</w:t>
                            </w:r>
                          </w:p>
                          <w:p w14:paraId="5B9C852D"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29" w:history="1">
                              <w:r w:rsidRPr="00791C71">
                                <w:rPr>
                                  <w:rStyle w:val="Hipercze"/>
                                  <w:rFonts w:cs="Arial"/>
                                  <w:color w:val="001D77"/>
                                  <w:sz w:val="18"/>
                                  <w:szCs w:val="30"/>
                                  <w:shd w:val="clear" w:color="auto" w:fill="F0F0F0"/>
                                  <w:lang w:val="en-GB"/>
                                </w:rPr>
                                <w:t>Other publications that contain the results of these surveys:  stat.gov.pl → Topics → Labour market</w:t>
                              </w:r>
                            </w:hyperlink>
                            <w:r w:rsidRPr="00791C71">
                              <w:rPr>
                                <w:rStyle w:val="Hipercze"/>
                                <w:rFonts w:cs="Arial"/>
                                <w:color w:val="001D77"/>
                                <w:sz w:val="18"/>
                                <w:szCs w:val="30"/>
                                <w:shd w:val="clear" w:color="auto" w:fill="F0F0F0"/>
                                <w:lang w:val="en-GB"/>
                              </w:rPr>
                              <w:t xml:space="preserve"> </w:t>
                            </w:r>
                          </w:p>
                          <w:p w14:paraId="1EADFEEB" w14:textId="77777777" w:rsidR="00E63142" w:rsidRPr="007E7B05" w:rsidRDefault="00E63142" w:rsidP="003138BE">
                            <w:pPr>
                              <w:rPr>
                                <w:b/>
                                <w:color w:val="000000"/>
                                <w:szCs w:val="24"/>
                                <w:lang w:val="en-GB"/>
                              </w:rPr>
                            </w:pPr>
                          </w:p>
                          <w:p w14:paraId="1419429C" w14:textId="77777777" w:rsidR="007E7B05" w:rsidRPr="00791C71" w:rsidRDefault="007E7B05" w:rsidP="007E7B05">
                            <w:pPr>
                              <w:rPr>
                                <w:b/>
                                <w:color w:val="000000"/>
                                <w:szCs w:val="24"/>
                                <w:lang w:val="en-GB"/>
                              </w:rPr>
                            </w:pPr>
                            <w:r w:rsidRPr="00791C71">
                              <w:rPr>
                                <w:b/>
                                <w:color w:val="000000"/>
                                <w:szCs w:val="24"/>
                                <w:lang w:val="en-GB"/>
                              </w:rPr>
                              <w:t>Data available in databases</w:t>
                            </w:r>
                          </w:p>
                          <w:p w14:paraId="281D07DB" w14:textId="77777777" w:rsidR="007E7B05" w:rsidRPr="00791C71" w:rsidRDefault="006A6E2E" w:rsidP="007E7B05">
                            <w:pPr>
                              <w:rPr>
                                <w:rStyle w:val="Hipercze"/>
                                <w:rFonts w:cs="Arial"/>
                                <w:color w:val="001D77"/>
                                <w:sz w:val="18"/>
                                <w:szCs w:val="30"/>
                                <w:shd w:val="clear" w:color="auto" w:fill="F0F0F0"/>
                                <w:lang w:val="en-GB"/>
                              </w:rPr>
                            </w:pPr>
                            <w:hyperlink r:id="rId30" w:history="1">
                              <w:r w:rsidR="007E7B05" w:rsidRPr="00791C71">
                                <w:rPr>
                                  <w:rStyle w:val="Hipercze"/>
                                  <w:rFonts w:cs="Arial"/>
                                  <w:color w:val="001D77"/>
                                  <w:sz w:val="18"/>
                                  <w:szCs w:val="30"/>
                                  <w:shd w:val="clear" w:color="auto" w:fill="F0F0F0"/>
                                  <w:lang w:val="en-GB"/>
                                </w:rPr>
                                <w:t>Knowledge databases – Labour Market</w:t>
                              </w:r>
                            </w:hyperlink>
                          </w:p>
                          <w:p w14:paraId="7CC32456"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Strateg → Themes → Labour market</w:t>
                            </w:r>
                          </w:p>
                          <w:p w14:paraId="6555F7E4"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hyperlink r:id="rId31" w:history="1">
                              <w:r w:rsidRPr="00791C71">
                                <w:rPr>
                                  <w:rStyle w:val="Hipercze"/>
                                  <w:rFonts w:cs="Arial"/>
                                  <w:color w:val="001D77"/>
                                  <w:sz w:val="18"/>
                                  <w:szCs w:val="30"/>
                                  <w:shd w:val="clear" w:color="auto" w:fill="F0F0F0"/>
                                  <w:lang w:val="en-GB"/>
                                </w:rPr>
                                <w:t>Local Data Bank</w:t>
                              </w:r>
                            </w:hyperlink>
                            <w:r w:rsidRPr="00791C71">
                              <w:rPr>
                                <w:rStyle w:val="Hipercze"/>
                                <w:rFonts w:cs="Arial"/>
                                <w:color w:val="001D77"/>
                                <w:sz w:val="18"/>
                                <w:szCs w:val="30"/>
                                <w:shd w:val="clear" w:color="auto" w:fill="F0F0F0"/>
                                <w:lang w:val="en-GB"/>
                              </w:rPr>
                              <w:t xml:space="preserve"> → Labour market</w:t>
                            </w:r>
                          </w:p>
                          <w:p w14:paraId="2E13E163" w14:textId="77777777" w:rsidR="007E7B05" w:rsidRPr="00791C71" w:rsidRDefault="007E7B05" w:rsidP="007E7B05">
                            <w:pPr>
                              <w:rPr>
                                <w:b/>
                                <w:color w:val="000000"/>
                                <w:szCs w:val="24"/>
                                <w:lang w:val="en-GB"/>
                              </w:rPr>
                            </w:pPr>
                          </w:p>
                          <w:p w14:paraId="4BBA5A99" w14:textId="77777777" w:rsidR="007E7B05" w:rsidRPr="00791C71" w:rsidRDefault="007E7B05" w:rsidP="007E7B05">
                            <w:pPr>
                              <w:rPr>
                                <w:b/>
                                <w:color w:val="000000"/>
                                <w:szCs w:val="24"/>
                                <w:lang w:val="en-GB"/>
                              </w:rPr>
                            </w:pPr>
                            <w:r w:rsidRPr="00791C71">
                              <w:rPr>
                                <w:b/>
                                <w:color w:val="000000"/>
                                <w:szCs w:val="24"/>
                                <w:lang w:val="en-GB"/>
                              </w:rPr>
                              <w:t>Terms used in official statistics</w:t>
                            </w:r>
                          </w:p>
                          <w:p w14:paraId="47326BEF" w14:textId="77777777" w:rsidR="007E7B05" w:rsidRPr="00791C71" w:rsidRDefault="006A6E2E" w:rsidP="007E7B05">
                            <w:pPr>
                              <w:rPr>
                                <w:rStyle w:val="Hipercze"/>
                                <w:rFonts w:cs="Arial"/>
                                <w:color w:val="001D77"/>
                                <w:sz w:val="18"/>
                                <w:szCs w:val="30"/>
                                <w:shd w:val="clear" w:color="auto" w:fill="F0F0F0"/>
                                <w:lang w:val="en-GB"/>
                              </w:rPr>
                            </w:pPr>
                            <w:hyperlink r:id="rId32" w:history="1">
                              <w:r w:rsidR="007E7B05" w:rsidRPr="00791C71">
                                <w:rPr>
                                  <w:rStyle w:val="Hipercze"/>
                                  <w:rFonts w:cs="Arial"/>
                                  <w:color w:val="001D77"/>
                                  <w:sz w:val="18"/>
                                  <w:szCs w:val="30"/>
                                  <w:shd w:val="clear" w:color="auto" w:fill="F0F0F0"/>
                                  <w:lang w:val="en-GB"/>
                                </w:rPr>
                                <w:t xml:space="preserve">Demand for labour </w:t>
                              </w:r>
                            </w:hyperlink>
                          </w:p>
                          <w:p w14:paraId="74638D2F" w14:textId="77777777" w:rsidR="007E7B05" w:rsidRPr="00D9491D" w:rsidRDefault="006A6E2E" w:rsidP="007E7B05">
                            <w:pPr>
                              <w:rPr>
                                <w:rStyle w:val="Hipercze"/>
                                <w:rFonts w:cs="Arial"/>
                                <w:color w:val="001D77"/>
                                <w:sz w:val="18"/>
                                <w:szCs w:val="30"/>
                                <w:shd w:val="clear" w:color="auto" w:fill="F0F0F0"/>
                              </w:rPr>
                            </w:pPr>
                            <w:hyperlink r:id="rId33" w:history="1">
                              <w:r w:rsidR="007E7B05">
                                <w:rPr>
                                  <w:rStyle w:val="Hipercze"/>
                                  <w:rFonts w:cs="Arial"/>
                                  <w:color w:val="001D77"/>
                                  <w:sz w:val="18"/>
                                  <w:szCs w:val="30"/>
                                  <w:shd w:val="clear" w:color="auto" w:fill="F0F0F0"/>
                                </w:rPr>
                                <w:t>Vacancies</w:t>
                              </w:r>
                            </w:hyperlink>
                          </w:p>
                          <w:p w14:paraId="2A2C2A5A" w14:textId="77777777" w:rsidR="007E7B05" w:rsidRPr="00D9491D" w:rsidRDefault="006A6E2E" w:rsidP="007E7B05">
                            <w:pPr>
                              <w:rPr>
                                <w:rStyle w:val="Hipercze"/>
                                <w:rFonts w:cs="Arial"/>
                                <w:color w:val="001D77"/>
                                <w:sz w:val="18"/>
                                <w:szCs w:val="30"/>
                                <w:shd w:val="clear" w:color="auto" w:fill="F0F0F0"/>
                              </w:rPr>
                            </w:pPr>
                            <w:hyperlink r:id="rId34" w:history="1">
                              <w:r w:rsidR="007E7B05" w:rsidRPr="00D9491D">
                                <w:rPr>
                                  <w:rStyle w:val="Hipercze"/>
                                  <w:rFonts w:cs="Arial"/>
                                  <w:color w:val="001D77"/>
                                  <w:sz w:val="18"/>
                                  <w:szCs w:val="30"/>
                                  <w:shd w:val="clear" w:color="auto" w:fill="F0F0F0"/>
                                </w:rPr>
                                <w:t>N</w:t>
                              </w:r>
                              <w:r w:rsidR="007E7B05">
                                <w:rPr>
                                  <w:rStyle w:val="Hipercze"/>
                                  <w:rFonts w:cs="Arial"/>
                                  <w:color w:val="001D77"/>
                                  <w:sz w:val="18"/>
                                  <w:szCs w:val="30"/>
                                  <w:shd w:val="clear" w:color="auto" w:fill="F0F0F0"/>
                                </w:rPr>
                                <w:t xml:space="preserve">ewly created jobs </w:t>
                              </w:r>
                            </w:hyperlink>
                          </w:p>
                          <w:p w14:paraId="7B619648" w14:textId="77777777" w:rsidR="00E63142" w:rsidRPr="004033FD" w:rsidRDefault="00E63142" w:rsidP="003138BE">
                            <w:pPr>
                              <w:rPr>
                                <w:b/>
                                <w:color w:val="001D77"/>
                                <w:szCs w:val="24"/>
                              </w:rPr>
                            </w:pPr>
                          </w:p>
                          <w:p w14:paraId="69CF5552" w14:textId="77777777" w:rsidR="00E63142" w:rsidRDefault="00E63142" w:rsidP="00896319">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65E6F" id="_x0000_s1036" type="#_x0000_t202" style="position:absolute;margin-left:1.6pt;margin-top:33.2pt;width:516.5pt;height:3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" fillcolor="#f2f2f2 [3052]" strokecolor="white [3212]">
                <v:textbox>
                  <w:txbxContent>
                    <w:p w14:paraId="3366DD72" w14:textId="77777777" w:rsidR="00E63142" w:rsidRDefault="00E63142" w:rsidP="003138BE">
                      <w:pPr>
                        <w:rPr>
                          <w:b/>
                        </w:rPr>
                      </w:pPr>
                    </w:p>
                    <w:p w14:paraId="0C4A3EED" w14:textId="77777777" w:rsidR="00E63142" w:rsidRPr="007E7B05" w:rsidRDefault="007E7B05" w:rsidP="003138BE">
                      <w:pPr>
                        <w:rPr>
                          <w:b/>
                          <w:lang w:val="en-GB"/>
                        </w:rPr>
                      </w:pPr>
                      <w:r w:rsidRPr="00791C71">
                        <w:rPr>
                          <w:b/>
                          <w:lang w:val="en-GB"/>
                        </w:rPr>
                        <w:t>Related information</w:t>
                      </w:r>
                    </w:p>
                    <w:p w14:paraId="175CBBC7"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The demand for labour – annual publication</w:t>
                      </w:r>
                    </w:p>
                    <w:p w14:paraId="5B9C852D"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5" w:history="1">
                        <w:r w:rsidRPr="00791C71">
                          <w:rPr>
                            <w:rStyle w:val="Hipercze"/>
                            <w:rFonts w:cs="Arial"/>
                            <w:color w:val="001D77"/>
                            <w:sz w:val="18"/>
                            <w:szCs w:val="30"/>
                            <w:shd w:val="clear" w:color="auto" w:fill="F0F0F0"/>
                            <w:lang w:val="en-GB"/>
                          </w:rPr>
                          <w:t>Other publications that contain the results of these surveys:  stat.gov.pl → Topics → Labour market</w:t>
                        </w:r>
                      </w:hyperlink>
                      <w:r w:rsidRPr="00791C71">
                        <w:rPr>
                          <w:rStyle w:val="Hipercze"/>
                          <w:rFonts w:cs="Arial"/>
                          <w:color w:val="001D77"/>
                          <w:sz w:val="18"/>
                          <w:szCs w:val="30"/>
                          <w:shd w:val="clear" w:color="auto" w:fill="F0F0F0"/>
                          <w:lang w:val="en-GB"/>
                        </w:rPr>
                        <w:t xml:space="preserve"> </w:t>
                      </w:r>
                    </w:p>
                    <w:p w14:paraId="1EADFEEB" w14:textId="77777777" w:rsidR="00E63142" w:rsidRPr="007E7B05" w:rsidRDefault="00E63142" w:rsidP="003138BE">
                      <w:pPr>
                        <w:rPr>
                          <w:b/>
                          <w:color w:val="000000"/>
                          <w:szCs w:val="24"/>
                          <w:lang w:val="en-GB"/>
                        </w:rPr>
                      </w:pPr>
                    </w:p>
                    <w:p w14:paraId="1419429C" w14:textId="77777777" w:rsidR="007E7B05" w:rsidRPr="00791C71" w:rsidRDefault="007E7B05" w:rsidP="007E7B05">
                      <w:pPr>
                        <w:rPr>
                          <w:b/>
                          <w:color w:val="000000"/>
                          <w:szCs w:val="24"/>
                          <w:lang w:val="en-GB"/>
                        </w:rPr>
                      </w:pPr>
                      <w:r w:rsidRPr="00791C71">
                        <w:rPr>
                          <w:b/>
                          <w:color w:val="000000"/>
                          <w:szCs w:val="24"/>
                          <w:lang w:val="en-GB"/>
                        </w:rPr>
                        <w:t>Data available in databases</w:t>
                      </w:r>
                    </w:p>
                    <w:p w14:paraId="281D07DB" w14:textId="77777777" w:rsidR="007E7B05" w:rsidRPr="00791C71" w:rsidRDefault="006A6E2E" w:rsidP="007E7B05">
                      <w:pPr>
                        <w:rPr>
                          <w:rStyle w:val="Hipercze"/>
                          <w:rFonts w:cs="Arial"/>
                          <w:color w:val="001D77"/>
                          <w:sz w:val="18"/>
                          <w:szCs w:val="30"/>
                          <w:shd w:val="clear" w:color="auto" w:fill="F0F0F0"/>
                          <w:lang w:val="en-GB"/>
                        </w:rPr>
                      </w:pPr>
                      <w:hyperlink r:id="rId36" w:history="1">
                        <w:r w:rsidR="007E7B05" w:rsidRPr="00791C71">
                          <w:rPr>
                            <w:rStyle w:val="Hipercze"/>
                            <w:rFonts w:cs="Arial"/>
                            <w:color w:val="001D77"/>
                            <w:sz w:val="18"/>
                            <w:szCs w:val="30"/>
                            <w:shd w:val="clear" w:color="auto" w:fill="F0F0F0"/>
                            <w:lang w:val="en-GB"/>
                          </w:rPr>
                          <w:t>Knowledge databases – Labour Market</w:t>
                        </w:r>
                      </w:hyperlink>
                    </w:p>
                    <w:p w14:paraId="7CC32456"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Strateg → Themes → Labour market</w:t>
                      </w:r>
                    </w:p>
                    <w:p w14:paraId="6555F7E4"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hyperlink r:id="rId37" w:history="1">
                        <w:r w:rsidRPr="00791C71">
                          <w:rPr>
                            <w:rStyle w:val="Hipercze"/>
                            <w:rFonts w:cs="Arial"/>
                            <w:color w:val="001D77"/>
                            <w:sz w:val="18"/>
                            <w:szCs w:val="30"/>
                            <w:shd w:val="clear" w:color="auto" w:fill="F0F0F0"/>
                            <w:lang w:val="en-GB"/>
                          </w:rPr>
                          <w:t>Local Data Bank</w:t>
                        </w:r>
                      </w:hyperlink>
                      <w:r w:rsidRPr="00791C71">
                        <w:rPr>
                          <w:rStyle w:val="Hipercze"/>
                          <w:rFonts w:cs="Arial"/>
                          <w:color w:val="001D77"/>
                          <w:sz w:val="18"/>
                          <w:szCs w:val="30"/>
                          <w:shd w:val="clear" w:color="auto" w:fill="F0F0F0"/>
                          <w:lang w:val="en-GB"/>
                        </w:rPr>
                        <w:t xml:space="preserve"> → Labour market</w:t>
                      </w:r>
                    </w:p>
                    <w:p w14:paraId="2E13E163" w14:textId="77777777" w:rsidR="007E7B05" w:rsidRPr="00791C71" w:rsidRDefault="007E7B05" w:rsidP="007E7B05">
                      <w:pPr>
                        <w:rPr>
                          <w:b/>
                          <w:color w:val="000000"/>
                          <w:szCs w:val="24"/>
                          <w:lang w:val="en-GB"/>
                        </w:rPr>
                      </w:pPr>
                    </w:p>
                    <w:p w14:paraId="4BBA5A99" w14:textId="77777777" w:rsidR="007E7B05" w:rsidRPr="00791C71" w:rsidRDefault="007E7B05" w:rsidP="007E7B05">
                      <w:pPr>
                        <w:rPr>
                          <w:b/>
                          <w:color w:val="000000"/>
                          <w:szCs w:val="24"/>
                          <w:lang w:val="en-GB"/>
                        </w:rPr>
                      </w:pPr>
                      <w:r w:rsidRPr="00791C71">
                        <w:rPr>
                          <w:b/>
                          <w:color w:val="000000"/>
                          <w:szCs w:val="24"/>
                          <w:lang w:val="en-GB"/>
                        </w:rPr>
                        <w:t>Terms used in official statistics</w:t>
                      </w:r>
                    </w:p>
                    <w:p w14:paraId="47326BEF" w14:textId="77777777" w:rsidR="007E7B05" w:rsidRPr="00791C71" w:rsidRDefault="006A6E2E" w:rsidP="007E7B05">
                      <w:pPr>
                        <w:rPr>
                          <w:rStyle w:val="Hipercze"/>
                          <w:rFonts w:cs="Arial"/>
                          <w:color w:val="001D77"/>
                          <w:sz w:val="18"/>
                          <w:szCs w:val="30"/>
                          <w:shd w:val="clear" w:color="auto" w:fill="F0F0F0"/>
                          <w:lang w:val="en-GB"/>
                        </w:rPr>
                      </w:pPr>
                      <w:hyperlink r:id="rId38" w:history="1">
                        <w:r w:rsidR="007E7B05" w:rsidRPr="00791C71">
                          <w:rPr>
                            <w:rStyle w:val="Hipercze"/>
                            <w:rFonts w:cs="Arial"/>
                            <w:color w:val="001D77"/>
                            <w:sz w:val="18"/>
                            <w:szCs w:val="30"/>
                            <w:shd w:val="clear" w:color="auto" w:fill="F0F0F0"/>
                            <w:lang w:val="en-GB"/>
                          </w:rPr>
                          <w:t xml:space="preserve">Demand for labour </w:t>
                        </w:r>
                      </w:hyperlink>
                    </w:p>
                    <w:p w14:paraId="74638D2F" w14:textId="77777777" w:rsidR="007E7B05" w:rsidRPr="00D9491D" w:rsidRDefault="006A6E2E" w:rsidP="007E7B05">
                      <w:pPr>
                        <w:rPr>
                          <w:rStyle w:val="Hipercze"/>
                          <w:rFonts w:cs="Arial"/>
                          <w:color w:val="001D77"/>
                          <w:sz w:val="18"/>
                          <w:szCs w:val="30"/>
                          <w:shd w:val="clear" w:color="auto" w:fill="F0F0F0"/>
                        </w:rPr>
                      </w:pPr>
                      <w:hyperlink r:id="rId39" w:history="1">
                        <w:r w:rsidR="007E7B05">
                          <w:rPr>
                            <w:rStyle w:val="Hipercze"/>
                            <w:rFonts w:cs="Arial"/>
                            <w:color w:val="001D77"/>
                            <w:sz w:val="18"/>
                            <w:szCs w:val="30"/>
                            <w:shd w:val="clear" w:color="auto" w:fill="F0F0F0"/>
                          </w:rPr>
                          <w:t>Vacancies</w:t>
                        </w:r>
                      </w:hyperlink>
                    </w:p>
                    <w:p w14:paraId="2A2C2A5A" w14:textId="77777777" w:rsidR="007E7B05" w:rsidRPr="00D9491D" w:rsidRDefault="006A6E2E" w:rsidP="007E7B05">
                      <w:pPr>
                        <w:rPr>
                          <w:rStyle w:val="Hipercze"/>
                          <w:rFonts w:cs="Arial"/>
                          <w:color w:val="001D77"/>
                          <w:sz w:val="18"/>
                          <w:szCs w:val="30"/>
                          <w:shd w:val="clear" w:color="auto" w:fill="F0F0F0"/>
                        </w:rPr>
                      </w:pPr>
                      <w:hyperlink r:id="rId40" w:history="1">
                        <w:r w:rsidR="007E7B05" w:rsidRPr="00D9491D">
                          <w:rPr>
                            <w:rStyle w:val="Hipercze"/>
                            <w:rFonts w:cs="Arial"/>
                            <w:color w:val="001D77"/>
                            <w:sz w:val="18"/>
                            <w:szCs w:val="30"/>
                            <w:shd w:val="clear" w:color="auto" w:fill="F0F0F0"/>
                          </w:rPr>
                          <w:t>N</w:t>
                        </w:r>
                        <w:r w:rsidR="007E7B05">
                          <w:rPr>
                            <w:rStyle w:val="Hipercze"/>
                            <w:rFonts w:cs="Arial"/>
                            <w:color w:val="001D77"/>
                            <w:sz w:val="18"/>
                            <w:szCs w:val="30"/>
                            <w:shd w:val="clear" w:color="auto" w:fill="F0F0F0"/>
                          </w:rPr>
                          <w:t xml:space="preserve">ewly created jobs </w:t>
                        </w:r>
                      </w:hyperlink>
                    </w:p>
                    <w:p w14:paraId="7B619648" w14:textId="77777777" w:rsidR="00E63142" w:rsidRPr="004033FD" w:rsidRDefault="00E63142" w:rsidP="003138BE">
                      <w:pPr>
                        <w:rPr>
                          <w:b/>
                          <w:color w:val="001D77"/>
                          <w:szCs w:val="24"/>
                        </w:rPr>
                      </w:pPr>
                    </w:p>
                    <w:p w14:paraId="69CF5552" w14:textId="77777777" w:rsidR="00E63142" w:rsidRDefault="00E63142" w:rsidP="00896319">
                      <w:pPr>
                        <w:rPr>
                          <w:b/>
                          <w:color w:val="000000" w:themeColor="text1"/>
                          <w:szCs w:val="24"/>
                        </w:rPr>
                      </w:pPr>
                    </w:p>
                  </w:txbxContent>
                </v:textbox>
                <w10:wrap type="square" anchorx="margin"/>
              </v:shape>
            </w:pict>
          </mc:Fallback>
        </mc:AlternateContent>
      </w:r>
    </w:p>
    <w:p w14:paraId="75595E72" w14:textId="77777777" w:rsidR="00896319" w:rsidRPr="00821E99" w:rsidRDefault="00896319" w:rsidP="00896319">
      <w:pPr>
        <w:spacing w:after="100" w:afterAutospacing="1"/>
        <w:rPr>
          <w:sz w:val="20"/>
          <w:lang w:val="en-US"/>
        </w:rPr>
      </w:pPr>
    </w:p>
    <w:sectPr w:rsidR="00896319" w:rsidRPr="00821E99" w:rsidSect="00896319">
      <w:headerReference w:type="default" r:id="rId41"/>
      <w:pgSz w:w="11906" w:h="16838" w:code="9"/>
      <w:pgMar w:top="720" w:right="3119" w:bottom="720" w:left="720"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2514" w14:textId="77777777" w:rsidR="006A6E2E" w:rsidRDefault="006A6E2E" w:rsidP="000662E2">
      <w:pPr>
        <w:spacing w:after="0" w:line="240" w:lineRule="auto"/>
      </w:pPr>
      <w:r>
        <w:separator/>
      </w:r>
    </w:p>
  </w:endnote>
  <w:endnote w:type="continuationSeparator" w:id="0">
    <w:p w14:paraId="6A5209F8" w14:textId="77777777" w:rsidR="006A6E2E" w:rsidRDefault="006A6E2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432225"/>
      <w:docPartObj>
        <w:docPartGallery w:val="Page Numbers (Bottom of Page)"/>
        <w:docPartUnique/>
      </w:docPartObj>
    </w:sdtPr>
    <w:sdtEndPr/>
    <w:sdtContent>
      <w:p w14:paraId="6ADAB477" w14:textId="77777777" w:rsidR="00E63142" w:rsidRDefault="00A52749" w:rsidP="00055100">
        <w:pPr>
          <w:pStyle w:val="Stopka"/>
          <w:jc w:val="center"/>
        </w:pPr>
        <w:r>
          <w:rPr>
            <w:noProof/>
          </w:rPr>
          <w:fldChar w:fldCharType="begin"/>
        </w:r>
        <w:r w:rsidR="00E63142">
          <w:rPr>
            <w:noProof/>
          </w:rPr>
          <w:instrText>PAGE   \* MERGEFORMAT</w:instrText>
        </w:r>
        <w:r>
          <w:rPr>
            <w:noProof/>
          </w:rPr>
          <w:fldChar w:fldCharType="separate"/>
        </w:r>
        <w:r w:rsidR="00C30AA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399814"/>
      <w:docPartObj>
        <w:docPartGallery w:val="Page Numbers (Bottom of Page)"/>
        <w:docPartUnique/>
      </w:docPartObj>
    </w:sdtPr>
    <w:sdtEndPr/>
    <w:sdtContent>
      <w:p w14:paraId="7BE7C5A5" w14:textId="77777777" w:rsidR="00E63142" w:rsidRDefault="00A52749" w:rsidP="00055100">
        <w:pPr>
          <w:pStyle w:val="Stopka"/>
          <w:jc w:val="center"/>
        </w:pPr>
        <w:r>
          <w:rPr>
            <w:noProof/>
          </w:rPr>
          <w:fldChar w:fldCharType="begin"/>
        </w:r>
        <w:r w:rsidR="00E63142">
          <w:rPr>
            <w:noProof/>
          </w:rPr>
          <w:instrText>PAGE   \* MERGEFORMAT</w:instrText>
        </w:r>
        <w:r>
          <w:rPr>
            <w:noProof/>
          </w:rPr>
          <w:fldChar w:fldCharType="separate"/>
        </w:r>
        <w:r w:rsidR="00C30AA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0B110" w14:textId="77777777" w:rsidR="006A6E2E" w:rsidRDefault="006A6E2E" w:rsidP="000662E2">
      <w:pPr>
        <w:spacing w:after="0" w:line="240" w:lineRule="auto"/>
      </w:pPr>
      <w:r>
        <w:separator/>
      </w:r>
    </w:p>
  </w:footnote>
  <w:footnote w:type="continuationSeparator" w:id="0">
    <w:p w14:paraId="275E3D23" w14:textId="77777777" w:rsidR="006A6E2E" w:rsidRDefault="006A6E2E"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E3F8" w14:textId="6ED97B3F" w:rsidR="00E63142" w:rsidRDefault="00D41DF8">
    <w:pPr>
      <w:pStyle w:val="Nagwek"/>
    </w:pPr>
    <w:r>
      <w:rPr>
        <w:noProof/>
        <w:lang w:eastAsia="pl-PL"/>
      </w:rPr>
      <mc:AlternateContent>
        <mc:Choice Requires="wps">
          <w:drawing>
            <wp:anchor distT="0" distB="0" distL="114300" distR="114300" simplePos="0" relativeHeight="251662336" behindDoc="1" locked="0" layoutInCell="1" allowOverlap="1" wp14:anchorId="628A9A5C" wp14:editId="0FC0B481">
              <wp:simplePos x="0" y="0"/>
              <wp:positionH relativeFrom="column">
                <wp:posOffset>5214620</wp:posOffset>
              </wp:positionH>
              <wp:positionV relativeFrom="paragraph">
                <wp:posOffset>-178435</wp:posOffset>
              </wp:positionV>
              <wp:extent cx="1874520" cy="22680295"/>
              <wp:effectExtent l="0" t="0" r="0" b="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0C295"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" fillcolor="#f2f2f2 [3052]" stroked="f" strokeweight="1pt"/>
          </w:pict>
        </mc:Fallback>
      </mc:AlternateContent>
    </w:r>
  </w:p>
  <w:p w14:paraId="19918C05" w14:textId="77777777" w:rsidR="00E63142" w:rsidRDefault="00E631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B4F8" w14:textId="5F1ED621" w:rsidR="00E63142" w:rsidRDefault="007E7B05">
    <w:pPr>
      <w:pStyle w:val="Nagwek"/>
      <w:rPr>
        <w:noProof/>
        <w:lang w:eastAsia="pl-PL"/>
      </w:rPr>
    </w:pPr>
    <w:r>
      <w:rPr>
        <w:noProof/>
        <w:lang w:eastAsia="pl-PL"/>
      </w:rPr>
      <w:drawing>
        <wp:inline distT="0" distB="0" distL="0" distR="0" wp14:anchorId="7A509A5A" wp14:editId="013E7439">
          <wp:extent cx="1955800" cy="744855"/>
          <wp:effectExtent l="0" t="0" r="0" b="0"/>
          <wp:docPr id="4" name="Obraz 4"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inline>
      </w:drawing>
    </w:r>
    <w:r w:rsidR="00D41DF8">
      <w:rPr>
        <w:noProof/>
        <w:lang w:eastAsia="pl-PL"/>
      </w:rPr>
      <mc:AlternateContent>
        <mc:Choice Requires="wps">
          <w:drawing>
            <wp:anchor distT="0" distB="0" distL="114300" distR="114300" simplePos="0" relativeHeight="251668480" behindDoc="0" locked="0" layoutInCell="1" allowOverlap="1" wp14:anchorId="53FD5631" wp14:editId="25F5BB4A">
              <wp:simplePos x="0" y="0"/>
              <wp:positionH relativeFrom="column">
                <wp:posOffset>5036820</wp:posOffset>
              </wp:positionH>
              <wp:positionV relativeFrom="paragraph">
                <wp:posOffset>198755</wp:posOffset>
              </wp:positionV>
              <wp:extent cx="2060575" cy="357505"/>
              <wp:effectExtent l="0" t="0" r="0" b="0"/>
              <wp:wrapNone/>
              <wp:docPr id="3"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7B87B" w14:textId="77777777" w:rsidR="00E63142" w:rsidRPr="003C6C8D" w:rsidRDefault="007E7B05"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D5631" id="Schemat blokowy: opóźnienie 6" o:spid="_x0000_s1037"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qEzWdUkG&#10;AAAj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627B87B" w14:textId="77777777" w:rsidR="00E63142" w:rsidRPr="003C6C8D" w:rsidRDefault="007E7B05"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D41DF8">
      <w:rPr>
        <w:noProof/>
        <w:lang w:eastAsia="pl-PL"/>
      </w:rPr>
      <mc:AlternateContent>
        <mc:Choice Requires="wps">
          <w:drawing>
            <wp:anchor distT="0" distB="0" distL="114300" distR="114300" simplePos="0" relativeHeight="251666432" behindDoc="1" locked="0" layoutInCell="1" allowOverlap="1" wp14:anchorId="38E08B71" wp14:editId="6DA6A20B">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5"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A246E"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" fillcolor="#f2f2f2" stroked="f" strokeweight="1pt">
              <w10:wrap type="tight"/>
            </v:rect>
          </w:pict>
        </mc:Fallback>
      </mc:AlternateContent>
    </w:r>
  </w:p>
  <w:p w14:paraId="7B0869F4" w14:textId="7EE7D5DA" w:rsidR="00E63142" w:rsidRDefault="00D41DF8">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14:anchorId="195233BD" wp14:editId="6D41585D">
              <wp:simplePos x="0" y="0"/>
              <wp:positionH relativeFrom="column">
                <wp:posOffset>5219700</wp:posOffset>
              </wp:positionH>
              <wp:positionV relativeFrom="paragraph">
                <wp:posOffset>266065</wp:posOffset>
              </wp:positionV>
              <wp:extent cx="1432560" cy="3365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0308B8FF" w14:textId="77777777" w:rsidR="00E63142" w:rsidRPr="00C97596" w:rsidRDefault="00E63142" w:rsidP="00F37172">
                          <w:pPr>
                            <w:jc w:val="both"/>
                            <w:rPr>
                              <w:rFonts w:ascii="Fira Sans SemiBold" w:hAnsi="Fira Sans SemiBold"/>
                              <w:color w:val="001D77"/>
                            </w:rPr>
                          </w:pPr>
                          <w:r>
                            <w:rPr>
                              <w:rFonts w:ascii="Fira Sans SemiBold" w:hAnsi="Fira Sans SemiBold"/>
                              <w:color w:val="001D77"/>
                            </w:rPr>
                            <w:t>10.09.2020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233BD" id="_x0000_t202" coordsize="21600,21600" o:spt="202" path="m,l,21600r21600,l21600,xe">
              <v:stroke joinstyle="miter"/>
              <v:path gradientshapeok="t" o:connecttype="rect"/>
            </v:shapetype>
            <v:shape id="_x0000_s1038"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ApYAtp&#10;EAIAAP4DAAAOAAAAAAAAAAAAAAAAAC4CAABkcnMvZTJvRG9jLnhtbFBLAQItABQABgAIAAAAIQBr&#10;Z3Ed3gAAAAoBAAAPAAAAAAAAAAAAAAAAAGoEAABkcnMvZG93bnJldi54bWxQSwUGAAAAAAQABADz&#10;AAAAdQUAAAAA&#10;" filled="f" stroked="f">
              <v:textbox>
                <w:txbxContent>
                  <w:p w14:paraId="0308B8FF" w14:textId="77777777" w:rsidR="00E63142" w:rsidRPr="00C97596" w:rsidRDefault="00E63142" w:rsidP="00F37172">
                    <w:pPr>
                      <w:jc w:val="both"/>
                      <w:rPr>
                        <w:rFonts w:ascii="Fira Sans SemiBold" w:hAnsi="Fira Sans SemiBold"/>
                        <w:color w:val="001D77"/>
                      </w:rPr>
                    </w:pPr>
                    <w:r>
                      <w:rPr>
                        <w:rFonts w:ascii="Fira Sans SemiBold" w:hAnsi="Fira Sans SemiBold"/>
                        <w:color w:val="001D77"/>
                      </w:rPr>
                      <w:t>10.09.2020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72AB" w14:textId="77777777" w:rsidR="00E63142" w:rsidRDefault="00E63142">
    <w:pPr>
      <w:pStyle w:val="Nagwek"/>
    </w:pPr>
  </w:p>
  <w:p w14:paraId="69FF0FF1" w14:textId="77777777" w:rsidR="00E63142" w:rsidRDefault="00E631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23.75pt;height:124.5pt;visibility:visible;mso-wrap-style:square" o:bullet="t">
        <v:imagedata r:id="rId1" o:title=""/>
      </v:shape>
    </w:pict>
  </w:numPicBullet>
  <w:numPicBullet w:numPicBulletId="1">
    <w:pict>
      <v:shape id="_x0000_i1151" type="#_x0000_t75" style="width:123.75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122E69"/>
    <w:multiLevelType w:val="hybridMultilevel"/>
    <w:tmpl w:val="60643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54"/>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87"/>
    <w:rsid w:val="0000039D"/>
    <w:rsid w:val="000007C0"/>
    <w:rsid w:val="000008C3"/>
    <w:rsid w:val="0000175F"/>
    <w:rsid w:val="00001C5B"/>
    <w:rsid w:val="00003437"/>
    <w:rsid w:val="000046D3"/>
    <w:rsid w:val="00004792"/>
    <w:rsid w:val="0000579F"/>
    <w:rsid w:val="000067CC"/>
    <w:rsid w:val="00006CCB"/>
    <w:rsid w:val="0000709F"/>
    <w:rsid w:val="000108B8"/>
    <w:rsid w:val="00010A6D"/>
    <w:rsid w:val="00013C17"/>
    <w:rsid w:val="00014A52"/>
    <w:rsid w:val="000152F5"/>
    <w:rsid w:val="00016877"/>
    <w:rsid w:val="00016F8D"/>
    <w:rsid w:val="00017126"/>
    <w:rsid w:val="000209D9"/>
    <w:rsid w:val="000222A1"/>
    <w:rsid w:val="00023D74"/>
    <w:rsid w:val="0002571D"/>
    <w:rsid w:val="000261B9"/>
    <w:rsid w:val="00027559"/>
    <w:rsid w:val="00031224"/>
    <w:rsid w:val="00033B44"/>
    <w:rsid w:val="000365E5"/>
    <w:rsid w:val="0003678C"/>
    <w:rsid w:val="00040ECA"/>
    <w:rsid w:val="000418A7"/>
    <w:rsid w:val="0004582E"/>
    <w:rsid w:val="000470AA"/>
    <w:rsid w:val="000478E2"/>
    <w:rsid w:val="00047E5C"/>
    <w:rsid w:val="00050479"/>
    <w:rsid w:val="00050F4C"/>
    <w:rsid w:val="00055100"/>
    <w:rsid w:val="00055DAC"/>
    <w:rsid w:val="000577FF"/>
    <w:rsid w:val="00057A0F"/>
    <w:rsid w:val="00057C8B"/>
    <w:rsid w:val="00057CA1"/>
    <w:rsid w:val="000602A6"/>
    <w:rsid w:val="00061548"/>
    <w:rsid w:val="0006173B"/>
    <w:rsid w:val="00063B3D"/>
    <w:rsid w:val="000662E2"/>
    <w:rsid w:val="00066406"/>
    <w:rsid w:val="00066883"/>
    <w:rsid w:val="00067664"/>
    <w:rsid w:val="00070356"/>
    <w:rsid w:val="0007120C"/>
    <w:rsid w:val="00074146"/>
    <w:rsid w:val="00074DD8"/>
    <w:rsid w:val="00075118"/>
    <w:rsid w:val="000752D7"/>
    <w:rsid w:val="000774A3"/>
    <w:rsid w:val="000806F7"/>
    <w:rsid w:val="00080C00"/>
    <w:rsid w:val="00080D2C"/>
    <w:rsid w:val="0008129E"/>
    <w:rsid w:val="00081311"/>
    <w:rsid w:val="00081AA0"/>
    <w:rsid w:val="0008215F"/>
    <w:rsid w:val="00083065"/>
    <w:rsid w:val="00084529"/>
    <w:rsid w:val="00085164"/>
    <w:rsid w:val="00085332"/>
    <w:rsid w:val="00085A1A"/>
    <w:rsid w:val="00085EF9"/>
    <w:rsid w:val="00086304"/>
    <w:rsid w:val="0009020B"/>
    <w:rsid w:val="0009338B"/>
    <w:rsid w:val="00095598"/>
    <w:rsid w:val="00095F19"/>
    <w:rsid w:val="00096343"/>
    <w:rsid w:val="0009653F"/>
    <w:rsid w:val="00096E44"/>
    <w:rsid w:val="0009701C"/>
    <w:rsid w:val="00097AD1"/>
    <w:rsid w:val="00097F3A"/>
    <w:rsid w:val="000A042B"/>
    <w:rsid w:val="000A0800"/>
    <w:rsid w:val="000A09C6"/>
    <w:rsid w:val="000A1118"/>
    <w:rsid w:val="000A1E5E"/>
    <w:rsid w:val="000A390E"/>
    <w:rsid w:val="000A47A4"/>
    <w:rsid w:val="000A4B6A"/>
    <w:rsid w:val="000B0727"/>
    <w:rsid w:val="000B1979"/>
    <w:rsid w:val="000B2D0D"/>
    <w:rsid w:val="000B5A27"/>
    <w:rsid w:val="000B6511"/>
    <w:rsid w:val="000B7849"/>
    <w:rsid w:val="000C0FA3"/>
    <w:rsid w:val="000C10CC"/>
    <w:rsid w:val="000C114B"/>
    <w:rsid w:val="000C135D"/>
    <w:rsid w:val="000C2A75"/>
    <w:rsid w:val="000C5BEF"/>
    <w:rsid w:val="000C625D"/>
    <w:rsid w:val="000D03A8"/>
    <w:rsid w:val="000D08B5"/>
    <w:rsid w:val="000D0EA4"/>
    <w:rsid w:val="000D1D43"/>
    <w:rsid w:val="000D1EE8"/>
    <w:rsid w:val="000D225C"/>
    <w:rsid w:val="000D2A5C"/>
    <w:rsid w:val="000D33BD"/>
    <w:rsid w:val="000D46CC"/>
    <w:rsid w:val="000D6A8D"/>
    <w:rsid w:val="000D7B23"/>
    <w:rsid w:val="000E063B"/>
    <w:rsid w:val="000E0918"/>
    <w:rsid w:val="000E1C72"/>
    <w:rsid w:val="000E203F"/>
    <w:rsid w:val="000E33D1"/>
    <w:rsid w:val="000E3BAF"/>
    <w:rsid w:val="000E467C"/>
    <w:rsid w:val="000E4A4F"/>
    <w:rsid w:val="000E4D75"/>
    <w:rsid w:val="000E6369"/>
    <w:rsid w:val="000E63BE"/>
    <w:rsid w:val="000E7C94"/>
    <w:rsid w:val="000F0331"/>
    <w:rsid w:val="000F12F9"/>
    <w:rsid w:val="000F2146"/>
    <w:rsid w:val="000F4924"/>
    <w:rsid w:val="000F4F93"/>
    <w:rsid w:val="001011C3"/>
    <w:rsid w:val="00101C16"/>
    <w:rsid w:val="0010214A"/>
    <w:rsid w:val="00102F5D"/>
    <w:rsid w:val="001032D8"/>
    <w:rsid w:val="00103D81"/>
    <w:rsid w:val="00104A65"/>
    <w:rsid w:val="0010704A"/>
    <w:rsid w:val="001077BA"/>
    <w:rsid w:val="00107E9C"/>
    <w:rsid w:val="00110D87"/>
    <w:rsid w:val="00112D53"/>
    <w:rsid w:val="001141E1"/>
    <w:rsid w:val="00114DB9"/>
    <w:rsid w:val="00116087"/>
    <w:rsid w:val="00116153"/>
    <w:rsid w:val="00116429"/>
    <w:rsid w:val="00117253"/>
    <w:rsid w:val="0011774C"/>
    <w:rsid w:val="00117B3C"/>
    <w:rsid w:val="00120018"/>
    <w:rsid w:val="001207E6"/>
    <w:rsid w:val="00120F29"/>
    <w:rsid w:val="00121F5A"/>
    <w:rsid w:val="00123680"/>
    <w:rsid w:val="001242CD"/>
    <w:rsid w:val="0012456B"/>
    <w:rsid w:val="00124A4A"/>
    <w:rsid w:val="00124F2D"/>
    <w:rsid w:val="00130296"/>
    <w:rsid w:val="00130CFA"/>
    <w:rsid w:val="00132336"/>
    <w:rsid w:val="001340F3"/>
    <w:rsid w:val="00137585"/>
    <w:rsid w:val="00137D83"/>
    <w:rsid w:val="001423B6"/>
    <w:rsid w:val="00142CF8"/>
    <w:rsid w:val="0014340C"/>
    <w:rsid w:val="00144169"/>
    <w:rsid w:val="00144786"/>
    <w:rsid w:val="001448A7"/>
    <w:rsid w:val="00145199"/>
    <w:rsid w:val="001453E5"/>
    <w:rsid w:val="00146621"/>
    <w:rsid w:val="00146EBA"/>
    <w:rsid w:val="001517D7"/>
    <w:rsid w:val="00152273"/>
    <w:rsid w:val="0015278E"/>
    <w:rsid w:val="001536AD"/>
    <w:rsid w:val="001548DC"/>
    <w:rsid w:val="00154CBD"/>
    <w:rsid w:val="00155C73"/>
    <w:rsid w:val="00155DE7"/>
    <w:rsid w:val="00156B5A"/>
    <w:rsid w:val="00160538"/>
    <w:rsid w:val="00160BC0"/>
    <w:rsid w:val="00162325"/>
    <w:rsid w:val="001654FF"/>
    <w:rsid w:val="00166A85"/>
    <w:rsid w:val="00166FF5"/>
    <w:rsid w:val="00167B44"/>
    <w:rsid w:val="00167E6B"/>
    <w:rsid w:val="00171113"/>
    <w:rsid w:val="0017146B"/>
    <w:rsid w:val="001739E9"/>
    <w:rsid w:val="00173B46"/>
    <w:rsid w:val="00177020"/>
    <w:rsid w:val="0017736A"/>
    <w:rsid w:val="00180628"/>
    <w:rsid w:val="00181114"/>
    <w:rsid w:val="0018450A"/>
    <w:rsid w:val="00191D83"/>
    <w:rsid w:val="00193964"/>
    <w:rsid w:val="00193F18"/>
    <w:rsid w:val="00194CAB"/>
    <w:rsid w:val="001951DA"/>
    <w:rsid w:val="001A1019"/>
    <w:rsid w:val="001A1CD8"/>
    <w:rsid w:val="001A4E0B"/>
    <w:rsid w:val="001A5363"/>
    <w:rsid w:val="001A583C"/>
    <w:rsid w:val="001A67A6"/>
    <w:rsid w:val="001A76C9"/>
    <w:rsid w:val="001A7D30"/>
    <w:rsid w:val="001B143B"/>
    <w:rsid w:val="001B33FE"/>
    <w:rsid w:val="001B545F"/>
    <w:rsid w:val="001B5A69"/>
    <w:rsid w:val="001C0C2B"/>
    <w:rsid w:val="001C3269"/>
    <w:rsid w:val="001C4323"/>
    <w:rsid w:val="001C6F77"/>
    <w:rsid w:val="001C7E1C"/>
    <w:rsid w:val="001D0BF1"/>
    <w:rsid w:val="001D1DB4"/>
    <w:rsid w:val="001D23C7"/>
    <w:rsid w:val="001D33F8"/>
    <w:rsid w:val="001D4169"/>
    <w:rsid w:val="001D4667"/>
    <w:rsid w:val="001D4D4D"/>
    <w:rsid w:val="001D57C7"/>
    <w:rsid w:val="001D61CD"/>
    <w:rsid w:val="001D6574"/>
    <w:rsid w:val="001D7A1D"/>
    <w:rsid w:val="001E0552"/>
    <w:rsid w:val="001E1D92"/>
    <w:rsid w:val="001E3261"/>
    <w:rsid w:val="001E4425"/>
    <w:rsid w:val="001E51FB"/>
    <w:rsid w:val="001E56BD"/>
    <w:rsid w:val="001E56DA"/>
    <w:rsid w:val="001F0148"/>
    <w:rsid w:val="001F2CFD"/>
    <w:rsid w:val="001F2FB7"/>
    <w:rsid w:val="001F3173"/>
    <w:rsid w:val="001F4727"/>
    <w:rsid w:val="001F51C5"/>
    <w:rsid w:val="001F7246"/>
    <w:rsid w:val="00200B49"/>
    <w:rsid w:val="00200ED3"/>
    <w:rsid w:val="002010D3"/>
    <w:rsid w:val="0020176C"/>
    <w:rsid w:val="0020480A"/>
    <w:rsid w:val="00206654"/>
    <w:rsid w:val="002066A1"/>
    <w:rsid w:val="002075A6"/>
    <w:rsid w:val="00210349"/>
    <w:rsid w:val="00210B9A"/>
    <w:rsid w:val="00210BDB"/>
    <w:rsid w:val="00213274"/>
    <w:rsid w:val="0021425D"/>
    <w:rsid w:val="00214AB7"/>
    <w:rsid w:val="002171B2"/>
    <w:rsid w:val="002174B7"/>
    <w:rsid w:val="00220852"/>
    <w:rsid w:val="00220E9E"/>
    <w:rsid w:val="00222FC4"/>
    <w:rsid w:val="0022355E"/>
    <w:rsid w:val="00224759"/>
    <w:rsid w:val="0022553E"/>
    <w:rsid w:val="002256CA"/>
    <w:rsid w:val="00225DC7"/>
    <w:rsid w:val="00227183"/>
    <w:rsid w:val="00227BC3"/>
    <w:rsid w:val="00231E35"/>
    <w:rsid w:val="00233D24"/>
    <w:rsid w:val="00237B2E"/>
    <w:rsid w:val="00237B50"/>
    <w:rsid w:val="00237F82"/>
    <w:rsid w:val="00242F57"/>
    <w:rsid w:val="00244E2E"/>
    <w:rsid w:val="00247A07"/>
    <w:rsid w:val="002506B6"/>
    <w:rsid w:val="002523A0"/>
    <w:rsid w:val="002538C1"/>
    <w:rsid w:val="00255909"/>
    <w:rsid w:val="00255FCB"/>
    <w:rsid w:val="00256FC5"/>
    <w:rsid w:val="002574F9"/>
    <w:rsid w:val="00260AB5"/>
    <w:rsid w:val="00260B59"/>
    <w:rsid w:val="002611F7"/>
    <w:rsid w:val="00264291"/>
    <w:rsid w:val="00264BF5"/>
    <w:rsid w:val="0026528C"/>
    <w:rsid w:val="0026719B"/>
    <w:rsid w:val="00271696"/>
    <w:rsid w:val="002729CC"/>
    <w:rsid w:val="002767D7"/>
    <w:rsid w:val="00276811"/>
    <w:rsid w:val="00276C28"/>
    <w:rsid w:val="0027737D"/>
    <w:rsid w:val="00277490"/>
    <w:rsid w:val="002816BE"/>
    <w:rsid w:val="0028172E"/>
    <w:rsid w:val="0028223C"/>
    <w:rsid w:val="00282699"/>
    <w:rsid w:val="00283B0B"/>
    <w:rsid w:val="00285903"/>
    <w:rsid w:val="00287274"/>
    <w:rsid w:val="00290F4A"/>
    <w:rsid w:val="002926DF"/>
    <w:rsid w:val="0029340B"/>
    <w:rsid w:val="0029433C"/>
    <w:rsid w:val="002945DD"/>
    <w:rsid w:val="00296155"/>
    <w:rsid w:val="00296697"/>
    <w:rsid w:val="002A159D"/>
    <w:rsid w:val="002A2777"/>
    <w:rsid w:val="002A559A"/>
    <w:rsid w:val="002A7FDA"/>
    <w:rsid w:val="002B0472"/>
    <w:rsid w:val="002B1414"/>
    <w:rsid w:val="002B161F"/>
    <w:rsid w:val="002B2440"/>
    <w:rsid w:val="002B2F57"/>
    <w:rsid w:val="002B378E"/>
    <w:rsid w:val="002B4D7D"/>
    <w:rsid w:val="002B4FBE"/>
    <w:rsid w:val="002B55DF"/>
    <w:rsid w:val="002B6B12"/>
    <w:rsid w:val="002B71AF"/>
    <w:rsid w:val="002B7288"/>
    <w:rsid w:val="002C2FAC"/>
    <w:rsid w:val="002C3683"/>
    <w:rsid w:val="002C384A"/>
    <w:rsid w:val="002C5CF0"/>
    <w:rsid w:val="002C775E"/>
    <w:rsid w:val="002D2754"/>
    <w:rsid w:val="002D790E"/>
    <w:rsid w:val="002E077C"/>
    <w:rsid w:val="002E08CA"/>
    <w:rsid w:val="002E0DC7"/>
    <w:rsid w:val="002E1F4A"/>
    <w:rsid w:val="002E2D4E"/>
    <w:rsid w:val="002E3FF6"/>
    <w:rsid w:val="002E533D"/>
    <w:rsid w:val="002E6140"/>
    <w:rsid w:val="002E663F"/>
    <w:rsid w:val="002E6985"/>
    <w:rsid w:val="002E71B6"/>
    <w:rsid w:val="002E73BD"/>
    <w:rsid w:val="002F093C"/>
    <w:rsid w:val="002F0C2F"/>
    <w:rsid w:val="002F2EF8"/>
    <w:rsid w:val="002F315F"/>
    <w:rsid w:val="002F41A1"/>
    <w:rsid w:val="002F4742"/>
    <w:rsid w:val="002F6791"/>
    <w:rsid w:val="002F77A4"/>
    <w:rsid w:val="002F77C8"/>
    <w:rsid w:val="003003EF"/>
    <w:rsid w:val="0030201A"/>
    <w:rsid w:val="00302753"/>
    <w:rsid w:val="0030316D"/>
    <w:rsid w:val="00303BD1"/>
    <w:rsid w:val="00304F22"/>
    <w:rsid w:val="00306C7C"/>
    <w:rsid w:val="00306DDD"/>
    <w:rsid w:val="00306F19"/>
    <w:rsid w:val="00307E86"/>
    <w:rsid w:val="00312ADE"/>
    <w:rsid w:val="003138BE"/>
    <w:rsid w:val="00313A4D"/>
    <w:rsid w:val="00320972"/>
    <w:rsid w:val="003213BF"/>
    <w:rsid w:val="00321BB4"/>
    <w:rsid w:val="00322EDD"/>
    <w:rsid w:val="00323C97"/>
    <w:rsid w:val="00325376"/>
    <w:rsid w:val="00326869"/>
    <w:rsid w:val="003272D1"/>
    <w:rsid w:val="00330893"/>
    <w:rsid w:val="00330BDE"/>
    <w:rsid w:val="00331160"/>
    <w:rsid w:val="00332320"/>
    <w:rsid w:val="00332C4E"/>
    <w:rsid w:val="0033352A"/>
    <w:rsid w:val="00337CFE"/>
    <w:rsid w:val="00340353"/>
    <w:rsid w:val="003416B9"/>
    <w:rsid w:val="00342458"/>
    <w:rsid w:val="003435EB"/>
    <w:rsid w:val="003442B8"/>
    <w:rsid w:val="00346B6B"/>
    <w:rsid w:val="00347D72"/>
    <w:rsid w:val="00351CB1"/>
    <w:rsid w:val="00352387"/>
    <w:rsid w:val="00352E16"/>
    <w:rsid w:val="00353C98"/>
    <w:rsid w:val="00357611"/>
    <w:rsid w:val="003579FF"/>
    <w:rsid w:val="003602A6"/>
    <w:rsid w:val="00361ABB"/>
    <w:rsid w:val="0036334A"/>
    <w:rsid w:val="00363C56"/>
    <w:rsid w:val="00366A3B"/>
    <w:rsid w:val="00367237"/>
    <w:rsid w:val="0037077F"/>
    <w:rsid w:val="00370A3A"/>
    <w:rsid w:val="00372076"/>
    <w:rsid w:val="00372D40"/>
    <w:rsid w:val="00373882"/>
    <w:rsid w:val="003742DF"/>
    <w:rsid w:val="00374E0E"/>
    <w:rsid w:val="00375C03"/>
    <w:rsid w:val="00375CF2"/>
    <w:rsid w:val="003768E5"/>
    <w:rsid w:val="00381C9F"/>
    <w:rsid w:val="003824EC"/>
    <w:rsid w:val="003843DB"/>
    <w:rsid w:val="00384444"/>
    <w:rsid w:val="00386581"/>
    <w:rsid w:val="00387EA5"/>
    <w:rsid w:val="00390F9F"/>
    <w:rsid w:val="00393761"/>
    <w:rsid w:val="00395C72"/>
    <w:rsid w:val="00396A28"/>
    <w:rsid w:val="00397D18"/>
    <w:rsid w:val="003A1B36"/>
    <w:rsid w:val="003A20C8"/>
    <w:rsid w:val="003A2750"/>
    <w:rsid w:val="003A34BF"/>
    <w:rsid w:val="003A385C"/>
    <w:rsid w:val="003A4B6D"/>
    <w:rsid w:val="003A5281"/>
    <w:rsid w:val="003A76FA"/>
    <w:rsid w:val="003B0CA1"/>
    <w:rsid w:val="003B1454"/>
    <w:rsid w:val="003B37F0"/>
    <w:rsid w:val="003B4687"/>
    <w:rsid w:val="003B4C55"/>
    <w:rsid w:val="003B4E58"/>
    <w:rsid w:val="003B7F1E"/>
    <w:rsid w:val="003C02E7"/>
    <w:rsid w:val="003C051C"/>
    <w:rsid w:val="003C063E"/>
    <w:rsid w:val="003C30BF"/>
    <w:rsid w:val="003C59E0"/>
    <w:rsid w:val="003C6C8D"/>
    <w:rsid w:val="003D0DA7"/>
    <w:rsid w:val="003D2FED"/>
    <w:rsid w:val="003D4F95"/>
    <w:rsid w:val="003D5A87"/>
    <w:rsid w:val="003D5F42"/>
    <w:rsid w:val="003D60A9"/>
    <w:rsid w:val="003D6798"/>
    <w:rsid w:val="003E2834"/>
    <w:rsid w:val="003E5366"/>
    <w:rsid w:val="003E72AF"/>
    <w:rsid w:val="003E77D0"/>
    <w:rsid w:val="003E7CFD"/>
    <w:rsid w:val="003F0B35"/>
    <w:rsid w:val="003F0C73"/>
    <w:rsid w:val="003F2AC6"/>
    <w:rsid w:val="003F2EC0"/>
    <w:rsid w:val="003F352F"/>
    <w:rsid w:val="003F38EF"/>
    <w:rsid w:val="003F4C97"/>
    <w:rsid w:val="003F5EBD"/>
    <w:rsid w:val="003F7FE6"/>
    <w:rsid w:val="0040018E"/>
    <w:rsid w:val="00400193"/>
    <w:rsid w:val="00402D94"/>
    <w:rsid w:val="00403B94"/>
    <w:rsid w:val="00403C08"/>
    <w:rsid w:val="00407D16"/>
    <w:rsid w:val="0041005F"/>
    <w:rsid w:val="00412039"/>
    <w:rsid w:val="00412AD2"/>
    <w:rsid w:val="004130C3"/>
    <w:rsid w:val="004179C7"/>
    <w:rsid w:val="00420A14"/>
    <w:rsid w:val="00421145"/>
    <w:rsid w:val="004212E7"/>
    <w:rsid w:val="0042209C"/>
    <w:rsid w:val="00422C85"/>
    <w:rsid w:val="004232DD"/>
    <w:rsid w:val="0042446D"/>
    <w:rsid w:val="00424AA9"/>
    <w:rsid w:val="00425722"/>
    <w:rsid w:val="004269A6"/>
    <w:rsid w:val="004278F7"/>
    <w:rsid w:val="00427BF8"/>
    <w:rsid w:val="00430BBD"/>
    <w:rsid w:val="004310E2"/>
    <w:rsid w:val="00431C02"/>
    <w:rsid w:val="00431D38"/>
    <w:rsid w:val="004348C3"/>
    <w:rsid w:val="00435F41"/>
    <w:rsid w:val="00437395"/>
    <w:rsid w:val="00441640"/>
    <w:rsid w:val="004427D4"/>
    <w:rsid w:val="00442B2F"/>
    <w:rsid w:val="00443C2D"/>
    <w:rsid w:val="004445C1"/>
    <w:rsid w:val="00444C2C"/>
    <w:rsid w:val="00445047"/>
    <w:rsid w:val="0044538E"/>
    <w:rsid w:val="00450597"/>
    <w:rsid w:val="0045096B"/>
    <w:rsid w:val="00451493"/>
    <w:rsid w:val="00451831"/>
    <w:rsid w:val="00452B51"/>
    <w:rsid w:val="004539AB"/>
    <w:rsid w:val="00453F30"/>
    <w:rsid w:val="0045406B"/>
    <w:rsid w:val="00455087"/>
    <w:rsid w:val="004560FC"/>
    <w:rsid w:val="0045748E"/>
    <w:rsid w:val="00460F7B"/>
    <w:rsid w:val="00463E39"/>
    <w:rsid w:val="004657FC"/>
    <w:rsid w:val="00466FDC"/>
    <w:rsid w:val="004703A3"/>
    <w:rsid w:val="00472017"/>
    <w:rsid w:val="00472342"/>
    <w:rsid w:val="004729A0"/>
    <w:rsid w:val="00472CF1"/>
    <w:rsid w:val="00472FD7"/>
    <w:rsid w:val="004730FA"/>
    <w:rsid w:val="004733F6"/>
    <w:rsid w:val="00474E69"/>
    <w:rsid w:val="004756E4"/>
    <w:rsid w:val="004761B3"/>
    <w:rsid w:val="00476DE7"/>
    <w:rsid w:val="004772D4"/>
    <w:rsid w:val="004776A1"/>
    <w:rsid w:val="0048019D"/>
    <w:rsid w:val="004811C4"/>
    <w:rsid w:val="004833EE"/>
    <w:rsid w:val="004840D0"/>
    <w:rsid w:val="004842B4"/>
    <w:rsid w:val="00484E5F"/>
    <w:rsid w:val="004858E8"/>
    <w:rsid w:val="00485EA3"/>
    <w:rsid w:val="004864B8"/>
    <w:rsid w:val="004871F9"/>
    <w:rsid w:val="00487600"/>
    <w:rsid w:val="00487F3E"/>
    <w:rsid w:val="004902E4"/>
    <w:rsid w:val="00491EF6"/>
    <w:rsid w:val="00492B5F"/>
    <w:rsid w:val="00492F53"/>
    <w:rsid w:val="004947AD"/>
    <w:rsid w:val="0049621B"/>
    <w:rsid w:val="00496648"/>
    <w:rsid w:val="00496AE7"/>
    <w:rsid w:val="00496F2C"/>
    <w:rsid w:val="00497A35"/>
    <w:rsid w:val="004A036A"/>
    <w:rsid w:val="004A195B"/>
    <w:rsid w:val="004A2422"/>
    <w:rsid w:val="004A43CB"/>
    <w:rsid w:val="004A4688"/>
    <w:rsid w:val="004A57A6"/>
    <w:rsid w:val="004B04C3"/>
    <w:rsid w:val="004B79D2"/>
    <w:rsid w:val="004C1895"/>
    <w:rsid w:val="004C2074"/>
    <w:rsid w:val="004C2458"/>
    <w:rsid w:val="004C2E82"/>
    <w:rsid w:val="004C4DD2"/>
    <w:rsid w:val="004C6D40"/>
    <w:rsid w:val="004C772C"/>
    <w:rsid w:val="004D0F46"/>
    <w:rsid w:val="004D432B"/>
    <w:rsid w:val="004D4E3B"/>
    <w:rsid w:val="004D5321"/>
    <w:rsid w:val="004D666A"/>
    <w:rsid w:val="004D79B1"/>
    <w:rsid w:val="004D7AED"/>
    <w:rsid w:val="004D7CBB"/>
    <w:rsid w:val="004E0C48"/>
    <w:rsid w:val="004E0EAC"/>
    <w:rsid w:val="004E2986"/>
    <w:rsid w:val="004E47AC"/>
    <w:rsid w:val="004E56E0"/>
    <w:rsid w:val="004E72C7"/>
    <w:rsid w:val="004F0C3C"/>
    <w:rsid w:val="004F2C39"/>
    <w:rsid w:val="004F433E"/>
    <w:rsid w:val="004F56A9"/>
    <w:rsid w:val="004F63FC"/>
    <w:rsid w:val="004F7B00"/>
    <w:rsid w:val="00500434"/>
    <w:rsid w:val="005008FB"/>
    <w:rsid w:val="005019E4"/>
    <w:rsid w:val="00501AC8"/>
    <w:rsid w:val="005025BD"/>
    <w:rsid w:val="0050291B"/>
    <w:rsid w:val="00505A92"/>
    <w:rsid w:val="00505AA4"/>
    <w:rsid w:val="00510037"/>
    <w:rsid w:val="00510A94"/>
    <w:rsid w:val="00510B46"/>
    <w:rsid w:val="00511EB0"/>
    <w:rsid w:val="005123BD"/>
    <w:rsid w:val="00515BC5"/>
    <w:rsid w:val="00517777"/>
    <w:rsid w:val="005203F1"/>
    <w:rsid w:val="00521BC3"/>
    <w:rsid w:val="005228FD"/>
    <w:rsid w:val="00526DD2"/>
    <w:rsid w:val="0052731E"/>
    <w:rsid w:val="0053109A"/>
    <w:rsid w:val="00531170"/>
    <w:rsid w:val="0053137C"/>
    <w:rsid w:val="00532E85"/>
    <w:rsid w:val="00533632"/>
    <w:rsid w:val="00534151"/>
    <w:rsid w:val="0053462F"/>
    <w:rsid w:val="005346CE"/>
    <w:rsid w:val="0053526A"/>
    <w:rsid w:val="00535E37"/>
    <w:rsid w:val="005363D0"/>
    <w:rsid w:val="00537940"/>
    <w:rsid w:val="0054251F"/>
    <w:rsid w:val="00544E50"/>
    <w:rsid w:val="00545F9C"/>
    <w:rsid w:val="00547B91"/>
    <w:rsid w:val="00550618"/>
    <w:rsid w:val="00550EF3"/>
    <w:rsid w:val="005516BE"/>
    <w:rsid w:val="005520D8"/>
    <w:rsid w:val="00552697"/>
    <w:rsid w:val="00556684"/>
    <w:rsid w:val="00556CF1"/>
    <w:rsid w:val="005604D2"/>
    <w:rsid w:val="005612AC"/>
    <w:rsid w:val="005621B3"/>
    <w:rsid w:val="005624DC"/>
    <w:rsid w:val="00566442"/>
    <w:rsid w:val="00566AFF"/>
    <w:rsid w:val="00566C62"/>
    <w:rsid w:val="00571346"/>
    <w:rsid w:val="0057158A"/>
    <w:rsid w:val="005715BF"/>
    <w:rsid w:val="005736AE"/>
    <w:rsid w:val="00575435"/>
    <w:rsid w:val="00575621"/>
    <w:rsid w:val="00575F58"/>
    <w:rsid w:val="005762A7"/>
    <w:rsid w:val="00577AE2"/>
    <w:rsid w:val="005829C1"/>
    <w:rsid w:val="00583D5E"/>
    <w:rsid w:val="00584691"/>
    <w:rsid w:val="00586D4F"/>
    <w:rsid w:val="005916D7"/>
    <w:rsid w:val="00592551"/>
    <w:rsid w:val="00593105"/>
    <w:rsid w:val="00593F44"/>
    <w:rsid w:val="005941B7"/>
    <w:rsid w:val="005948F0"/>
    <w:rsid w:val="005961A2"/>
    <w:rsid w:val="00596380"/>
    <w:rsid w:val="005963D3"/>
    <w:rsid w:val="00596DA7"/>
    <w:rsid w:val="0059781E"/>
    <w:rsid w:val="005979C4"/>
    <w:rsid w:val="005A1148"/>
    <w:rsid w:val="005A15D5"/>
    <w:rsid w:val="005A3229"/>
    <w:rsid w:val="005A4670"/>
    <w:rsid w:val="005A4A84"/>
    <w:rsid w:val="005A5463"/>
    <w:rsid w:val="005A61A5"/>
    <w:rsid w:val="005A698C"/>
    <w:rsid w:val="005A7992"/>
    <w:rsid w:val="005B1150"/>
    <w:rsid w:val="005B23AB"/>
    <w:rsid w:val="005B4FED"/>
    <w:rsid w:val="005C1D3C"/>
    <w:rsid w:val="005C36AC"/>
    <w:rsid w:val="005C477E"/>
    <w:rsid w:val="005C4895"/>
    <w:rsid w:val="005C4EB3"/>
    <w:rsid w:val="005D242A"/>
    <w:rsid w:val="005D2C7C"/>
    <w:rsid w:val="005D35EE"/>
    <w:rsid w:val="005D4D88"/>
    <w:rsid w:val="005D5523"/>
    <w:rsid w:val="005D6714"/>
    <w:rsid w:val="005D67D4"/>
    <w:rsid w:val="005E022F"/>
    <w:rsid w:val="005E0799"/>
    <w:rsid w:val="005E2BC9"/>
    <w:rsid w:val="005E32E6"/>
    <w:rsid w:val="005E3B13"/>
    <w:rsid w:val="005E4A84"/>
    <w:rsid w:val="005E6FC0"/>
    <w:rsid w:val="005F173B"/>
    <w:rsid w:val="005F5A80"/>
    <w:rsid w:val="005F5DC8"/>
    <w:rsid w:val="00600EEA"/>
    <w:rsid w:val="00601EFE"/>
    <w:rsid w:val="00603EBB"/>
    <w:rsid w:val="006044FF"/>
    <w:rsid w:val="00605D4C"/>
    <w:rsid w:val="00606E84"/>
    <w:rsid w:val="00607032"/>
    <w:rsid w:val="00607037"/>
    <w:rsid w:val="00607CC5"/>
    <w:rsid w:val="00610175"/>
    <w:rsid w:val="006102E5"/>
    <w:rsid w:val="00610D4E"/>
    <w:rsid w:val="00611E6B"/>
    <w:rsid w:val="00612085"/>
    <w:rsid w:val="006120D1"/>
    <w:rsid w:val="006127B0"/>
    <w:rsid w:val="006132ED"/>
    <w:rsid w:val="00613372"/>
    <w:rsid w:val="006138D3"/>
    <w:rsid w:val="00614545"/>
    <w:rsid w:val="00614678"/>
    <w:rsid w:val="006162A3"/>
    <w:rsid w:val="006232FA"/>
    <w:rsid w:val="006237FF"/>
    <w:rsid w:val="00625E0D"/>
    <w:rsid w:val="00630C5B"/>
    <w:rsid w:val="00630CCB"/>
    <w:rsid w:val="00630F4E"/>
    <w:rsid w:val="0063128F"/>
    <w:rsid w:val="00633014"/>
    <w:rsid w:val="0063437B"/>
    <w:rsid w:val="006346F6"/>
    <w:rsid w:val="00636698"/>
    <w:rsid w:val="006368E8"/>
    <w:rsid w:val="00636D52"/>
    <w:rsid w:val="00637485"/>
    <w:rsid w:val="00642E91"/>
    <w:rsid w:val="00643AC3"/>
    <w:rsid w:val="00644C35"/>
    <w:rsid w:val="00644D57"/>
    <w:rsid w:val="00644F53"/>
    <w:rsid w:val="00646254"/>
    <w:rsid w:val="00646719"/>
    <w:rsid w:val="006472DA"/>
    <w:rsid w:val="006519FE"/>
    <w:rsid w:val="006529D6"/>
    <w:rsid w:val="00653F1A"/>
    <w:rsid w:val="00654731"/>
    <w:rsid w:val="00654A0C"/>
    <w:rsid w:val="0065526E"/>
    <w:rsid w:val="00655ABC"/>
    <w:rsid w:val="00657336"/>
    <w:rsid w:val="00657D52"/>
    <w:rsid w:val="00657EA2"/>
    <w:rsid w:val="00660ED9"/>
    <w:rsid w:val="00660F19"/>
    <w:rsid w:val="00666F54"/>
    <w:rsid w:val="006673CA"/>
    <w:rsid w:val="00667540"/>
    <w:rsid w:val="00671749"/>
    <w:rsid w:val="00673C26"/>
    <w:rsid w:val="006750FF"/>
    <w:rsid w:val="006812AF"/>
    <w:rsid w:val="006825A9"/>
    <w:rsid w:val="00683067"/>
    <w:rsid w:val="0068327D"/>
    <w:rsid w:val="00684338"/>
    <w:rsid w:val="0068469A"/>
    <w:rsid w:val="006851D8"/>
    <w:rsid w:val="00687FB3"/>
    <w:rsid w:val="006907E5"/>
    <w:rsid w:val="00691DF9"/>
    <w:rsid w:val="0069204C"/>
    <w:rsid w:val="006929D0"/>
    <w:rsid w:val="00694AF0"/>
    <w:rsid w:val="00697394"/>
    <w:rsid w:val="00697DE9"/>
    <w:rsid w:val="006A08DE"/>
    <w:rsid w:val="006A13FD"/>
    <w:rsid w:val="006A18F8"/>
    <w:rsid w:val="006A1FB6"/>
    <w:rsid w:val="006A4880"/>
    <w:rsid w:val="006A4951"/>
    <w:rsid w:val="006A59BD"/>
    <w:rsid w:val="006A5C07"/>
    <w:rsid w:val="006A5E10"/>
    <w:rsid w:val="006A6E2E"/>
    <w:rsid w:val="006A7575"/>
    <w:rsid w:val="006B098C"/>
    <w:rsid w:val="006B0E9E"/>
    <w:rsid w:val="006B212E"/>
    <w:rsid w:val="006B4630"/>
    <w:rsid w:val="006B5AE4"/>
    <w:rsid w:val="006B6BCF"/>
    <w:rsid w:val="006B79CA"/>
    <w:rsid w:val="006C0E56"/>
    <w:rsid w:val="006C2E07"/>
    <w:rsid w:val="006C4851"/>
    <w:rsid w:val="006D0053"/>
    <w:rsid w:val="006D0E52"/>
    <w:rsid w:val="006D147E"/>
    <w:rsid w:val="006D1B1E"/>
    <w:rsid w:val="006D4054"/>
    <w:rsid w:val="006D447B"/>
    <w:rsid w:val="006D4B78"/>
    <w:rsid w:val="006D6290"/>
    <w:rsid w:val="006D6CF9"/>
    <w:rsid w:val="006D7DC0"/>
    <w:rsid w:val="006E02EC"/>
    <w:rsid w:val="006E042F"/>
    <w:rsid w:val="006E397E"/>
    <w:rsid w:val="006E40F1"/>
    <w:rsid w:val="006E4EE4"/>
    <w:rsid w:val="006E7D96"/>
    <w:rsid w:val="006E7EDA"/>
    <w:rsid w:val="006F2A9C"/>
    <w:rsid w:val="006F30DE"/>
    <w:rsid w:val="006F356C"/>
    <w:rsid w:val="006F57BB"/>
    <w:rsid w:val="006F5D99"/>
    <w:rsid w:val="006F680E"/>
    <w:rsid w:val="006F6E89"/>
    <w:rsid w:val="00701780"/>
    <w:rsid w:val="00702188"/>
    <w:rsid w:val="00703202"/>
    <w:rsid w:val="00704F54"/>
    <w:rsid w:val="00705497"/>
    <w:rsid w:val="00705F38"/>
    <w:rsid w:val="00706163"/>
    <w:rsid w:val="007077B9"/>
    <w:rsid w:val="00707DE2"/>
    <w:rsid w:val="00710425"/>
    <w:rsid w:val="00713118"/>
    <w:rsid w:val="00715393"/>
    <w:rsid w:val="00720FEE"/>
    <w:rsid w:val="007211B1"/>
    <w:rsid w:val="0072163D"/>
    <w:rsid w:val="00721A67"/>
    <w:rsid w:val="00721DCA"/>
    <w:rsid w:val="007245A7"/>
    <w:rsid w:val="00724A4D"/>
    <w:rsid w:val="00727C6F"/>
    <w:rsid w:val="007303FC"/>
    <w:rsid w:val="007309BC"/>
    <w:rsid w:val="00733117"/>
    <w:rsid w:val="0073683D"/>
    <w:rsid w:val="007418C7"/>
    <w:rsid w:val="00742271"/>
    <w:rsid w:val="00743560"/>
    <w:rsid w:val="00743F0A"/>
    <w:rsid w:val="007442C1"/>
    <w:rsid w:val="00744383"/>
    <w:rsid w:val="00745682"/>
    <w:rsid w:val="00745CE4"/>
    <w:rsid w:val="00746187"/>
    <w:rsid w:val="00746911"/>
    <w:rsid w:val="00747758"/>
    <w:rsid w:val="0075054C"/>
    <w:rsid w:val="00751311"/>
    <w:rsid w:val="00752493"/>
    <w:rsid w:val="007557E2"/>
    <w:rsid w:val="0075634D"/>
    <w:rsid w:val="00756D00"/>
    <w:rsid w:val="00757096"/>
    <w:rsid w:val="00757BFE"/>
    <w:rsid w:val="00761AE8"/>
    <w:rsid w:val="0076254F"/>
    <w:rsid w:val="0076262D"/>
    <w:rsid w:val="0076347C"/>
    <w:rsid w:val="007645D2"/>
    <w:rsid w:val="0076484A"/>
    <w:rsid w:val="00765636"/>
    <w:rsid w:val="00765CA8"/>
    <w:rsid w:val="00765EB7"/>
    <w:rsid w:val="0076668C"/>
    <w:rsid w:val="00770ACB"/>
    <w:rsid w:val="007717C5"/>
    <w:rsid w:val="00772266"/>
    <w:rsid w:val="00773B3F"/>
    <w:rsid w:val="00774325"/>
    <w:rsid w:val="00774E61"/>
    <w:rsid w:val="0077525B"/>
    <w:rsid w:val="00775829"/>
    <w:rsid w:val="007764D3"/>
    <w:rsid w:val="00777015"/>
    <w:rsid w:val="00777B79"/>
    <w:rsid w:val="007801F5"/>
    <w:rsid w:val="00782B18"/>
    <w:rsid w:val="00783CA4"/>
    <w:rsid w:val="007840AD"/>
    <w:rsid w:val="007842FB"/>
    <w:rsid w:val="007849B5"/>
    <w:rsid w:val="00784F5E"/>
    <w:rsid w:val="00785D1A"/>
    <w:rsid w:val="00786124"/>
    <w:rsid w:val="007869F8"/>
    <w:rsid w:val="00786ABB"/>
    <w:rsid w:val="007874E7"/>
    <w:rsid w:val="00787649"/>
    <w:rsid w:val="007911E2"/>
    <w:rsid w:val="0079133D"/>
    <w:rsid w:val="00791383"/>
    <w:rsid w:val="00791FB1"/>
    <w:rsid w:val="0079514B"/>
    <w:rsid w:val="00796733"/>
    <w:rsid w:val="00797C25"/>
    <w:rsid w:val="007A0C01"/>
    <w:rsid w:val="007A1441"/>
    <w:rsid w:val="007A2DC1"/>
    <w:rsid w:val="007A5042"/>
    <w:rsid w:val="007A7A78"/>
    <w:rsid w:val="007B2015"/>
    <w:rsid w:val="007B20E7"/>
    <w:rsid w:val="007B238C"/>
    <w:rsid w:val="007B26DC"/>
    <w:rsid w:val="007B2722"/>
    <w:rsid w:val="007B2DBB"/>
    <w:rsid w:val="007B6438"/>
    <w:rsid w:val="007C6E47"/>
    <w:rsid w:val="007C77CB"/>
    <w:rsid w:val="007D179C"/>
    <w:rsid w:val="007D2DA6"/>
    <w:rsid w:val="007D3319"/>
    <w:rsid w:val="007D335D"/>
    <w:rsid w:val="007D39FA"/>
    <w:rsid w:val="007D3B33"/>
    <w:rsid w:val="007D4550"/>
    <w:rsid w:val="007D5E4B"/>
    <w:rsid w:val="007D77D5"/>
    <w:rsid w:val="007E0067"/>
    <w:rsid w:val="007E2987"/>
    <w:rsid w:val="007E3314"/>
    <w:rsid w:val="007E35EA"/>
    <w:rsid w:val="007E43D3"/>
    <w:rsid w:val="007E4B03"/>
    <w:rsid w:val="007E7B05"/>
    <w:rsid w:val="007F00F7"/>
    <w:rsid w:val="007F04AB"/>
    <w:rsid w:val="007F0E19"/>
    <w:rsid w:val="007F10F2"/>
    <w:rsid w:val="007F1C06"/>
    <w:rsid w:val="007F2352"/>
    <w:rsid w:val="007F324B"/>
    <w:rsid w:val="007F5C8B"/>
    <w:rsid w:val="007F5F85"/>
    <w:rsid w:val="007F7D4E"/>
    <w:rsid w:val="008006DC"/>
    <w:rsid w:val="00801695"/>
    <w:rsid w:val="008020DE"/>
    <w:rsid w:val="0080417D"/>
    <w:rsid w:val="0080553C"/>
    <w:rsid w:val="00805B46"/>
    <w:rsid w:val="00806A3A"/>
    <w:rsid w:val="00806B6F"/>
    <w:rsid w:val="00806FD2"/>
    <w:rsid w:val="00807502"/>
    <w:rsid w:val="00807D81"/>
    <w:rsid w:val="00813D7E"/>
    <w:rsid w:val="00813DC4"/>
    <w:rsid w:val="0081400D"/>
    <w:rsid w:val="00815520"/>
    <w:rsid w:val="00815967"/>
    <w:rsid w:val="00816AAA"/>
    <w:rsid w:val="00817052"/>
    <w:rsid w:val="00817CCD"/>
    <w:rsid w:val="0082126A"/>
    <w:rsid w:val="00821E99"/>
    <w:rsid w:val="00821EA7"/>
    <w:rsid w:val="008220EF"/>
    <w:rsid w:val="00825DC2"/>
    <w:rsid w:val="00826E51"/>
    <w:rsid w:val="008315CF"/>
    <w:rsid w:val="00834468"/>
    <w:rsid w:val="00834AD3"/>
    <w:rsid w:val="008360B1"/>
    <w:rsid w:val="008361E5"/>
    <w:rsid w:val="008367C9"/>
    <w:rsid w:val="008371A1"/>
    <w:rsid w:val="00843795"/>
    <w:rsid w:val="008447FB"/>
    <w:rsid w:val="00844F2F"/>
    <w:rsid w:val="00845F82"/>
    <w:rsid w:val="00846FA3"/>
    <w:rsid w:val="00847F0F"/>
    <w:rsid w:val="00850A55"/>
    <w:rsid w:val="0085158C"/>
    <w:rsid w:val="00852448"/>
    <w:rsid w:val="008551AA"/>
    <w:rsid w:val="00855D77"/>
    <w:rsid w:val="008609E0"/>
    <w:rsid w:val="00861773"/>
    <w:rsid w:val="008619A9"/>
    <w:rsid w:val="0086228C"/>
    <w:rsid w:val="0086298D"/>
    <w:rsid w:val="008643C0"/>
    <w:rsid w:val="0086504C"/>
    <w:rsid w:val="0086747F"/>
    <w:rsid w:val="00872E73"/>
    <w:rsid w:val="00874263"/>
    <w:rsid w:val="00876DDE"/>
    <w:rsid w:val="00881CBB"/>
    <w:rsid w:val="0088258A"/>
    <w:rsid w:val="008825E4"/>
    <w:rsid w:val="00883EFE"/>
    <w:rsid w:val="00885BB4"/>
    <w:rsid w:val="00886332"/>
    <w:rsid w:val="00890DBD"/>
    <w:rsid w:val="00891B9E"/>
    <w:rsid w:val="00894BE4"/>
    <w:rsid w:val="008958A8"/>
    <w:rsid w:val="00896319"/>
    <w:rsid w:val="00896486"/>
    <w:rsid w:val="008967C6"/>
    <w:rsid w:val="00897491"/>
    <w:rsid w:val="00897923"/>
    <w:rsid w:val="008A0D74"/>
    <w:rsid w:val="008A221A"/>
    <w:rsid w:val="008A26D9"/>
    <w:rsid w:val="008A3C0A"/>
    <w:rsid w:val="008A3ED7"/>
    <w:rsid w:val="008A598A"/>
    <w:rsid w:val="008A68F9"/>
    <w:rsid w:val="008A7334"/>
    <w:rsid w:val="008A7F37"/>
    <w:rsid w:val="008B2AA1"/>
    <w:rsid w:val="008B42AE"/>
    <w:rsid w:val="008B42EC"/>
    <w:rsid w:val="008B569F"/>
    <w:rsid w:val="008C0C29"/>
    <w:rsid w:val="008C24C0"/>
    <w:rsid w:val="008C2F34"/>
    <w:rsid w:val="008C3664"/>
    <w:rsid w:val="008C4877"/>
    <w:rsid w:val="008C489C"/>
    <w:rsid w:val="008C6BF3"/>
    <w:rsid w:val="008D105E"/>
    <w:rsid w:val="008D1F04"/>
    <w:rsid w:val="008D3718"/>
    <w:rsid w:val="008D3E42"/>
    <w:rsid w:val="008D49B2"/>
    <w:rsid w:val="008D4ABA"/>
    <w:rsid w:val="008D5067"/>
    <w:rsid w:val="008D50D3"/>
    <w:rsid w:val="008E1075"/>
    <w:rsid w:val="008E1770"/>
    <w:rsid w:val="008E23A6"/>
    <w:rsid w:val="008E3166"/>
    <w:rsid w:val="008E3C73"/>
    <w:rsid w:val="008E5817"/>
    <w:rsid w:val="008E79E3"/>
    <w:rsid w:val="008F05DC"/>
    <w:rsid w:val="008F2519"/>
    <w:rsid w:val="008F3638"/>
    <w:rsid w:val="008F3C0F"/>
    <w:rsid w:val="008F5629"/>
    <w:rsid w:val="008F6F31"/>
    <w:rsid w:val="008F7311"/>
    <w:rsid w:val="008F74DF"/>
    <w:rsid w:val="00901F3A"/>
    <w:rsid w:val="00902145"/>
    <w:rsid w:val="00903E49"/>
    <w:rsid w:val="00907B40"/>
    <w:rsid w:val="0091025D"/>
    <w:rsid w:val="009107B5"/>
    <w:rsid w:val="00910BBB"/>
    <w:rsid w:val="00910D7A"/>
    <w:rsid w:val="00910F71"/>
    <w:rsid w:val="009127BA"/>
    <w:rsid w:val="00912EFD"/>
    <w:rsid w:val="00912FC7"/>
    <w:rsid w:val="00914BE1"/>
    <w:rsid w:val="009154E3"/>
    <w:rsid w:val="00916DF4"/>
    <w:rsid w:val="00920DD0"/>
    <w:rsid w:val="00920E95"/>
    <w:rsid w:val="00922409"/>
    <w:rsid w:val="009227A6"/>
    <w:rsid w:val="00923BFE"/>
    <w:rsid w:val="009249BE"/>
    <w:rsid w:val="009255D6"/>
    <w:rsid w:val="00926199"/>
    <w:rsid w:val="00927F3B"/>
    <w:rsid w:val="00931687"/>
    <w:rsid w:val="0093275E"/>
    <w:rsid w:val="0093368A"/>
    <w:rsid w:val="009337E5"/>
    <w:rsid w:val="00933EC1"/>
    <w:rsid w:val="0093521B"/>
    <w:rsid w:val="00935C7E"/>
    <w:rsid w:val="00936E36"/>
    <w:rsid w:val="00936F8C"/>
    <w:rsid w:val="009370B1"/>
    <w:rsid w:val="009408CE"/>
    <w:rsid w:val="00940F29"/>
    <w:rsid w:val="00943D8D"/>
    <w:rsid w:val="00944554"/>
    <w:rsid w:val="00944DB2"/>
    <w:rsid w:val="00947500"/>
    <w:rsid w:val="00951205"/>
    <w:rsid w:val="009527B3"/>
    <w:rsid w:val="009530DB"/>
    <w:rsid w:val="00953676"/>
    <w:rsid w:val="00954EA2"/>
    <w:rsid w:val="00961C09"/>
    <w:rsid w:val="009626BA"/>
    <w:rsid w:val="00963EBE"/>
    <w:rsid w:val="00963F60"/>
    <w:rsid w:val="00964C41"/>
    <w:rsid w:val="00965117"/>
    <w:rsid w:val="009654F4"/>
    <w:rsid w:val="009668E9"/>
    <w:rsid w:val="00966E0D"/>
    <w:rsid w:val="009705EE"/>
    <w:rsid w:val="00971215"/>
    <w:rsid w:val="00971603"/>
    <w:rsid w:val="00972A6B"/>
    <w:rsid w:val="00973A7A"/>
    <w:rsid w:val="00975A99"/>
    <w:rsid w:val="00975F91"/>
    <w:rsid w:val="00976E09"/>
    <w:rsid w:val="00977927"/>
    <w:rsid w:val="0098135C"/>
    <w:rsid w:val="0098156A"/>
    <w:rsid w:val="009841D8"/>
    <w:rsid w:val="0098480E"/>
    <w:rsid w:val="00985495"/>
    <w:rsid w:val="0098614D"/>
    <w:rsid w:val="009872E1"/>
    <w:rsid w:val="00987783"/>
    <w:rsid w:val="00991BAC"/>
    <w:rsid w:val="00991FD2"/>
    <w:rsid w:val="009937E6"/>
    <w:rsid w:val="00995182"/>
    <w:rsid w:val="00997452"/>
    <w:rsid w:val="009A0155"/>
    <w:rsid w:val="009A09F8"/>
    <w:rsid w:val="009A1E3B"/>
    <w:rsid w:val="009A405F"/>
    <w:rsid w:val="009A6EA0"/>
    <w:rsid w:val="009A79FC"/>
    <w:rsid w:val="009A7BC8"/>
    <w:rsid w:val="009A7FA5"/>
    <w:rsid w:val="009B02CE"/>
    <w:rsid w:val="009B12A9"/>
    <w:rsid w:val="009B2454"/>
    <w:rsid w:val="009C03FB"/>
    <w:rsid w:val="009C1335"/>
    <w:rsid w:val="009C1AB2"/>
    <w:rsid w:val="009C2168"/>
    <w:rsid w:val="009C2C55"/>
    <w:rsid w:val="009C4582"/>
    <w:rsid w:val="009C7251"/>
    <w:rsid w:val="009D1087"/>
    <w:rsid w:val="009D128C"/>
    <w:rsid w:val="009D3AF1"/>
    <w:rsid w:val="009D5BC1"/>
    <w:rsid w:val="009D5D5E"/>
    <w:rsid w:val="009D7E92"/>
    <w:rsid w:val="009E06D1"/>
    <w:rsid w:val="009E0F86"/>
    <w:rsid w:val="009E0FC4"/>
    <w:rsid w:val="009E163E"/>
    <w:rsid w:val="009E1994"/>
    <w:rsid w:val="009E1DD7"/>
    <w:rsid w:val="009E25B8"/>
    <w:rsid w:val="009E2B2E"/>
    <w:rsid w:val="009E2E91"/>
    <w:rsid w:val="009E71FD"/>
    <w:rsid w:val="009E7961"/>
    <w:rsid w:val="009F32BE"/>
    <w:rsid w:val="009F3AFA"/>
    <w:rsid w:val="009F44A3"/>
    <w:rsid w:val="009F7D1D"/>
    <w:rsid w:val="00A02A49"/>
    <w:rsid w:val="00A04266"/>
    <w:rsid w:val="00A05126"/>
    <w:rsid w:val="00A05BF7"/>
    <w:rsid w:val="00A0656F"/>
    <w:rsid w:val="00A10CE2"/>
    <w:rsid w:val="00A110B5"/>
    <w:rsid w:val="00A113AD"/>
    <w:rsid w:val="00A12370"/>
    <w:rsid w:val="00A12A10"/>
    <w:rsid w:val="00A139F5"/>
    <w:rsid w:val="00A141EF"/>
    <w:rsid w:val="00A159B9"/>
    <w:rsid w:val="00A15E73"/>
    <w:rsid w:val="00A170E2"/>
    <w:rsid w:val="00A17A60"/>
    <w:rsid w:val="00A2001D"/>
    <w:rsid w:val="00A23461"/>
    <w:rsid w:val="00A241F9"/>
    <w:rsid w:val="00A260F7"/>
    <w:rsid w:val="00A30007"/>
    <w:rsid w:val="00A31158"/>
    <w:rsid w:val="00A31177"/>
    <w:rsid w:val="00A33647"/>
    <w:rsid w:val="00A35273"/>
    <w:rsid w:val="00A35D75"/>
    <w:rsid w:val="00A365F4"/>
    <w:rsid w:val="00A40483"/>
    <w:rsid w:val="00A421C4"/>
    <w:rsid w:val="00A4294A"/>
    <w:rsid w:val="00A448F4"/>
    <w:rsid w:val="00A4689F"/>
    <w:rsid w:val="00A47105"/>
    <w:rsid w:val="00A47D80"/>
    <w:rsid w:val="00A5076E"/>
    <w:rsid w:val="00A51C40"/>
    <w:rsid w:val="00A52749"/>
    <w:rsid w:val="00A53132"/>
    <w:rsid w:val="00A5368C"/>
    <w:rsid w:val="00A53E73"/>
    <w:rsid w:val="00A54170"/>
    <w:rsid w:val="00A55752"/>
    <w:rsid w:val="00A563F2"/>
    <w:rsid w:val="00A566E8"/>
    <w:rsid w:val="00A6078E"/>
    <w:rsid w:val="00A6135D"/>
    <w:rsid w:val="00A6431C"/>
    <w:rsid w:val="00A6492B"/>
    <w:rsid w:val="00A65131"/>
    <w:rsid w:val="00A70BAF"/>
    <w:rsid w:val="00A70FEA"/>
    <w:rsid w:val="00A732C4"/>
    <w:rsid w:val="00A74244"/>
    <w:rsid w:val="00A754D5"/>
    <w:rsid w:val="00A76E58"/>
    <w:rsid w:val="00A770E2"/>
    <w:rsid w:val="00A810F9"/>
    <w:rsid w:val="00A83197"/>
    <w:rsid w:val="00A8340F"/>
    <w:rsid w:val="00A83D72"/>
    <w:rsid w:val="00A86ECC"/>
    <w:rsid w:val="00A86FCC"/>
    <w:rsid w:val="00A91596"/>
    <w:rsid w:val="00A915F0"/>
    <w:rsid w:val="00A920A9"/>
    <w:rsid w:val="00A92CA4"/>
    <w:rsid w:val="00A92FE1"/>
    <w:rsid w:val="00A93631"/>
    <w:rsid w:val="00A9412D"/>
    <w:rsid w:val="00A95309"/>
    <w:rsid w:val="00A96E1C"/>
    <w:rsid w:val="00AA2AF8"/>
    <w:rsid w:val="00AA53AD"/>
    <w:rsid w:val="00AA5EEE"/>
    <w:rsid w:val="00AA64B3"/>
    <w:rsid w:val="00AA710D"/>
    <w:rsid w:val="00AB1505"/>
    <w:rsid w:val="00AB2B16"/>
    <w:rsid w:val="00AB49A9"/>
    <w:rsid w:val="00AB4EBB"/>
    <w:rsid w:val="00AB4FDA"/>
    <w:rsid w:val="00AB6D25"/>
    <w:rsid w:val="00AB7780"/>
    <w:rsid w:val="00AB783C"/>
    <w:rsid w:val="00AC14FD"/>
    <w:rsid w:val="00AC1DB6"/>
    <w:rsid w:val="00AC4E61"/>
    <w:rsid w:val="00AC6394"/>
    <w:rsid w:val="00AC6D4B"/>
    <w:rsid w:val="00AD13B6"/>
    <w:rsid w:val="00AD1A8C"/>
    <w:rsid w:val="00AD3970"/>
    <w:rsid w:val="00AD7788"/>
    <w:rsid w:val="00AD7EA5"/>
    <w:rsid w:val="00AD7F87"/>
    <w:rsid w:val="00AE0482"/>
    <w:rsid w:val="00AE1025"/>
    <w:rsid w:val="00AE2D4B"/>
    <w:rsid w:val="00AE41AA"/>
    <w:rsid w:val="00AE4F99"/>
    <w:rsid w:val="00AE6A3C"/>
    <w:rsid w:val="00AE739C"/>
    <w:rsid w:val="00AE765A"/>
    <w:rsid w:val="00AF17C8"/>
    <w:rsid w:val="00AF31D5"/>
    <w:rsid w:val="00AF7099"/>
    <w:rsid w:val="00B009DC"/>
    <w:rsid w:val="00B00A0F"/>
    <w:rsid w:val="00B0129F"/>
    <w:rsid w:val="00B0270F"/>
    <w:rsid w:val="00B02982"/>
    <w:rsid w:val="00B0401A"/>
    <w:rsid w:val="00B06255"/>
    <w:rsid w:val="00B0752C"/>
    <w:rsid w:val="00B10FAA"/>
    <w:rsid w:val="00B110D1"/>
    <w:rsid w:val="00B11310"/>
    <w:rsid w:val="00B11B36"/>
    <w:rsid w:val="00B146F1"/>
    <w:rsid w:val="00B14952"/>
    <w:rsid w:val="00B16590"/>
    <w:rsid w:val="00B20266"/>
    <w:rsid w:val="00B21110"/>
    <w:rsid w:val="00B2132E"/>
    <w:rsid w:val="00B215B7"/>
    <w:rsid w:val="00B21D49"/>
    <w:rsid w:val="00B21EF4"/>
    <w:rsid w:val="00B22813"/>
    <w:rsid w:val="00B22A94"/>
    <w:rsid w:val="00B22DB1"/>
    <w:rsid w:val="00B237C7"/>
    <w:rsid w:val="00B24500"/>
    <w:rsid w:val="00B2475F"/>
    <w:rsid w:val="00B24778"/>
    <w:rsid w:val="00B248FB"/>
    <w:rsid w:val="00B24B48"/>
    <w:rsid w:val="00B253D4"/>
    <w:rsid w:val="00B26341"/>
    <w:rsid w:val="00B26543"/>
    <w:rsid w:val="00B26FC1"/>
    <w:rsid w:val="00B272A5"/>
    <w:rsid w:val="00B27B6E"/>
    <w:rsid w:val="00B31E5A"/>
    <w:rsid w:val="00B32C73"/>
    <w:rsid w:val="00B33D25"/>
    <w:rsid w:val="00B33E36"/>
    <w:rsid w:val="00B35FFB"/>
    <w:rsid w:val="00B3697B"/>
    <w:rsid w:val="00B41DE5"/>
    <w:rsid w:val="00B4203E"/>
    <w:rsid w:val="00B426B1"/>
    <w:rsid w:val="00B426F3"/>
    <w:rsid w:val="00B428BF"/>
    <w:rsid w:val="00B429A1"/>
    <w:rsid w:val="00B44A50"/>
    <w:rsid w:val="00B44FF0"/>
    <w:rsid w:val="00B45ECA"/>
    <w:rsid w:val="00B46B29"/>
    <w:rsid w:val="00B46EEA"/>
    <w:rsid w:val="00B47EBC"/>
    <w:rsid w:val="00B52643"/>
    <w:rsid w:val="00B54CB2"/>
    <w:rsid w:val="00B54F03"/>
    <w:rsid w:val="00B55198"/>
    <w:rsid w:val="00B557B2"/>
    <w:rsid w:val="00B5761B"/>
    <w:rsid w:val="00B60641"/>
    <w:rsid w:val="00B606FD"/>
    <w:rsid w:val="00B60A14"/>
    <w:rsid w:val="00B6129D"/>
    <w:rsid w:val="00B613E7"/>
    <w:rsid w:val="00B624F6"/>
    <w:rsid w:val="00B62EF4"/>
    <w:rsid w:val="00B642C0"/>
    <w:rsid w:val="00B653AB"/>
    <w:rsid w:val="00B65A33"/>
    <w:rsid w:val="00B65F9E"/>
    <w:rsid w:val="00B66B19"/>
    <w:rsid w:val="00B66EEC"/>
    <w:rsid w:val="00B673B3"/>
    <w:rsid w:val="00B679E3"/>
    <w:rsid w:val="00B74060"/>
    <w:rsid w:val="00B7710D"/>
    <w:rsid w:val="00B82259"/>
    <w:rsid w:val="00B828B9"/>
    <w:rsid w:val="00B82AF2"/>
    <w:rsid w:val="00B83442"/>
    <w:rsid w:val="00B83D3F"/>
    <w:rsid w:val="00B8543C"/>
    <w:rsid w:val="00B87204"/>
    <w:rsid w:val="00B914E9"/>
    <w:rsid w:val="00B92A68"/>
    <w:rsid w:val="00B94DF6"/>
    <w:rsid w:val="00B94F0D"/>
    <w:rsid w:val="00B94FC5"/>
    <w:rsid w:val="00B956EE"/>
    <w:rsid w:val="00BA0704"/>
    <w:rsid w:val="00BA0789"/>
    <w:rsid w:val="00BA2BA1"/>
    <w:rsid w:val="00BA3921"/>
    <w:rsid w:val="00BA4645"/>
    <w:rsid w:val="00BA5AD7"/>
    <w:rsid w:val="00BA5E0E"/>
    <w:rsid w:val="00BA6EFE"/>
    <w:rsid w:val="00BA7C85"/>
    <w:rsid w:val="00BB0201"/>
    <w:rsid w:val="00BB1959"/>
    <w:rsid w:val="00BB36B7"/>
    <w:rsid w:val="00BB36F6"/>
    <w:rsid w:val="00BB4D93"/>
    <w:rsid w:val="00BB4E2A"/>
    <w:rsid w:val="00BB4F09"/>
    <w:rsid w:val="00BB7F16"/>
    <w:rsid w:val="00BC0EAA"/>
    <w:rsid w:val="00BC10D0"/>
    <w:rsid w:val="00BC2085"/>
    <w:rsid w:val="00BC3087"/>
    <w:rsid w:val="00BC39F5"/>
    <w:rsid w:val="00BC4D09"/>
    <w:rsid w:val="00BD0892"/>
    <w:rsid w:val="00BD159E"/>
    <w:rsid w:val="00BD279E"/>
    <w:rsid w:val="00BD3F4A"/>
    <w:rsid w:val="00BD4544"/>
    <w:rsid w:val="00BD4E33"/>
    <w:rsid w:val="00BD574D"/>
    <w:rsid w:val="00BD6675"/>
    <w:rsid w:val="00BD6FBC"/>
    <w:rsid w:val="00BE040E"/>
    <w:rsid w:val="00BE0B2B"/>
    <w:rsid w:val="00BE5637"/>
    <w:rsid w:val="00BE59C4"/>
    <w:rsid w:val="00BE6BA1"/>
    <w:rsid w:val="00BF0F65"/>
    <w:rsid w:val="00BF3857"/>
    <w:rsid w:val="00BF3B03"/>
    <w:rsid w:val="00BF6117"/>
    <w:rsid w:val="00BF7F96"/>
    <w:rsid w:val="00C01C26"/>
    <w:rsid w:val="00C02BBF"/>
    <w:rsid w:val="00C030DE"/>
    <w:rsid w:val="00C06264"/>
    <w:rsid w:val="00C06964"/>
    <w:rsid w:val="00C10FD8"/>
    <w:rsid w:val="00C13661"/>
    <w:rsid w:val="00C13DC2"/>
    <w:rsid w:val="00C13DEC"/>
    <w:rsid w:val="00C14FE8"/>
    <w:rsid w:val="00C152D9"/>
    <w:rsid w:val="00C16D9C"/>
    <w:rsid w:val="00C17A0A"/>
    <w:rsid w:val="00C20984"/>
    <w:rsid w:val="00C22105"/>
    <w:rsid w:val="00C222EC"/>
    <w:rsid w:val="00C23714"/>
    <w:rsid w:val="00C23BC6"/>
    <w:rsid w:val="00C244B6"/>
    <w:rsid w:val="00C24560"/>
    <w:rsid w:val="00C248FC"/>
    <w:rsid w:val="00C30293"/>
    <w:rsid w:val="00C30376"/>
    <w:rsid w:val="00C30AA6"/>
    <w:rsid w:val="00C320D4"/>
    <w:rsid w:val="00C32E47"/>
    <w:rsid w:val="00C33EB3"/>
    <w:rsid w:val="00C3702F"/>
    <w:rsid w:val="00C420F4"/>
    <w:rsid w:val="00C44CC4"/>
    <w:rsid w:val="00C45424"/>
    <w:rsid w:val="00C46F2A"/>
    <w:rsid w:val="00C471BE"/>
    <w:rsid w:val="00C52E37"/>
    <w:rsid w:val="00C54611"/>
    <w:rsid w:val="00C54D8B"/>
    <w:rsid w:val="00C56302"/>
    <w:rsid w:val="00C62875"/>
    <w:rsid w:val="00C640EA"/>
    <w:rsid w:val="00C64A37"/>
    <w:rsid w:val="00C64AE8"/>
    <w:rsid w:val="00C6514D"/>
    <w:rsid w:val="00C65271"/>
    <w:rsid w:val="00C65BFC"/>
    <w:rsid w:val="00C65EF0"/>
    <w:rsid w:val="00C66321"/>
    <w:rsid w:val="00C675B9"/>
    <w:rsid w:val="00C703C8"/>
    <w:rsid w:val="00C7158E"/>
    <w:rsid w:val="00C72001"/>
    <w:rsid w:val="00C723F9"/>
    <w:rsid w:val="00C7250B"/>
    <w:rsid w:val="00C7346B"/>
    <w:rsid w:val="00C74B0A"/>
    <w:rsid w:val="00C75ED0"/>
    <w:rsid w:val="00C76726"/>
    <w:rsid w:val="00C77C0E"/>
    <w:rsid w:val="00C77E9D"/>
    <w:rsid w:val="00C80B0D"/>
    <w:rsid w:val="00C824D7"/>
    <w:rsid w:val="00C83267"/>
    <w:rsid w:val="00C83B94"/>
    <w:rsid w:val="00C85EAB"/>
    <w:rsid w:val="00C861AE"/>
    <w:rsid w:val="00C86AE4"/>
    <w:rsid w:val="00C87DFE"/>
    <w:rsid w:val="00C90426"/>
    <w:rsid w:val="00C91687"/>
    <w:rsid w:val="00C91D54"/>
    <w:rsid w:val="00C9239F"/>
    <w:rsid w:val="00C924A8"/>
    <w:rsid w:val="00C945FE"/>
    <w:rsid w:val="00C95460"/>
    <w:rsid w:val="00C96FAA"/>
    <w:rsid w:val="00C97A04"/>
    <w:rsid w:val="00CA107B"/>
    <w:rsid w:val="00CA484D"/>
    <w:rsid w:val="00CA4BBD"/>
    <w:rsid w:val="00CA616F"/>
    <w:rsid w:val="00CA741B"/>
    <w:rsid w:val="00CA745A"/>
    <w:rsid w:val="00CB08B8"/>
    <w:rsid w:val="00CB2699"/>
    <w:rsid w:val="00CB2C49"/>
    <w:rsid w:val="00CB4AC5"/>
    <w:rsid w:val="00CB4F71"/>
    <w:rsid w:val="00CB61A1"/>
    <w:rsid w:val="00CC1974"/>
    <w:rsid w:val="00CC2931"/>
    <w:rsid w:val="00CC4C5E"/>
    <w:rsid w:val="00CC5BB7"/>
    <w:rsid w:val="00CC65EE"/>
    <w:rsid w:val="00CC739E"/>
    <w:rsid w:val="00CC783B"/>
    <w:rsid w:val="00CC7C84"/>
    <w:rsid w:val="00CD1400"/>
    <w:rsid w:val="00CD14EB"/>
    <w:rsid w:val="00CD34FC"/>
    <w:rsid w:val="00CD4ABD"/>
    <w:rsid w:val="00CD4FF4"/>
    <w:rsid w:val="00CD58B7"/>
    <w:rsid w:val="00CD6E74"/>
    <w:rsid w:val="00CD7EE0"/>
    <w:rsid w:val="00CE11BF"/>
    <w:rsid w:val="00CE189C"/>
    <w:rsid w:val="00CE49AE"/>
    <w:rsid w:val="00CE4DFB"/>
    <w:rsid w:val="00CE76F3"/>
    <w:rsid w:val="00CF0720"/>
    <w:rsid w:val="00CF13F0"/>
    <w:rsid w:val="00CF2276"/>
    <w:rsid w:val="00CF2604"/>
    <w:rsid w:val="00CF329F"/>
    <w:rsid w:val="00CF4099"/>
    <w:rsid w:val="00D00111"/>
    <w:rsid w:val="00D00796"/>
    <w:rsid w:val="00D056E0"/>
    <w:rsid w:val="00D06AB4"/>
    <w:rsid w:val="00D07759"/>
    <w:rsid w:val="00D077AF"/>
    <w:rsid w:val="00D07EAD"/>
    <w:rsid w:val="00D11F96"/>
    <w:rsid w:val="00D133C9"/>
    <w:rsid w:val="00D13D1B"/>
    <w:rsid w:val="00D144C1"/>
    <w:rsid w:val="00D14F03"/>
    <w:rsid w:val="00D17A05"/>
    <w:rsid w:val="00D22D40"/>
    <w:rsid w:val="00D238CA"/>
    <w:rsid w:val="00D23D30"/>
    <w:rsid w:val="00D261A2"/>
    <w:rsid w:val="00D26EC7"/>
    <w:rsid w:val="00D329C8"/>
    <w:rsid w:val="00D32FF5"/>
    <w:rsid w:val="00D35BD1"/>
    <w:rsid w:val="00D370E5"/>
    <w:rsid w:val="00D37BD4"/>
    <w:rsid w:val="00D37C9A"/>
    <w:rsid w:val="00D37EAB"/>
    <w:rsid w:val="00D40E3F"/>
    <w:rsid w:val="00D41D1F"/>
    <w:rsid w:val="00D41DF8"/>
    <w:rsid w:val="00D45D0F"/>
    <w:rsid w:val="00D56646"/>
    <w:rsid w:val="00D6156E"/>
    <w:rsid w:val="00D616D2"/>
    <w:rsid w:val="00D61F56"/>
    <w:rsid w:val="00D62271"/>
    <w:rsid w:val="00D622BA"/>
    <w:rsid w:val="00D633E6"/>
    <w:rsid w:val="00D63817"/>
    <w:rsid w:val="00D63B5F"/>
    <w:rsid w:val="00D63F1A"/>
    <w:rsid w:val="00D64F68"/>
    <w:rsid w:val="00D66065"/>
    <w:rsid w:val="00D6756A"/>
    <w:rsid w:val="00D70EF7"/>
    <w:rsid w:val="00D7139F"/>
    <w:rsid w:val="00D7282D"/>
    <w:rsid w:val="00D7421B"/>
    <w:rsid w:val="00D7465D"/>
    <w:rsid w:val="00D81D5D"/>
    <w:rsid w:val="00D820AC"/>
    <w:rsid w:val="00D823F9"/>
    <w:rsid w:val="00D83372"/>
    <w:rsid w:val="00D8397C"/>
    <w:rsid w:val="00D83C5E"/>
    <w:rsid w:val="00D8452D"/>
    <w:rsid w:val="00D8675E"/>
    <w:rsid w:val="00D9003D"/>
    <w:rsid w:val="00D913A2"/>
    <w:rsid w:val="00D92567"/>
    <w:rsid w:val="00D942F4"/>
    <w:rsid w:val="00D94EED"/>
    <w:rsid w:val="00D96026"/>
    <w:rsid w:val="00D9707F"/>
    <w:rsid w:val="00D975E7"/>
    <w:rsid w:val="00DA3D38"/>
    <w:rsid w:val="00DA714E"/>
    <w:rsid w:val="00DA76B8"/>
    <w:rsid w:val="00DA7C1C"/>
    <w:rsid w:val="00DB0D85"/>
    <w:rsid w:val="00DB0E73"/>
    <w:rsid w:val="00DB147A"/>
    <w:rsid w:val="00DB19CD"/>
    <w:rsid w:val="00DB1B7A"/>
    <w:rsid w:val="00DB1E6B"/>
    <w:rsid w:val="00DB2616"/>
    <w:rsid w:val="00DB301A"/>
    <w:rsid w:val="00DB4C63"/>
    <w:rsid w:val="00DB5D87"/>
    <w:rsid w:val="00DB62A0"/>
    <w:rsid w:val="00DB68E4"/>
    <w:rsid w:val="00DB73A1"/>
    <w:rsid w:val="00DC05C9"/>
    <w:rsid w:val="00DC0A20"/>
    <w:rsid w:val="00DC0D7D"/>
    <w:rsid w:val="00DC1C05"/>
    <w:rsid w:val="00DC3B97"/>
    <w:rsid w:val="00DC4313"/>
    <w:rsid w:val="00DC4B31"/>
    <w:rsid w:val="00DC6708"/>
    <w:rsid w:val="00DD04C6"/>
    <w:rsid w:val="00DD2F10"/>
    <w:rsid w:val="00DD3790"/>
    <w:rsid w:val="00DD3FE3"/>
    <w:rsid w:val="00DD4C5C"/>
    <w:rsid w:val="00DD501B"/>
    <w:rsid w:val="00DD5AF1"/>
    <w:rsid w:val="00DE12C8"/>
    <w:rsid w:val="00DE1F74"/>
    <w:rsid w:val="00DE3257"/>
    <w:rsid w:val="00DE341C"/>
    <w:rsid w:val="00DE3627"/>
    <w:rsid w:val="00DE4C1A"/>
    <w:rsid w:val="00DE6981"/>
    <w:rsid w:val="00DE6B29"/>
    <w:rsid w:val="00DE7595"/>
    <w:rsid w:val="00DF0A85"/>
    <w:rsid w:val="00DF1059"/>
    <w:rsid w:val="00DF197B"/>
    <w:rsid w:val="00DF28B5"/>
    <w:rsid w:val="00DF4CA5"/>
    <w:rsid w:val="00E01436"/>
    <w:rsid w:val="00E0182B"/>
    <w:rsid w:val="00E01B6C"/>
    <w:rsid w:val="00E0258D"/>
    <w:rsid w:val="00E02783"/>
    <w:rsid w:val="00E028A4"/>
    <w:rsid w:val="00E03D9B"/>
    <w:rsid w:val="00E03F05"/>
    <w:rsid w:val="00E045BD"/>
    <w:rsid w:val="00E063D0"/>
    <w:rsid w:val="00E077E8"/>
    <w:rsid w:val="00E11459"/>
    <w:rsid w:val="00E11741"/>
    <w:rsid w:val="00E12358"/>
    <w:rsid w:val="00E13389"/>
    <w:rsid w:val="00E13803"/>
    <w:rsid w:val="00E17B77"/>
    <w:rsid w:val="00E17FA7"/>
    <w:rsid w:val="00E21A58"/>
    <w:rsid w:val="00E22F70"/>
    <w:rsid w:val="00E23337"/>
    <w:rsid w:val="00E24F2B"/>
    <w:rsid w:val="00E259EA"/>
    <w:rsid w:val="00E27892"/>
    <w:rsid w:val="00E27ADA"/>
    <w:rsid w:val="00E30909"/>
    <w:rsid w:val="00E31608"/>
    <w:rsid w:val="00E32061"/>
    <w:rsid w:val="00E32275"/>
    <w:rsid w:val="00E33260"/>
    <w:rsid w:val="00E33659"/>
    <w:rsid w:val="00E34344"/>
    <w:rsid w:val="00E3757F"/>
    <w:rsid w:val="00E42FF9"/>
    <w:rsid w:val="00E4307F"/>
    <w:rsid w:val="00E44E30"/>
    <w:rsid w:val="00E469F6"/>
    <w:rsid w:val="00E4714C"/>
    <w:rsid w:val="00E474B4"/>
    <w:rsid w:val="00E47E50"/>
    <w:rsid w:val="00E51428"/>
    <w:rsid w:val="00E51AEB"/>
    <w:rsid w:val="00E522A7"/>
    <w:rsid w:val="00E52D57"/>
    <w:rsid w:val="00E53D07"/>
    <w:rsid w:val="00E54452"/>
    <w:rsid w:val="00E55262"/>
    <w:rsid w:val="00E57CE1"/>
    <w:rsid w:val="00E609D2"/>
    <w:rsid w:val="00E60E3F"/>
    <w:rsid w:val="00E61083"/>
    <w:rsid w:val="00E61554"/>
    <w:rsid w:val="00E63142"/>
    <w:rsid w:val="00E6323D"/>
    <w:rsid w:val="00E635A3"/>
    <w:rsid w:val="00E6490E"/>
    <w:rsid w:val="00E65E03"/>
    <w:rsid w:val="00E664C5"/>
    <w:rsid w:val="00E671A2"/>
    <w:rsid w:val="00E728CE"/>
    <w:rsid w:val="00E743F8"/>
    <w:rsid w:val="00E758A4"/>
    <w:rsid w:val="00E76D26"/>
    <w:rsid w:val="00E77FDF"/>
    <w:rsid w:val="00E830DA"/>
    <w:rsid w:val="00E848ED"/>
    <w:rsid w:val="00E84AB0"/>
    <w:rsid w:val="00E84D6C"/>
    <w:rsid w:val="00E8570F"/>
    <w:rsid w:val="00E914CF"/>
    <w:rsid w:val="00E92A28"/>
    <w:rsid w:val="00E93B35"/>
    <w:rsid w:val="00E94221"/>
    <w:rsid w:val="00E94D01"/>
    <w:rsid w:val="00E9657B"/>
    <w:rsid w:val="00E97157"/>
    <w:rsid w:val="00EA150C"/>
    <w:rsid w:val="00EA3A86"/>
    <w:rsid w:val="00EA435C"/>
    <w:rsid w:val="00EA4E24"/>
    <w:rsid w:val="00EA4F41"/>
    <w:rsid w:val="00EA67C1"/>
    <w:rsid w:val="00EA7600"/>
    <w:rsid w:val="00EB1390"/>
    <w:rsid w:val="00EB2ADF"/>
    <w:rsid w:val="00EB2C71"/>
    <w:rsid w:val="00EB34DD"/>
    <w:rsid w:val="00EB3CA7"/>
    <w:rsid w:val="00EB4340"/>
    <w:rsid w:val="00EB556D"/>
    <w:rsid w:val="00EB5A7D"/>
    <w:rsid w:val="00EB5DD1"/>
    <w:rsid w:val="00EB6170"/>
    <w:rsid w:val="00EC174A"/>
    <w:rsid w:val="00EC3B54"/>
    <w:rsid w:val="00EC3DD7"/>
    <w:rsid w:val="00EC43EC"/>
    <w:rsid w:val="00EC5497"/>
    <w:rsid w:val="00EC602C"/>
    <w:rsid w:val="00EC6682"/>
    <w:rsid w:val="00ED0667"/>
    <w:rsid w:val="00ED078A"/>
    <w:rsid w:val="00ED28C6"/>
    <w:rsid w:val="00ED2E7C"/>
    <w:rsid w:val="00ED4EF4"/>
    <w:rsid w:val="00ED55C0"/>
    <w:rsid w:val="00ED682B"/>
    <w:rsid w:val="00EE1911"/>
    <w:rsid w:val="00EE24B7"/>
    <w:rsid w:val="00EE316E"/>
    <w:rsid w:val="00EE41D5"/>
    <w:rsid w:val="00EE5618"/>
    <w:rsid w:val="00EE6097"/>
    <w:rsid w:val="00EE759F"/>
    <w:rsid w:val="00EE798F"/>
    <w:rsid w:val="00EE79E9"/>
    <w:rsid w:val="00EF232A"/>
    <w:rsid w:val="00EF3EBE"/>
    <w:rsid w:val="00EF450A"/>
    <w:rsid w:val="00EF4646"/>
    <w:rsid w:val="00EF6EE8"/>
    <w:rsid w:val="00F00DCA"/>
    <w:rsid w:val="00F01657"/>
    <w:rsid w:val="00F0245B"/>
    <w:rsid w:val="00F037A4"/>
    <w:rsid w:val="00F04EA0"/>
    <w:rsid w:val="00F06903"/>
    <w:rsid w:val="00F0795C"/>
    <w:rsid w:val="00F10D6E"/>
    <w:rsid w:val="00F13E45"/>
    <w:rsid w:val="00F147B5"/>
    <w:rsid w:val="00F159D2"/>
    <w:rsid w:val="00F168CF"/>
    <w:rsid w:val="00F24805"/>
    <w:rsid w:val="00F24930"/>
    <w:rsid w:val="00F25031"/>
    <w:rsid w:val="00F25FF9"/>
    <w:rsid w:val="00F276E1"/>
    <w:rsid w:val="00F27C8F"/>
    <w:rsid w:val="00F32749"/>
    <w:rsid w:val="00F34409"/>
    <w:rsid w:val="00F34622"/>
    <w:rsid w:val="00F35098"/>
    <w:rsid w:val="00F35399"/>
    <w:rsid w:val="00F356EA"/>
    <w:rsid w:val="00F35787"/>
    <w:rsid w:val="00F36054"/>
    <w:rsid w:val="00F36299"/>
    <w:rsid w:val="00F37172"/>
    <w:rsid w:val="00F41BB8"/>
    <w:rsid w:val="00F428CD"/>
    <w:rsid w:val="00F43CF0"/>
    <w:rsid w:val="00F44125"/>
    <w:rsid w:val="00F4477E"/>
    <w:rsid w:val="00F449CB"/>
    <w:rsid w:val="00F44AD9"/>
    <w:rsid w:val="00F45385"/>
    <w:rsid w:val="00F45CB7"/>
    <w:rsid w:val="00F46CE6"/>
    <w:rsid w:val="00F47D68"/>
    <w:rsid w:val="00F47EDC"/>
    <w:rsid w:val="00F500EC"/>
    <w:rsid w:val="00F51590"/>
    <w:rsid w:val="00F51BBE"/>
    <w:rsid w:val="00F52787"/>
    <w:rsid w:val="00F54F86"/>
    <w:rsid w:val="00F55867"/>
    <w:rsid w:val="00F57DFD"/>
    <w:rsid w:val="00F60649"/>
    <w:rsid w:val="00F60E0B"/>
    <w:rsid w:val="00F61D45"/>
    <w:rsid w:val="00F627F9"/>
    <w:rsid w:val="00F62B41"/>
    <w:rsid w:val="00F62F63"/>
    <w:rsid w:val="00F63172"/>
    <w:rsid w:val="00F64BE2"/>
    <w:rsid w:val="00F66054"/>
    <w:rsid w:val="00F661FE"/>
    <w:rsid w:val="00F66AE9"/>
    <w:rsid w:val="00F6700A"/>
    <w:rsid w:val="00F67D8F"/>
    <w:rsid w:val="00F70B57"/>
    <w:rsid w:val="00F716F7"/>
    <w:rsid w:val="00F74B12"/>
    <w:rsid w:val="00F76328"/>
    <w:rsid w:val="00F7798D"/>
    <w:rsid w:val="00F802BE"/>
    <w:rsid w:val="00F805F6"/>
    <w:rsid w:val="00F819B9"/>
    <w:rsid w:val="00F820E7"/>
    <w:rsid w:val="00F82B61"/>
    <w:rsid w:val="00F83024"/>
    <w:rsid w:val="00F83FE9"/>
    <w:rsid w:val="00F846F7"/>
    <w:rsid w:val="00F84AF6"/>
    <w:rsid w:val="00F86024"/>
    <w:rsid w:val="00F8611A"/>
    <w:rsid w:val="00F862A8"/>
    <w:rsid w:val="00F864E4"/>
    <w:rsid w:val="00F8684E"/>
    <w:rsid w:val="00F90B95"/>
    <w:rsid w:val="00F92A46"/>
    <w:rsid w:val="00F92B4E"/>
    <w:rsid w:val="00F9639C"/>
    <w:rsid w:val="00F97065"/>
    <w:rsid w:val="00FA2DC9"/>
    <w:rsid w:val="00FA33FD"/>
    <w:rsid w:val="00FA46A1"/>
    <w:rsid w:val="00FA5128"/>
    <w:rsid w:val="00FA6250"/>
    <w:rsid w:val="00FB0C25"/>
    <w:rsid w:val="00FB1509"/>
    <w:rsid w:val="00FB19D6"/>
    <w:rsid w:val="00FB2D31"/>
    <w:rsid w:val="00FB42D4"/>
    <w:rsid w:val="00FB5747"/>
    <w:rsid w:val="00FB58D7"/>
    <w:rsid w:val="00FB5906"/>
    <w:rsid w:val="00FB762F"/>
    <w:rsid w:val="00FB7631"/>
    <w:rsid w:val="00FC0C8C"/>
    <w:rsid w:val="00FC2AED"/>
    <w:rsid w:val="00FC413C"/>
    <w:rsid w:val="00FC48E4"/>
    <w:rsid w:val="00FC5245"/>
    <w:rsid w:val="00FC52FD"/>
    <w:rsid w:val="00FC5BA8"/>
    <w:rsid w:val="00FD1B1C"/>
    <w:rsid w:val="00FD2F06"/>
    <w:rsid w:val="00FD3276"/>
    <w:rsid w:val="00FD5ACE"/>
    <w:rsid w:val="00FD5EA7"/>
    <w:rsid w:val="00FD69A3"/>
    <w:rsid w:val="00FE0341"/>
    <w:rsid w:val="00FE0872"/>
    <w:rsid w:val="00FE278A"/>
    <w:rsid w:val="00FE728C"/>
    <w:rsid w:val="00FF06E6"/>
    <w:rsid w:val="00FF27EA"/>
    <w:rsid w:val="00FF31D1"/>
    <w:rsid w:val="00FF361C"/>
    <w:rsid w:val="00FF5056"/>
    <w:rsid w:val="00FF562A"/>
    <w:rsid w:val="00FF5802"/>
    <w:rsid w:val="00FF5B2E"/>
    <w:rsid w:val="00FF763A"/>
    <w:rsid w:val="00FF7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DDCC"/>
  <w15:docId w15:val="{4D389D86-820E-4E5F-BAE8-CAC60814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rzypisukocowego">
    <w:name w:val="endnote text"/>
    <w:basedOn w:val="Normalny"/>
    <w:link w:val="TekstprzypisukocowegoZnak"/>
    <w:uiPriority w:val="99"/>
    <w:semiHidden/>
    <w:unhideWhenUsed/>
    <w:rsid w:val="00C85EA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5EAB"/>
    <w:rPr>
      <w:rFonts w:ascii="Fira Sans" w:hAnsi="Fira Sans"/>
      <w:sz w:val="20"/>
      <w:szCs w:val="20"/>
    </w:rPr>
  </w:style>
  <w:style w:type="character" w:styleId="Odwoanieprzypisukocowego">
    <w:name w:val="endnote reference"/>
    <w:basedOn w:val="Domylnaczcionkaakapitu"/>
    <w:uiPriority w:val="99"/>
    <w:semiHidden/>
    <w:unhideWhenUsed/>
    <w:rsid w:val="00C85EAB"/>
    <w:rPr>
      <w:vertAlign w:val="superscript"/>
    </w:rPr>
  </w:style>
  <w:style w:type="character" w:styleId="Odwoaniedokomentarza">
    <w:name w:val="annotation reference"/>
    <w:basedOn w:val="Domylnaczcionkaakapitu"/>
    <w:uiPriority w:val="99"/>
    <w:semiHidden/>
    <w:unhideWhenUsed/>
    <w:rsid w:val="00222FC4"/>
    <w:rPr>
      <w:sz w:val="16"/>
      <w:szCs w:val="16"/>
    </w:rPr>
  </w:style>
  <w:style w:type="paragraph" w:styleId="Tekstkomentarza">
    <w:name w:val="annotation text"/>
    <w:basedOn w:val="Normalny"/>
    <w:link w:val="TekstkomentarzaZnak"/>
    <w:uiPriority w:val="99"/>
    <w:semiHidden/>
    <w:unhideWhenUsed/>
    <w:rsid w:val="00222F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2FC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222FC4"/>
    <w:rPr>
      <w:b/>
      <w:bCs/>
    </w:rPr>
  </w:style>
  <w:style w:type="character" w:customStyle="1" w:styleId="TematkomentarzaZnak">
    <w:name w:val="Temat komentarza Znak"/>
    <w:basedOn w:val="TekstkomentarzaZnak"/>
    <w:link w:val="Tematkomentarza"/>
    <w:uiPriority w:val="99"/>
    <w:semiHidden/>
    <w:rsid w:val="00222FC4"/>
    <w:rPr>
      <w:rFonts w:ascii="Fira Sans" w:hAnsi="Fira Sans"/>
      <w:b/>
      <w:bCs/>
      <w:sz w:val="20"/>
      <w:szCs w:val="20"/>
    </w:rPr>
  </w:style>
  <w:style w:type="paragraph" w:customStyle="1" w:styleId="Default">
    <w:name w:val="Default"/>
    <w:rsid w:val="008E1770"/>
    <w:pPr>
      <w:autoSpaceDE w:val="0"/>
      <w:autoSpaceDN w:val="0"/>
      <w:adjustRightInd w:val="0"/>
      <w:spacing w:after="0" w:line="240" w:lineRule="auto"/>
    </w:pPr>
    <w:rPr>
      <w:rFonts w:ascii="Fira Sans" w:hAnsi="Fira Sans" w:cs="Fira Sans"/>
      <w:color w:val="000000"/>
      <w:sz w:val="24"/>
      <w:szCs w:val="24"/>
    </w:rPr>
  </w:style>
  <w:style w:type="character" w:styleId="UyteHipercze">
    <w:name w:val="FollowedHyperlink"/>
    <w:basedOn w:val="Domylnaczcionkaakapitu"/>
    <w:uiPriority w:val="99"/>
    <w:semiHidden/>
    <w:unhideWhenUsed/>
    <w:rsid w:val="007869F8"/>
    <w:rPr>
      <w:color w:val="954F72" w:themeColor="followedHyperlink"/>
      <w:u w:val="single"/>
    </w:rPr>
  </w:style>
  <w:style w:type="paragraph" w:styleId="NormalnyWeb">
    <w:name w:val="Normal (Web)"/>
    <w:basedOn w:val="Normalny"/>
    <w:uiPriority w:val="99"/>
    <w:semiHidden/>
    <w:unhideWhenUsed/>
    <w:rsid w:val="00E53D07"/>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5516BE"/>
    <w:pPr>
      <w:spacing w:before="0"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rsid w:val="005516BE"/>
    <w:rPr>
      <w:rFonts w:ascii="Consolas" w:hAnsi="Consolas" w:cs="Consolas"/>
      <w:sz w:val="20"/>
      <w:szCs w:val="20"/>
    </w:rPr>
  </w:style>
  <w:style w:type="character" w:customStyle="1" w:styleId="tlid-translation">
    <w:name w:val="tlid-translation"/>
    <w:basedOn w:val="Domylnaczcionkaakapitu"/>
    <w:rsid w:val="004C2074"/>
  </w:style>
  <w:style w:type="character" w:customStyle="1" w:styleId="gt-baf-cell">
    <w:name w:val="gt-baf-cell"/>
    <w:basedOn w:val="Domylnaczcionkaakapitu"/>
    <w:rsid w:val="004C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7604">
      <w:bodyDiv w:val="1"/>
      <w:marLeft w:val="0"/>
      <w:marRight w:val="0"/>
      <w:marTop w:val="0"/>
      <w:marBottom w:val="0"/>
      <w:divBdr>
        <w:top w:val="none" w:sz="0" w:space="0" w:color="auto"/>
        <w:left w:val="none" w:sz="0" w:space="0" w:color="auto"/>
        <w:bottom w:val="none" w:sz="0" w:space="0" w:color="auto"/>
        <w:right w:val="none" w:sz="0" w:space="0" w:color="auto"/>
      </w:divBdr>
    </w:div>
    <w:div w:id="24380534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277412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27056514">
      <w:bodyDiv w:val="1"/>
      <w:marLeft w:val="0"/>
      <w:marRight w:val="0"/>
      <w:marTop w:val="0"/>
      <w:marBottom w:val="0"/>
      <w:divBdr>
        <w:top w:val="none" w:sz="0" w:space="0" w:color="auto"/>
        <w:left w:val="none" w:sz="0" w:space="0" w:color="auto"/>
        <w:bottom w:val="none" w:sz="0" w:space="0" w:color="auto"/>
        <w:right w:val="none" w:sz="0" w:space="0" w:color="auto"/>
      </w:divBdr>
    </w:div>
    <w:div w:id="1413549142">
      <w:bodyDiv w:val="1"/>
      <w:marLeft w:val="0"/>
      <w:marRight w:val="0"/>
      <w:marTop w:val="0"/>
      <w:marBottom w:val="0"/>
      <w:divBdr>
        <w:top w:val="none" w:sz="0" w:space="0" w:color="auto"/>
        <w:left w:val="none" w:sz="0" w:space="0" w:color="auto"/>
        <w:bottom w:val="none" w:sz="0" w:space="0" w:color="auto"/>
        <w:right w:val="none" w:sz="0" w:space="0" w:color="auto"/>
      </w:divBdr>
    </w:div>
    <w:div w:id="17575565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789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image" Target="media/image7.png"/><Relationship Id="rId39" Type="http://schemas.openxmlformats.org/officeDocument/2006/relationships/hyperlink" Target="http://stat.gov.pl/metainformacje/slownik-pojec/pojecia-stosowane-w-statystyce-publicznej/3012,pojecie.html" TargetMode="External"/><Relationship Id="rId21" Type="http://schemas.openxmlformats.org/officeDocument/2006/relationships/header" Target="header1.xml"/><Relationship Id="rId34" Type="http://schemas.openxmlformats.org/officeDocument/2006/relationships/hyperlink" Target="http://stat.gov.pl/metainformacje/slownik-pojec/pojecia-stosowane-w-statystyce-publicznej/3013,pojecie.htm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https://ec.europa.eu/eurostat/data/classifications" TargetMode="External"/><Relationship Id="rId29" Type="http://schemas.openxmlformats.org/officeDocument/2006/relationships/hyperlink" Target="http://stat.gov.pl/obszary-tematyczne/rynek-prac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footer" Target="footer2.xml"/><Relationship Id="rId32" Type="http://schemas.openxmlformats.org/officeDocument/2006/relationships/hyperlink" Target="https://stat.gov.pl/metainformacje/slownik-pojec/pojecia-stosowane-w-statystyce-publicznej/3011,pojecie.html" TargetMode="External"/><Relationship Id="rId37" Type="http://schemas.openxmlformats.org/officeDocument/2006/relationships/hyperlink" Target="https://bdl.stat.gov.pl/BDL/dane/podgrup/temat" TargetMode="External"/><Relationship Id="rId40" Type="http://schemas.openxmlformats.org/officeDocument/2006/relationships/hyperlink" Target="http://stat.gov.pl/metainformacje/slownik-pojec/pojecia-stosowane-w-statystyce-publicznej/3013,pojecie.html" TargetMode="Externa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image" Target="media/image9.png"/><Relationship Id="rId36" Type="http://schemas.openxmlformats.org/officeDocument/2006/relationships/hyperlink" Target="http://swaid.stat.gov.pl/SitePagesDBW/RynekPracy.aspx" TargetMode="Externa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hyperlink" Target="https://bdl.stat.gov.pl/BDL/dane/podgrup/tem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image" Target="media/image8.png"/><Relationship Id="rId30" Type="http://schemas.openxmlformats.org/officeDocument/2006/relationships/hyperlink" Target="http://swaid.stat.gov.pl/SitePagesDBW/RynekPracy.aspx" TargetMode="External"/><Relationship Id="rId35" Type="http://schemas.openxmlformats.org/officeDocument/2006/relationships/hyperlink" Target="http://stat.gov.pl/obszary-tematyczne/rynek-pracy/"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chart" Target="charts/chart5.xml"/><Relationship Id="rId25" Type="http://schemas.openxmlformats.org/officeDocument/2006/relationships/hyperlink" Target="mailto:obslugaprasowa@stat.gov.pl" TargetMode="External"/><Relationship Id="rId33" Type="http://schemas.openxmlformats.org/officeDocument/2006/relationships/hyperlink" Target="http://stat.gov.pl/metainformacje/slownik-pojec/pojecia-stosowane-w-statystyce-publicznej/3012,pojecie.html" TargetMode="External"/><Relationship Id="rId38" Type="http://schemas.openxmlformats.org/officeDocument/2006/relationships/hyperlink" Target="https://stat.gov.pl/metainformacje/slownik-pojec/pojecia-stosowane-w-statystyce-publicznej/3011,pojeci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E:\0_publikacje\0_SYGNALNE\popyt_na_prace_w_2020_2kw_kraj\wykresy_popyt_na_prace_2kw2020_03_A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0_publikacje\0_SYGNALNE\popyt_na_prace_w_2020_2kw_kraj\wykresy_popyt_na_prace_2kw2020_03_ANG.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E:\0_publikacje\0_SYGNALNE\popyt_na_prace_w_2020_2kw_kraj\wykresy_popyt_na_prace_2kw2020_03_A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0_publikacje\0_SYGNALNE\popyt_na_prace_w_2020_2kw_kraj\wykresy_popyt_na_prace_2kw2020_0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rzad_statystyczny\Sygnalne\Popyt_na_prace\2020_wojewodztwo\IIkw\wykresy_popyt_na_prace_2kw2020_01.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E:\0_publikacje\0_SYGNALNE\popyt_na_prace_w_2020_2kw_kraj\wykresy_popyt_na_prace_2kw2020_03_ANG.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oleObject" Target="file:///E:\0_publikacje\0_SYGNALNE\popyt_na_prace_w_2020_2kw_kraj\wykresy_popyt_na_prace_2kw2020_03_ANG.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482E-2"/>
          <c:y val="0.11302984594450627"/>
          <c:w val="0.88605635491606605"/>
          <c:h val="0.63524740740740848"/>
        </c:manualLayout>
      </c:layout>
      <c:lineChart>
        <c:grouping val="standard"/>
        <c:varyColors val="0"/>
        <c:ser>
          <c:idx val="0"/>
          <c:order val="0"/>
          <c:tx>
            <c:strRef>
              <c:f>'wyk1'!$C$2</c:f>
              <c:strCache>
                <c:ptCount val="1"/>
                <c:pt idx="0">
                  <c:v>Newly created jobs</c:v>
                </c:pt>
              </c:strCache>
            </c:strRef>
          </c:tx>
          <c:spPr>
            <a:ln w="28575" cap="rnd">
              <a:solidFill>
                <a:srgbClr val="001D77"/>
              </a:solidFill>
              <a:round/>
            </a:ln>
            <a:effectLst/>
          </c:spPr>
          <c:marker>
            <c:symbol val="none"/>
          </c:marker>
          <c:cat>
            <c:multiLvlStrRef>
              <c:f>'wyk1'!$A$3:$B$36</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'wyk1'!$C$3:$C$36</c:f>
              <c:numCache>
                <c:formatCode>0.0</c:formatCode>
                <c:ptCount val="34"/>
                <c:pt idx="0">
                  <c:v>159.74</c:v>
                </c:pt>
                <c:pt idx="1">
                  <c:v>121.786</c:v>
                </c:pt>
                <c:pt idx="2">
                  <c:v>104.04600000000001</c:v>
                </c:pt>
                <c:pt idx="3">
                  <c:v>79.459000000000003</c:v>
                </c:pt>
                <c:pt idx="4">
                  <c:v>156.05000000000001</c:v>
                </c:pt>
                <c:pt idx="5">
                  <c:v>126.264</c:v>
                </c:pt>
                <c:pt idx="6">
                  <c:v>123.804</c:v>
                </c:pt>
                <c:pt idx="7">
                  <c:v>96.316999999999993</c:v>
                </c:pt>
                <c:pt idx="8">
                  <c:v>179.142</c:v>
                </c:pt>
                <c:pt idx="9">
                  <c:v>144.30699999999999</c:v>
                </c:pt>
                <c:pt idx="10">
                  <c:v>137.363</c:v>
                </c:pt>
                <c:pt idx="11">
                  <c:v>154</c:v>
                </c:pt>
                <c:pt idx="12">
                  <c:v>192.8</c:v>
                </c:pt>
                <c:pt idx="13">
                  <c:v>154.4</c:v>
                </c:pt>
                <c:pt idx="14">
                  <c:v>137.69999999999999</c:v>
                </c:pt>
                <c:pt idx="15">
                  <c:v>117.1</c:v>
                </c:pt>
                <c:pt idx="16">
                  <c:v>192</c:v>
                </c:pt>
                <c:pt idx="17">
                  <c:v>159.4</c:v>
                </c:pt>
                <c:pt idx="18">
                  <c:v>147.6</c:v>
                </c:pt>
                <c:pt idx="19">
                  <c:v>119.7</c:v>
                </c:pt>
                <c:pt idx="20">
                  <c:v>225.5</c:v>
                </c:pt>
                <c:pt idx="21">
                  <c:v>165.1</c:v>
                </c:pt>
                <c:pt idx="22">
                  <c:v>160.5</c:v>
                </c:pt>
                <c:pt idx="23">
                  <c:v>143</c:v>
                </c:pt>
                <c:pt idx="24" formatCode="General">
                  <c:v>258</c:v>
                </c:pt>
                <c:pt idx="25">
                  <c:v>167.9</c:v>
                </c:pt>
                <c:pt idx="26">
                  <c:v>167.3</c:v>
                </c:pt>
                <c:pt idx="27">
                  <c:v>124.5</c:v>
                </c:pt>
                <c:pt idx="28" formatCode="General">
                  <c:v>262.3</c:v>
                </c:pt>
                <c:pt idx="29" formatCode="General">
                  <c:v>146.80000000000001</c:v>
                </c:pt>
                <c:pt idx="30">
                  <c:v>151.19999999999999</c:v>
                </c:pt>
                <c:pt idx="31">
                  <c:v>114.4</c:v>
                </c:pt>
                <c:pt idx="32">
                  <c:v>170.6</c:v>
                </c:pt>
                <c:pt idx="33">
                  <c:v>81.900000000000006</c:v>
                </c:pt>
              </c:numCache>
            </c:numRef>
          </c:val>
          <c:smooth val="0"/>
          <c:extLst>
            <c:ext xmlns:c16="http://schemas.microsoft.com/office/drawing/2014/chart" uri="{C3380CC4-5D6E-409C-BE32-E72D297353CC}">
              <c16:uniqueId val="{00000000-73E6-424A-9DF4-7375537EEA2E}"/>
            </c:ext>
          </c:extLst>
        </c:ser>
        <c:ser>
          <c:idx val="1"/>
          <c:order val="1"/>
          <c:tx>
            <c:strRef>
              <c:f>'wyk1'!$D$2</c:f>
              <c:strCache>
                <c:ptCount val="1"/>
                <c:pt idx="0">
                  <c:v>Liquidated jobs</c:v>
                </c:pt>
              </c:strCache>
            </c:strRef>
          </c:tx>
          <c:spPr>
            <a:ln w="28575" cap="rnd">
              <a:solidFill>
                <a:srgbClr val="C0C0C0"/>
              </a:solidFill>
              <a:round/>
            </a:ln>
            <a:effectLst/>
          </c:spPr>
          <c:marker>
            <c:symbol val="none"/>
          </c:marker>
          <c:cat>
            <c:multiLvlStrRef>
              <c:f>'wyk1'!$A$3:$B$36</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'wyk1'!$D$3:$D$36</c:f>
              <c:numCache>
                <c:formatCode>General</c:formatCode>
                <c:ptCount val="34"/>
                <c:pt idx="0">
                  <c:v>95.9</c:v>
                </c:pt>
                <c:pt idx="1">
                  <c:v>83.8</c:v>
                </c:pt>
                <c:pt idx="2">
                  <c:v>97.1</c:v>
                </c:pt>
                <c:pt idx="3">
                  <c:v>99.7</c:v>
                </c:pt>
                <c:pt idx="4">
                  <c:v>115.7</c:v>
                </c:pt>
                <c:pt idx="5">
                  <c:v>80.8</c:v>
                </c:pt>
                <c:pt idx="6">
                  <c:v>83.9</c:v>
                </c:pt>
                <c:pt idx="7">
                  <c:v>66.7</c:v>
                </c:pt>
                <c:pt idx="8">
                  <c:v>95.9</c:v>
                </c:pt>
                <c:pt idx="9">
                  <c:v>72.7</c:v>
                </c:pt>
                <c:pt idx="10">
                  <c:v>79.8</c:v>
                </c:pt>
                <c:pt idx="11">
                  <c:v>71.8</c:v>
                </c:pt>
                <c:pt idx="12">
                  <c:v>95.8</c:v>
                </c:pt>
                <c:pt idx="13">
                  <c:v>71.3</c:v>
                </c:pt>
                <c:pt idx="14">
                  <c:v>74.900000000000006</c:v>
                </c:pt>
                <c:pt idx="15">
                  <c:v>75.5</c:v>
                </c:pt>
                <c:pt idx="16">
                  <c:v>82.8</c:v>
                </c:pt>
                <c:pt idx="17">
                  <c:v>68.900000000000006</c:v>
                </c:pt>
                <c:pt idx="18">
                  <c:v>71.900000000000006</c:v>
                </c:pt>
                <c:pt idx="19">
                  <c:v>60.6</c:v>
                </c:pt>
                <c:pt idx="20">
                  <c:v>79</c:v>
                </c:pt>
                <c:pt idx="21">
                  <c:v>60.9</c:v>
                </c:pt>
                <c:pt idx="22">
                  <c:v>61.9</c:v>
                </c:pt>
                <c:pt idx="23">
                  <c:v>62.4</c:v>
                </c:pt>
                <c:pt idx="24">
                  <c:v>87.9</c:v>
                </c:pt>
                <c:pt idx="25">
                  <c:v>58.8</c:v>
                </c:pt>
                <c:pt idx="26">
                  <c:v>80.599999999999994</c:v>
                </c:pt>
                <c:pt idx="27">
                  <c:v>73.2</c:v>
                </c:pt>
                <c:pt idx="28">
                  <c:v>88.7</c:v>
                </c:pt>
                <c:pt idx="29">
                  <c:v>81.900000000000006</c:v>
                </c:pt>
                <c:pt idx="30">
                  <c:v>82.1</c:v>
                </c:pt>
                <c:pt idx="31">
                  <c:v>61.3</c:v>
                </c:pt>
                <c:pt idx="32">
                  <c:v>119.9</c:v>
                </c:pt>
                <c:pt idx="33">
                  <c:v>93.6</c:v>
                </c:pt>
              </c:numCache>
            </c:numRef>
          </c:val>
          <c:smooth val="0"/>
          <c:extLst>
            <c:ext xmlns:c16="http://schemas.microsoft.com/office/drawing/2014/chart" uri="{C3380CC4-5D6E-409C-BE32-E72D297353CC}">
              <c16:uniqueId val="{00000001-73E6-424A-9DF4-7375537EEA2E}"/>
            </c:ext>
          </c:extLst>
        </c:ser>
        <c:dLbls>
          <c:showLegendKey val="0"/>
          <c:showVal val="0"/>
          <c:showCatName val="0"/>
          <c:showSerName val="0"/>
          <c:showPercent val="0"/>
          <c:showBubbleSize val="0"/>
        </c:dLbls>
        <c:smooth val="0"/>
        <c:axId val="83756544"/>
        <c:axId val="83758464"/>
      </c:lineChart>
      <c:catAx>
        <c:axId val="8375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3758464"/>
        <c:crosses val="autoZero"/>
        <c:auto val="1"/>
        <c:lblAlgn val="ctr"/>
        <c:lblOffset val="100"/>
        <c:noMultiLvlLbl val="0"/>
      </c:catAx>
      <c:valAx>
        <c:axId val="8375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en-US"/>
                  <a:t>t</a:t>
                </a:r>
                <a:r>
                  <a:rPr lang="pl-PL"/>
                  <a:t>housands</a:t>
                </a:r>
                <a:endParaRPr lang="en-US"/>
              </a:p>
            </c:rich>
          </c:tx>
          <c:layout>
            <c:manualLayout>
              <c:xMode val="edge"/>
              <c:yMode val="edge"/>
              <c:x val="9.850513609656645E-4"/>
              <c:y val="2.450706364597862E-2"/>
            </c:manualLayout>
          </c:layout>
          <c:overlay val="0"/>
          <c:spPr>
            <a:noFill/>
            <a:ln>
              <a:noFill/>
            </a:ln>
            <a:effectLst/>
          </c:spPr>
          <c:txPr>
            <a:bodyPr rot="0" spcFirstLastPara="1" vertOverflow="ellipsis"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3756544"/>
        <c:crosses val="autoZero"/>
        <c:crossBetween val="between"/>
      </c:valAx>
      <c:spPr>
        <a:noFill/>
        <a:ln>
          <a:noFill/>
        </a:ln>
        <a:effectLst/>
      </c:spPr>
    </c:plotArea>
    <c:legend>
      <c:legendPos val="b"/>
      <c:layout>
        <c:manualLayout>
          <c:xMode val="edge"/>
          <c:yMode val="edge"/>
          <c:x val="0.10302458033573153"/>
          <c:y val="0.9129629629629612"/>
          <c:w val="0.79395083932853816"/>
          <c:h val="7.292592592592592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7209812882466"/>
          <c:y val="6.1890838206627677E-2"/>
          <c:w val="0.46713840291950876"/>
          <c:h val="0.87621832358674467"/>
        </c:manualLayout>
      </c:layout>
      <c:pieChart>
        <c:varyColors val="1"/>
        <c:ser>
          <c:idx val="0"/>
          <c:order val="0"/>
          <c:spPr>
            <a:ln>
              <a:noFill/>
            </a:ln>
          </c:spPr>
          <c:dPt>
            <c:idx val="0"/>
            <c:bubble3D val="0"/>
            <c:spPr>
              <a:solidFill>
                <a:srgbClr val="001D77"/>
              </a:solidFill>
              <a:ln w="19050">
                <a:noFill/>
              </a:ln>
              <a:effectLst/>
            </c:spPr>
            <c:extLst>
              <c:ext xmlns:c16="http://schemas.microsoft.com/office/drawing/2014/chart" uri="{C3380CC4-5D6E-409C-BE32-E72D297353CC}">
                <c16:uniqueId val="{00000001-BBCB-4FA9-A32A-EDD71099A400}"/>
              </c:ext>
            </c:extLst>
          </c:dPt>
          <c:dPt>
            <c:idx val="1"/>
            <c:bubble3D val="0"/>
            <c:spPr>
              <a:solidFill>
                <a:srgbClr val="6677AD"/>
              </a:solidFill>
              <a:ln w="19050">
                <a:noFill/>
              </a:ln>
              <a:effectLst/>
            </c:spPr>
            <c:extLst>
              <c:ext xmlns:c16="http://schemas.microsoft.com/office/drawing/2014/chart" uri="{C3380CC4-5D6E-409C-BE32-E72D297353CC}">
                <c16:uniqueId val="{00000003-BBCB-4FA9-A32A-EDD71099A400}"/>
              </c:ext>
            </c:extLst>
          </c:dPt>
          <c:dPt>
            <c:idx val="2"/>
            <c:bubble3D val="0"/>
            <c:spPr>
              <a:solidFill>
                <a:srgbClr val="CCD2E4"/>
              </a:solidFill>
              <a:ln w="19050">
                <a:noFill/>
              </a:ln>
              <a:effectLst/>
            </c:spPr>
            <c:extLst>
              <c:ext xmlns:c16="http://schemas.microsoft.com/office/drawing/2014/chart" uri="{C3380CC4-5D6E-409C-BE32-E72D297353CC}">
                <c16:uniqueId val="{00000005-BBCB-4FA9-A32A-EDD71099A400}"/>
              </c:ext>
            </c:extLst>
          </c:dPt>
          <c:cat>
            <c:strRef>
              <c:f>'wyk2'!$A$4:$A$6</c:f>
              <c:strCache>
                <c:ptCount val="3"/>
                <c:pt idx="0">
                  <c:v>up to 9 persons</c:v>
                </c:pt>
                <c:pt idx="1">
                  <c:v>10-49 persons</c:v>
                </c:pt>
                <c:pt idx="2">
                  <c:v> more than 49 persons</c:v>
                </c:pt>
              </c:strCache>
            </c:strRef>
          </c:cat>
          <c:val>
            <c:numRef>
              <c:f>'wyk2'!$B$4:$B$6</c:f>
              <c:numCache>
                <c:formatCode>General</c:formatCode>
                <c:ptCount val="3"/>
                <c:pt idx="0">
                  <c:v>22.3</c:v>
                </c:pt>
                <c:pt idx="1">
                  <c:v>16.8</c:v>
                </c:pt>
                <c:pt idx="2" formatCode="0.0">
                  <c:v>42.3</c:v>
                </c:pt>
              </c:numCache>
            </c:numRef>
          </c:val>
          <c:extLst>
            <c:ext xmlns:c16="http://schemas.microsoft.com/office/drawing/2014/chart" uri="{C3380CC4-5D6E-409C-BE32-E72D297353CC}">
              <c16:uniqueId val="{00000006-BBCB-4FA9-A32A-EDD71099A40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674229185025576"/>
          <c:y val="0.40603801169590642"/>
          <c:w val="0.28598374581322067"/>
          <c:h val="0.2747615384615376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pPr>
      <a:endParaRPr lang="pl-P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122701838529176E-2"/>
          <c:y val="4.0108718637658441E-2"/>
          <c:w val="0.92776998401278954"/>
          <c:h val="0.30706320145829136"/>
        </c:manualLayout>
      </c:layout>
      <c:barChart>
        <c:barDir val="bar"/>
        <c:grouping val="stacked"/>
        <c:varyColors val="0"/>
        <c:ser>
          <c:idx val="0"/>
          <c:order val="0"/>
          <c:tx>
            <c:strRef>
              <c:f>'wyk4'!$A$17</c:f>
              <c:strCache>
                <c:ptCount val="1"/>
                <c:pt idx="0">
                  <c:v>Craft and related trades workers</c:v>
                </c:pt>
              </c:strCache>
            </c:strRef>
          </c:tx>
          <c:spPr>
            <a:solidFill>
              <a:srgbClr val="001D77"/>
            </a:solidFill>
            <a:ln>
              <a:noFill/>
            </a:ln>
            <a:effectLst/>
          </c:spPr>
          <c:invertIfNegative val="0"/>
          <c:val>
            <c:numRef>
              <c:f>'wyk4'!$B$17</c:f>
              <c:numCache>
                <c:formatCode>General</c:formatCode>
                <c:ptCount val="1"/>
                <c:pt idx="0">
                  <c:v>24.4</c:v>
                </c:pt>
              </c:numCache>
            </c:numRef>
          </c:val>
          <c:extLst>
            <c:ext xmlns:c16="http://schemas.microsoft.com/office/drawing/2014/chart" uri="{C3380CC4-5D6E-409C-BE32-E72D297353CC}">
              <c16:uniqueId val="{00000000-8605-4E8E-9B00-20B6CE22E2B1}"/>
            </c:ext>
          </c:extLst>
        </c:ser>
        <c:ser>
          <c:idx val="1"/>
          <c:order val="1"/>
          <c:tx>
            <c:strRef>
              <c:f>'wyk4'!$A$18</c:f>
              <c:strCache>
                <c:ptCount val="1"/>
                <c:pt idx="0">
                  <c:v>Professionals</c:v>
                </c:pt>
              </c:strCache>
            </c:strRef>
          </c:tx>
          <c:spPr>
            <a:solidFill>
              <a:srgbClr val="334A92"/>
            </a:solidFill>
            <a:ln>
              <a:noFill/>
            </a:ln>
            <a:effectLst/>
          </c:spPr>
          <c:invertIfNegative val="0"/>
          <c:val>
            <c:numRef>
              <c:f>'wyk4'!$B$18</c:f>
              <c:numCache>
                <c:formatCode>General</c:formatCode>
                <c:ptCount val="1"/>
                <c:pt idx="0">
                  <c:v>21.8</c:v>
                </c:pt>
              </c:numCache>
            </c:numRef>
          </c:val>
          <c:extLst>
            <c:ext xmlns:c16="http://schemas.microsoft.com/office/drawing/2014/chart" uri="{C3380CC4-5D6E-409C-BE32-E72D297353CC}">
              <c16:uniqueId val="{00000001-8605-4E8E-9B00-20B6CE22E2B1}"/>
            </c:ext>
          </c:extLst>
        </c:ser>
        <c:ser>
          <c:idx val="2"/>
          <c:order val="2"/>
          <c:tx>
            <c:strRef>
              <c:f>'wyk4'!$A$19</c:f>
              <c:strCache>
                <c:ptCount val="1"/>
                <c:pt idx="0">
                  <c:v>Plant and machine operators and assemblers</c:v>
                </c:pt>
              </c:strCache>
            </c:strRef>
          </c:tx>
          <c:spPr>
            <a:solidFill>
              <a:srgbClr val="6677AD"/>
            </a:solidFill>
            <a:ln>
              <a:noFill/>
            </a:ln>
            <a:effectLst/>
          </c:spPr>
          <c:invertIfNegative val="0"/>
          <c:val>
            <c:numRef>
              <c:f>'wyk4'!$B$19</c:f>
              <c:numCache>
                <c:formatCode>General</c:formatCode>
                <c:ptCount val="1"/>
                <c:pt idx="0">
                  <c:v>15.3</c:v>
                </c:pt>
              </c:numCache>
            </c:numRef>
          </c:val>
          <c:extLst>
            <c:ext xmlns:c16="http://schemas.microsoft.com/office/drawing/2014/chart" uri="{C3380CC4-5D6E-409C-BE32-E72D297353CC}">
              <c16:uniqueId val="{00000002-8605-4E8E-9B00-20B6CE22E2B1}"/>
            </c:ext>
          </c:extLst>
        </c:ser>
        <c:ser>
          <c:idx val="3"/>
          <c:order val="3"/>
          <c:tx>
            <c:strRef>
              <c:f>'wyk4'!$A$20</c:f>
              <c:strCache>
                <c:ptCount val="1"/>
                <c:pt idx="0">
                  <c:v>Services and sales workers</c:v>
                </c:pt>
              </c:strCache>
            </c:strRef>
          </c:tx>
          <c:spPr>
            <a:solidFill>
              <a:srgbClr val="99A5C9"/>
            </a:solidFill>
            <a:ln>
              <a:noFill/>
            </a:ln>
            <a:effectLst/>
          </c:spPr>
          <c:invertIfNegative val="0"/>
          <c:val>
            <c:numRef>
              <c:f>'wyk4'!$B$20</c:f>
              <c:numCache>
                <c:formatCode>General</c:formatCode>
                <c:ptCount val="1"/>
                <c:pt idx="0">
                  <c:v>9.6999999999999993</c:v>
                </c:pt>
              </c:numCache>
            </c:numRef>
          </c:val>
          <c:extLst>
            <c:ext xmlns:c16="http://schemas.microsoft.com/office/drawing/2014/chart" uri="{C3380CC4-5D6E-409C-BE32-E72D297353CC}">
              <c16:uniqueId val="{00000003-8605-4E8E-9B00-20B6CE22E2B1}"/>
            </c:ext>
          </c:extLst>
        </c:ser>
        <c:ser>
          <c:idx val="4"/>
          <c:order val="4"/>
          <c:tx>
            <c:strRef>
              <c:f>'wyk4'!$A$21</c:f>
              <c:strCache>
                <c:ptCount val="1"/>
                <c:pt idx="0">
                  <c:v>Elementary occupations</c:v>
                </c:pt>
              </c:strCache>
            </c:strRef>
          </c:tx>
          <c:spPr>
            <a:solidFill>
              <a:srgbClr val="CCD2E4"/>
            </a:solidFill>
            <a:ln>
              <a:noFill/>
            </a:ln>
            <a:effectLst/>
          </c:spPr>
          <c:invertIfNegative val="0"/>
          <c:val>
            <c:numRef>
              <c:f>'wyk4'!$B$21</c:f>
              <c:numCache>
                <c:formatCode>General</c:formatCode>
                <c:ptCount val="1"/>
                <c:pt idx="0">
                  <c:v>9.4</c:v>
                </c:pt>
              </c:numCache>
            </c:numRef>
          </c:val>
          <c:extLst>
            <c:ext xmlns:c16="http://schemas.microsoft.com/office/drawing/2014/chart" uri="{C3380CC4-5D6E-409C-BE32-E72D297353CC}">
              <c16:uniqueId val="{00000004-8605-4E8E-9B00-20B6CE22E2B1}"/>
            </c:ext>
          </c:extLst>
        </c:ser>
        <c:ser>
          <c:idx val="5"/>
          <c:order val="5"/>
          <c:tx>
            <c:strRef>
              <c:f>'wyk4'!$A$22</c:f>
              <c:strCache>
                <c:ptCount val="1"/>
                <c:pt idx="0">
                  <c:v>Clerical support workers</c:v>
                </c:pt>
              </c:strCache>
            </c:strRef>
          </c:tx>
          <c:spPr>
            <a:solidFill>
              <a:srgbClr val="C0C0C0"/>
            </a:solidFill>
            <a:ln>
              <a:noFill/>
            </a:ln>
            <a:effectLst/>
          </c:spPr>
          <c:invertIfNegative val="0"/>
          <c:val>
            <c:numRef>
              <c:f>'wyk4'!$B$22</c:f>
              <c:numCache>
                <c:formatCode>General</c:formatCode>
                <c:ptCount val="1"/>
                <c:pt idx="0">
                  <c:v>8.8000000000000007</c:v>
                </c:pt>
              </c:numCache>
            </c:numRef>
          </c:val>
          <c:extLst>
            <c:ext xmlns:c16="http://schemas.microsoft.com/office/drawing/2014/chart" uri="{C3380CC4-5D6E-409C-BE32-E72D297353CC}">
              <c16:uniqueId val="{00000005-8605-4E8E-9B00-20B6CE22E2B1}"/>
            </c:ext>
          </c:extLst>
        </c:ser>
        <c:ser>
          <c:idx val="6"/>
          <c:order val="6"/>
          <c:tx>
            <c:strRef>
              <c:f>'wyk4'!$A$23</c:f>
              <c:strCache>
                <c:ptCount val="1"/>
                <c:pt idx="0">
                  <c:v>Technicians and associate professionals</c:v>
                </c:pt>
              </c:strCache>
            </c:strRef>
          </c:tx>
          <c:spPr>
            <a:solidFill>
              <a:srgbClr val="969696"/>
            </a:solidFill>
            <a:ln>
              <a:noFill/>
            </a:ln>
            <a:effectLst/>
          </c:spPr>
          <c:invertIfNegative val="0"/>
          <c:val>
            <c:numRef>
              <c:f>'wyk4'!$B$23</c:f>
              <c:numCache>
                <c:formatCode>General</c:formatCode>
                <c:ptCount val="1"/>
                <c:pt idx="0">
                  <c:v>7.8</c:v>
                </c:pt>
              </c:numCache>
            </c:numRef>
          </c:val>
          <c:extLst>
            <c:ext xmlns:c16="http://schemas.microsoft.com/office/drawing/2014/chart" uri="{C3380CC4-5D6E-409C-BE32-E72D297353CC}">
              <c16:uniqueId val="{00000006-8605-4E8E-9B00-20B6CE22E2B1}"/>
            </c:ext>
          </c:extLst>
        </c:ser>
        <c:ser>
          <c:idx val="7"/>
          <c:order val="7"/>
          <c:tx>
            <c:strRef>
              <c:f>'wyk4'!$A$24</c:f>
              <c:strCache>
                <c:ptCount val="1"/>
                <c:pt idx="0">
                  <c:v>Managers</c:v>
                </c:pt>
              </c:strCache>
            </c:strRef>
          </c:tx>
          <c:spPr>
            <a:solidFill>
              <a:srgbClr val="808080"/>
            </a:solidFill>
            <a:ln>
              <a:noFill/>
            </a:ln>
            <a:effectLst/>
          </c:spPr>
          <c:invertIfNegative val="0"/>
          <c:val>
            <c:numRef>
              <c:f>'wyk4'!$B$24</c:f>
              <c:numCache>
                <c:formatCode>General</c:formatCode>
                <c:ptCount val="1"/>
                <c:pt idx="0">
                  <c:v>2.7</c:v>
                </c:pt>
              </c:numCache>
            </c:numRef>
          </c:val>
          <c:extLst>
            <c:ext xmlns:c16="http://schemas.microsoft.com/office/drawing/2014/chart" uri="{C3380CC4-5D6E-409C-BE32-E72D297353CC}">
              <c16:uniqueId val="{00000007-8605-4E8E-9B00-20B6CE22E2B1}"/>
            </c:ext>
          </c:extLst>
        </c:ser>
        <c:ser>
          <c:idx val="8"/>
          <c:order val="8"/>
          <c:tx>
            <c:strRef>
              <c:f>'wyk4'!$A$25</c:f>
              <c:strCache>
                <c:ptCount val="1"/>
                <c:pt idx="0">
                  <c:v>Skilled agricultural, forestry and fishery workers</c:v>
                </c:pt>
              </c:strCache>
            </c:strRef>
          </c:tx>
          <c:spPr>
            <a:solidFill>
              <a:srgbClr val="4D4D4D"/>
            </a:solidFill>
            <a:ln>
              <a:noFill/>
            </a:ln>
            <a:effectLst/>
          </c:spPr>
          <c:invertIfNegative val="0"/>
          <c:val>
            <c:numRef>
              <c:f>'wyk4'!$B$25</c:f>
              <c:numCache>
                <c:formatCode>General</c:formatCode>
                <c:ptCount val="1"/>
                <c:pt idx="0">
                  <c:v>0.1</c:v>
                </c:pt>
              </c:numCache>
            </c:numRef>
          </c:val>
          <c:extLst>
            <c:ext xmlns:c16="http://schemas.microsoft.com/office/drawing/2014/chart" uri="{C3380CC4-5D6E-409C-BE32-E72D297353CC}">
              <c16:uniqueId val="{00000008-8605-4E8E-9B00-20B6CE22E2B1}"/>
            </c:ext>
          </c:extLst>
        </c:ser>
        <c:dLbls>
          <c:showLegendKey val="0"/>
          <c:showVal val="0"/>
          <c:showCatName val="0"/>
          <c:showSerName val="0"/>
          <c:showPercent val="0"/>
          <c:showBubbleSize val="0"/>
        </c:dLbls>
        <c:gapWidth val="150"/>
        <c:overlap val="100"/>
        <c:axId val="52908416"/>
        <c:axId val="52909952"/>
      </c:barChart>
      <c:catAx>
        <c:axId val="52908416"/>
        <c:scaling>
          <c:orientation val="minMax"/>
        </c:scaling>
        <c:delete val="1"/>
        <c:axPos val="l"/>
        <c:numFmt formatCode="General" sourceLinked="1"/>
        <c:majorTickMark val="none"/>
        <c:minorTickMark val="none"/>
        <c:tickLblPos val="none"/>
        <c:crossAx val="52909952"/>
        <c:crosses val="autoZero"/>
        <c:auto val="1"/>
        <c:lblAlgn val="ctr"/>
        <c:lblOffset val="100"/>
        <c:noMultiLvlLbl val="0"/>
      </c:catAx>
      <c:valAx>
        <c:axId val="5290995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a:t>
                </a:r>
                <a:endParaRPr lang="en-US"/>
              </a:p>
            </c:rich>
          </c:tx>
          <c:layout>
            <c:manualLayout>
              <c:xMode val="edge"/>
              <c:yMode val="edge"/>
              <c:x val="0.96702218225419734"/>
              <c:y val="0.3658085185185188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2908416"/>
        <c:crosses val="autoZero"/>
        <c:crossBetween val="between"/>
      </c:valAx>
      <c:spPr>
        <a:noFill/>
        <a:ln>
          <a:noFill/>
        </a:ln>
        <a:effectLst/>
      </c:spPr>
    </c:plotArea>
    <c:legend>
      <c:legendPos val="b"/>
      <c:layout>
        <c:manualLayout>
          <c:xMode val="edge"/>
          <c:yMode val="edge"/>
          <c:x val="0.12466466826538769"/>
          <c:y val="0.46798777777777856"/>
          <c:w val="0.84711310951238994"/>
          <c:h val="0.5203375667378664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310712384146712"/>
          <c:y val="4.4755817399691422E-2"/>
          <c:w val="0.66348800959232612"/>
          <c:h val="0.86849281116946864"/>
        </c:manualLayout>
      </c:layout>
      <c:barChart>
        <c:barDir val="bar"/>
        <c:grouping val="clustered"/>
        <c:varyColors val="0"/>
        <c:ser>
          <c:idx val="0"/>
          <c:order val="0"/>
          <c:spPr>
            <a:solidFill>
              <a:srgbClr val="001D77"/>
            </a:solidFill>
            <a:ln>
              <a:noFill/>
            </a:ln>
            <a:effectLst/>
          </c:spPr>
          <c:invertIfNegative val="0"/>
          <c:cat>
            <c:strRef>
              <c:f>'wyk6'!$A$5:$A$20</c:f>
              <c:strCache>
                <c:ptCount val="16"/>
                <c:pt idx="0">
                  <c:v>Podlaskie</c:v>
                </c:pt>
                <c:pt idx="1">
                  <c:v>Opolskie</c:v>
                </c:pt>
                <c:pt idx="2">
                  <c:v>Warmińsko-Mazurskie</c:v>
                </c:pt>
                <c:pt idx="3">
                  <c:v>Lubelskie</c:v>
                </c:pt>
                <c:pt idx="4">
                  <c:v>Świętokrzyskie</c:v>
                </c:pt>
                <c:pt idx="5">
                  <c:v>Podkarpackie</c:v>
                </c:pt>
                <c:pt idx="6">
                  <c:v>Lubuskie</c:v>
                </c:pt>
                <c:pt idx="7">
                  <c:v>Zachodniopomorskie</c:v>
                </c:pt>
                <c:pt idx="8">
                  <c:v>Kujawsko-Pomorskie</c:v>
                </c:pt>
                <c:pt idx="9">
                  <c:v>Pomorskie</c:v>
                </c:pt>
                <c:pt idx="10">
                  <c:v>Wielkopolskie</c:v>
                </c:pt>
                <c:pt idx="11">
                  <c:v>Łódzkie</c:v>
                </c:pt>
                <c:pt idx="12">
                  <c:v>Małopolskie</c:v>
                </c:pt>
                <c:pt idx="13">
                  <c:v>Dolnośląskie</c:v>
                </c:pt>
                <c:pt idx="14">
                  <c:v>Śląskie</c:v>
                </c:pt>
                <c:pt idx="15">
                  <c:v>Mazowieckie</c:v>
                </c:pt>
              </c:strCache>
            </c:strRef>
          </c:cat>
          <c:val>
            <c:numRef>
              <c:f>'wyk6'!$B$5:$B$20</c:f>
              <c:numCache>
                <c:formatCode>0.0</c:formatCode>
                <c:ptCount val="16"/>
                <c:pt idx="0">
                  <c:v>0.9</c:v>
                </c:pt>
                <c:pt idx="1">
                  <c:v>1.2</c:v>
                </c:pt>
                <c:pt idx="2">
                  <c:v>1.2</c:v>
                </c:pt>
                <c:pt idx="3">
                  <c:v>1.4</c:v>
                </c:pt>
                <c:pt idx="4">
                  <c:v>1.5</c:v>
                </c:pt>
                <c:pt idx="5">
                  <c:v>1.8</c:v>
                </c:pt>
                <c:pt idx="6">
                  <c:v>1.9000000000000001</c:v>
                </c:pt>
                <c:pt idx="7">
                  <c:v>3.8</c:v>
                </c:pt>
                <c:pt idx="8">
                  <c:v>4.2</c:v>
                </c:pt>
                <c:pt idx="9">
                  <c:v>5.2</c:v>
                </c:pt>
                <c:pt idx="10">
                  <c:v>6.4</c:v>
                </c:pt>
                <c:pt idx="11">
                  <c:v>6.5</c:v>
                </c:pt>
                <c:pt idx="12">
                  <c:v>7.1</c:v>
                </c:pt>
                <c:pt idx="13">
                  <c:v>8</c:v>
                </c:pt>
                <c:pt idx="14">
                  <c:v>8.5</c:v>
                </c:pt>
                <c:pt idx="15">
                  <c:v>22</c:v>
                </c:pt>
              </c:numCache>
            </c:numRef>
          </c:val>
          <c:extLst>
            <c:ext xmlns:c16="http://schemas.microsoft.com/office/drawing/2014/chart" uri="{C3380CC4-5D6E-409C-BE32-E72D297353CC}">
              <c16:uniqueId val="{00000000-47A1-41CD-80D2-39A2A558354D}"/>
            </c:ext>
          </c:extLst>
        </c:ser>
        <c:dLbls>
          <c:showLegendKey val="0"/>
          <c:showVal val="0"/>
          <c:showCatName val="0"/>
          <c:showSerName val="0"/>
          <c:showPercent val="0"/>
          <c:showBubbleSize val="0"/>
        </c:dLbls>
        <c:gapWidth val="120"/>
        <c:axId val="164105600"/>
        <c:axId val="164115584"/>
      </c:barChart>
      <c:dateAx>
        <c:axId val="164105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4115584"/>
        <c:crosses val="autoZero"/>
        <c:auto val="0"/>
        <c:lblOffset val="100"/>
        <c:baseTimeUnit val="days"/>
        <c:majorUnit val="1"/>
      </c:dateAx>
      <c:valAx>
        <c:axId val="164115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tys.</a:t>
                </a:r>
              </a:p>
            </c:rich>
          </c:tx>
          <c:layout>
            <c:manualLayout>
              <c:xMode val="edge"/>
              <c:yMode val="edge"/>
              <c:x val="0.94530485316482826"/>
              <c:y val="0.9277972600017474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4105600"/>
        <c:crossesAt val="1"/>
        <c:crossBetween val="between"/>
      </c:valAx>
      <c:spPr>
        <a:noFill/>
        <a:ln>
          <a:noFill/>
        </a:ln>
        <a:effectLst/>
      </c:spPr>
    </c:plotArea>
    <c:plotVisOnly val="0"/>
    <c:dispBlanksAs val="gap"/>
    <c:showDLblsOverMax val="0"/>
  </c:chart>
  <c:spPr>
    <a:solidFill>
      <a:schemeClr val="bg1"/>
    </a:solidFill>
    <a:ln w="9525" cap="flat" cmpd="sng" algn="ctr">
      <a:noFill/>
      <a:round/>
    </a:ln>
    <a:effectLst/>
  </c:spPr>
  <c:txPr>
    <a:bodyPr/>
    <a:lstStyle/>
    <a:p>
      <a:pPr>
        <a:defRPr sz="800" baseline="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46302957633906"/>
          <c:y val="0.1233226357146192"/>
          <c:w val="0.88605635491606483"/>
          <c:h val="0.71852717946219602"/>
        </c:manualLayout>
      </c:layout>
      <c:lineChart>
        <c:grouping val="standard"/>
        <c:varyColors val="0"/>
        <c:ser>
          <c:idx val="0"/>
          <c:order val="0"/>
          <c:spPr>
            <a:ln w="28575" cap="rnd">
              <a:solidFill>
                <a:srgbClr val="001D77"/>
              </a:solidFill>
              <a:round/>
            </a:ln>
            <a:effectLst/>
          </c:spPr>
          <c:marker>
            <c:symbol val="none"/>
          </c:marker>
          <c:cat>
            <c:multiLvlStrRef>
              <c:f>Arkusz1!$A$4:$B$37</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Arkusz1!$C$4:$C$37</c:f>
              <c:numCache>
                <c:formatCode>General</c:formatCode>
                <c:ptCount val="34"/>
                <c:pt idx="0">
                  <c:v>0.49000000000000032</c:v>
                </c:pt>
                <c:pt idx="1">
                  <c:v>0.48000000000000032</c:v>
                </c:pt>
                <c:pt idx="2">
                  <c:v>0.41000000000000031</c:v>
                </c:pt>
                <c:pt idx="3">
                  <c:v>0.34</c:v>
                </c:pt>
                <c:pt idx="4">
                  <c:v>0.41000000000000031</c:v>
                </c:pt>
                <c:pt idx="5">
                  <c:v>0.41000000000000031</c:v>
                </c:pt>
                <c:pt idx="6">
                  <c:v>0.42000000000000032</c:v>
                </c:pt>
                <c:pt idx="7">
                  <c:v>0.37000000000000038</c:v>
                </c:pt>
                <c:pt idx="8">
                  <c:v>0.48000000000000032</c:v>
                </c:pt>
                <c:pt idx="9">
                  <c:v>0.51</c:v>
                </c:pt>
                <c:pt idx="10">
                  <c:v>0.53</c:v>
                </c:pt>
                <c:pt idx="11">
                  <c:v>0.48000000000000032</c:v>
                </c:pt>
                <c:pt idx="12">
                  <c:v>0.630000000000001</c:v>
                </c:pt>
                <c:pt idx="13">
                  <c:v>0.64000000000000101</c:v>
                </c:pt>
                <c:pt idx="14">
                  <c:v>0.630000000000001</c:v>
                </c:pt>
                <c:pt idx="15">
                  <c:v>0.55000000000000004</c:v>
                </c:pt>
                <c:pt idx="16">
                  <c:v>0.76000000000000101</c:v>
                </c:pt>
                <c:pt idx="17" formatCode="0.00">
                  <c:v>0.8</c:v>
                </c:pt>
                <c:pt idx="18">
                  <c:v>0.81</c:v>
                </c:pt>
                <c:pt idx="19">
                  <c:v>0.66000000000000114</c:v>
                </c:pt>
                <c:pt idx="20">
                  <c:v>0.96000000000000063</c:v>
                </c:pt>
                <c:pt idx="21">
                  <c:v>0.98</c:v>
                </c:pt>
                <c:pt idx="22">
                  <c:v>1.06</c:v>
                </c:pt>
                <c:pt idx="23">
                  <c:v>0.96000000000000063</c:v>
                </c:pt>
                <c:pt idx="24">
                  <c:v>1.1700000000000017</c:v>
                </c:pt>
                <c:pt idx="25">
                  <c:v>1.27</c:v>
                </c:pt>
                <c:pt idx="26">
                  <c:v>1.21</c:v>
                </c:pt>
                <c:pt idx="27">
                  <c:v>1.07</c:v>
                </c:pt>
                <c:pt idx="28">
                  <c:v>1.08</c:v>
                </c:pt>
                <c:pt idx="29">
                  <c:v>1.1299999999999979</c:v>
                </c:pt>
                <c:pt idx="30">
                  <c:v>1.1200000000000001</c:v>
                </c:pt>
                <c:pt idx="31">
                  <c:v>0.95000000000000062</c:v>
                </c:pt>
                <c:pt idx="32">
                  <c:v>0.61000000000000065</c:v>
                </c:pt>
                <c:pt idx="33">
                  <c:v>0.66000000000000114</c:v>
                </c:pt>
              </c:numCache>
            </c:numRef>
          </c:val>
          <c:smooth val="0"/>
          <c:extLst>
            <c:ext xmlns:c16="http://schemas.microsoft.com/office/drawing/2014/chart" uri="{C3380CC4-5D6E-409C-BE32-E72D297353CC}">
              <c16:uniqueId val="{00000000-024E-4E0E-B2A5-9DBE56231F75}"/>
            </c:ext>
          </c:extLst>
        </c:ser>
        <c:dLbls>
          <c:showLegendKey val="0"/>
          <c:showVal val="0"/>
          <c:showCatName val="0"/>
          <c:showSerName val="0"/>
          <c:showPercent val="0"/>
          <c:showBubbleSize val="0"/>
        </c:dLbls>
        <c:smooth val="0"/>
        <c:axId val="164135680"/>
        <c:axId val="164137216"/>
      </c:lineChart>
      <c:catAx>
        <c:axId val="16413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4137216"/>
        <c:crosses val="autoZero"/>
        <c:auto val="1"/>
        <c:lblAlgn val="ctr"/>
        <c:lblOffset val="100"/>
        <c:noMultiLvlLbl val="0"/>
      </c:catAx>
      <c:valAx>
        <c:axId val="1641372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41356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249200639488406E-2"/>
          <c:y val="5.0396825396825475E-2"/>
          <c:w val="0.4633053557154278"/>
          <c:h val="0.91999206349206353"/>
        </c:manualLayout>
      </c:layout>
      <c:pieChart>
        <c:varyColors val="1"/>
        <c:ser>
          <c:idx val="0"/>
          <c:order val="0"/>
          <c:spPr>
            <a:ln>
              <a:noFill/>
            </a:ln>
          </c:spPr>
          <c:dPt>
            <c:idx val="0"/>
            <c:bubble3D val="0"/>
            <c:spPr>
              <a:solidFill>
                <a:srgbClr val="001D77"/>
              </a:solidFill>
              <a:ln w="19050">
                <a:noFill/>
              </a:ln>
              <a:effectLst/>
            </c:spPr>
            <c:extLst>
              <c:ext xmlns:c16="http://schemas.microsoft.com/office/drawing/2014/chart" uri="{C3380CC4-5D6E-409C-BE32-E72D297353CC}">
                <c16:uniqueId val="{00000001-21E5-48DA-9618-89901E3D2757}"/>
              </c:ext>
            </c:extLst>
          </c:dPt>
          <c:dPt>
            <c:idx val="1"/>
            <c:bubble3D val="0"/>
            <c:spPr>
              <a:solidFill>
                <a:srgbClr val="334A92"/>
              </a:solidFill>
              <a:ln w="19050">
                <a:noFill/>
              </a:ln>
              <a:effectLst/>
            </c:spPr>
            <c:extLst>
              <c:ext xmlns:c16="http://schemas.microsoft.com/office/drawing/2014/chart" uri="{C3380CC4-5D6E-409C-BE32-E72D297353CC}">
                <c16:uniqueId val="{00000003-21E5-48DA-9618-89901E3D2757}"/>
              </c:ext>
            </c:extLst>
          </c:dPt>
          <c:dPt>
            <c:idx val="2"/>
            <c:bubble3D val="0"/>
            <c:spPr>
              <a:solidFill>
                <a:srgbClr val="6677AD"/>
              </a:solidFill>
              <a:ln w="19050">
                <a:noFill/>
              </a:ln>
              <a:effectLst/>
            </c:spPr>
            <c:extLst>
              <c:ext xmlns:c16="http://schemas.microsoft.com/office/drawing/2014/chart" uri="{C3380CC4-5D6E-409C-BE32-E72D297353CC}">
                <c16:uniqueId val="{00000005-21E5-48DA-9618-89901E3D2757}"/>
              </c:ext>
            </c:extLst>
          </c:dPt>
          <c:dPt>
            <c:idx val="3"/>
            <c:bubble3D val="0"/>
            <c:spPr>
              <a:solidFill>
                <a:srgbClr val="99A5C9"/>
              </a:solidFill>
              <a:ln w="19050">
                <a:noFill/>
              </a:ln>
              <a:effectLst/>
            </c:spPr>
            <c:extLst>
              <c:ext xmlns:c16="http://schemas.microsoft.com/office/drawing/2014/chart" uri="{C3380CC4-5D6E-409C-BE32-E72D297353CC}">
                <c16:uniqueId val="{00000007-21E5-48DA-9618-89901E3D2757}"/>
              </c:ext>
            </c:extLst>
          </c:dPt>
          <c:dPt>
            <c:idx val="4"/>
            <c:bubble3D val="0"/>
            <c:spPr>
              <a:solidFill>
                <a:srgbClr val="CCD2E4"/>
              </a:solidFill>
              <a:ln w="19050">
                <a:noFill/>
              </a:ln>
              <a:effectLst/>
            </c:spPr>
            <c:extLst>
              <c:ext xmlns:c16="http://schemas.microsoft.com/office/drawing/2014/chart" uri="{C3380CC4-5D6E-409C-BE32-E72D297353CC}">
                <c16:uniqueId val="{00000009-21E5-48DA-9618-89901E3D2757}"/>
              </c:ext>
            </c:extLst>
          </c:dPt>
          <c:cat>
            <c:strRef>
              <c:f>'wyk7'!$B$9:$B$13</c:f>
              <c:strCache>
                <c:ptCount val="5"/>
                <c:pt idx="0">
                  <c:v>Manufacturing (C)</c:v>
                </c:pt>
                <c:pt idx="1">
                  <c:v>Trade; repair of motor vehicles   (G)</c:v>
                </c:pt>
                <c:pt idx="2">
                  <c:v>Construction (F)</c:v>
                </c:pt>
                <c:pt idx="3">
                  <c:v>Accommodation and catering   (I)</c:v>
                </c:pt>
                <c:pt idx="4">
                  <c:v>Other sections</c:v>
                </c:pt>
              </c:strCache>
            </c:strRef>
          </c:cat>
          <c:val>
            <c:numRef>
              <c:f>'wyk7'!$C$9:$C$13</c:f>
              <c:numCache>
                <c:formatCode>0.0%</c:formatCode>
                <c:ptCount val="5"/>
                <c:pt idx="0">
                  <c:v>0.23</c:v>
                </c:pt>
                <c:pt idx="1">
                  <c:v>0.19500000000000001</c:v>
                </c:pt>
                <c:pt idx="2">
                  <c:v>0.129</c:v>
                </c:pt>
                <c:pt idx="3">
                  <c:v>8.1000000000000003E-2</c:v>
                </c:pt>
                <c:pt idx="4">
                  <c:v>0.36499999999999999</c:v>
                </c:pt>
              </c:numCache>
            </c:numRef>
          </c:val>
          <c:extLst>
            <c:ext xmlns:c16="http://schemas.microsoft.com/office/drawing/2014/chart" uri="{C3380CC4-5D6E-409C-BE32-E72D297353CC}">
              <c16:uniqueId val="{0000000A-21E5-48DA-9618-89901E3D275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1994204636290953"/>
          <c:y val="0.26284188034188044"/>
          <c:w val="0.47751998401279017"/>
          <c:h val="0.4979641025641026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056660560140967"/>
          <c:y val="1.4412689703773917E-2"/>
          <c:w val="0.45802246063340385"/>
          <c:h val="0.88921390392570687"/>
        </c:manualLayout>
      </c:layout>
      <c:barChart>
        <c:barDir val="bar"/>
        <c:grouping val="clustered"/>
        <c:varyColors val="0"/>
        <c:ser>
          <c:idx val="0"/>
          <c:order val="0"/>
          <c:tx>
            <c:strRef>
              <c:f>'wyk8'!$B$4</c:f>
              <c:strCache>
                <c:ptCount val="1"/>
                <c:pt idx="0">
                  <c:v>Liquidated jobs</c:v>
                </c:pt>
              </c:strCache>
            </c:strRef>
          </c:tx>
          <c:spPr>
            <a:solidFill>
              <a:srgbClr val="C0C0C0"/>
            </a:solidFill>
            <a:ln>
              <a:noFill/>
            </a:ln>
            <a:effectLst/>
          </c:spPr>
          <c:invertIfNegative val="0"/>
          <c:cat>
            <c:strRef>
              <c:f>'wyk8'!$A$5:$A$19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'wyk8'!$B$5:$B$19</c:f>
              <c:numCache>
                <c:formatCode>0.0</c:formatCode>
                <c:ptCount val="15"/>
                <c:pt idx="0">
                  <c:v>1.6</c:v>
                </c:pt>
                <c:pt idx="1">
                  <c:v>1</c:v>
                </c:pt>
                <c:pt idx="2">
                  <c:v>2.4</c:v>
                </c:pt>
                <c:pt idx="3">
                  <c:v>4.8</c:v>
                </c:pt>
                <c:pt idx="4">
                  <c:v>0.5</c:v>
                </c:pt>
                <c:pt idx="5">
                  <c:v>5.3</c:v>
                </c:pt>
                <c:pt idx="6">
                  <c:v>3.7</c:v>
                </c:pt>
                <c:pt idx="7">
                  <c:v>1.8</c:v>
                </c:pt>
                <c:pt idx="8">
                  <c:v>1.9</c:v>
                </c:pt>
                <c:pt idx="9">
                  <c:v>3.2</c:v>
                </c:pt>
                <c:pt idx="10">
                  <c:v>7.6</c:v>
                </c:pt>
                <c:pt idx="11">
                  <c:v>6.2</c:v>
                </c:pt>
                <c:pt idx="12">
                  <c:v>18.3</c:v>
                </c:pt>
                <c:pt idx="13">
                  <c:v>12.1</c:v>
                </c:pt>
                <c:pt idx="14">
                  <c:v>21.5</c:v>
                </c:pt>
              </c:numCache>
            </c:numRef>
          </c:val>
          <c:extLst>
            <c:ext xmlns:c16="http://schemas.microsoft.com/office/drawing/2014/chart" uri="{C3380CC4-5D6E-409C-BE32-E72D297353CC}">
              <c16:uniqueId val="{00000000-1814-4812-9E2A-D96C20E62454}"/>
            </c:ext>
          </c:extLst>
        </c:ser>
        <c:ser>
          <c:idx val="1"/>
          <c:order val="1"/>
          <c:tx>
            <c:strRef>
              <c:f>'wyk8'!$C$4</c:f>
              <c:strCache>
                <c:ptCount val="1"/>
                <c:pt idx="0">
                  <c:v>Newly created jobs</c:v>
                </c:pt>
              </c:strCache>
            </c:strRef>
          </c:tx>
          <c:spPr>
            <a:solidFill>
              <a:srgbClr val="001D77"/>
            </a:solidFill>
            <a:ln>
              <a:noFill/>
            </a:ln>
            <a:effectLst/>
          </c:spPr>
          <c:invertIfNegative val="0"/>
          <c:cat>
            <c:strRef>
              <c:f>'wyk8'!$A$5:$A$19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'wyk8'!$C$5:$C$19</c:f>
              <c:numCache>
                <c:formatCode>0.0</c:formatCode>
                <c:ptCount val="15"/>
                <c:pt idx="0">
                  <c:v>1.2</c:v>
                </c:pt>
                <c:pt idx="1">
                  <c:v>0.8</c:v>
                </c:pt>
                <c:pt idx="2">
                  <c:v>2</c:v>
                </c:pt>
                <c:pt idx="3">
                  <c:v>2</c:v>
                </c:pt>
                <c:pt idx="4">
                  <c:v>1.9</c:v>
                </c:pt>
                <c:pt idx="5">
                  <c:v>3.4</c:v>
                </c:pt>
                <c:pt idx="6">
                  <c:v>6.3</c:v>
                </c:pt>
                <c:pt idx="7">
                  <c:v>1.3</c:v>
                </c:pt>
                <c:pt idx="8">
                  <c:v>1.5</c:v>
                </c:pt>
                <c:pt idx="9">
                  <c:v>5.0999999999999996</c:v>
                </c:pt>
                <c:pt idx="10">
                  <c:v>4.8</c:v>
                </c:pt>
                <c:pt idx="11">
                  <c:v>7</c:v>
                </c:pt>
                <c:pt idx="12">
                  <c:v>16.100000000000001</c:v>
                </c:pt>
                <c:pt idx="13">
                  <c:v>10.5</c:v>
                </c:pt>
                <c:pt idx="14">
                  <c:v>15.8</c:v>
                </c:pt>
              </c:numCache>
            </c:numRef>
          </c:val>
          <c:extLst>
            <c:ext xmlns:c16="http://schemas.microsoft.com/office/drawing/2014/chart" uri="{C3380CC4-5D6E-409C-BE32-E72D297353CC}">
              <c16:uniqueId val="{00000001-1814-4812-9E2A-D96C20E62454}"/>
            </c:ext>
          </c:extLst>
        </c:ser>
        <c:dLbls>
          <c:showLegendKey val="0"/>
          <c:showVal val="0"/>
          <c:showCatName val="0"/>
          <c:showSerName val="0"/>
          <c:showPercent val="0"/>
          <c:showBubbleSize val="0"/>
        </c:dLbls>
        <c:gapWidth val="150"/>
        <c:axId val="83269504"/>
        <c:axId val="83271040"/>
      </c:barChart>
      <c:catAx>
        <c:axId val="83269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3271040"/>
        <c:crosses val="autoZero"/>
        <c:auto val="1"/>
        <c:lblAlgn val="ctr"/>
        <c:lblOffset val="100"/>
        <c:noMultiLvlLbl val="0"/>
      </c:catAx>
      <c:valAx>
        <c:axId val="83271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en-US"/>
                  <a:t>t</a:t>
                </a:r>
                <a:r>
                  <a:rPr lang="pl-PL"/>
                  <a:t>housands</a:t>
                </a:r>
                <a:endParaRPr lang="en-US"/>
              </a:p>
            </c:rich>
          </c:tx>
          <c:layout>
            <c:manualLayout>
              <c:xMode val="edge"/>
              <c:yMode val="edge"/>
              <c:x val="0.91124097908641166"/>
              <c:y val="0.8748339010707449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83269504"/>
        <c:crosses val="autoZero"/>
        <c:crossBetween val="between"/>
      </c:valAx>
      <c:spPr>
        <a:noFill/>
        <a:ln>
          <a:noFill/>
        </a:ln>
        <a:effectLst/>
      </c:spPr>
    </c:plotArea>
    <c:legend>
      <c:legendPos val="b"/>
      <c:layout>
        <c:manualLayout>
          <c:xMode val="edge"/>
          <c:yMode val="edge"/>
          <c:x val="0.15520263788968824"/>
          <c:y val="0.9524396135265718"/>
          <c:w val="0.70482254196642657"/>
          <c:h val="4.756038647342995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0.75367</cdr:x>
      <cdr:y>0.29104</cdr:y>
    </cdr:from>
    <cdr:to>
      <cdr:x>0.97062</cdr:x>
      <cdr:y>0.68181</cdr:y>
    </cdr:to>
    <cdr:sp macro="" textlink="">
      <cdr:nvSpPr>
        <cdr:cNvPr id="2" name="pole tekstowe 1"/>
        <cdr:cNvSpPr txBox="1"/>
      </cdr:nvSpPr>
      <cdr:spPr>
        <a:xfrm xmlns:a="http://schemas.openxmlformats.org/drawingml/2006/main">
          <a:off x="3176588" y="6810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0.63541</cdr:x>
      <cdr:y>0.31546</cdr:y>
    </cdr:from>
    <cdr:to>
      <cdr:x>0.98176</cdr:x>
      <cdr:y>0.40676</cdr:y>
    </cdr:to>
    <cdr:sp macro="" textlink="">
      <cdr:nvSpPr>
        <cdr:cNvPr id="3" name="pole tekstowe 2"/>
        <cdr:cNvSpPr txBox="1"/>
      </cdr:nvSpPr>
      <cdr:spPr>
        <a:xfrm xmlns:a="http://schemas.openxmlformats.org/drawingml/2006/main">
          <a:off x="2690220" y="712057"/>
          <a:ext cx="1466422" cy="206086"/>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Number of employed persons</a:t>
          </a:r>
        </a:p>
      </cdr:txBody>
    </cdr:sp>
  </cdr:relSizeAnchor>
</c:userShapes>
</file>

<file path=word/drawings/drawing2.xml><?xml version="1.0" encoding="utf-8"?>
<c:userShapes xmlns:c="http://schemas.openxmlformats.org/drawingml/2006/chart">
  <cdr:relSizeAnchor xmlns:cdr="http://schemas.openxmlformats.org/drawingml/2006/chartDrawing">
    <cdr:from>
      <cdr:x>0.06711</cdr:x>
      <cdr:y>0.01997</cdr:y>
    </cdr:from>
    <cdr:to>
      <cdr:x>0.09515</cdr:x>
      <cdr:y>0.0806</cdr:y>
    </cdr:to>
    <cdr:sp macro="" textlink="">
      <cdr:nvSpPr>
        <cdr:cNvPr id="2" name="Pole tekstowe 1"/>
        <cdr:cNvSpPr txBox="1"/>
      </cdr:nvSpPr>
      <cdr:spPr>
        <a:xfrm xmlns:a="http://schemas.openxmlformats.org/drawingml/2006/main">
          <a:off x="335674" y="49179"/>
          <a:ext cx="140253" cy="14934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800">
              <a:latin typeface="Fira Sans" panose="020B0503050000020004" pitchFamily="34" charset="0"/>
              <a:ea typeface="Fira Sans" panose="020B0503050000020004" pitchFamily="34"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0.90217</cdr:x>
      <cdr:y>0.364</cdr:y>
    </cdr:from>
    <cdr:to>
      <cdr:x>0.92453</cdr:x>
      <cdr:y>0.41486</cdr:y>
    </cdr:to>
    <cdr:sp macro="" textlink="">
      <cdr:nvSpPr>
        <cdr:cNvPr id="2" name="pole tekstowe 1"/>
        <cdr:cNvSpPr txBox="1"/>
      </cdr:nvSpPr>
      <cdr:spPr>
        <a:xfrm xmlns:a="http://schemas.openxmlformats.org/drawingml/2006/main">
          <a:off x="4220404" y="745195"/>
          <a:ext cx="104601" cy="10412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0.8877</cdr:x>
      <cdr:y>0.56116</cdr:y>
    </cdr:from>
    <cdr:to>
      <cdr:x>0.91006</cdr:x>
      <cdr:y>0.61201</cdr:y>
    </cdr:to>
    <cdr:sp macro="" textlink="">
      <cdr:nvSpPr>
        <cdr:cNvPr id="3" name="pole tekstowe 1"/>
        <cdr:cNvSpPr txBox="1"/>
      </cdr:nvSpPr>
      <cdr:spPr>
        <a:xfrm xmlns:a="http://schemas.openxmlformats.org/drawingml/2006/main">
          <a:off x="4152721" y="1148827"/>
          <a:ext cx="104601" cy="104102"/>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700">
              <a:latin typeface="Symbol" panose="05050102010706020507" pitchFamily="18" charset="2"/>
            </a:rPr>
            <a:t>D</a:t>
          </a:r>
        </a:p>
      </cdr:txBody>
    </cdr:sp>
  </cdr:relSizeAnchor>
</c:userShapes>
</file>

<file path=word/drawings/drawing4.xml><?xml version="1.0" encoding="utf-8"?>
<c:userShapes xmlns:c="http://schemas.openxmlformats.org/drawingml/2006/chart">
  <cdr:relSizeAnchor xmlns:cdr="http://schemas.openxmlformats.org/drawingml/2006/chartDrawing">
    <cdr:from>
      <cdr:x>0.4522</cdr:x>
      <cdr:y>0.12527</cdr:y>
    </cdr:from>
    <cdr:to>
      <cdr:x>0.46681</cdr:x>
      <cdr:y>0.1521</cdr:y>
    </cdr:to>
    <cdr:sp macro="" textlink="">
      <cdr:nvSpPr>
        <cdr:cNvPr id="2" name="pole tekstowe 1"/>
        <cdr:cNvSpPr txBox="1"/>
      </cdr:nvSpPr>
      <cdr:spPr>
        <a:xfrm xmlns:a="http://schemas.openxmlformats.org/drawingml/2006/main">
          <a:off x="2258262" y="519227"/>
          <a:ext cx="73002" cy="11124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0.4515</cdr:x>
      <cdr:y>0.24519</cdr:y>
    </cdr:from>
    <cdr:to>
      <cdr:x>0.46542</cdr:x>
      <cdr:y>0.27371</cdr:y>
    </cdr:to>
    <cdr:sp macro="" textlink="">
      <cdr:nvSpPr>
        <cdr:cNvPr id="3" name="pole tekstowe 2"/>
        <cdr:cNvSpPr txBox="1"/>
      </cdr:nvSpPr>
      <cdr:spPr>
        <a:xfrm xmlns:a="http://schemas.openxmlformats.org/drawingml/2006/main">
          <a:off x="2254784" y="1016335"/>
          <a:ext cx="69526" cy="11819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STAT\KOZLOWSKIL</Osoba>
    <_SourceUrl xmlns="http://schemas.microsoft.com/sharepoint/v3" xsi:nil="true"/>
    <NazwaPliku xmlns="9070EBFB-EDD5-4A8B-ADA9-FC396769AC9B">BDG-OBR.6332.5.2018.3 Zał. 2 - Informacja-Zezwolenia_na_pracę_cudzoziemców_w_2017.docx.docx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2.xml><?xml version="1.0" encoding="utf-8"?>
<ds:datastoreItem xmlns:ds="http://schemas.openxmlformats.org/officeDocument/2006/customXml" ds:itemID="{4FA787C7-F191-40A3-8BFE-1367E2FD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E0864-7E9D-4CB6-9F64-5ABC4328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1584</Words>
  <Characters>9507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BDG</dc:creator>
  <cp:lastModifiedBy>Małgorzata Górka</cp:lastModifiedBy>
  <cp:revision>2</cp:revision>
  <cp:lastPrinted>2020-09-08T09:54:00Z</cp:lastPrinted>
  <dcterms:created xsi:type="dcterms:W3CDTF">2020-09-08T09:56:00Z</dcterms:created>
  <dcterms:modified xsi:type="dcterms:W3CDTF">2020-09-08T09:56:00Z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