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346B6D" w:rsidRDefault="00F91EB7" w:rsidP="00F91EB7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</w:t>
      </w:r>
      <w:r w:rsidR="00CB181B" w:rsidRPr="00346B6D">
        <w:rPr>
          <w:shd w:val="clear" w:color="auto" w:fill="FFFFFF"/>
          <w:lang w:val="en-GB"/>
        </w:rPr>
        <w:t xml:space="preserve">sold production of </w:t>
      </w:r>
      <w:r w:rsidRPr="00346B6D">
        <w:rPr>
          <w:shd w:val="clear" w:color="auto" w:fill="FFFFFF"/>
          <w:lang w:val="en-GB"/>
        </w:rPr>
        <w:t>industr</w:t>
      </w:r>
      <w:r w:rsidR="00CB181B" w:rsidRPr="00346B6D">
        <w:rPr>
          <w:shd w:val="clear" w:color="auto" w:fill="FFFFFF"/>
          <w:lang w:val="en-GB"/>
        </w:rPr>
        <w:t>y</w:t>
      </w:r>
      <w:r w:rsidRPr="00346B6D">
        <w:rPr>
          <w:shd w:val="clear" w:color="auto" w:fill="FFFFFF"/>
          <w:lang w:val="en-GB"/>
        </w:rPr>
        <w:t xml:space="preserve"> </w:t>
      </w:r>
      <w:r w:rsidR="00681057" w:rsidRPr="00346B6D">
        <w:rPr>
          <w:shd w:val="clear" w:color="auto" w:fill="FFFFFF"/>
          <w:lang w:val="en-GB"/>
        </w:rPr>
        <w:t xml:space="preserve">          </w:t>
      </w:r>
      <w:r w:rsidR="00050C67" w:rsidRPr="00346B6D">
        <w:rPr>
          <w:shd w:val="clear" w:color="auto" w:fill="FFFFFF"/>
          <w:lang w:val="en-GB"/>
        </w:rPr>
        <w:t xml:space="preserve">in </w:t>
      </w:r>
      <w:r w:rsidR="00FD4599">
        <w:rPr>
          <w:b/>
          <w:shd w:val="clear" w:color="auto" w:fill="FFFFFF"/>
          <w:lang w:val="en-GB"/>
        </w:rPr>
        <w:t>February</w:t>
      </w:r>
      <w:r w:rsidR="00F246E8">
        <w:rPr>
          <w:shd w:val="clear" w:color="auto" w:fill="FFFFFF"/>
          <w:lang w:val="en-GB"/>
        </w:rPr>
        <w:t xml:space="preserve"> 2020</w:t>
      </w:r>
      <w:r w:rsidR="003F3148" w:rsidRPr="00346B6D">
        <w:rPr>
          <w:shd w:val="clear" w:color="auto" w:fill="FFFFFF"/>
          <w:vertAlign w:val="superscript"/>
          <w:lang w:val="en-GB"/>
        </w:rPr>
        <w:t>a)</w:t>
      </w:r>
    </w:p>
    <w:p w:rsidR="00393761" w:rsidRPr="00C52703" w:rsidRDefault="00393761" w:rsidP="00074DD8">
      <w:pPr>
        <w:pStyle w:val="tytuinformacji"/>
        <w:rPr>
          <w:sz w:val="32"/>
          <w:lang w:val="en-GB"/>
        </w:rPr>
      </w:pPr>
    </w:p>
    <w:p w:rsidR="00CB181B" w:rsidRDefault="006B3384" w:rsidP="00F246E8">
      <w:pPr>
        <w:pStyle w:val="LID"/>
        <w:rPr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BC3A60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 </w:t>
                            </w:r>
                            <w:r w:rsidR="00DB2026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30EB210" wp14:editId="65D1D4F8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D45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F246E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FD459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3A414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2D0E0C" w:rsidRPr="00346B6D" w:rsidRDefault="00F5576E" w:rsidP="002D0E0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Increase in</w:t>
                            </w:r>
                            <w:r w:rsidR="00041BC3" w:rsidRPr="00346B6D">
                              <w:rPr>
                                <w:sz w:val="20"/>
                                <w:lang w:val="en-US"/>
                              </w:rPr>
                              <w:t xml:space="preserve"> s</w:t>
                            </w:r>
                            <w:r w:rsidR="004E0005" w:rsidRPr="00346B6D">
                              <w:rPr>
                                <w:sz w:val="20"/>
                                <w:lang w:val="en-US"/>
                              </w:rPr>
                              <w:t>old production of industry</w:t>
                            </w:r>
                            <w:r w:rsidR="00037AB3" w:rsidRPr="00346B6D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2D0E0C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E7137" w:rsidRPr="00346B6D">
                              <w:rPr>
                                <w:sz w:val="20"/>
                                <w:lang w:val="en-US"/>
                              </w:rPr>
                              <w:t>as compared to</w:t>
                            </w:r>
                            <w:r w:rsidR="00050C67" w:rsidRPr="00346B6D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D4599">
                              <w:rPr>
                                <w:sz w:val="20"/>
                                <w:lang w:val="en-US"/>
                              </w:rPr>
                              <w:t>February</w:t>
                            </w:r>
                            <w:r w:rsidR="00BC3A6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246E8">
                              <w:rPr>
                                <w:sz w:val="20"/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CA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p/JwIAACE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BC3A60">
                        <w:rPr>
                          <w:noProof/>
                          <w:color w:val="001D77"/>
                          <w:lang w:val="en-US" w:eastAsia="pl-PL"/>
                        </w:rPr>
                        <w:t xml:space="preserve">  </w:t>
                      </w:r>
                      <w:r w:rsidR="00DB2026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30EB210" wp14:editId="65D1D4F8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D45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F246E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FD459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3A414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2D0E0C" w:rsidRPr="00346B6D" w:rsidRDefault="00F5576E" w:rsidP="002D0E0C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Increase in</w:t>
                      </w:r>
                      <w:r w:rsidR="00041BC3" w:rsidRPr="00346B6D">
                        <w:rPr>
                          <w:sz w:val="20"/>
                          <w:lang w:val="en-US"/>
                        </w:rPr>
                        <w:t xml:space="preserve"> s</w:t>
                      </w:r>
                      <w:r w:rsidR="004E0005" w:rsidRPr="00346B6D">
                        <w:rPr>
                          <w:sz w:val="20"/>
                          <w:lang w:val="en-US"/>
                        </w:rPr>
                        <w:t>old production of industry</w:t>
                      </w:r>
                      <w:r w:rsidR="00037AB3" w:rsidRPr="00346B6D">
                        <w:rPr>
                          <w:sz w:val="20"/>
                          <w:lang w:val="en-US"/>
                        </w:rPr>
                        <w:t>,</w:t>
                      </w:r>
                      <w:r w:rsidR="002D0E0C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E7137" w:rsidRPr="00346B6D">
                        <w:rPr>
                          <w:sz w:val="20"/>
                          <w:lang w:val="en-US"/>
                        </w:rPr>
                        <w:t>as compared to</w:t>
                      </w:r>
                      <w:r w:rsidR="00050C67" w:rsidRPr="00346B6D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D4599">
                        <w:rPr>
                          <w:sz w:val="20"/>
                          <w:lang w:val="en-US"/>
                        </w:rPr>
                        <w:t>February</w:t>
                      </w:r>
                      <w:r w:rsidR="00BC3A6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F246E8">
                        <w:rPr>
                          <w:sz w:val="20"/>
                          <w:lang w:val="en-US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7" type="#_x0000_t202" style="position:absolute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4599">
        <w:rPr>
          <w:lang w:val="en-GB"/>
        </w:rPr>
        <w:t>In February 2020</w:t>
      </w:r>
      <w:r w:rsidR="00FD4599" w:rsidRPr="00C52703">
        <w:rPr>
          <w:lang w:val="en-GB"/>
        </w:rPr>
        <w:t xml:space="preserve">, sold production of industry was by </w:t>
      </w:r>
      <w:r w:rsidR="00FD4599">
        <w:rPr>
          <w:lang w:val="en-GB"/>
        </w:rPr>
        <w:t>4.9% higher than in February</w:t>
      </w:r>
      <w:r w:rsidR="00FD4599" w:rsidRPr="00C52703">
        <w:rPr>
          <w:lang w:val="en-GB"/>
        </w:rPr>
        <w:t xml:space="preserve"> 201</w:t>
      </w:r>
      <w:r w:rsidR="00FD4599">
        <w:rPr>
          <w:lang w:val="en-GB"/>
        </w:rPr>
        <w:t>9</w:t>
      </w:r>
      <w:r w:rsidR="00FD4599" w:rsidRPr="00C52703">
        <w:rPr>
          <w:lang w:val="en-GB"/>
        </w:rPr>
        <w:t xml:space="preserve">, </w:t>
      </w:r>
      <w:r w:rsidR="00FD4599" w:rsidRPr="00E337D4">
        <w:rPr>
          <w:spacing w:val="-2"/>
          <w:lang w:val="en-GB"/>
        </w:rPr>
        <w:t xml:space="preserve">which saw </w:t>
      </w:r>
      <w:r w:rsidR="00197D12">
        <w:rPr>
          <w:spacing w:val="-2"/>
          <w:lang w:val="en-GB"/>
        </w:rPr>
        <w:t>6</w:t>
      </w:r>
      <w:r w:rsidR="00FD4599">
        <w:rPr>
          <w:spacing w:val="-2"/>
          <w:lang w:val="en-GB"/>
        </w:rPr>
        <w:t>.</w:t>
      </w:r>
      <w:r w:rsidR="00197D12">
        <w:rPr>
          <w:spacing w:val="-2"/>
          <w:lang w:val="en-GB"/>
        </w:rPr>
        <w:t>9</w:t>
      </w:r>
      <w:r w:rsidR="00FD4599" w:rsidRPr="00E337D4">
        <w:rPr>
          <w:spacing w:val="-2"/>
          <w:lang w:val="en-GB"/>
        </w:rPr>
        <w:t xml:space="preserve">% increase, whereas </w:t>
      </w:r>
      <w:r w:rsidR="00FD4599" w:rsidRPr="000640BF">
        <w:rPr>
          <w:spacing w:val="-2"/>
          <w:lang w:val="en-GB"/>
        </w:rPr>
        <w:t xml:space="preserve">in comparison with </w:t>
      </w:r>
      <w:r w:rsidR="00FD4599">
        <w:rPr>
          <w:spacing w:val="-2"/>
          <w:lang w:val="en-GB"/>
        </w:rPr>
        <w:t xml:space="preserve">January </w:t>
      </w:r>
      <w:r w:rsidR="0075569C">
        <w:rPr>
          <w:spacing w:val="-2"/>
          <w:lang w:val="en-GB"/>
        </w:rPr>
        <w:t>2020</w:t>
      </w:r>
      <w:r w:rsidR="00FD4599">
        <w:rPr>
          <w:spacing w:val="-2"/>
          <w:lang w:val="en-GB"/>
        </w:rPr>
        <w:t>,</w:t>
      </w:r>
      <w:r w:rsidR="00FD4599" w:rsidRPr="000640BF">
        <w:rPr>
          <w:spacing w:val="-2"/>
          <w:lang w:val="en-GB"/>
        </w:rPr>
        <w:t xml:space="preserve"> </w:t>
      </w:r>
      <w:r w:rsidR="00FD4599">
        <w:rPr>
          <w:spacing w:val="-2"/>
          <w:lang w:val="en-GB"/>
        </w:rPr>
        <w:t xml:space="preserve">it </w:t>
      </w:r>
      <w:r w:rsidR="00197D12">
        <w:rPr>
          <w:spacing w:val="-2"/>
          <w:lang w:val="en-GB"/>
        </w:rPr>
        <w:t>in</w:t>
      </w:r>
      <w:r w:rsidR="00FD4599" w:rsidRPr="000640BF">
        <w:rPr>
          <w:spacing w:val="-2"/>
          <w:lang w:val="en-GB"/>
        </w:rPr>
        <w:t xml:space="preserve">creased by </w:t>
      </w:r>
      <w:r w:rsidR="00197D12">
        <w:rPr>
          <w:spacing w:val="-2"/>
          <w:lang w:val="en-GB"/>
        </w:rPr>
        <w:t>2</w:t>
      </w:r>
      <w:r w:rsidR="00FD4599">
        <w:rPr>
          <w:spacing w:val="-2"/>
          <w:lang w:val="en-GB"/>
        </w:rPr>
        <w:t>.</w:t>
      </w:r>
      <w:r w:rsidR="00197D12">
        <w:rPr>
          <w:spacing w:val="-2"/>
          <w:lang w:val="en-GB"/>
        </w:rPr>
        <w:t>2</w:t>
      </w:r>
      <w:r w:rsidR="00FD4599" w:rsidRPr="000640BF">
        <w:rPr>
          <w:spacing w:val="-2"/>
          <w:lang w:val="en-GB"/>
        </w:rPr>
        <w:t>%.</w:t>
      </w:r>
      <w:r w:rsidR="00FD4599" w:rsidRPr="00B27CF9">
        <w:rPr>
          <w:lang w:val="en-GB"/>
        </w:rPr>
        <w:t xml:space="preserve"> </w:t>
      </w:r>
      <w:r w:rsidR="00FD4599">
        <w:rPr>
          <w:lang w:val="en-GB"/>
        </w:rPr>
        <w:t>In th</w:t>
      </w:r>
      <w:r w:rsidR="00197D12">
        <w:rPr>
          <w:lang w:val="en-GB"/>
        </w:rPr>
        <w:t>e period January-February of 2020</w:t>
      </w:r>
      <w:r w:rsidR="00FD4599" w:rsidRPr="00C52703">
        <w:rPr>
          <w:lang w:val="en-GB"/>
        </w:rPr>
        <w:t xml:space="preserve">, sold production of industry was </w:t>
      </w:r>
      <w:r w:rsidR="00FD4599">
        <w:rPr>
          <w:lang w:val="en-GB"/>
        </w:rPr>
        <w:t xml:space="preserve">by </w:t>
      </w:r>
      <w:r w:rsidR="00197D12">
        <w:rPr>
          <w:lang w:val="en-GB"/>
        </w:rPr>
        <w:t>2</w:t>
      </w:r>
      <w:r w:rsidR="00FD4599">
        <w:rPr>
          <w:lang w:val="en-GB"/>
        </w:rPr>
        <w:t>.7</w:t>
      </w:r>
      <w:r w:rsidR="00FD4599" w:rsidRPr="00C52703">
        <w:rPr>
          <w:lang w:val="en-GB"/>
        </w:rPr>
        <w:t xml:space="preserve">% higher than in </w:t>
      </w:r>
      <w:r w:rsidR="00FD4599">
        <w:rPr>
          <w:lang w:val="en-GB"/>
        </w:rPr>
        <w:t>the corresponding period of 201</w:t>
      </w:r>
      <w:r w:rsidR="00197D12">
        <w:rPr>
          <w:lang w:val="en-GB"/>
        </w:rPr>
        <w:t>9</w:t>
      </w:r>
      <w:r w:rsidR="00FD4599">
        <w:rPr>
          <w:lang w:val="en-GB"/>
        </w:rPr>
        <w:t>,</w:t>
      </w:r>
      <w:r w:rsidR="00FD4599" w:rsidRPr="00C52703">
        <w:rPr>
          <w:lang w:val="en-GB"/>
        </w:rPr>
        <w:t xml:space="preserve"> which saw a </w:t>
      </w:r>
      <w:r w:rsidR="00197D12">
        <w:rPr>
          <w:lang w:val="en-GB"/>
        </w:rPr>
        <w:t>6</w:t>
      </w:r>
      <w:r w:rsidR="00FD4599">
        <w:rPr>
          <w:lang w:val="en-GB"/>
        </w:rPr>
        <w:t>.</w:t>
      </w:r>
      <w:r w:rsidR="00197D12">
        <w:rPr>
          <w:lang w:val="en-GB"/>
        </w:rPr>
        <w:t>7</w:t>
      </w:r>
      <w:r w:rsidR="00FD4599" w:rsidRPr="00C52703">
        <w:rPr>
          <w:lang w:val="en-GB"/>
        </w:rPr>
        <w:t>% increase</w:t>
      </w:r>
      <w:r w:rsidR="000640BF" w:rsidRPr="000640BF">
        <w:rPr>
          <w:spacing w:val="-2"/>
          <w:lang w:val="en-GB"/>
        </w:rPr>
        <w:t>.</w:t>
      </w:r>
      <w:r w:rsidR="00B27CF9" w:rsidRPr="00B27CF9">
        <w:rPr>
          <w:lang w:val="en-GB"/>
        </w:rPr>
        <w:t xml:space="preserve"> </w:t>
      </w:r>
    </w:p>
    <w:p w:rsidR="00F246E8" w:rsidRDefault="00F246E8" w:rsidP="00F246E8">
      <w:pPr>
        <w:pStyle w:val="LID"/>
        <w:rPr>
          <w:lang w:val="en-GB"/>
        </w:rPr>
      </w:pPr>
    </w:p>
    <w:p w:rsidR="00F246E8" w:rsidRDefault="00F246E8" w:rsidP="00F246E8">
      <w:pPr>
        <w:pStyle w:val="LID"/>
        <w:rPr>
          <w:spacing w:val="-2"/>
          <w:lang w:val="en-GB"/>
        </w:rPr>
      </w:pPr>
    </w:p>
    <w:p w:rsidR="00FD4599" w:rsidRDefault="00907D24" w:rsidP="00F246E8">
      <w:pPr>
        <w:pStyle w:val="LID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5243195</wp:posOffset>
                </wp:positionH>
                <wp:positionV relativeFrom="paragraph">
                  <wp:posOffset>73025</wp:posOffset>
                </wp:positionV>
                <wp:extent cx="1748790" cy="804545"/>
                <wp:effectExtent l="0" t="0" r="0" b="0"/>
                <wp:wrapTight wrapText="bothSides">
                  <wp:wrapPolygon edited="0">
                    <wp:start x="706" y="0"/>
                    <wp:lineTo x="706" y="20969"/>
                    <wp:lineTo x="20706" y="20969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2F52" w:rsidRPr="009D604E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9F2F52">
                              <w:rPr>
                                <w:lang w:val="en-US"/>
                              </w:rPr>
                              <w:t xml:space="preserve">After seasonal adjustment, </w:t>
                            </w:r>
                            <w:r w:rsidR="003B25A8">
                              <w:rPr>
                                <w:lang w:val="en-US"/>
                              </w:rPr>
                              <w:t>an</w:t>
                            </w:r>
                            <w:r w:rsidR="00194D47">
                              <w:rPr>
                                <w:lang w:val="en-US"/>
                              </w:rPr>
                              <w:t> </w:t>
                            </w:r>
                            <w:r w:rsidRPr="009F2F52">
                              <w:rPr>
                                <w:lang w:val="en-US"/>
                              </w:rPr>
                              <w:t>increase in so</w:t>
                            </w:r>
                            <w:r w:rsidR="00DC2F3F">
                              <w:rPr>
                                <w:lang w:val="en-US"/>
                              </w:rPr>
                              <w:t>ld industrial production in</w:t>
                            </w:r>
                            <w:r w:rsidR="0098682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97D12">
                              <w:rPr>
                                <w:lang w:val="en-GB"/>
                              </w:rPr>
                              <w:t>February</w:t>
                            </w:r>
                            <w:r w:rsidR="00E16EC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246E8">
                              <w:rPr>
                                <w:lang w:val="en-US"/>
                              </w:rPr>
                              <w:t>2020</w:t>
                            </w:r>
                            <w:r w:rsidR="00D75D28">
                              <w:rPr>
                                <w:lang w:val="en-US"/>
                              </w:rPr>
                              <w:t xml:space="preserve"> amounted to </w:t>
                            </w:r>
                            <w:r w:rsidR="00F246E8">
                              <w:rPr>
                                <w:lang w:val="en-US"/>
                              </w:rPr>
                              <w:t>3.</w:t>
                            </w:r>
                            <w:r w:rsidR="00197D12">
                              <w:rPr>
                                <w:lang w:val="en-US"/>
                              </w:rPr>
                              <w:t>2</w:t>
                            </w:r>
                            <w:r w:rsidRPr="009F2F52">
                              <w:rPr>
                                <w:lang w:val="en-US"/>
                              </w:rPr>
                              <w:t>%</w:t>
                            </w:r>
                            <w:r w:rsidR="005C66D6">
                              <w:rPr>
                                <w:lang w:val="en-US"/>
                              </w:rPr>
                              <w:t xml:space="preserve"> per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74B92" id="_x0000_s1028" type="#_x0000_t202" style="position:absolute;margin-left:412.85pt;margin-top:5.75pt;width:137.7pt;height:63.3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" filled="f" stroked="f">
                <v:textbox>
                  <w:txbxContent>
                    <w:p w:rsidR="009F2F52" w:rsidRPr="009D604E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  <w:r w:rsidRPr="009F2F52">
                        <w:rPr>
                          <w:lang w:val="en-US"/>
                        </w:rPr>
                        <w:t xml:space="preserve">After seasonal adjustment, </w:t>
                      </w:r>
                      <w:r w:rsidR="003B25A8">
                        <w:rPr>
                          <w:lang w:val="en-US"/>
                        </w:rPr>
                        <w:t>an</w:t>
                      </w:r>
                      <w:r w:rsidR="00194D47">
                        <w:rPr>
                          <w:lang w:val="en-US"/>
                        </w:rPr>
                        <w:t> </w:t>
                      </w:r>
                      <w:r w:rsidRPr="009F2F52">
                        <w:rPr>
                          <w:lang w:val="en-US"/>
                        </w:rPr>
                        <w:t>increase in so</w:t>
                      </w:r>
                      <w:r w:rsidR="00DC2F3F">
                        <w:rPr>
                          <w:lang w:val="en-US"/>
                        </w:rPr>
                        <w:t>ld industrial production in</w:t>
                      </w:r>
                      <w:r w:rsidR="0098682E">
                        <w:rPr>
                          <w:lang w:val="en-US"/>
                        </w:rPr>
                        <w:t xml:space="preserve"> </w:t>
                      </w:r>
                      <w:r w:rsidR="00197D12">
                        <w:rPr>
                          <w:lang w:val="en-GB"/>
                        </w:rPr>
                        <w:t>February</w:t>
                      </w:r>
                      <w:r w:rsidR="00E16EC4">
                        <w:rPr>
                          <w:lang w:val="en-US"/>
                        </w:rPr>
                        <w:t xml:space="preserve"> </w:t>
                      </w:r>
                      <w:r w:rsidR="00F246E8">
                        <w:rPr>
                          <w:lang w:val="en-US"/>
                        </w:rPr>
                        <w:t>2020</w:t>
                      </w:r>
                      <w:r w:rsidR="00D75D28">
                        <w:rPr>
                          <w:lang w:val="en-US"/>
                        </w:rPr>
                        <w:t xml:space="preserve"> amounted to </w:t>
                      </w:r>
                      <w:r w:rsidR="00F246E8">
                        <w:rPr>
                          <w:lang w:val="en-US"/>
                        </w:rPr>
                        <w:t>3.</w:t>
                      </w:r>
                      <w:r w:rsidR="00197D12">
                        <w:rPr>
                          <w:lang w:val="en-US"/>
                        </w:rPr>
                        <w:t>2</w:t>
                      </w:r>
                      <w:r w:rsidRPr="009F2F52">
                        <w:rPr>
                          <w:lang w:val="en-US"/>
                        </w:rPr>
                        <w:t>%</w:t>
                      </w:r>
                      <w:r w:rsidR="005C66D6">
                        <w:rPr>
                          <w:lang w:val="en-US"/>
                        </w:rPr>
                        <w:t xml:space="preserve"> per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F52" w:rsidRPr="00FF73EE" w:rsidRDefault="009F2F52" w:rsidP="00FD4599">
      <w:pPr>
        <w:pStyle w:val="LID"/>
        <w:jc w:val="both"/>
        <w:rPr>
          <w:b w:val="0"/>
          <w:spacing w:val="-2"/>
          <w:lang w:val="en-US"/>
        </w:rPr>
      </w:pPr>
      <w:r w:rsidRPr="00FF73EE">
        <w:rPr>
          <w:b w:val="0"/>
          <w:spacing w:val="-2"/>
          <w:lang w:val="en-GB"/>
        </w:rPr>
        <w:t xml:space="preserve">After eliminating the seasonal factors, </w:t>
      </w:r>
      <w:r w:rsidR="00DC2F3F" w:rsidRPr="00FF73EE">
        <w:rPr>
          <w:b w:val="0"/>
          <w:spacing w:val="-2"/>
          <w:lang w:val="en-GB"/>
        </w:rPr>
        <w:t xml:space="preserve">in </w:t>
      </w:r>
      <w:r w:rsidR="00197D12" w:rsidRPr="00FF73EE">
        <w:rPr>
          <w:b w:val="0"/>
          <w:lang w:val="en-GB"/>
        </w:rPr>
        <w:t>February</w:t>
      </w:r>
      <w:r w:rsidR="00F246E8" w:rsidRPr="00FF73EE">
        <w:rPr>
          <w:b w:val="0"/>
          <w:spacing w:val="-2"/>
          <w:lang w:val="en-GB"/>
        </w:rPr>
        <w:t xml:space="preserve"> 2020</w:t>
      </w:r>
      <w:r w:rsidR="003B25A8" w:rsidRPr="00FF73EE">
        <w:rPr>
          <w:b w:val="0"/>
          <w:spacing w:val="-2"/>
          <w:lang w:val="en-GB"/>
        </w:rPr>
        <w:t xml:space="preserve"> </w:t>
      </w:r>
      <w:r w:rsidRPr="00FF73EE">
        <w:rPr>
          <w:b w:val="0"/>
          <w:spacing w:val="-2"/>
          <w:lang w:val="en-GB"/>
        </w:rPr>
        <w:t xml:space="preserve">sold production of industry reached the level higher by </w:t>
      </w:r>
      <w:r w:rsidR="00197D12" w:rsidRPr="00FF73EE">
        <w:rPr>
          <w:b w:val="0"/>
          <w:spacing w:val="-2"/>
          <w:lang w:val="en-GB"/>
        </w:rPr>
        <w:t>3.2</w:t>
      </w:r>
      <w:r w:rsidRPr="00FF73EE">
        <w:rPr>
          <w:b w:val="0"/>
          <w:spacing w:val="-2"/>
          <w:lang w:val="en-GB"/>
        </w:rPr>
        <w:t xml:space="preserve">% than in the corresponding month of </w:t>
      </w:r>
      <w:r w:rsidR="00F246E8" w:rsidRPr="00FF73EE">
        <w:rPr>
          <w:b w:val="0"/>
          <w:spacing w:val="-2"/>
          <w:lang w:val="en-GB"/>
        </w:rPr>
        <w:t>2019</w:t>
      </w:r>
      <w:r w:rsidRPr="00FF73EE">
        <w:rPr>
          <w:b w:val="0"/>
          <w:spacing w:val="-2"/>
          <w:lang w:val="en-GB"/>
        </w:rPr>
        <w:t xml:space="preserve"> and by </w:t>
      </w:r>
      <w:r w:rsidR="00197D12" w:rsidRPr="00FF73EE">
        <w:rPr>
          <w:b w:val="0"/>
          <w:spacing w:val="-2"/>
          <w:lang w:val="en-GB"/>
        </w:rPr>
        <w:t>1</w:t>
      </w:r>
      <w:r w:rsidR="00F246E8" w:rsidRPr="00FF73EE">
        <w:rPr>
          <w:b w:val="0"/>
          <w:spacing w:val="-2"/>
          <w:lang w:val="en-GB"/>
        </w:rPr>
        <w:t>.</w:t>
      </w:r>
      <w:r w:rsidR="00197D12" w:rsidRPr="00FF73EE">
        <w:rPr>
          <w:b w:val="0"/>
          <w:spacing w:val="-2"/>
          <w:lang w:val="en-GB"/>
        </w:rPr>
        <w:t>3</w:t>
      </w:r>
      <w:r w:rsidRPr="00FF73EE">
        <w:rPr>
          <w:b w:val="0"/>
          <w:spacing w:val="-2"/>
          <w:lang w:val="en-GB"/>
        </w:rPr>
        <w:t xml:space="preserve">% </w:t>
      </w:r>
      <w:r w:rsidR="00F246E8" w:rsidRPr="00FF73EE">
        <w:rPr>
          <w:b w:val="0"/>
          <w:spacing w:val="-2"/>
          <w:lang w:val="en-GB"/>
        </w:rPr>
        <w:t>higher</w:t>
      </w:r>
      <w:r w:rsidRPr="00FF73EE">
        <w:rPr>
          <w:b w:val="0"/>
          <w:spacing w:val="-2"/>
          <w:lang w:val="en-GB"/>
        </w:rPr>
        <w:t xml:space="preserve"> as compared to </w:t>
      </w:r>
      <w:r w:rsidR="00197D12" w:rsidRPr="00FF73EE">
        <w:rPr>
          <w:b w:val="0"/>
          <w:spacing w:val="-2"/>
          <w:lang w:val="en-GB"/>
        </w:rPr>
        <w:t>January</w:t>
      </w:r>
      <w:r w:rsidR="003B25A8" w:rsidRPr="00FF73EE">
        <w:rPr>
          <w:b w:val="0"/>
          <w:spacing w:val="-2"/>
          <w:lang w:val="en-GB"/>
        </w:rPr>
        <w:t xml:space="preserve"> </w:t>
      </w:r>
      <w:r w:rsidR="00197D12" w:rsidRPr="00FF73EE">
        <w:rPr>
          <w:b w:val="0"/>
          <w:spacing w:val="-2"/>
          <w:lang w:val="en-GB"/>
        </w:rPr>
        <w:t>2020</w:t>
      </w:r>
      <w:r w:rsidRPr="00FF73EE">
        <w:rPr>
          <w:b w:val="0"/>
          <w:spacing w:val="-2"/>
          <w:lang w:val="en-GB"/>
        </w:rPr>
        <w:t>.</w:t>
      </w:r>
    </w:p>
    <w:p w:rsidR="00E80B7A" w:rsidRPr="009F2F52" w:rsidRDefault="00E80B7A" w:rsidP="00CB181B">
      <w:pPr>
        <w:pStyle w:val="LID"/>
        <w:jc w:val="both"/>
        <w:rPr>
          <w:spacing w:val="-2"/>
          <w:lang w:val="en-US"/>
        </w:rPr>
      </w:pPr>
    </w:p>
    <w:p w:rsidR="00CB181B" w:rsidRDefault="00907D24" w:rsidP="00CB181B">
      <w:pPr>
        <w:pStyle w:val="LID"/>
        <w:jc w:val="both"/>
        <w:rPr>
          <w:szCs w:val="18"/>
          <w:lang w:val="en-GB"/>
        </w:rPr>
      </w:pPr>
      <w:r>
        <w:drawing>
          <wp:anchor distT="0" distB="0" distL="114300" distR="114300" simplePos="0" relativeHeight="251781120" behindDoc="0" locked="0" layoutInCell="1" allowOverlap="1" wp14:anchorId="3A5CBCBA" wp14:editId="6FDF48B2">
            <wp:simplePos x="0" y="0"/>
            <wp:positionH relativeFrom="margin">
              <wp:align>right</wp:align>
            </wp:positionH>
            <wp:positionV relativeFrom="paragraph">
              <wp:posOffset>269240</wp:posOffset>
            </wp:positionV>
            <wp:extent cx="5122545" cy="3151505"/>
            <wp:effectExtent l="0" t="0" r="1905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B7A" w:rsidRPr="003E0524">
        <w:rPr>
          <w:szCs w:val="18"/>
          <w:lang w:val="en-GB"/>
        </w:rPr>
        <w:t>Chart 1. Sold production of industry (average monthly level in 2015=100)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BC3A60" w:rsidRPr="00D75D28" w:rsidRDefault="00AB3C43" w:rsidP="00BC3A60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>
        <w:rPr>
          <w:b w:val="0"/>
          <w:sz w:val="19"/>
          <w:szCs w:val="19"/>
          <w:shd w:val="clear" w:color="auto" w:fill="FFFFFF"/>
          <w:lang w:val="en-GB"/>
        </w:rPr>
        <w:t>all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main industrial groupings</w:t>
      </w:r>
      <w:r>
        <w:rPr>
          <w:b w:val="0"/>
          <w:sz w:val="19"/>
          <w:szCs w:val="19"/>
          <w:shd w:val="clear" w:color="auto" w:fill="FFFFFF"/>
          <w:lang w:val="en-GB"/>
        </w:rPr>
        <w:t>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C3A60" w:rsidRPr="00FC4B57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>
        <w:rPr>
          <w:b w:val="0"/>
          <w:sz w:val="19"/>
          <w:szCs w:val="19"/>
          <w:shd w:val="clear" w:color="auto" w:fill="FFFFFF"/>
          <w:lang w:val="en-GB"/>
        </w:rPr>
        <w:t>February</w:t>
      </w:r>
      <w:r w:rsidR="00BC3A60"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>2020</w:t>
      </w:r>
      <w:r w:rsidR="00BC3A60">
        <w:rPr>
          <w:b w:val="0"/>
          <w:sz w:val="19"/>
          <w:szCs w:val="19"/>
          <w:shd w:val="clear" w:color="auto" w:fill="FFFFFF"/>
          <w:lang w:val="en-GB"/>
        </w:rPr>
        <w:t>, as compared to the previous year,</w:t>
      </w:r>
      <w:r w:rsidR="00BC3A60" w:rsidRPr="00FC4B57">
        <w:rPr>
          <w:b w:val="0"/>
          <w:sz w:val="19"/>
          <w:szCs w:val="19"/>
          <w:shd w:val="clear" w:color="auto" w:fill="FFFFFF"/>
          <w:lang w:val="en-GB"/>
        </w:rPr>
        <w:t xml:space="preserve"> a</w:t>
      </w:r>
      <w:r w:rsidR="00BC3A60">
        <w:rPr>
          <w:b w:val="0"/>
          <w:sz w:val="19"/>
          <w:szCs w:val="19"/>
          <w:shd w:val="clear" w:color="auto" w:fill="FFFFFF"/>
          <w:lang w:val="en-GB"/>
        </w:rPr>
        <w:t>n</w:t>
      </w:r>
      <w:r w:rsidR="00BC3A60"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C3A60">
        <w:rPr>
          <w:b w:val="0"/>
          <w:sz w:val="19"/>
          <w:szCs w:val="19"/>
          <w:shd w:val="clear" w:color="auto" w:fill="FFFFFF"/>
          <w:lang w:val="en-GB"/>
        </w:rPr>
        <w:t>in</w:t>
      </w:r>
      <w:r w:rsidR="00BC3A60" w:rsidRPr="00FC4B57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BC3A60">
        <w:rPr>
          <w:b w:val="0"/>
          <w:sz w:val="19"/>
          <w:szCs w:val="19"/>
          <w:shd w:val="clear" w:color="auto" w:fill="FFFFFF"/>
          <w:lang w:val="en-GB"/>
        </w:rPr>
        <w:t>of</w:t>
      </w:r>
      <w:r w:rsidR="00BC3A60"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recorded. </w:t>
      </w:r>
      <w:r w:rsidR="00BC3A60" w:rsidRPr="005B587B">
        <w:rPr>
          <w:b w:val="0"/>
          <w:sz w:val="19"/>
          <w:szCs w:val="19"/>
          <w:shd w:val="clear" w:color="auto" w:fill="FFFFFF"/>
          <w:lang w:val="en-GB"/>
        </w:rPr>
        <w:t xml:space="preserve">The production of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capital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C3A60">
        <w:rPr>
          <w:b w:val="0"/>
          <w:sz w:val="19"/>
          <w:szCs w:val="19"/>
          <w:shd w:val="clear" w:color="auto" w:fill="FFFFFF"/>
          <w:lang w:val="en-GB"/>
        </w:rPr>
        <w:t xml:space="preserve">increased </w:t>
      </w:r>
      <w:r w:rsidR="00BC3A60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>
        <w:rPr>
          <w:b w:val="0"/>
          <w:sz w:val="19"/>
          <w:szCs w:val="19"/>
          <w:shd w:val="clear" w:color="auto" w:fill="FFFFFF"/>
          <w:lang w:val="en-GB"/>
        </w:rPr>
        <w:t>5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>.</w:t>
      </w:r>
      <w:r>
        <w:rPr>
          <w:b w:val="0"/>
          <w:sz w:val="19"/>
          <w:szCs w:val="19"/>
          <w:shd w:val="clear" w:color="auto" w:fill="FFFFFF"/>
          <w:lang w:val="en-GB"/>
        </w:rPr>
        <w:t>9</w:t>
      </w:r>
      <w:r w:rsidR="00BC3A60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– by 5.2%, </w:t>
      </w:r>
      <w:r w:rsidR="00BC3A60" w:rsidRPr="005B587B">
        <w:rPr>
          <w:b w:val="0"/>
          <w:sz w:val="19"/>
          <w:szCs w:val="19"/>
          <w:shd w:val="clear" w:color="auto" w:fill="FFFFFF"/>
          <w:lang w:val="en-GB"/>
        </w:rPr>
        <w:t xml:space="preserve">durable consumer goods </w:t>
      </w:r>
      <w:r w:rsidR="00BC3A60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BC3A6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9206B5">
        <w:rPr>
          <w:b w:val="0"/>
          <w:sz w:val="19"/>
          <w:szCs w:val="19"/>
          <w:shd w:val="clear" w:color="auto" w:fill="FFFFFF"/>
          <w:lang w:val="en-GB"/>
        </w:rPr>
        <w:t>4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>.</w:t>
      </w:r>
      <w:r w:rsidR="009206B5">
        <w:rPr>
          <w:b w:val="0"/>
          <w:sz w:val="19"/>
          <w:szCs w:val="19"/>
          <w:shd w:val="clear" w:color="auto" w:fill="FFFFFF"/>
          <w:lang w:val="en-GB"/>
        </w:rPr>
        <w:t>6</w:t>
      </w:r>
      <w:r w:rsidR="00BC3A60">
        <w:rPr>
          <w:b w:val="0"/>
          <w:sz w:val="19"/>
          <w:szCs w:val="19"/>
          <w:shd w:val="clear" w:color="auto" w:fill="FFFFFF"/>
          <w:lang w:val="en-GB"/>
        </w:rPr>
        <w:t>%,</w:t>
      </w:r>
      <w:r w:rsidR="00BC3A60" w:rsidRPr="004D23D2">
        <w:rPr>
          <w:b w:val="0"/>
          <w:sz w:val="19"/>
          <w:szCs w:val="19"/>
          <w:lang w:val="en-GB"/>
        </w:rPr>
        <w:t xml:space="preserve"> </w:t>
      </w:r>
      <w:r w:rsidR="009206B5" w:rsidRPr="005B587B">
        <w:rPr>
          <w:b w:val="0"/>
          <w:sz w:val="19"/>
          <w:szCs w:val="19"/>
          <w:shd w:val="clear" w:color="auto" w:fill="FFFFFF"/>
          <w:lang w:val="en-GB"/>
        </w:rPr>
        <w:t xml:space="preserve">non-durable consumer goods </w:t>
      </w:r>
      <w:r w:rsidR="009206B5">
        <w:rPr>
          <w:b w:val="0"/>
          <w:sz w:val="19"/>
          <w:szCs w:val="19"/>
          <w:shd w:val="clear" w:color="auto" w:fill="FFFFFF"/>
          <w:lang w:val="en-GB"/>
        </w:rPr>
        <w:t xml:space="preserve">– by 3.6% and </w:t>
      </w:r>
      <w:r w:rsidR="00BC3A60" w:rsidRPr="004D23D2">
        <w:rPr>
          <w:b w:val="0"/>
          <w:sz w:val="19"/>
          <w:szCs w:val="19"/>
          <w:lang w:val="en-GB"/>
        </w:rPr>
        <w:t>in</w:t>
      </w:r>
      <w:r w:rsidR="00BC3A60" w:rsidRPr="004D23D2">
        <w:rPr>
          <w:sz w:val="19"/>
          <w:szCs w:val="19"/>
          <w:lang w:val="en-GB"/>
        </w:rPr>
        <w:t xml:space="preserve"> </w:t>
      </w:r>
      <w:r w:rsidR="00BC3A60"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BC3A60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A0FAA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A0FAA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9206B5">
        <w:rPr>
          <w:b w:val="0"/>
          <w:sz w:val="19"/>
          <w:szCs w:val="19"/>
          <w:shd w:val="clear" w:color="auto" w:fill="FFFFFF"/>
          <w:lang w:val="en-GB"/>
        </w:rPr>
        <w:t>1</w:t>
      </w:r>
      <w:r w:rsidR="00F246E8">
        <w:rPr>
          <w:b w:val="0"/>
          <w:sz w:val="19"/>
          <w:szCs w:val="19"/>
          <w:shd w:val="clear" w:color="auto" w:fill="FFFFFF"/>
          <w:lang w:val="en-GB"/>
        </w:rPr>
        <w:t>.</w:t>
      </w:r>
      <w:r w:rsidR="009206B5">
        <w:rPr>
          <w:b w:val="0"/>
          <w:sz w:val="19"/>
          <w:szCs w:val="19"/>
          <w:shd w:val="clear" w:color="auto" w:fill="FFFFFF"/>
          <w:lang w:val="en-GB"/>
        </w:rPr>
        <w:t>3</w:t>
      </w:r>
      <w:r w:rsidR="00EA0FAA">
        <w:rPr>
          <w:b w:val="0"/>
          <w:sz w:val="19"/>
          <w:szCs w:val="19"/>
          <w:shd w:val="clear" w:color="auto" w:fill="FFFFFF"/>
          <w:lang w:val="en-GB"/>
        </w:rPr>
        <w:t>%</w:t>
      </w:r>
      <w:r w:rsidR="009206B5"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D75D28" w:rsidRDefault="00D75D28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:rsidR="00907D24" w:rsidRDefault="00907D24" w:rsidP="009F2F52">
      <w:pPr>
        <w:spacing w:before="0" w:after="0"/>
        <w:rPr>
          <w:sz w:val="16"/>
          <w:szCs w:val="16"/>
          <w:lang w:val="en-GB"/>
        </w:rPr>
      </w:pPr>
    </w:p>
    <w:p w:rsidR="005916D7" w:rsidRPr="00F923FB" w:rsidRDefault="00542ED1" w:rsidP="000C0BD8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="000640BF"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</w:t>
      </w:r>
      <w:r w:rsidR="008413F7" w:rsidRPr="00F923FB">
        <w:rPr>
          <w:sz w:val="18"/>
          <w:szCs w:val="18"/>
          <w:shd w:val="clear" w:color="auto" w:fill="FFFFFF"/>
          <w:lang w:val="en-GB"/>
        </w:rPr>
        <w:t>(constant prices)</w:t>
      </w:r>
    </w:p>
    <w:p w:rsidR="00055D0C" w:rsidRPr="00190567" w:rsidRDefault="00055D0C" w:rsidP="000C0BD8">
      <w:pPr>
        <w:pStyle w:val="LID"/>
        <w:spacing w:before="0" w:after="0"/>
        <w:rPr>
          <w:sz w:val="14"/>
          <w:lang w:val="en-GB"/>
        </w:rPr>
      </w:pPr>
    </w:p>
    <w:tbl>
      <w:tblPr>
        <w:tblStyle w:val="Siatkatabelijasna1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9206B5" w:rsidRPr="009206B5" w:rsidTr="002E7D3A">
        <w:trPr>
          <w:trHeight w:val="113"/>
        </w:trPr>
        <w:tc>
          <w:tcPr>
            <w:tcW w:w="2489" w:type="dxa"/>
            <w:vMerge w:val="restart"/>
            <w:vAlign w:val="center"/>
          </w:tcPr>
          <w:p w:rsidR="009206B5" w:rsidRPr="009206B5" w:rsidRDefault="009206B5" w:rsidP="009206B5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9206B5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:rsidR="009206B5" w:rsidRPr="009206B5" w:rsidRDefault="009206B5" w:rsidP="00F967CA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II</w:t>
            </w:r>
            <w:r w:rsidR="00F967C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</w:p>
        </w:tc>
        <w:tc>
          <w:tcPr>
            <w:tcW w:w="1305" w:type="dxa"/>
          </w:tcPr>
          <w:p w:rsidR="009206B5" w:rsidRPr="009206B5" w:rsidRDefault="009206B5" w:rsidP="00F967CA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I-</w:t>
            </w:r>
            <w:r w:rsidR="00F967C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II</w:t>
            </w:r>
            <w:r w:rsidRPr="009206B5"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Pr="009206B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</w:t>
            </w:r>
            <w:r w:rsidR="00F967C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20</w:t>
            </w:r>
            <w:r w:rsidR="00FF73EE"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Pr="009206B5"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9206B5" w:rsidRPr="009206B5" w:rsidTr="002E7D3A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:rsidR="009206B5" w:rsidRPr="009206B5" w:rsidRDefault="009206B5" w:rsidP="009206B5">
            <w:pPr>
              <w:keepNext/>
              <w:tabs>
                <w:tab w:val="right" w:leader="dot" w:pos="4139"/>
              </w:tabs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:rsidR="009206B5" w:rsidRPr="009206B5" w:rsidRDefault="009206B5" w:rsidP="00F967C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F967CA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Pr="009206B5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:rsidR="009206B5" w:rsidRPr="009206B5" w:rsidRDefault="00F967CA" w:rsidP="00F967C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II</w:t>
            </w:r>
            <w:r w:rsidR="009206B5" w:rsidRPr="009206B5">
              <w:rPr>
                <w:color w:val="000000" w:themeColor="text1"/>
                <w:sz w:val="16"/>
                <w:szCs w:val="16"/>
                <w:lang w:val="en-GB"/>
              </w:rPr>
              <w:t>201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9206B5" w:rsidRPr="009206B5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:rsidR="009206B5" w:rsidRPr="009206B5" w:rsidRDefault="009206B5" w:rsidP="009206B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color w:val="000000" w:themeColor="text1"/>
                <w:sz w:val="16"/>
                <w:szCs w:val="16"/>
                <w:lang w:val="en-GB"/>
              </w:rPr>
              <w:t>monthly average</w:t>
            </w:r>
          </w:p>
          <w:p w:rsidR="009206B5" w:rsidRPr="009206B5" w:rsidRDefault="009206B5" w:rsidP="009206B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:rsidR="009206B5" w:rsidRPr="009206B5" w:rsidRDefault="009206B5" w:rsidP="00F967CA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 w:rsidRPr="009206B5">
              <w:rPr>
                <w:sz w:val="16"/>
                <w:szCs w:val="16"/>
                <w:lang w:val="en-GB"/>
              </w:rPr>
              <w:t>I-</w:t>
            </w:r>
            <w:r w:rsidR="00F967CA">
              <w:rPr>
                <w:sz w:val="16"/>
                <w:szCs w:val="16"/>
                <w:lang w:val="en-GB"/>
              </w:rPr>
              <w:t>II</w:t>
            </w:r>
            <w:r w:rsidRPr="009206B5">
              <w:rPr>
                <w:sz w:val="16"/>
                <w:szCs w:val="16"/>
                <w:lang w:val="en-GB"/>
              </w:rPr>
              <w:t xml:space="preserve"> 201</w:t>
            </w:r>
            <w:r w:rsidR="00F967CA">
              <w:rPr>
                <w:sz w:val="16"/>
                <w:szCs w:val="16"/>
                <w:lang w:val="en-GB"/>
              </w:rPr>
              <w:t>9</w:t>
            </w:r>
            <w:r w:rsidRPr="009206B5">
              <w:rPr>
                <w:sz w:val="16"/>
                <w:szCs w:val="16"/>
                <w:lang w:val="en-GB"/>
              </w:rPr>
              <w:t>=100</w:t>
            </w:r>
          </w:p>
        </w:tc>
      </w:tr>
      <w:tr w:rsidR="009206B5" w:rsidRPr="009206B5" w:rsidTr="002E7D3A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:rsidR="009206B5" w:rsidRPr="009206B5" w:rsidRDefault="009206B5" w:rsidP="009206B5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:rsidR="009206B5" w:rsidRPr="009206B5" w:rsidRDefault="009206B5" w:rsidP="00F967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9206B5"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F967CA">
              <w:rPr>
                <w:b/>
                <w:sz w:val="16"/>
                <w:szCs w:val="18"/>
                <w:shd w:val="clear" w:color="auto" w:fill="FFFFFF"/>
              </w:rPr>
              <w:t>2</w:t>
            </w:r>
            <w:r w:rsidRPr="009206B5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b/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:rsidR="009206B5" w:rsidRPr="009206B5" w:rsidRDefault="009206B5" w:rsidP="00F967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9206B5"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F967CA">
              <w:rPr>
                <w:b/>
                <w:sz w:val="16"/>
                <w:szCs w:val="18"/>
                <w:shd w:val="clear" w:color="auto" w:fill="FFFFFF"/>
              </w:rPr>
              <w:t>4</w:t>
            </w:r>
            <w:r w:rsidRPr="009206B5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b/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:rsidR="009206B5" w:rsidRPr="009206B5" w:rsidRDefault="009206B5" w:rsidP="00F967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9206B5"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F967CA">
              <w:rPr>
                <w:b/>
                <w:sz w:val="16"/>
                <w:szCs w:val="18"/>
                <w:shd w:val="clear" w:color="auto" w:fill="FFFFFF"/>
              </w:rPr>
              <w:t>21</w:t>
            </w:r>
            <w:r w:rsidRPr="009206B5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:rsidR="009206B5" w:rsidRPr="009206B5" w:rsidRDefault="009206B5" w:rsidP="00F967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9206B5">
              <w:rPr>
                <w:b/>
                <w:sz w:val="16"/>
                <w:szCs w:val="18"/>
                <w:shd w:val="clear" w:color="auto" w:fill="FFFFFF"/>
              </w:rPr>
              <w:t>10</w:t>
            </w:r>
            <w:r w:rsidR="00F967CA">
              <w:rPr>
                <w:b/>
                <w:sz w:val="16"/>
                <w:szCs w:val="18"/>
                <w:shd w:val="clear" w:color="auto" w:fill="FFFFFF"/>
              </w:rPr>
              <w:t>2</w:t>
            </w:r>
            <w:r w:rsidRPr="009206B5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</w:tr>
      <w:tr w:rsidR="009206B5" w:rsidRPr="009206B5" w:rsidTr="002E7D3A">
        <w:trPr>
          <w:trHeight w:val="57"/>
        </w:trPr>
        <w:tc>
          <w:tcPr>
            <w:tcW w:w="2489" w:type="dxa"/>
            <w:vAlign w:val="center"/>
          </w:tcPr>
          <w:p w:rsidR="009206B5" w:rsidRPr="009206B5" w:rsidRDefault="009206B5" w:rsidP="009206B5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:rsidR="009206B5" w:rsidRPr="009206B5" w:rsidRDefault="00F967CA" w:rsidP="00F967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</w:t>
            </w:r>
            <w:r w:rsidR="009206B5" w:rsidRPr="009206B5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83" w:type="dxa"/>
            <w:vAlign w:val="center"/>
          </w:tcPr>
          <w:p w:rsidR="009206B5" w:rsidRPr="009206B5" w:rsidRDefault="009206B5" w:rsidP="00F967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9</w:t>
            </w:r>
            <w:r w:rsidR="00F967CA">
              <w:rPr>
                <w:sz w:val="16"/>
                <w:szCs w:val="18"/>
                <w:shd w:val="clear" w:color="auto" w:fill="FFFFFF"/>
              </w:rPr>
              <w:t>0</w:t>
            </w:r>
            <w:r w:rsidRPr="009206B5">
              <w:rPr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1521" w:type="dxa"/>
            <w:vAlign w:val="center"/>
          </w:tcPr>
          <w:p w:rsidR="009206B5" w:rsidRPr="009206B5" w:rsidRDefault="00F967CA" w:rsidP="00F967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</w:t>
            </w:r>
            <w:r w:rsidR="009206B5" w:rsidRPr="009206B5">
              <w:rPr>
                <w:sz w:val="16"/>
                <w:szCs w:val="18"/>
                <w:shd w:val="clear" w:color="auto" w:fill="FFFFFF"/>
              </w:rPr>
              <w:t>9.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05" w:type="dxa"/>
            <w:vAlign w:val="center"/>
          </w:tcPr>
          <w:p w:rsidR="009206B5" w:rsidRPr="009206B5" w:rsidRDefault="00F967CA" w:rsidP="00F967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</w:t>
            </w:r>
            <w:r w:rsidR="009206B5" w:rsidRPr="009206B5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9206B5" w:rsidRPr="009206B5" w:rsidTr="002E7D3A">
        <w:trPr>
          <w:trHeight w:val="57"/>
        </w:trPr>
        <w:tc>
          <w:tcPr>
            <w:tcW w:w="2489" w:type="dxa"/>
            <w:vAlign w:val="center"/>
          </w:tcPr>
          <w:p w:rsidR="009206B5" w:rsidRPr="009206B5" w:rsidRDefault="009206B5" w:rsidP="009206B5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:rsidR="009206B5" w:rsidRPr="009206B5" w:rsidRDefault="009206B5" w:rsidP="00F967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10</w:t>
            </w:r>
            <w:r w:rsidR="00F967CA">
              <w:rPr>
                <w:sz w:val="16"/>
                <w:szCs w:val="18"/>
                <w:shd w:val="clear" w:color="auto" w:fill="FFFFFF"/>
              </w:rPr>
              <w:t>2</w:t>
            </w:r>
            <w:r w:rsidRPr="009206B5">
              <w:rPr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83" w:type="dxa"/>
            <w:vAlign w:val="center"/>
          </w:tcPr>
          <w:p w:rsidR="009206B5" w:rsidRPr="009206B5" w:rsidRDefault="009206B5" w:rsidP="00F967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10</w:t>
            </w:r>
            <w:r w:rsidR="00F967CA">
              <w:rPr>
                <w:sz w:val="16"/>
                <w:szCs w:val="18"/>
                <w:shd w:val="clear" w:color="auto" w:fill="FFFFFF"/>
              </w:rPr>
              <w:t>5</w:t>
            </w:r>
            <w:r w:rsidRPr="009206B5">
              <w:rPr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521" w:type="dxa"/>
            <w:vAlign w:val="center"/>
          </w:tcPr>
          <w:p w:rsidR="009206B5" w:rsidRPr="009206B5" w:rsidRDefault="009206B5" w:rsidP="00F967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1</w:t>
            </w:r>
            <w:r w:rsidR="00F967CA">
              <w:rPr>
                <w:sz w:val="16"/>
                <w:szCs w:val="18"/>
                <w:shd w:val="clear" w:color="auto" w:fill="FFFFFF"/>
              </w:rPr>
              <w:t>2</w:t>
            </w:r>
            <w:r w:rsidRPr="009206B5">
              <w:rPr>
                <w:sz w:val="16"/>
                <w:szCs w:val="18"/>
                <w:shd w:val="clear" w:color="auto" w:fill="FFFFFF"/>
              </w:rPr>
              <w:t>3.</w:t>
            </w:r>
            <w:r w:rsidR="00F967CA">
              <w:rPr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1305" w:type="dxa"/>
            <w:vAlign w:val="center"/>
          </w:tcPr>
          <w:p w:rsidR="009206B5" w:rsidRPr="009206B5" w:rsidRDefault="009206B5" w:rsidP="00F967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10</w:t>
            </w:r>
            <w:r w:rsidR="00F967CA">
              <w:rPr>
                <w:sz w:val="16"/>
                <w:szCs w:val="18"/>
                <w:shd w:val="clear" w:color="auto" w:fill="FFFFFF"/>
              </w:rPr>
              <w:t>3</w:t>
            </w:r>
            <w:r w:rsidRPr="009206B5">
              <w:rPr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  <w:tr w:rsidR="009206B5" w:rsidRPr="009206B5" w:rsidTr="002E7D3A">
        <w:trPr>
          <w:trHeight w:val="57"/>
        </w:trPr>
        <w:tc>
          <w:tcPr>
            <w:tcW w:w="2489" w:type="dxa"/>
            <w:vAlign w:val="center"/>
          </w:tcPr>
          <w:p w:rsidR="009206B5" w:rsidRPr="009206B5" w:rsidRDefault="009206B5" w:rsidP="009206B5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</w:t>
            </w:r>
          </w:p>
          <w:p w:rsidR="009206B5" w:rsidRPr="009206B5" w:rsidRDefault="009206B5" w:rsidP="009206B5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:rsidR="009206B5" w:rsidRPr="009206B5" w:rsidRDefault="00F967CA" w:rsidP="00F967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</w:t>
            </w:r>
            <w:r w:rsidR="009206B5" w:rsidRPr="009206B5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83" w:type="dxa"/>
            <w:vAlign w:val="center"/>
          </w:tcPr>
          <w:p w:rsidR="009206B5" w:rsidRPr="009206B5" w:rsidRDefault="009206B5" w:rsidP="00F967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10</w:t>
            </w:r>
            <w:r w:rsidR="00F967CA">
              <w:rPr>
                <w:sz w:val="16"/>
                <w:szCs w:val="18"/>
                <w:shd w:val="clear" w:color="auto" w:fill="FFFFFF"/>
              </w:rPr>
              <w:t>1</w:t>
            </w:r>
            <w:r w:rsidRPr="009206B5">
              <w:rPr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521" w:type="dxa"/>
            <w:vAlign w:val="center"/>
          </w:tcPr>
          <w:p w:rsidR="009206B5" w:rsidRPr="009206B5" w:rsidRDefault="009206B5" w:rsidP="00F967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1</w:t>
            </w:r>
            <w:r w:rsidR="00F967CA">
              <w:rPr>
                <w:sz w:val="16"/>
                <w:szCs w:val="18"/>
                <w:shd w:val="clear" w:color="auto" w:fill="FFFFFF"/>
              </w:rPr>
              <w:t>28</w:t>
            </w:r>
            <w:r w:rsidRPr="009206B5">
              <w:rPr>
                <w:sz w:val="16"/>
                <w:szCs w:val="18"/>
                <w:shd w:val="clear" w:color="auto" w:fill="FFFFFF"/>
              </w:rPr>
              <w:t>.0</w:t>
            </w:r>
          </w:p>
        </w:tc>
        <w:tc>
          <w:tcPr>
            <w:tcW w:w="1305" w:type="dxa"/>
            <w:vAlign w:val="center"/>
          </w:tcPr>
          <w:p w:rsidR="009206B5" w:rsidRPr="009206B5" w:rsidRDefault="009206B5" w:rsidP="00F967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9</w:t>
            </w:r>
            <w:r w:rsidR="00F967CA">
              <w:rPr>
                <w:sz w:val="16"/>
                <w:szCs w:val="18"/>
                <w:shd w:val="clear" w:color="auto" w:fill="FFFFFF"/>
              </w:rPr>
              <w:t>7</w:t>
            </w:r>
            <w:r w:rsidRPr="009206B5">
              <w:rPr>
                <w:sz w:val="16"/>
                <w:szCs w:val="18"/>
                <w:shd w:val="clear" w:color="auto" w:fill="FFFFFF"/>
              </w:rPr>
              <w:t>.8</w:t>
            </w:r>
          </w:p>
        </w:tc>
      </w:tr>
      <w:tr w:rsidR="009206B5" w:rsidRPr="009206B5" w:rsidTr="002E7D3A">
        <w:trPr>
          <w:trHeight w:val="57"/>
        </w:trPr>
        <w:tc>
          <w:tcPr>
            <w:tcW w:w="2489" w:type="dxa"/>
            <w:vAlign w:val="center"/>
          </w:tcPr>
          <w:p w:rsidR="009206B5" w:rsidRPr="009206B5" w:rsidRDefault="009206B5" w:rsidP="009206B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:rsidR="009206B5" w:rsidRPr="009206B5" w:rsidRDefault="009206B5" w:rsidP="009206B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management and remediation</w:t>
            </w:r>
          </w:p>
          <w:p w:rsidR="009206B5" w:rsidRPr="009206B5" w:rsidRDefault="009206B5" w:rsidP="009206B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9206B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:rsidR="009206B5" w:rsidRPr="009206B5" w:rsidRDefault="009206B5" w:rsidP="00F967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10</w:t>
            </w:r>
            <w:r w:rsidR="00F967CA">
              <w:rPr>
                <w:sz w:val="16"/>
                <w:szCs w:val="18"/>
                <w:shd w:val="clear" w:color="auto" w:fill="FFFFFF"/>
              </w:rPr>
              <w:t>0</w:t>
            </w:r>
            <w:r w:rsidRPr="009206B5">
              <w:rPr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383" w:type="dxa"/>
            <w:vAlign w:val="center"/>
          </w:tcPr>
          <w:p w:rsidR="009206B5" w:rsidRPr="009206B5" w:rsidRDefault="009206B5" w:rsidP="00F967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10</w:t>
            </w:r>
            <w:r w:rsidR="00F967CA">
              <w:rPr>
                <w:sz w:val="16"/>
                <w:szCs w:val="18"/>
                <w:shd w:val="clear" w:color="auto" w:fill="FFFFFF"/>
              </w:rPr>
              <w:t>4</w:t>
            </w:r>
            <w:r w:rsidRPr="009206B5">
              <w:rPr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521" w:type="dxa"/>
            <w:vAlign w:val="center"/>
          </w:tcPr>
          <w:p w:rsidR="009206B5" w:rsidRPr="009206B5" w:rsidRDefault="009206B5" w:rsidP="00F967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1</w:t>
            </w:r>
            <w:r w:rsidR="00F967CA">
              <w:rPr>
                <w:sz w:val="16"/>
                <w:szCs w:val="18"/>
                <w:shd w:val="clear" w:color="auto" w:fill="FFFFFF"/>
              </w:rPr>
              <w:t>18</w:t>
            </w:r>
            <w:r w:rsidRPr="009206B5">
              <w:rPr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305" w:type="dxa"/>
            <w:vAlign w:val="center"/>
          </w:tcPr>
          <w:p w:rsidR="009206B5" w:rsidRPr="009206B5" w:rsidRDefault="009206B5" w:rsidP="00F967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 w:rsidRPr="009206B5">
              <w:rPr>
                <w:sz w:val="16"/>
                <w:szCs w:val="18"/>
                <w:shd w:val="clear" w:color="auto" w:fill="FFFFFF"/>
              </w:rPr>
              <w:t>10</w:t>
            </w:r>
            <w:r w:rsidR="00F967CA">
              <w:rPr>
                <w:sz w:val="16"/>
                <w:szCs w:val="18"/>
                <w:shd w:val="clear" w:color="auto" w:fill="FFFFFF"/>
              </w:rPr>
              <w:t>4</w:t>
            </w:r>
            <w:r w:rsidRPr="009206B5">
              <w:rPr>
                <w:sz w:val="16"/>
                <w:szCs w:val="18"/>
                <w:shd w:val="clear" w:color="auto" w:fill="FFFFFF"/>
              </w:rPr>
              <w:t>.</w:t>
            </w:r>
            <w:r w:rsidR="00F967CA"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</w:tbl>
    <w:p w:rsidR="00353EEC" w:rsidRDefault="00353EEC" w:rsidP="00190567">
      <w:pPr>
        <w:spacing w:before="0" w:after="0"/>
        <w:rPr>
          <w:lang w:val="en-GB" w:eastAsia="pl-PL"/>
        </w:rPr>
      </w:pPr>
    </w:p>
    <w:p w:rsidR="00FF73EE" w:rsidRDefault="00FF73EE" w:rsidP="00FF73EE">
      <w:pPr>
        <w:spacing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Pr="006107B6">
        <w:rPr>
          <w:sz w:val="16"/>
          <w:szCs w:val="16"/>
          <w:vertAlign w:val="superscript"/>
          <w:lang w:val="en-GB"/>
        </w:rPr>
        <w:t>)</w:t>
      </w:r>
      <w:r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January and reported data in February.</w:t>
      </w:r>
    </w:p>
    <w:p w:rsidR="00217E67" w:rsidRDefault="00907D24" w:rsidP="00190567">
      <w:pPr>
        <w:spacing w:before="0" w:after="0"/>
        <w:rPr>
          <w:lang w:val="en-GB" w:eastAsia="pl-PL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page">
                  <wp:posOffset>5671820</wp:posOffset>
                </wp:positionH>
                <wp:positionV relativeFrom="page">
                  <wp:posOffset>4204970</wp:posOffset>
                </wp:positionV>
                <wp:extent cx="1749287" cy="771525"/>
                <wp:effectExtent l="0" t="0" r="0" b="0"/>
                <wp:wrapTight wrapText="bothSides">
                  <wp:wrapPolygon edited="0">
                    <wp:start x="706" y="0"/>
                    <wp:lineTo x="706" y="20800"/>
                    <wp:lineTo x="20706" y="20800"/>
                    <wp:lineTo x="20706" y="0"/>
                    <wp:lineTo x="70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>a</w:t>
                            </w:r>
                            <w:r w:rsidR="00ED50E6">
                              <w:rPr>
                                <w:lang w:val="en-US"/>
                              </w:rPr>
                              <w:t>n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27055">
                              <w:rPr>
                                <w:lang w:val="en-US"/>
                              </w:rPr>
                              <w:t>in</w:t>
                            </w:r>
                            <w:r>
                              <w:rPr>
                                <w:lang w:val="en-US"/>
                              </w:rPr>
                              <w:t>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907D24">
                              <w:rPr>
                                <w:lang w:val="en-US"/>
                              </w:rPr>
                              <w:t>9</w:t>
                            </w:r>
                            <w:r w:rsidR="00F17208">
                              <w:rPr>
                                <w:lang w:val="en-US"/>
                              </w:rPr>
                              <w:t>5</w:t>
                            </w:r>
                            <w:r w:rsidR="00353EEC">
                              <w:rPr>
                                <w:lang w:val="en-US"/>
                              </w:rPr>
                              <w:t>.</w:t>
                            </w:r>
                            <w:r w:rsidR="00907D24">
                              <w:rPr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B377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6.6pt;margin-top:331.1pt;width:137.75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>a</w:t>
                      </w:r>
                      <w:r w:rsidR="00ED50E6">
                        <w:rPr>
                          <w:lang w:val="en-US"/>
                        </w:rPr>
                        <w:t>n</w:t>
                      </w:r>
                      <w:r w:rsidR="00F95850">
                        <w:rPr>
                          <w:lang w:val="en-US"/>
                        </w:rPr>
                        <w:t xml:space="preserve"> </w:t>
                      </w:r>
                      <w:r w:rsidR="00827055">
                        <w:rPr>
                          <w:lang w:val="en-US"/>
                        </w:rPr>
                        <w:t>in</w:t>
                      </w:r>
                      <w:r>
                        <w:rPr>
                          <w:lang w:val="en-US"/>
                        </w:rPr>
                        <w:t>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907D24">
                        <w:rPr>
                          <w:lang w:val="en-US"/>
                        </w:rPr>
                        <w:t>9</w:t>
                      </w:r>
                      <w:r w:rsidR="00F17208">
                        <w:rPr>
                          <w:lang w:val="en-US"/>
                        </w:rPr>
                        <w:t>5</w:t>
                      </w:r>
                      <w:r w:rsidR="00353EEC">
                        <w:rPr>
                          <w:lang w:val="en-US"/>
                        </w:rPr>
                        <w:t>.</w:t>
                      </w:r>
                      <w:r w:rsidR="00907D24">
                        <w:rPr>
                          <w:lang w:val="en-US"/>
                        </w:rPr>
                        <w:t>6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627E30" w:rsidRDefault="00627E30" w:rsidP="00627E3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4F0CE610" wp14:editId="3CE2CD34">
                <wp:simplePos x="0" y="0"/>
                <wp:positionH relativeFrom="page">
                  <wp:posOffset>5705475</wp:posOffset>
                </wp:positionH>
                <wp:positionV relativeFrom="margin">
                  <wp:posOffset>-69850</wp:posOffset>
                </wp:positionV>
                <wp:extent cx="1684020" cy="942975"/>
                <wp:effectExtent l="0" t="0" r="0" b="0"/>
                <wp:wrapTight wrapText="bothSides">
                  <wp:wrapPolygon edited="0">
                    <wp:start x="733" y="0"/>
                    <wp:lineTo x="733" y="20945"/>
                    <wp:lineTo x="20769" y="20945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30" w:rsidRPr="0099652B" w:rsidRDefault="00627E30" w:rsidP="00627E30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E610" id="Pole tekstowe 15" o:spid="_x0000_s1030" type="#_x0000_t202" style="position:absolute;margin-left:449.25pt;margin-top:-5.5pt;width:132.6pt;height:74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" filled="f" stroked="f">
                <v:textbox>
                  <w:txbxContent>
                    <w:p w:rsidR="00627E30" w:rsidRPr="0099652B" w:rsidRDefault="00627E30" w:rsidP="00627E30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>
        <w:rPr>
          <w:noProof/>
          <w:spacing w:val="-2"/>
          <w:szCs w:val="19"/>
          <w:lang w:val="en-GB"/>
        </w:rPr>
        <w:t xml:space="preserve">in </w:t>
      </w:r>
      <w:r w:rsidR="0042337F">
        <w:rPr>
          <w:noProof/>
          <w:spacing w:val="-2"/>
          <w:szCs w:val="19"/>
          <w:lang w:val="en-GB"/>
        </w:rPr>
        <w:t xml:space="preserve">February </w:t>
      </w:r>
      <w:r w:rsidR="00353EEC">
        <w:rPr>
          <w:noProof/>
          <w:spacing w:val="-2"/>
          <w:szCs w:val="19"/>
          <w:lang w:val="en-GB"/>
        </w:rPr>
        <w:t>2020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3F337A">
        <w:rPr>
          <w:noProof/>
          <w:spacing w:val="-2"/>
          <w:szCs w:val="19"/>
          <w:lang w:val="en-GB"/>
        </w:rPr>
        <w:t xml:space="preserve">as compared to </w:t>
      </w:r>
      <w:r w:rsidR="0042337F">
        <w:rPr>
          <w:noProof/>
          <w:spacing w:val="-2"/>
          <w:szCs w:val="19"/>
          <w:lang w:val="en-GB"/>
        </w:rPr>
        <w:t>February</w:t>
      </w:r>
      <w:r w:rsidR="00353EEC">
        <w:rPr>
          <w:noProof/>
          <w:spacing w:val="-2"/>
          <w:szCs w:val="19"/>
          <w:lang w:val="en-GB"/>
        </w:rPr>
        <w:t xml:space="preserve"> 2019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163556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27055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 w:rsidR="003F337A">
        <w:rPr>
          <w:noProof/>
          <w:spacing w:val="-2"/>
          <w:szCs w:val="19"/>
          <w:lang w:val="en-GB"/>
        </w:rPr>
        <w:t xml:space="preserve">) was reported in </w:t>
      </w:r>
      <w:r w:rsidR="00D150DC">
        <w:rPr>
          <w:noProof/>
          <w:spacing w:val="-2"/>
          <w:szCs w:val="19"/>
          <w:lang w:val="en-GB"/>
        </w:rPr>
        <w:t>2</w:t>
      </w:r>
      <w:r w:rsidR="0042337F">
        <w:rPr>
          <w:noProof/>
          <w:spacing w:val="-2"/>
          <w:szCs w:val="19"/>
          <w:lang w:val="en-GB"/>
        </w:rPr>
        <w:t>8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B44ED3">
        <w:rPr>
          <w:noProof/>
          <w:spacing w:val="-2"/>
          <w:szCs w:val="19"/>
          <w:lang w:val="en-GB"/>
        </w:rPr>
        <w:t>m</w:t>
      </w:r>
      <w:r w:rsidR="00B44ED3" w:rsidRPr="00B7682E">
        <w:rPr>
          <w:noProof/>
          <w:spacing w:val="-2"/>
          <w:szCs w:val="19"/>
          <w:lang w:val="en-GB"/>
        </w:rPr>
        <w:t xml:space="preserve">anufacture of </w:t>
      </w:r>
      <w:r w:rsidR="00B44ED3">
        <w:rPr>
          <w:noProof/>
          <w:spacing w:val="-2"/>
          <w:szCs w:val="19"/>
          <w:lang w:val="en-GB"/>
        </w:rPr>
        <w:t xml:space="preserve">other transport equipment – by </w:t>
      </w:r>
      <w:r w:rsidR="0042337F">
        <w:rPr>
          <w:noProof/>
          <w:spacing w:val="-2"/>
          <w:szCs w:val="19"/>
          <w:lang w:val="en-GB"/>
        </w:rPr>
        <w:t>16</w:t>
      </w:r>
      <w:r w:rsidR="00353EEC">
        <w:rPr>
          <w:noProof/>
          <w:spacing w:val="-2"/>
          <w:szCs w:val="19"/>
          <w:lang w:val="en-GB"/>
        </w:rPr>
        <w:t>.</w:t>
      </w:r>
      <w:r w:rsidR="0042337F">
        <w:rPr>
          <w:noProof/>
          <w:spacing w:val="-2"/>
          <w:szCs w:val="19"/>
          <w:lang w:val="en-GB"/>
        </w:rPr>
        <w:t>8</w:t>
      </w:r>
      <w:r w:rsidR="00B44ED3">
        <w:rPr>
          <w:noProof/>
          <w:spacing w:val="-2"/>
          <w:szCs w:val="19"/>
          <w:lang w:val="en-GB"/>
        </w:rPr>
        <w:t>%,</w:t>
      </w:r>
      <w:r w:rsidR="00D150DC">
        <w:rPr>
          <w:noProof/>
          <w:spacing w:val="-2"/>
          <w:szCs w:val="19"/>
          <w:lang w:val="en-GB"/>
        </w:rPr>
        <w:t xml:space="preserve"> </w:t>
      </w:r>
      <w:r w:rsidR="00353EEC">
        <w:rPr>
          <w:noProof/>
          <w:spacing w:val="-2"/>
          <w:szCs w:val="19"/>
          <w:lang w:val="en-GB"/>
        </w:rPr>
        <w:t xml:space="preserve">manufacture of </w:t>
      </w:r>
      <w:r w:rsidR="0042337F">
        <w:rPr>
          <w:noProof/>
          <w:spacing w:val="-2"/>
          <w:szCs w:val="19"/>
          <w:lang w:val="en-GB"/>
        </w:rPr>
        <w:t xml:space="preserve">electrical equipment </w:t>
      </w:r>
      <w:r w:rsidR="00353EEC">
        <w:rPr>
          <w:noProof/>
          <w:spacing w:val="-2"/>
          <w:szCs w:val="19"/>
          <w:lang w:val="en-GB"/>
        </w:rPr>
        <w:t xml:space="preserve">– by </w:t>
      </w:r>
      <w:r w:rsidR="0042337F">
        <w:rPr>
          <w:noProof/>
          <w:spacing w:val="-2"/>
          <w:szCs w:val="19"/>
          <w:lang w:val="en-GB"/>
        </w:rPr>
        <w:t>12</w:t>
      </w:r>
      <w:r w:rsidR="00353EEC">
        <w:rPr>
          <w:noProof/>
          <w:spacing w:val="-2"/>
          <w:szCs w:val="19"/>
          <w:lang w:val="en-GB"/>
        </w:rPr>
        <w:t>.</w:t>
      </w:r>
      <w:r w:rsidR="0042337F">
        <w:rPr>
          <w:noProof/>
          <w:spacing w:val="-2"/>
          <w:szCs w:val="19"/>
          <w:lang w:val="en-GB"/>
        </w:rPr>
        <w:t>1</w:t>
      </w:r>
      <w:r w:rsidR="00353EEC">
        <w:rPr>
          <w:noProof/>
          <w:spacing w:val="-2"/>
          <w:szCs w:val="19"/>
          <w:lang w:val="en-GB"/>
        </w:rPr>
        <w:t>%,</w:t>
      </w:r>
      <w:r w:rsidR="00353EEC" w:rsidRPr="00353EEC">
        <w:rPr>
          <w:noProof/>
          <w:spacing w:val="-2"/>
          <w:szCs w:val="19"/>
          <w:lang w:val="en-GB"/>
        </w:rPr>
        <w:t xml:space="preserve"> </w:t>
      </w:r>
      <w:r w:rsidR="00353EEC">
        <w:rPr>
          <w:noProof/>
          <w:spacing w:val="-2"/>
          <w:szCs w:val="19"/>
          <w:lang w:val="en-GB"/>
        </w:rPr>
        <w:t>manufacture of</w:t>
      </w:r>
      <w:r w:rsidR="0042337F" w:rsidRPr="0042337F">
        <w:rPr>
          <w:noProof/>
          <w:spacing w:val="-2"/>
          <w:szCs w:val="19"/>
          <w:lang w:val="en-GB"/>
        </w:rPr>
        <w:t xml:space="preserve"> </w:t>
      </w:r>
      <w:r w:rsidR="0042337F">
        <w:rPr>
          <w:noProof/>
          <w:spacing w:val="-2"/>
          <w:szCs w:val="19"/>
          <w:lang w:val="en-GB"/>
        </w:rPr>
        <w:t xml:space="preserve">metal products </w:t>
      </w:r>
      <w:r w:rsidR="00353EEC">
        <w:rPr>
          <w:noProof/>
          <w:spacing w:val="-2"/>
          <w:szCs w:val="19"/>
          <w:lang w:val="en-GB"/>
        </w:rPr>
        <w:t xml:space="preserve">– by </w:t>
      </w:r>
      <w:r w:rsidR="0042337F">
        <w:rPr>
          <w:noProof/>
          <w:spacing w:val="-2"/>
          <w:szCs w:val="19"/>
          <w:lang w:val="en-GB"/>
        </w:rPr>
        <w:t>11</w:t>
      </w:r>
      <w:r w:rsidR="00353EEC">
        <w:rPr>
          <w:noProof/>
          <w:spacing w:val="-2"/>
          <w:szCs w:val="19"/>
          <w:lang w:val="en-GB"/>
        </w:rPr>
        <w:t>.</w:t>
      </w:r>
      <w:r w:rsidR="0042337F">
        <w:rPr>
          <w:noProof/>
          <w:spacing w:val="-2"/>
          <w:szCs w:val="19"/>
          <w:lang w:val="en-GB"/>
        </w:rPr>
        <w:t>5</w:t>
      </w:r>
      <w:r w:rsidR="00353EEC">
        <w:rPr>
          <w:noProof/>
          <w:spacing w:val="-2"/>
          <w:szCs w:val="19"/>
          <w:lang w:val="en-GB"/>
        </w:rPr>
        <w:t>%,</w:t>
      </w:r>
      <w:r w:rsidR="00353EEC" w:rsidRPr="00353EEC">
        <w:rPr>
          <w:noProof/>
          <w:spacing w:val="-2"/>
          <w:szCs w:val="19"/>
          <w:lang w:val="en-GB"/>
        </w:rPr>
        <w:t xml:space="preserve"> </w:t>
      </w:r>
      <w:r w:rsidR="00353EEC">
        <w:rPr>
          <w:noProof/>
          <w:spacing w:val="-2"/>
          <w:szCs w:val="19"/>
          <w:lang w:val="en-GB"/>
        </w:rPr>
        <w:t xml:space="preserve">manufacture of other non-metallic mineral products – by </w:t>
      </w:r>
      <w:r w:rsidR="0042337F">
        <w:rPr>
          <w:noProof/>
          <w:spacing w:val="-2"/>
          <w:szCs w:val="19"/>
          <w:lang w:val="en-GB"/>
        </w:rPr>
        <w:t>7</w:t>
      </w:r>
      <w:r w:rsidR="00353EEC">
        <w:rPr>
          <w:noProof/>
          <w:spacing w:val="-2"/>
          <w:szCs w:val="19"/>
          <w:lang w:val="en-GB"/>
        </w:rPr>
        <w:t>.</w:t>
      </w:r>
      <w:r w:rsidR="0042337F">
        <w:rPr>
          <w:noProof/>
          <w:spacing w:val="-2"/>
          <w:szCs w:val="19"/>
          <w:lang w:val="en-GB"/>
        </w:rPr>
        <w:t>0</w:t>
      </w:r>
      <w:r w:rsidR="00353EEC">
        <w:rPr>
          <w:noProof/>
          <w:spacing w:val="-2"/>
          <w:szCs w:val="19"/>
          <w:lang w:val="en-GB"/>
        </w:rPr>
        <w:t>%</w:t>
      </w:r>
      <w:r w:rsidR="0042337F">
        <w:rPr>
          <w:noProof/>
          <w:spacing w:val="-2"/>
          <w:szCs w:val="19"/>
          <w:lang w:val="en-GB"/>
        </w:rPr>
        <w:t>,</w:t>
      </w:r>
      <w:r w:rsidR="00353EEC" w:rsidRPr="00353EEC">
        <w:rPr>
          <w:noProof/>
          <w:spacing w:val="-2"/>
          <w:szCs w:val="19"/>
          <w:lang w:val="en-GB"/>
        </w:rPr>
        <w:t xml:space="preserve"> </w:t>
      </w:r>
      <w:r w:rsidR="00353EEC" w:rsidRPr="00D22ECE">
        <w:rPr>
          <w:noProof/>
          <w:spacing w:val="-2"/>
          <w:szCs w:val="19"/>
          <w:lang w:val="en-GB"/>
        </w:rPr>
        <w:t>manufacture of</w:t>
      </w:r>
      <w:r w:rsidR="00353EEC">
        <w:rPr>
          <w:noProof/>
          <w:spacing w:val="-2"/>
          <w:szCs w:val="19"/>
          <w:lang w:val="en-GB"/>
        </w:rPr>
        <w:t xml:space="preserve"> coke and refined petroleum products </w:t>
      </w:r>
      <w:r w:rsidR="0042337F">
        <w:rPr>
          <w:noProof/>
          <w:spacing w:val="-2"/>
          <w:szCs w:val="19"/>
          <w:lang w:val="en-GB"/>
        </w:rPr>
        <w:t xml:space="preserve">– by 6.0%, </w:t>
      </w:r>
      <w:r w:rsidR="00353EEC">
        <w:rPr>
          <w:noProof/>
          <w:spacing w:val="-2"/>
          <w:szCs w:val="19"/>
          <w:lang w:val="en-GB"/>
        </w:rPr>
        <w:t xml:space="preserve">manufacture of paper and </w:t>
      </w:r>
      <w:r w:rsidR="00114116">
        <w:rPr>
          <w:noProof/>
          <w:spacing w:val="-2"/>
          <w:szCs w:val="19"/>
          <w:lang w:val="en-GB"/>
        </w:rPr>
        <w:t xml:space="preserve">paper </w:t>
      </w:r>
      <w:r w:rsidR="00353EEC">
        <w:rPr>
          <w:noProof/>
          <w:spacing w:val="-2"/>
          <w:szCs w:val="19"/>
          <w:lang w:val="en-GB"/>
        </w:rPr>
        <w:t xml:space="preserve">products – by </w:t>
      </w:r>
      <w:r w:rsidR="0042337F">
        <w:rPr>
          <w:noProof/>
          <w:spacing w:val="-2"/>
          <w:szCs w:val="19"/>
          <w:lang w:val="en-GB"/>
        </w:rPr>
        <w:t>5</w:t>
      </w:r>
      <w:r w:rsidR="00353EEC">
        <w:rPr>
          <w:noProof/>
          <w:spacing w:val="-2"/>
          <w:szCs w:val="19"/>
          <w:lang w:val="en-GB"/>
        </w:rPr>
        <w:t>.</w:t>
      </w:r>
      <w:r w:rsidR="0042337F">
        <w:rPr>
          <w:noProof/>
          <w:spacing w:val="-2"/>
          <w:szCs w:val="19"/>
          <w:lang w:val="en-GB"/>
        </w:rPr>
        <w:t>6</w:t>
      </w:r>
      <w:r w:rsidR="00353EEC">
        <w:rPr>
          <w:noProof/>
          <w:spacing w:val="-2"/>
          <w:szCs w:val="19"/>
          <w:lang w:val="en-GB"/>
        </w:rPr>
        <w:t xml:space="preserve">%. </w:t>
      </w:r>
      <w:r w:rsidRPr="00D22ECE">
        <w:rPr>
          <w:noProof/>
          <w:spacing w:val="-2"/>
          <w:szCs w:val="19"/>
          <w:lang w:val="en-GB"/>
        </w:rPr>
        <w:t>A</w:t>
      </w:r>
      <w:r>
        <w:rPr>
          <w:noProof/>
          <w:spacing w:val="-2"/>
          <w:szCs w:val="19"/>
          <w:lang w:val="en-GB"/>
        </w:rPr>
        <w:t> </w:t>
      </w:r>
      <w:r w:rsidR="00827055">
        <w:rPr>
          <w:noProof/>
          <w:spacing w:val="-2"/>
          <w:szCs w:val="19"/>
          <w:lang w:val="en-GB"/>
        </w:rPr>
        <w:t>de</w:t>
      </w:r>
      <w:r w:rsidRPr="00D22ECE">
        <w:rPr>
          <w:noProof/>
          <w:spacing w:val="-2"/>
          <w:szCs w:val="19"/>
          <w:lang w:val="en-GB"/>
        </w:rPr>
        <w:t>crease in sold production of industry, as compared to</w:t>
      </w:r>
      <w:r>
        <w:rPr>
          <w:noProof/>
          <w:spacing w:val="-2"/>
          <w:szCs w:val="19"/>
          <w:lang w:val="en-GB"/>
        </w:rPr>
        <w:t xml:space="preserve"> </w:t>
      </w:r>
      <w:r w:rsidR="002B7D8A">
        <w:rPr>
          <w:noProof/>
          <w:spacing w:val="-2"/>
          <w:szCs w:val="19"/>
          <w:lang w:val="en-GB"/>
        </w:rPr>
        <w:t>February</w:t>
      </w:r>
      <w:r w:rsidR="00353EEC">
        <w:rPr>
          <w:noProof/>
          <w:spacing w:val="-2"/>
          <w:szCs w:val="19"/>
          <w:lang w:val="en-GB"/>
        </w:rPr>
        <w:t xml:space="preserve"> 2019</w:t>
      </w:r>
      <w:r w:rsidRPr="00D22ECE">
        <w:rPr>
          <w:noProof/>
          <w:spacing w:val="-2"/>
          <w:szCs w:val="19"/>
          <w:lang w:val="en-GB"/>
        </w:rPr>
        <w:t>, was recorded in</w:t>
      </w:r>
      <w:r w:rsidR="00874F55">
        <w:rPr>
          <w:noProof/>
          <w:spacing w:val="-2"/>
          <w:szCs w:val="19"/>
          <w:lang w:val="en-GB"/>
        </w:rPr>
        <w:t xml:space="preserve"> </w:t>
      </w:r>
      <w:r w:rsidR="002B7D8A">
        <w:rPr>
          <w:noProof/>
          <w:spacing w:val="-2"/>
          <w:szCs w:val="19"/>
          <w:lang w:val="en-GB"/>
        </w:rPr>
        <w:t>6</w:t>
      </w:r>
      <w:r w:rsidR="00CF108A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divisions</w:t>
      </w:r>
      <w:r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among others</w:t>
      </w:r>
      <w:r w:rsidR="003A414C"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 xml:space="preserve">in mining of coal and lignite – by </w:t>
      </w:r>
      <w:r w:rsidR="002B7D8A">
        <w:rPr>
          <w:noProof/>
          <w:spacing w:val="-2"/>
          <w:szCs w:val="19"/>
          <w:lang w:val="en-GB"/>
        </w:rPr>
        <w:t>1</w:t>
      </w:r>
      <w:r w:rsidR="00353EEC">
        <w:rPr>
          <w:noProof/>
          <w:spacing w:val="-2"/>
          <w:szCs w:val="19"/>
          <w:lang w:val="en-GB"/>
        </w:rPr>
        <w:t>7.</w:t>
      </w:r>
      <w:r w:rsidR="002B7D8A">
        <w:rPr>
          <w:noProof/>
          <w:spacing w:val="-2"/>
          <w:szCs w:val="19"/>
          <w:lang w:val="en-GB"/>
        </w:rPr>
        <w:t>8</w:t>
      </w:r>
      <w:r w:rsidR="00CF108A">
        <w:rPr>
          <w:noProof/>
          <w:spacing w:val="-2"/>
          <w:szCs w:val="19"/>
          <w:lang w:val="en-GB"/>
        </w:rPr>
        <w:t>%</w:t>
      </w:r>
      <w:r w:rsidR="00C74A37">
        <w:rPr>
          <w:noProof/>
          <w:spacing w:val="-2"/>
          <w:szCs w:val="19"/>
          <w:lang w:val="en-GB"/>
        </w:rPr>
        <w:t xml:space="preserve">, </w:t>
      </w:r>
      <w:r w:rsidR="00907D24">
        <w:rPr>
          <w:noProof/>
          <w:spacing w:val="-2"/>
          <w:szCs w:val="19"/>
          <w:lang w:val="en-GB"/>
        </w:rPr>
        <w:t>in m</w:t>
      </w:r>
      <w:r w:rsidR="00907D24" w:rsidRPr="00907D24">
        <w:rPr>
          <w:noProof/>
          <w:spacing w:val="-2"/>
          <w:szCs w:val="19"/>
          <w:lang w:val="en-GB"/>
        </w:rPr>
        <w:t xml:space="preserve">anufacture of wearing apparel </w:t>
      </w:r>
      <w:r w:rsidR="00907D24">
        <w:rPr>
          <w:noProof/>
          <w:spacing w:val="-2"/>
          <w:szCs w:val="19"/>
          <w:lang w:val="en-GB"/>
        </w:rPr>
        <w:t>– by 7</w:t>
      </w:r>
      <w:r w:rsidR="00DA0314">
        <w:rPr>
          <w:noProof/>
          <w:spacing w:val="-2"/>
          <w:szCs w:val="19"/>
          <w:lang w:val="en-GB"/>
        </w:rPr>
        <w:t>.</w:t>
      </w:r>
      <w:r w:rsidR="00907D24">
        <w:rPr>
          <w:noProof/>
          <w:spacing w:val="-2"/>
          <w:szCs w:val="19"/>
          <w:lang w:val="en-GB"/>
        </w:rPr>
        <w:t xml:space="preserve">7%, </w:t>
      </w:r>
      <w:r w:rsidR="00353EEC">
        <w:rPr>
          <w:noProof/>
          <w:spacing w:val="-2"/>
          <w:szCs w:val="19"/>
          <w:lang w:val="en-GB"/>
        </w:rPr>
        <w:t xml:space="preserve">in manufacture </w:t>
      </w:r>
      <w:r w:rsidR="00907D24" w:rsidRPr="00907D24">
        <w:rPr>
          <w:noProof/>
          <w:spacing w:val="-2"/>
          <w:szCs w:val="19"/>
          <w:lang w:val="en-GB"/>
        </w:rPr>
        <w:t>of textiles</w:t>
      </w:r>
      <w:r w:rsidR="00907D24">
        <w:rPr>
          <w:noProof/>
          <w:spacing w:val="-2"/>
          <w:szCs w:val="19"/>
          <w:lang w:val="en-GB"/>
        </w:rPr>
        <w:t xml:space="preserve"> – by 1.2%.</w:t>
      </w:r>
    </w:p>
    <w:p w:rsidR="00D674E0" w:rsidRDefault="00D674E0" w:rsidP="00190567">
      <w:pPr>
        <w:pStyle w:val="tytuwykresu"/>
        <w:spacing w:before="0" w:after="0"/>
        <w:rPr>
          <w:sz w:val="19"/>
          <w:szCs w:val="19"/>
          <w:lang w:val="en-GB"/>
        </w:rPr>
      </w:pPr>
      <w:bookmarkStart w:id="0" w:name="_GoBack"/>
      <w:bookmarkEnd w:id="0"/>
    </w:p>
    <w:p w:rsidR="002B7D8A" w:rsidRDefault="002B7D8A" w:rsidP="00190567">
      <w:pPr>
        <w:pStyle w:val="tytuwykresu"/>
        <w:spacing w:before="0" w:after="0"/>
        <w:rPr>
          <w:sz w:val="19"/>
          <w:szCs w:val="19"/>
          <w:lang w:val="en-GB"/>
        </w:rPr>
      </w:pPr>
    </w:p>
    <w:p w:rsidR="00B66F86" w:rsidRDefault="00B7682E" w:rsidP="00190567">
      <w:pPr>
        <w:pStyle w:val="tytuwykresu"/>
        <w:spacing w:before="0" w:after="0"/>
        <w:rPr>
          <w:szCs w:val="18"/>
          <w:lang w:val="en-GB"/>
        </w:rPr>
      </w:pPr>
      <w:r w:rsidRPr="003E0524">
        <w:rPr>
          <w:szCs w:val="18"/>
          <w:lang w:val="en-GB"/>
        </w:rPr>
        <w:t xml:space="preserve">Chart </w:t>
      </w:r>
      <w:r>
        <w:rPr>
          <w:szCs w:val="18"/>
          <w:lang w:val="en-GB"/>
        </w:rPr>
        <w:t>2</w:t>
      </w:r>
      <w:r w:rsidRPr="003E0524">
        <w:rPr>
          <w:szCs w:val="18"/>
          <w:lang w:val="en-GB"/>
        </w:rPr>
        <w:t xml:space="preserve">. </w:t>
      </w:r>
      <w:r w:rsidR="003B25A8" w:rsidRPr="00F923FB">
        <w:rPr>
          <w:szCs w:val="18"/>
          <w:shd w:val="clear" w:color="auto" w:fill="FFFFFF"/>
          <w:lang w:val="en-GB"/>
        </w:rPr>
        <w:t xml:space="preserve">Index numbers </w:t>
      </w:r>
      <w:r w:rsidR="00B66F86" w:rsidRPr="00B66F86">
        <w:rPr>
          <w:szCs w:val="18"/>
          <w:lang w:val="en-GB"/>
        </w:rPr>
        <w:t xml:space="preserve">of sold production of industry by selected NACE divisions (constant prices; </w:t>
      </w:r>
    </w:p>
    <w:p w:rsidR="00D22ECE" w:rsidRDefault="00907D24" w:rsidP="00B66F86">
      <w:pPr>
        <w:pStyle w:val="tytuwykresu"/>
        <w:spacing w:before="0" w:after="0"/>
        <w:rPr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 wp14:anchorId="7B30F556" wp14:editId="2CEF5C4B">
            <wp:simplePos x="0" y="0"/>
            <wp:positionH relativeFrom="margin">
              <wp:align>left</wp:align>
            </wp:positionH>
            <wp:positionV relativeFrom="paragraph">
              <wp:posOffset>285750</wp:posOffset>
            </wp:positionV>
            <wp:extent cx="5105400" cy="3343275"/>
            <wp:effectExtent l="0" t="0" r="0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6F86">
        <w:rPr>
          <w:szCs w:val="18"/>
          <w:lang w:val="en-GB"/>
        </w:rPr>
        <w:t xml:space="preserve">               </w:t>
      </w:r>
      <w:r w:rsidR="00B66F86" w:rsidRPr="00B66F86">
        <w:rPr>
          <w:szCs w:val="18"/>
          <w:lang w:val="en-GB"/>
        </w:rPr>
        <w:t>previous yea</w:t>
      </w:r>
      <w:r w:rsidR="0042337F">
        <w:rPr>
          <w:szCs w:val="18"/>
          <w:lang w:val="en-GB"/>
        </w:rPr>
        <w:t>r</w:t>
      </w:r>
      <w:r w:rsidR="00B66F86" w:rsidRPr="00B66F86">
        <w:rPr>
          <w:szCs w:val="18"/>
          <w:lang w:val="en-GB"/>
        </w:rPr>
        <w:t xml:space="preserve"> =100)</w:t>
      </w:r>
    </w:p>
    <w:p w:rsidR="00B44ED3" w:rsidRPr="00C52703" w:rsidRDefault="00B44ED3" w:rsidP="00C076E8">
      <w:pPr>
        <w:rPr>
          <w:sz w:val="18"/>
          <w:lang w:val="en-GB"/>
        </w:rPr>
        <w:sectPr w:rsidR="00B44ED3" w:rsidRPr="00C52703" w:rsidSect="003C49D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7"/>
        <w:gridCol w:w="3820"/>
      </w:tblGrid>
      <w:tr w:rsidR="000470AA" w:rsidRPr="00E30DFE" w:rsidTr="00042C7A">
        <w:trPr>
          <w:trHeight w:val="1560"/>
        </w:trPr>
        <w:tc>
          <w:tcPr>
            <w:tcW w:w="4379" w:type="dxa"/>
            <w:vAlign w:val="center"/>
          </w:tcPr>
          <w:p w:rsidR="000470AA" w:rsidRPr="00C52703" w:rsidRDefault="00A47A7A" w:rsidP="00042C7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042C7A" w:rsidRPr="00042C7A" w:rsidRDefault="00042C7A" w:rsidP="00042C7A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:rsidR="00042C7A" w:rsidRPr="00042C7A" w:rsidRDefault="00042C7A" w:rsidP="00042C7A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:rsidR="000470AA" w:rsidRPr="00C52703" w:rsidRDefault="00042C7A" w:rsidP="00042C7A">
            <w:pPr>
              <w:spacing w:before="0" w:after="0" w:line="240" w:lineRule="auto"/>
              <w:rPr>
                <w:color w:val="000000" w:themeColor="text1"/>
                <w:lang w:val="en-GB"/>
              </w:rPr>
            </w:pPr>
            <w:r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Tel: (+48 22) 608 31 25</w:t>
            </w:r>
            <w:r w:rsidR="00954B4D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942" w:type="dxa"/>
            <w:vAlign w:val="center"/>
          </w:tcPr>
          <w:p w:rsidR="000470AA" w:rsidRPr="00C52703" w:rsidRDefault="00675039" w:rsidP="00042C7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2C7A" w:rsidRDefault="00042C7A" w:rsidP="00042C7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042C7A" w:rsidRDefault="00042C7A" w:rsidP="00042C7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:rsidR="000470AA" w:rsidRPr="006664F8" w:rsidRDefault="000470AA" w:rsidP="00042C7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6664F8" w:rsidRDefault="000470AA" w:rsidP="000470AA">
      <w:pPr>
        <w:rPr>
          <w:sz w:val="20"/>
        </w:rPr>
      </w:pPr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DA031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D386E" w:rsidRDefault="00511459" w:rsidP="000470AA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>Press Office</w:t>
            </w:r>
            <w:r w:rsidR="000470AA" w:rsidRPr="005D386E">
              <w:rPr>
                <w:b/>
                <w:sz w:val="20"/>
                <w:lang w:val="en-GB"/>
              </w:rPr>
              <w:t xml:space="preserve"> </w:t>
            </w:r>
          </w:p>
          <w:p w:rsidR="00042C7A" w:rsidRPr="005D386E" w:rsidRDefault="00042C7A" w:rsidP="00042C7A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:rsidR="000470AA" w:rsidRPr="005D386E" w:rsidRDefault="00042C7A" w:rsidP="00042C7A">
            <w:pPr>
              <w:rPr>
                <w:sz w:val="18"/>
                <w:lang w:val="en-GB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D386E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8" w:history="1">
              <w:r w:rsidRPr="005D386E">
                <w:rPr>
                  <w:rFonts w:eastAsia="Fira Sans Light" w:cs="Times New Roman"/>
                  <w:b/>
                  <w:color w:val="0000FF"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 w:rsidR="00230331">
              <w:rPr>
                <w:sz w:val="20"/>
                <w:lang w:val="en-GB"/>
              </w:rPr>
              <w:t>/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r w:rsidR="00551FFC" w:rsidRPr="00C52703">
              <w:rPr>
                <w:sz w:val="20"/>
                <w:lang w:val="en-GB"/>
              </w:rPr>
              <w:t>StatPoland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19050</wp:posOffset>
                </wp:positionH>
                <wp:positionV relativeFrom="paragraph">
                  <wp:posOffset>419100</wp:posOffset>
                </wp:positionV>
                <wp:extent cx="6559550" cy="5102860"/>
                <wp:effectExtent l="0" t="0" r="12700" b="2159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0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346B6D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E7BB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"https://stat.gov.pl/en/topics/other-studies/informations-on-socio-economic-situation/statistical-bulletin-no-12020,4,109.html"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7A2F0F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346B6D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E7BB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"https://stat.gov.pl/en/topics/other-studies/informations-on-socio-economic-situation/socio-economic-situation-of-the-country-in-january-2020,1,106.html"</w:instrText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9E360A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</w:t>
                            </w:r>
                            <w:r w:rsidR="0022448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346B6D" w:rsidRDefault="00011D8B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2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</w:t>
                              </w:r>
                              <w:r w:rsidR="00643957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- </w:t>
                              </w:r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346B6D" w:rsidRDefault="00011D8B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3" w:history="1">
                              <w:r w:rsidR="002812B9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346B6D" w:rsidRDefault="00011D8B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346B6D" w:rsidRDefault="00011D8B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230331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011D8B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6" w:history="1">
                              <w:r w:rsidR="00E8568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011D8B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5F717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Pr="00346B6D" w:rsidRDefault="00011D8B" w:rsidP="00725A12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4B7B7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Pr="00346B6D" w:rsidRDefault="00011D8B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29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Pr="00346B6D" w:rsidRDefault="00011D8B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Pr="00346B6D" w:rsidRDefault="00011D8B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Pr="00346B6D" w:rsidRDefault="00011D8B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Pr="00346B6D" w:rsidRDefault="00011D8B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6C02" id="_x0000_s1031" type="#_x0000_t202" style="position:absolute;margin-left:1.5pt;margin-top:33pt;width:516.5pt;height:40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346B6D" w:rsidRDefault="001A6866" w:rsidP="007A2F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E7BB5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"https://stat.gov.pl/en/topics/other-studies/informations-on-socio-economic-situation/statistical-bulletin-no-12020,4,109.html"</w:instrText>
                      </w:r>
                      <w:r w:rsidR="008E7BB5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</w:t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t</w:t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ical Bulletin</w:t>
                      </w:r>
                    </w:p>
                    <w:p w:rsidR="00643957" w:rsidRPr="00346B6D" w:rsidRDefault="001A6866" w:rsidP="0064395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E7BB5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"https://stat.gov.pl/en/topics/other-studies/informations-on-socio-economic-situation/socio-economic-situation-of-the-country-in-january-2020,1,106.html"</w:instrText>
                      </w:r>
                      <w:r w:rsidR="008E7BB5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9E360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cio-economic situat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346B6D" w:rsidRDefault="00E652A9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</w:t>
                        </w:r>
                        <w:r w:rsidR="00643957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- </w:t>
                        </w:r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346B6D" w:rsidRDefault="00E652A9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5" w:history="1">
                        <w:r w:rsidR="002812B9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346B6D" w:rsidRDefault="00E652A9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346B6D" w:rsidRDefault="00E652A9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7C324B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ED2F18" w:rsidRPr="00230331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E652A9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8" w:history="1">
                        <w:r w:rsidR="00E8568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E652A9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9" w:history="1">
                        <w:r w:rsidR="005F717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Pr="00346B6D" w:rsidRDefault="00E652A9" w:rsidP="00725A12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4B7B7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959E8" w:rsidRPr="00346B6D" w:rsidRDefault="00E652A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Pr="00346B6D" w:rsidRDefault="00E652A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Pr="00346B6D" w:rsidRDefault="00E652A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Pr="00346B6D" w:rsidRDefault="00E652A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Pr="00346B6D" w:rsidRDefault="00E652A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6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8B" w:rsidRDefault="00011D8B" w:rsidP="000662E2">
      <w:pPr>
        <w:spacing w:after="0" w:line="240" w:lineRule="auto"/>
      </w:pPr>
      <w:r>
        <w:separator/>
      </w:r>
    </w:p>
  </w:endnote>
  <w:endnote w:type="continuationSeparator" w:id="0">
    <w:p w:rsidR="00011D8B" w:rsidRDefault="00011D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314">
          <w:rPr>
            <w:noProof/>
          </w:rPr>
          <w:t>2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314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8B" w:rsidRDefault="00011D8B" w:rsidP="000662E2">
      <w:pPr>
        <w:spacing w:after="0" w:line="240" w:lineRule="auto"/>
      </w:pPr>
      <w:r>
        <w:separator/>
      </w:r>
    </w:p>
  </w:footnote>
  <w:footnote w:type="continuationSeparator" w:id="0">
    <w:p w:rsidR="00011D8B" w:rsidRDefault="00011D8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230331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197897E" wp14:editId="4D82638A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FD459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246E8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D424ED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FD459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246E8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D424ED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07DD2"/>
    <w:rsid w:val="000108B8"/>
    <w:rsid w:val="00011D8B"/>
    <w:rsid w:val="00013EF2"/>
    <w:rsid w:val="00014262"/>
    <w:rsid w:val="00014DBD"/>
    <w:rsid w:val="000152F5"/>
    <w:rsid w:val="00021B45"/>
    <w:rsid w:val="00022128"/>
    <w:rsid w:val="00030892"/>
    <w:rsid w:val="00032953"/>
    <w:rsid w:val="000338FF"/>
    <w:rsid w:val="000360CA"/>
    <w:rsid w:val="00037AB3"/>
    <w:rsid w:val="00041BC3"/>
    <w:rsid w:val="00042C7A"/>
    <w:rsid w:val="00042EB9"/>
    <w:rsid w:val="000431BD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3804"/>
    <w:rsid w:val="00074DD8"/>
    <w:rsid w:val="00075F88"/>
    <w:rsid w:val="000770CF"/>
    <w:rsid w:val="000806F7"/>
    <w:rsid w:val="0008572F"/>
    <w:rsid w:val="00086E32"/>
    <w:rsid w:val="00093A39"/>
    <w:rsid w:val="00094353"/>
    <w:rsid w:val="000A0139"/>
    <w:rsid w:val="000A0B6C"/>
    <w:rsid w:val="000A23BC"/>
    <w:rsid w:val="000A5751"/>
    <w:rsid w:val="000A649E"/>
    <w:rsid w:val="000A7B6E"/>
    <w:rsid w:val="000B0727"/>
    <w:rsid w:val="000B35C3"/>
    <w:rsid w:val="000B3D5D"/>
    <w:rsid w:val="000B6E9E"/>
    <w:rsid w:val="000C0BD8"/>
    <w:rsid w:val="000C135D"/>
    <w:rsid w:val="000C4629"/>
    <w:rsid w:val="000C5F64"/>
    <w:rsid w:val="000C7851"/>
    <w:rsid w:val="000C7DF1"/>
    <w:rsid w:val="000D1D43"/>
    <w:rsid w:val="000D225C"/>
    <w:rsid w:val="000D2A5C"/>
    <w:rsid w:val="000D4387"/>
    <w:rsid w:val="000E0918"/>
    <w:rsid w:val="000F4CE2"/>
    <w:rsid w:val="000F704F"/>
    <w:rsid w:val="001011C3"/>
    <w:rsid w:val="001055A7"/>
    <w:rsid w:val="00110D87"/>
    <w:rsid w:val="00112975"/>
    <w:rsid w:val="00113E0B"/>
    <w:rsid w:val="00114116"/>
    <w:rsid w:val="00114DB9"/>
    <w:rsid w:val="00115BF3"/>
    <w:rsid w:val="00116087"/>
    <w:rsid w:val="00121934"/>
    <w:rsid w:val="00123618"/>
    <w:rsid w:val="00130296"/>
    <w:rsid w:val="001376F9"/>
    <w:rsid w:val="00141D6D"/>
    <w:rsid w:val="001423B6"/>
    <w:rsid w:val="0014291E"/>
    <w:rsid w:val="001448A7"/>
    <w:rsid w:val="0014566D"/>
    <w:rsid w:val="00146621"/>
    <w:rsid w:val="00152273"/>
    <w:rsid w:val="00152D2C"/>
    <w:rsid w:val="00162325"/>
    <w:rsid w:val="00163556"/>
    <w:rsid w:val="00165A6F"/>
    <w:rsid w:val="00173BF6"/>
    <w:rsid w:val="001834E2"/>
    <w:rsid w:val="00190567"/>
    <w:rsid w:val="00194D47"/>
    <w:rsid w:val="001951DA"/>
    <w:rsid w:val="00197D12"/>
    <w:rsid w:val="001A06C9"/>
    <w:rsid w:val="001A6866"/>
    <w:rsid w:val="001A7A85"/>
    <w:rsid w:val="001B0659"/>
    <w:rsid w:val="001B329C"/>
    <w:rsid w:val="001B56C8"/>
    <w:rsid w:val="001C235E"/>
    <w:rsid w:val="001C3269"/>
    <w:rsid w:val="001C7319"/>
    <w:rsid w:val="001D03CF"/>
    <w:rsid w:val="001D1DB4"/>
    <w:rsid w:val="001D43A6"/>
    <w:rsid w:val="001D6A44"/>
    <w:rsid w:val="001E0AEC"/>
    <w:rsid w:val="001E298B"/>
    <w:rsid w:val="001E2DF2"/>
    <w:rsid w:val="001E4F42"/>
    <w:rsid w:val="001E51BF"/>
    <w:rsid w:val="001E6834"/>
    <w:rsid w:val="001F7CFC"/>
    <w:rsid w:val="00201512"/>
    <w:rsid w:val="00203C58"/>
    <w:rsid w:val="00217E67"/>
    <w:rsid w:val="0022448B"/>
    <w:rsid w:val="0022481E"/>
    <w:rsid w:val="002256D7"/>
    <w:rsid w:val="00230331"/>
    <w:rsid w:val="002444D3"/>
    <w:rsid w:val="00244914"/>
    <w:rsid w:val="00244D5D"/>
    <w:rsid w:val="002527FC"/>
    <w:rsid w:val="0025411F"/>
    <w:rsid w:val="0025710A"/>
    <w:rsid w:val="002574F9"/>
    <w:rsid w:val="00260F32"/>
    <w:rsid w:val="00276811"/>
    <w:rsid w:val="00276EBA"/>
    <w:rsid w:val="00280AEF"/>
    <w:rsid w:val="002812B9"/>
    <w:rsid w:val="00281B97"/>
    <w:rsid w:val="00282699"/>
    <w:rsid w:val="002926DF"/>
    <w:rsid w:val="00295C38"/>
    <w:rsid w:val="00296697"/>
    <w:rsid w:val="002974D8"/>
    <w:rsid w:val="00297F37"/>
    <w:rsid w:val="002A5734"/>
    <w:rsid w:val="002B0472"/>
    <w:rsid w:val="002B088C"/>
    <w:rsid w:val="002B1934"/>
    <w:rsid w:val="002B5517"/>
    <w:rsid w:val="002B6B12"/>
    <w:rsid w:val="002B7D8A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1DDC"/>
    <w:rsid w:val="002F61C7"/>
    <w:rsid w:val="002F71BE"/>
    <w:rsid w:val="002F77C8"/>
    <w:rsid w:val="00300385"/>
    <w:rsid w:val="00304F22"/>
    <w:rsid w:val="00306C7C"/>
    <w:rsid w:val="00313732"/>
    <w:rsid w:val="003150C0"/>
    <w:rsid w:val="00322652"/>
    <w:rsid w:val="00322A4F"/>
    <w:rsid w:val="00322EDD"/>
    <w:rsid w:val="003238F1"/>
    <w:rsid w:val="00326A58"/>
    <w:rsid w:val="00332320"/>
    <w:rsid w:val="00334186"/>
    <w:rsid w:val="0034339A"/>
    <w:rsid w:val="00344BE5"/>
    <w:rsid w:val="00346B6D"/>
    <w:rsid w:val="00347D72"/>
    <w:rsid w:val="00353EEC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414C"/>
    <w:rsid w:val="003A532D"/>
    <w:rsid w:val="003B1454"/>
    <w:rsid w:val="003B1EE9"/>
    <w:rsid w:val="003B25A8"/>
    <w:rsid w:val="003B6E1F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0524"/>
    <w:rsid w:val="003E14C5"/>
    <w:rsid w:val="003E515C"/>
    <w:rsid w:val="003F3148"/>
    <w:rsid w:val="003F337A"/>
    <w:rsid w:val="003F4C97"/>
    <w:rsid w:val="003F7FE6"/>
    <w:rsid w:val="00400193"/>
    <w:rsid w:val="00417C9D"/>
    <w:rsid w:val="004212E7"/>
    <w:rsid w:val="0042337F"/>
    <w:rsid w:val="0042446D"/>
    <w:rsid w:val="00424FE7"/>
    <w:rsid w:val="00426C7A"/>
    <w:rsid w:val="00427BF8"/>
    <w:rsid w:val="00427E58"/>
    <w:rsid w:val="004315B6"/>
    <w:rsid w:val="00431C02"/>
    <w:rsid w:val="0043568E"/>
    <w:rsid w:val="00437395"/>
    <w:rsid w:val="00445047"/>
    <w:rsid w:val="00451D04"/>
    <w:rsid w:val="00452F14"/>
    <w:rsid w:val="00453917"/>
    <w:rsid w:val="00454AC3"/>
    <w:rsid w:val="0045527D"/>
    <w:rsid w:val="00457C63"/>
    <w:rsid w:val="00463A17"/>
    <w:rsid w:val="00463E39"/>
    <w:rsid w:val="004655F8"/>
    <w:rsid w:val="004657FC"/>
    <w:rsid w:val="004730F1"/>
    <w:rsid w:val="004733F6"/>
    <w:rsid w:val="00474E69"/>
    <w:rsid w:val="00477CD9"/>
    <w:rsid w:val="0048107D"/>
    <w:rsid w:val="004832DE"/>
    <w:rsid w:val="00485D27"/>
    <w:rsid w:val="0049000E"/>
    <w:rsid w:val="004902FB"/>
    <w:rsid w:val="00490DA3"/>
    <w:rsid w:val="004931F3"/>
    <w:rsid w:val="0049621B"/>
    <w:rsid w:val="0049698E"/>
    <w:rsid w:val="004A26DF"/>
    <w:rsid w:val="004A3D27"/>
    <w:rsid w:val="004A3D74"/>
    <w:rsid w:val="004A67CB"/>
    <w:rsid w:val="004B25F0"/>
    <w:rsid w:val="004B7A30"/>
    <w:rsid w:val="004B7B73"/>
    <w:rsid w:val="004C1895"/>
    <w:rsid w:val="004C36E2"/>
    <w:rsid w:val="004C4525"/>
    <w:rsid w:val="004C55E6"/>
    <w:rsid w:val="004C6D40"/>
    <w:rsid w:val="004D23D2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06B15"/>
    <w:rsid w:val="00511459"/>
    <w:rsid w:val="005122B4"/>
    <w:rsid w:val="005142C6"/>
    <w:rsid w:val="00516CBB"/>
    <w:rsid w:val="005203F1"/>
    <w:rsid w:val="0052161D"/>
    <w:rsid w:val="00521BC3"/>
    <w:rsid w:val="005259B2"/>
    <w:rsid w:val="00533632"/>
    <w:rsid w:val="005358D0"/>
    <w:rsid w:val="005361AA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865C1"/>
    <w:rsid w:val="005916D7"/>
    <w:rsid w:val="005920DD"/>
    <w:rsid w:val="00592F72"/>
    <w:rsid w:val="005968D2"/>
    <w:rsid w:val="005A00B9"/>
    <w:rsid w:val="005A0A55"/>
    <w:rsid w:val="005A2411"/>
    <w:rsid w:val="005A3D88"/>
    <w:rsid w:val="005A4BA8"/>
    <w:rsid w:val="005A698C"/>
    <w:rsid w:val="005B3516"/>
    <w:rsid w:val="005B41D6"/>
    <w:rsid w:val="005B5626"/>
    <w:rsid w:val="005B587B"/>
    <w:rsid w:val="005B5E1A"/>
    <w:rsid w:val="005B764C"/>
    <w:rsid w:val="005C594C"/>
    <w:rsid w:val="005C66D6"/>
    <w:rsid w:val="005C6B1E"/>
    <w:rsid w:val="005C7F6F"/>
    <w:rsid w:val="005D07AD"/>
    <w:rsid w:val="005D386E"/>
    <w:rsid w:val="005E0799"/>
    <w:rsid w:val="005E7AA5"/>
    <w:rsid w:val="005E7D80"/>
    <w:rsid w:val="005F11E3"/>
    <w:rsid w:val="005F5A80"/>
    <w:rsid w:val="005F5C52"/>
    <w:rsid w:val="005F66F2"/>
    <w:rsid w:val="005F68B5"/>
    <w:rsid w:val="005F717C"/>
    <w:rsid w:val="00601B3B"/>
    <w:rsid w:val="006044FF"/>
    <w:rsid w:val="0060704D"/>
    <w:rsid w:val="00607CC5"/>
    <w:rsid w:val="006104AB"/>
    <w:rsid w:val="006107B6"/>
    <w:rsid w:val="00622112"/>
    <w:rsid w:val="00626F78"/>
    <w:rsid w:val="00627E30"/>
    <w:rsid w:val="00633014"/>
    <w:rsid w:val="0063360B"/>
    <w:rsid w:val="0063437B"/>
    <w:rsid w:val="0064094C"/>
    <w:rsid w:val="0064312A"/>
    <w:rsid w:val="00643805"/>
    <w:rsid w:val="00643957"/>
    <w:rsid w:val="00643FC8"/>
    <w:rsid w:val="006460F8"/>
    <w:rsid w:val="00646377"/>
    <w:rsid w:val="006509AE"/>
    <w:rsid w:val="0065120E"/>
    <w:rsid w:val="00662423"/>
    <w:rsid w:val="006664F8"/>
    <w:rsid w:val="006673CA"/>
    <w:rsid w:val="0067123B"/>
    <w:rsid w:val="00673C26"/>
    <w:rsid w:val="00675039"/>
    <w:rsid w:val="00675CBA"/>
    <w:rsid w:val="00675D62"/>
    <w:rsid w:val="0067772E"/>
    <w:rsid w:val="00681057"/>
    <w:rsid w:val="006812AF"/>
    <w:rsid w:val="0068327D"/>
    <w:rsid w:val="0068579D"/>
    <w:rsid w:val="00694AF0"/>
    <w:rsid w:val="006959E8"/>
    <w:rsid w:val="00695C15"/>
    <w:rsid w:val="006B0D6F"/>
    <w:rsid w:val="006B0E9E"/>
    <w:rsid w:val="006B3384"/>
    <w:rsid w:val="006B3D92"/>
    <w:rsid w:val="006B5AE4"/>
    <w:rsid w:val="006B7370"/>
    <w:rsid w:val="006C223C"/>
    <w:rsid w:val="006C22CB"/>
    <w:rsid w:val="006C47A4"/>
    <w:rsid w:val="006D3286"/>
    <w:rsid w:val="006D4054"/>
    <w:rsid w:val="006E02EC"/>
    <w:rsid w:val="006E5D51"/>
    <w:rsid w:val="00703360"/>
    <w:rsid w:val="0070337F"/>
    <w:rsid w:val="00704895"/>
    <w:rsid w:val="007211B1"/>
    <w:rsid w:val="0072190E"/>
    <w:rsid w:val="007231AD"/>
    <w:rsid w:val="00724E6C"/>
    <w:rsid w:val="00725A12"/>
    <w:rsid w:val="00746187"/>
    <w:rsid w:val="0075569C"/>
    <w:rsid w:val="007565E9"/>
    <w:rsid w:val="00756FD0"/>
    <w:rsid w:val="00760D54"/>
    <w:rsid w:val="007613F7"/>
    <w:rsid w:val="0076254F"/>
    <w:rsid w:val="00767010"/>
    <w:rsid w:val="00770A35"/>
    <w:rsid w:val="00771C63"/>
    <w:rsid w:val="00773643"/>
    <w:rsid w:val="0077475A"/>
    <w:rsid w:val="007801F5"/>
    <w:rsid w:val="00780204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65ED"/>
    <w:rsid w:val="007A77D1"/>
    <w:rsid w:val="007B0095"/>
    <w:rsid w:val="007B3A51"/>
    <w:rsid w:val="007B5568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E6E0F"/>
    <w:rsid w:val="007F02E8"/>
    <w:rsid w:val="007F1EFE"/>
    <w:rsid w:val="007F324B"/>
    <w:rsid w:val="007F4F92"/>
    <w:rsid w:val="007F79E4"/>
    <w:rsid w:val="00802515"/>
    <w:rsid w:val="0080553C"/>
    <w:rsid w:val="00805B46"/>
    <w:rsid w:val="00811542"/>
    <w:rsid w:val="00813BF1"/>
    <w:rsid w:val="00825DC2"/>
    <w:rsid w:val="00827055"/>
    <w:rsid w:val="00834AD3"/>
    <w:rsid w:val="00835033"/>
    <w:rsid w:val="008413F7"/>
    <w:rsid w:val="008420E8"/>
    <w:rsid w:val="00843795"/>
    <w:rsid w:val="00846B7F"/>
    <w:rsid w:val="00847F0F"/>
    <w:rsid w:val="00851435"/>
    <w:rsid w:val="00852448"/>
    <w:rsid w:val="008532B7"/>
    <w:rsid w:val="0085436A"/>
    <w:rsid w:val="0085570A"/>
    <w:rsid w:val="00866CB6"/>
    <w:rsid w:val="00873CFA"/>
    <w:rsid w:val="00873D67"/>
    <w:rsid w:val="00874F55"/>
    <w:rsid w:val="0088258A"/>
    <w:rsid w:val="00882F38"/>
    <w:rsid w:val="00884418"/>
    <w:rsid w:val="00886332"/>
    <w:rsid w:val="00887C9F"/>
    <w:rsid w:val="00894318"/>
    <w:rsid w:val="00895B6C"/>
    <w:rsid w:val="00896122"/>
    <w:rsid w:val="00896AA0"/>
    <w:rsid w:val="00897F2B"/>
    <w:rsid w:val="008A26D9"/>
    <w:rsid w:val="008A4209"/>
    <w:rsid w:val="008B1203"/>
    <w:rsid w:val="008B51A2"/>
    <w:rsid w:val="008B6880"/>
    <w:rsid w:val="008C0C29"/>
    <w:rsid w:val="008C28C3"/>
    <w:rsid w:val="008C28EE"/>
    <w:rsid w:val="008C34E6"/>
    <w:rsid w:val="008D0F47"/>
    <w:rsid w:val="008D7B05"/>
    <w:rsid w:val="008E0862"/>
    <w:rsid w:val="008E7BB5"/>
    <w:rsid w:val="008F3638"/>
    <w:rsid w:val="008F3CA6"/>
    <w:rsid w:val="008F6F31"/>
    <w:rsid w:val="008F74DF"/>
    <w:rsid w:val="009074DC"/>
    <w:rsid w:val="00907D24"/>
    <w:rsid w:val="00910B17"/>
    <w:rsid w:val="00911520"/>
    <w:rsid w:val="009127BA"/>
    <w:rsid w:val="00913377"/>
    <w:rsid w:val="00913F05"/>
    <w:rsid w:val="009160A8"/>
    <w:rsid w:val="00917D00"/>
    <w:rsid w:val="00917EC6"/>
    <w:rsid w:val="009206B5"/>
    <w:rsid w:val="009227A6"/>
    <w:rsid w:val="00924595"/>
    <w:rsid w:val="00925944"/>
    <w:rsid w:val="00926AFB"/>
    <w:rsid w:val="00931393"/>
    <w:rsid w:val="00933EC1"/>
    <w:rsid w:val="009375E5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8682E"/>
    <w:rsid w:val="00991BAC"/>
    <w:rsid w:val="0099324A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251A"/>
    <w:rsid w:val="009C7251"/>
    <w:rsid w:val="009D42D4"/>
    <w:rsid w:val="009D604E"/>
    <w:rsid w:val="009E056F"/>
    <w:rsid w:val="009E2412"/>
    <w:rsid w:val="009E2E91"/>
    <w:rsid w:val="009E360A"/>
    <w:rsid w:val="009E7137"/>
    <w:rsid w:val="009F2F52"/>
    <w:rsid w:val="00A02622"/>
    <w:rsid w:val="00A054D5"/>
    <w:rsid w:val="00A06209"/>
    <w:rsid w:val="00A11401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5A73"/>
    <w:rsid w:val="00A47753"/>
    <w:rsid w:val="00A47A7A"/>
    <w:rsid w:val="00A47D80"/>
    <w:rsid w:val="00A53132"/>
    <w:rsid w:val="00A563F2"/>
    <w:rsid w:val="00A566E8"/>
    <w:rsid w:val="00A60896"/>
    <w:rsid w:val="00A610A8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036F"/>
    <w:rsid w:val="00AB3C43"/>
    <w:rsid w:val="00AB4C32"/>
    <w:rsid w:val="00AB6420"/>
    <w:rsid w:val="00AB6D25"/>
    <w:rsid w:val="00AE0812"/>
    <w:rsid w:val="00AE119B"/>
    <w:rsid w:val="00AE1439"/>
    <w:rsid w:val="00AE2D4B"/>
    <w:rsid w:val="00AE4410"/>
    <w:rsid w:val="00AE4F99"/>
    <w:rsid w:val="00AF00E2"/>
    <w:rsid w:val="00AF3282"/>
    <w:rsid w:val="00B05798"/>
    <w:rsid w:val="00B06E6D"/>
    <w:rsid w:val="00B10A6C"/>
    <w:rsid w:val="00B13BB9"/>
    <w:rsid w:val="00B14952"/>
    <w:rsid w:val="00B2693D"/>
    <w:rsid w:val="00B27CF9"/>
    <w:rsid w:val="00B31E5A"/>
    <w:rsid w:val="00B433F9"/>
    <w:rsid w:val="00B44ED3"/>
    <w:rsid w:val="00B45526"/>
    <w:rsid w:val="00B468A9"/>
    <w:rsid w:val="00B617DB"/>
    <w:rsid w:val="00B63F0E"/>
    <w:rsid w:val="00B653AB"/>
    <w:rsid w:val="00B65F9E"/>
    <w:rsid w:val="00B66B19"/>
    <w:rsid w:val="00B66E9D"/>
    <w:rsid w:val="00B66F86"/>
    <w:rsid w:val="00B70993"/>
    <w:rsid w:val="00B711DC"/>
    <w:rsid w:val="00B7682E"/>
    <w:rsid w:val="00B83438"/>
    <w:rsid w:val="00B90E47"/>
    <w:rsid w:val="00B914E9"/>
    <w:rsid w:val="00B956EE"/>
    <w:rsid w:val="00BA1CBC"/>
    <w:rsid w:val="00BA2BA1"/>
    <w:rsid w:val="00BA71D7"/>
    <w:rsid w:val="00BB11D3"/>
    <w:rsid w:val="00BB36CB"/>
    <w:rsid w:val="00BB4F09"/>
    <w:rsid w:val="00BC0A07"/>
    <w:rsid w:val="00BC3A60"/>
    <w:rsid w:val="00BC5128"/>
    <w:rsid w:val="00BC6EB9"/>
    <w:rsid w:val="00BD06F4"/>
    <w:rsid w:val="00BD1F12"/>
    <w:rsid w:val="00BD4E33"/>
    <w:rsid w:val="00BD505A"/>
    <w:rsid w:val="00BD52F5"/>
    <w:rsid w:val="00BE2AC3"/>
    <w:rsid w:val="00BF2343"/>
    <w:rsid w:val="00C024D9"/>
    <w:rsid w:val="00C030DE"/>
    <w:rsid w:val="00C044ED"/>
    <w:rsid w:val="00C06FB8"/>
    <w:rsid w:val="00C076E8"/>
    <w:rsid w:val="00C22105"/>
    <w:rsid w:val="00C244B6"/>
    <w:rsid w:val="00C3702F"/>
    <w:rsid w:val="00C379B4"/>
    <w:rsid w:val="00C411C7"/>
    <w:rsid w:val="00C43A96"/>
    <w:rsid w:val="00C52703"/>
    <w:rsid w:val="00C52F89"/>
    <w:rsid w:val="00C5439E"/>
    <w:rsid w:val="00C578EA"/>
    <w:rsid w:val="00C6237D"/>
    <w:rsid w:val="00C64A37"/>
    <w:rsid w:val="00C65E75"/>
    <w:rsid w:val="00C7030C"/>
    <w:rsid w:val="00C7158E"/>
    <w:rsid w:val="00C7250B"/>
    <w:rsid w:val="00C7346B"/>
    <w:rsid w:val="00C74A37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386D"/>
    <w:rsid w:val="00CA484D"/>
    <w:rsid w:val="00CA576A"/>
    <w:rsid w:val="00CB181B"/>
    <w:rsid w:val="00CB22A2"/>
    <w:rsid w:val="00CB3F8C"/>
    <w:rsid w:val="00CB477F"/>
    <w:rsid w:val="00CC1B2C"/>
    <w:rsid w:val="00CC3161"/>
    <w:rsid w:val="00CC652D"/>
    <w:rsid w:val="00CC65FF"/>
    <w:rsid w:val="00CC739E"/>
    <w:rsid w:val="00CD58B7"/>
    <w:rsid w:val="00CE14C9"/>
    <w:rsid w:val="00CE3C4F"/>
    <w:rsid w:val="00CF108A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150DC"/>
    <w:rsid w:val="00D22ECE"/>
    <w:rsid w:val="00D261A2"/>
    <w:rsid w:val="00D424ED"/>
    <w:rsid w:val="00D42EF6"/>
    <w:rsid w:val="00D45BA5"/>
    <w:rsid w:val="00D54C8C"/>
    <w:rsid w:val="00D55416"/>
    <w:rsid w:val="00D616D2"/>
    <w:rsid w:val="00D63B5F"/>
    <w:rsid w:val="00D674E0"/>
    <w:rsid w:val="00D70EF7"/>
    <w:rsid w:val="00D75349"/>
    <w:rsid w:val="00D75D28"/>
    <w:rsid w:val="00D8397C"/>
    <w:rsid w:val="00D878B6"/>
    <w:rsid w:val="00D90318"/>
    <w:rsid w:val="00D91E38"/>
    <w:rsid w:val="00D94EED"/>
    <w:rsid w:val="00D96026"/>
    <w:rsid w:val="00DA0314"/>
    <w:rsid w:val="00DA7C1C"/>
    <w:rsid w:val="00DB023B"/>
    <w:rsid w:val="00DB146A"/>
    <w:rsid w:val="00DB147A"/>
    <w:rsid w:val="00DB1B7A"/>
    <w:rsid w:val="00DB1FBF"/>
    <w:rsid w:val="00DB2026"/>
    <w:rsid w:val="00DB562E"/>
    <w:rsid w:val="00DC0050"/>
    <w:rsid w:val="00DC16B2"/>
    <w:rsid w:val="00DC21F1"/>
    <w:rsid w:val="00DC22F2"/>
    <w:rsid w:val="00DC2F3F"/>
    <w:rsid w:val="00DC33A9"/>
    <w:rsid w:val="00DC5E72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EC4"/>
    <w:rsid w:val="00E16FC9"/>
    <w:rsid w:val="00E17B77"/>
    <w:rsid w:val="00E22F57"/>
    <w:rsid w:val="00E23337"/>
    <w:rsid w:val="00E24763"/>
    <w:rsid w:val="00E24F54"/>
    <w:rsid w:val="00E259EA"/>
    <w:rsid w:val="00E2764C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52A9"/>
    <w:rsid w:val="00E664C5"/>
    <w:rsid w:val="00E671A2"/>
    <w:rsid w:val="00E76D26"/>
    <w:rsid w:val="00E80B7A"/>
    <w:rsid w:val="00E82418"/>
    <w:rsid w:val="00E8568C"/>
    <w:rsid w:val="00E9186F"/>
    <w:rsid w:val="00E95335"/>
    <w:rsid w:val="00EA0FAA"/>
    <w:rsid w:val="00EA1F4A"/>
    <w:rsid w:val="00EB1390"/>
    <w:rsid w:val="00EB2C71"/>
    <w:rsid w:val="00EB4340"/>
    <w:rsid w:val="00EB556D"/>
    <w:rsid w:val="00EB566A"/>
    <w:rsid w:val="00EB5A7D"/>
    <w:rsid w:val="00EB6D28"/>
    <w:rsid w:val="00EB7EF5"/>
    <w:rsid w:val="00EC4F9E"/>
    <w:rsid w:val="00ED2358"/>
    <w:rsid w:val="00ED2F18"/>
    <w:rsid w:val="00ED4629"/>
    <w:rsid w:val="00ED50E6"/>
    <w:rsid w:val="00ED55C0"/>
    <w:rsid w:val="00ED682B"/>
    <w:rsid w:val="00EE03BD"/>
    <w:rsid w:val="00EE0676"/>
    <w:rsid w:val="00EE209B"/>
    <w:rsid w:val="00EE41D5"/>
    <w:rsid w:val="00EE5890"/>
    <w:rsid w:val="00F01F22"/>
    <w:rsid w:val="00F03704"/>
    <w:rsid w:val="00F037A4"/>
    <w:rsid w:val="00F04972"/>
    <w:rsid w:val="00F06C96"/>
    <w:rsid w:val="00F17208"/>
    <w:rsid w:val="00F227CC"/>
    <w:rsid w:val="00F246E8"/>
    <w:rsid w:val="00F26C29"/>
    <w:rsid w:val="00F2790E"/>
    <w:rsid w:val="00F27C8F"/>
    <w:rsid w:val="00F32749"/>
    <w:rsid w:val="00F32838"/>
    <w:rsid w:val="00F34879"/>
    <w:rsid w:val="00F35E0C"/>
    <w:rsid w:val="00F37172"/>
    <w:rsid w:val="00F402CA"/>
    <w:rsid w:val="00F42156"/>
    <w:rsid w:val="00F4477E"/>
    <w:rsid w:val="00F44D14"/>
    <w:rsid w:val="00F46017"/>
    <w:rsid w:val="00F474B1"/>
    <w:rsid w:val="00F52741"/>
    <w:rsid w:val="00F5576E"/>
    <w:rsid w:val="00F617C5"/>
    <w:rsid w:val="00F63D2F"/>
    <w:rsid w:val="00F66D76"/>
    <w:rsid w:val="00F67D8F"/>
    <w:rsid w:val="00F7024F"/>
    <w:rsid w:val="00F802BE"/>
    <w:rsid w:val="00F82B84"/>
    <w:rsid w:val="00F86024"/>
    <w:rsid w:val="00F8611A"/>
    <w:rsid w:val="00F87599"/>
    <w:rsid w:val="00F91B64"/>
    <w:rsid w:val="00F91EB7"/>
    <w:rsid w:val="00F923FB"/>
    <w:rsid w:val="00F93AE7"/>
    <w:rsid w:val="00F941E9"/>
    <w:rsid w:val="00F95850"/>
    <w:rsid w:val="00F967CA"/>
    <w:rsid w:val="00FA235C"/>
    <w:rsid w:val="00FA3246"/>
    <w:rsid w:val="00FA3D26"/>
    <w:rsid w:val="00FA414F"/>
    <w:rsid w:val="00FA5128"/>
    <w:rsid w:val="00FB0E96"/>
    <w:rsid w:val="00FB293B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4B57"/>
    <w:rsid w:val="00FC6CDB"/>
    <w:rsid w:val="00FD4599"/>
    <w:rsid w:val="00FD5EA7"/>
    <w:rsid w:val="00FE0430"/>
    <w:rsid w:val="00FE1781"/>
    <w:rsid w:val="00FE3A96"/>
    <w:rsid w:val="00FF248C"/>
    <w:rsid w:val="00FF348B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251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2515"/>
    <w:rPr>
      <w:rFonts w:ascii="Consolas" w:hAnsi="Consolas"/>
      <w:sz w:val="20"/>
      <w:szCs w:val="20"/>
    </w:rPr>
  </w:style>
  <w:style w:type="table" w:customStyle="1" w:styleId="Siatkatabelijasna11">
    <w:name w:val="Siatka tabeli — jasna11"/>
    <w:basedOn w:val="Standardowy"/>
    <w:uiPriority w:val="40"/>
    <w:rsid w:val="009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362,term.html" TargetMode="External"/><Relationship Id="rId39" Type="http://schemas.openxmlformats.org/officeDocument/2006/relationships/hyperlink" Target="http://stat.gov.pl/en/metainformations/glossary/terms-used-in-official-statistics/700,term.html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waid.stat.gov.pl/EN/SitePagesDBW/ProdukcjaPrzemyslowa.aspx" TargetMode="External"/><Relationship Id="rId42" Type="http://schemas.openxmlformats.org/officeDocument/2006/relationships/hyperlink" Target="http://stat.gov.pl/en/metainformations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en/metainformations/glossary/terms-used-in-official-statistics/35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metainformations/glossary/terms-used-in-official-statistics/357,term.html" TargetMode="External"/><Relationship Id="rId37" Type="http://schemas.openxmlformats.org/officeDocument/2006/relationships/hyperlink" Target="https://bdl.stat.gov.pl/BDL/dane/podgrup/temat" TargetMode="External"/><Relationship Id="rId40" Type="http://schemas.openxmlformats.org/officeDocument/2006/relationships/hyperlink" Target="http://stat.gov.pl/en/metainformations/glossary/terms-used-in-official-statistics/707,term.html" TargetMode="External"/><Relationship Id="rId45" Type="http://schemas.openxmlformats.org/officeDocument/2006/relationships/hyperlink" Target="http://stat.gov.pl/en/metainformations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707,term.html" TargetMode="External"/><Relationship Id="rId36" Type="http://schemas.openxmlformats.org/officeDocument/2006/relationships/hyperlink" Target="http://stat.gov.pl/en/poland-macroeconomic-indicators/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yperlink" Target="http://stat.gov.pl/en/metainformations/glossary/terms-used-in-official-statistics/1314,term.html" TargetMode="External"/><Relationship Id="rId44" Type="http://schemas.openxmlformats.org/officeDocument/2006/relationships/hyperlink" Target="http://stat.gov.pl/en/metainformations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waid.stat.gov.pl/EN/SitePagesDBW/ProdukcjaPrzemyslowa.aspx" TargetMode="External"/><Relationship Id="rId27" Type="http://schemas.openxmlformats.org/officeDocument/2006/relationships/hyperlink" Target="http://stat.gov.pl/en/metainformations/glossary/terms-used-in-official-statistics/700,term.html" TargetMode="External"/><Relationship Id="rId30" Type="http://schemas.openxmlformats.org/officeDocument/2006/relationships/hyperlink" Target="http://stat.gov.pl/en/metainformations/glossary/terms-used-in-official-statistics/1317,term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hyperlink" Target="http://stat.gov.pl/en/metainformations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://stat.gov.pl/en/metainformations/glossary/terms-used-in-official-statistics/1313,term.html" TargetMode="External"/><Relationship Id="rId38" Type="http://schemas.openxmlformats.org/officeDocument/2006/relationships/hyperlink" Target="http://stat.gov.pl/en/metainformations/glossary/terms-used-in-official-statistics/362,term.html" TargetMode="External"/><Relationship Id="rId46" Type="http://schemas.openxmlformats.org/officeDocument/2006/relationships/header" Target="header3.xml"/><Relationship Id="rId20" Type="http://schemas.openxmlformats.org/officeDocument/2006/relationships/image" Target="media/image7.png"/><Relationship Id="rId41" Type="http://schemas.openxmlformats.org/officeDocument/2006/relationships/hyperlink" Target="http://stat.gov.pl/en/metainformations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KaczorowskaB\Documents\Wst&#281;pna\2020\Nowy%20wykres%20II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'2018'!$A$5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'2018'!$A$6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'2018'!$A$7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'2018'!$A$8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'2018'!$A$9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3559216"/>
        <c:axId val="923557040"/>
      </c:lineChart>
      <c:catAx>
        <c:axId val="923559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23557040"/>
        <c:crossesAt val="100"/>
        <c:auto val="1"/>
        <c:lblAlgn val="ctr"/>
        <c:lblOffset val="100"/>
        <c:noMultiLvlLbl val="0"/>
      </c:catAx>
      <c:valAx>
        <c:axId val="92355704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923559216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 2020 ang'!$B$1</c:f>
              <c:strCache>
                <c:ptCount val="1"/>
                <c:pt idx="0">
                  <c:v>II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 2020 ang'!$A$2:$A$12</c:f>
              <c:strCache>
                <c:ptCount val="10"/>
                <c:pt idx="0">
                  <c:v>Repair and installation of machinery and equipment</c:v>
                </c:pt>
                <c:pt idx="1">
                  <c:v>Manufacture of leather and related products</c:v>
                </c:pt>
                <c:pt idx="2">
                  <c:v>Manufacture of other transport equipment </c:v>
                </c:pt>
                <c:pt idx="3">
                  <c:v>Manufacture of beverages</c:v>
                </c:pt>
                <c:pt idx="4">
                  <c:v>Manufacture of electrical equipment</c:v>
                </c:pt>
                <c:pt idx="5">
                  <c:v>Other manufacturing  </c:v>
                </c:pt>
                <c:pt idx="6">
                  <c:v>Manufacture of metal products </c:v>
                </c:pt>
                <c:pt idx="7">
                  <c:v>Manufacture of textiles</c:v>
                </c:pt>
                <c:pt idx="8">
                  <c:v>Manufacture of wearing apparel</c:v>
                </c:pt>
                <c:pt idx="9">
                  <c:v>Mining of coal and lignite </c:v>
                </c:pt>
              </c:strCache>
            </c:strRef>
          </c:cat>
          <c:val>
            <c:numRef>
              <c:f>'I 2020 ang'!$B$2:$B$11</c:f>
              <c:numCache>
                <c:formatCode>0.0_ ;[Red]\-0.0\ </c:formatCode>
                <c:ptCount val="10"/>
                <c:pt idx="0">
                  <c:v>121.5</c:v>
                </c:pt>
                <c:pt idx="1">
                  <c:v>118.8</c:v>
                </c:pt>
                <c:pt idx="2">
                  <c:v>116.8</c:v>
                </c:pt>
                <c:pt idx="3">
                  <c:v>112.6</c:v>
                </c:pt>
                <c:pt idx="4">
                  <c:v>112.1</c:v>
                </c:pt>
                <c:pt idx="5">
                  <c:v>111.8</c:v>
                </c:pt>
                <c:pt idx="6">
                  <c:v>111.5</c:v>
                </c:pt>
                <c:pt idx="7">
                  <c:v>98.8</c:v>
                </c:pt>
                <c:pt idx="8">
                  <c:v>92.3</c:v>
                </c:pt>
                <c:pt idx="9">
                  <c:v>82.2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 2020 ang'!$C$1</c:f>
              <c:strCache>
                <c:ptCount val="1"/>
                <c:pt idx="0">
                  <c:v>II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 2020 ang'!$A$2:$A$12</c:f>
              <c:strCache>
                <c:ptCount val="10"/>
                <c:pt idx="0">
                  <c:v>Repair and installation of machinery and equipment</c:v>
                </c:pt>
                <c:pt idx="1">
                  <c:v>Manufacture of leather and related products</c:v>
                </c:pt>
                <c:pt idx="2">
                  <c:v>Manufacture of other transport equipment </c:v>
                </c:pt>
                <c:pt idx="3">
                  <c:v>Manufacture of beverages</c:v>
                </c:pt>
                <c:pt idx="4">
                  <c:v>Manufacture of electrical equipment</c:v>
                </c:pt>
                <c:pt idx="5">
                  <c:v>Other manufacturing  </c:v>
                </c:pt>
                <c:pt idx="6">
                  <c:v>Manufacture of metal products </c:v>
                </c:pt>
                <c:pt idx="7">
                  <c:v>Manufacture of textiles</c:v>
                </c:pt>
                <c:pt idx="8">
                  <c:v>Manufacture of wearing apparel</c:v>
                </c:pt>
                <c:pt idx="9">
                  <c:v>Mining of coal and lignite </c:v>
                </c:pt>
              </c:strCache>
            </c:strRef>
          </c:cat>
          <c:val>
            <c:numRef>
              <c:f>'I 2020 ang'!$C$2:$C$11</c:f>
              <c:numCache>
                <c:formatCode>0.0</c:formatCode>
                <c:ptCount val="10"/>
                <c:pt idx="0">
                  <c:v>110.4</c:v>
                </c:pt>
                <c:pt idx="1">
                  <c:v>81.7</c:v>
                </c:pt>
                <c:pt idx="2">
                  <c:v>120.5</c:v>
                </c:pt>
                <c:pt idx="3">
                  <c:v>108.3</c:v>
                </c:pt>
                <c:pt idx="4">
                  <c:v>114.4</c:v>
                </c:pt>
                <c:pt idx="5">
                  <c:v>110.7</c:v>
                </c:pt>
                <c:pt idx="6">
                  <c:v>108.4</c:v>
                </c:pt>
                <c:pt idx="7">
                  <c:v>104.9</c:v>
                </c:pt>
                <c:pt idx="8">
                  <c:v>104.8</c:v>
                </c:pt>
                <c:pt idx="9">
                  <c:v>95.3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3556496"/>
        <c:axId val="923555952"/>
      </c:barChart>
      <c:catAx>
        <c:axId val="92355649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ctr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923555952"/>
        <c:crossesAt val="100"/>
        <c:auto val="1"/>
        <c:lblAlgn val="ctr"/>
        <c:lblOffset val="20"/>
        <c:noMultiLvlLbl val="0"/>
      </c:catAx>
      <c:valAx>
        <c:axId val="923555952"/>
        <c:scaling>
          <c:orientation val="minMax"/>
          <c:max val="125"/>
          <c:min val="8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923556496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9EB7D388-D676-4D99-940A-3B86A3F5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Śmierzyński Wiesław</dc:creator>
  <cp:lastModifiedBy>Kaczorowska Beata</cp:lastModifiedBy>
  <cp:revision>4</cp:revision>
  <cp:lastPrinted>2020-02-19T09:47:00Z</cp:lastPrinted>
  <dcterms:created xsi:type="dcterms:W3CDTF">2020-03-18T11:00:00Z</dcterms:created>
  <dcterms:modified xsi:type="dcterms:W3CDTF">2020-03-18T12:12:00Z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