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7777777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77777777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>
        <w:rPr>
          <w:shd w:val="clear" w:color="auto" w:fill="FFFFFF"/>
          <w:lang w:val="en-GB"/>
        </w:rPr>
        <w:t>April 2020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77777777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77777777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755259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38F4573C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410CC795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24.6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77777777" w:rsidR="00BB33B9" w:rsidRPr="00AE5BE5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Decrease in sold production of industry, as compared to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April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2019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38F4573C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410CC795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24.6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77777777" w:rsidR="00BB33B9" w:rsidRPr="00AE5BE5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AE5BE5">
                        <w:rPr>
                          <w:sz w:val="20"/>
                          <w:lang w:val="en-US"/>
                        </w:rPr>
                        <w:t xml:space="preserve">Decrease in sold production of industry, as compared to </w:t>
                      </w:r>
                      <w:r>
                        <w:rPr>
                          <w:sz w:val="20"/>
                          <w:lang w:val="en-US"/>
                        </w:rPr>
                        <w:t>April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2019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val="en-GB"/>
        </w:rPr>
        <w:t>In April 2020</w:t>
      </w:r>
      <w:r w:rsidRPr="00C52703">
        <w:rPr>
          <w:lang w:val="en-GB"/>
        </w:rPr>
        <w:t xml:space="preserve">, sold production of industry was by </w:t>
      </w:r>
      <w:r>
        <w:rPr>
          <w:lang w:val="en-GB"/>
        </w:rPr>
        <w:t>24.6% lower than in April 2019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>when the growth was recorded by 9.2%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>
        <w:rPr>
          <w:spacing w:val="-2"/>
          <w:lang w:val="en-GB"/>
        </w:rPr>
        <w:t>March 2020,</w:t>
      </w:r>
      <w:r w:rsidRPr="000640BF">
        <w:rPr>
          <w:spacing w:val="-2"/>
          <w:lang w:val="en-GB"/>
        </w:rPr>
        <w:t xml:space="preserve"> </w:t>
      </w:r>
      <w:r>
        <w:rPr>
          <w:spacing w:val="-2"/>
          <w:lang w:val="en-GB"/>
        </w:rPr>
        <w:t>it de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>
        <w:rPr>
          <w:spacing w:val="-2"/>
          <w:lang w:val="en-GB"/>
        </w:rPr>
        <w:t>25.5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>
        <w:rPr>
          <w:lang w:val="en-GB"/>
        </w:rPr>
        <w:t>In the period January-April of 2020</w:t>
      </w:r>
      <w:r w:rsidRPr="00C52703">
        <w:rPr>
          <w:lang w:val="en-GB"/>
        </w:rPr>
        <w:t xml:space="preserve">, sold production of industry was </w:t>
      </w:r>
      <w:r>
        <w:rPr>
          <w:lang w:val="en-GB"/>
        </w:rPr>
        <w:t>by 5.6</w:t>
      </w:r>
      <w:r w:rsidRPr="00C52703">
        <w:rPr>
          <w:lang w:val="en-GB"/>
        </w:rPr>
        <w:t xml:space="preserve">% </w:t>
      </w:r>
      <w:r>
        <w:rPr>
          <w:lang w:val="en-GB"/>
        </w:rPr>
        <w:t>lower</w:t>
      </w:r>
      <w:r w:rsidRPr="00C52703">
        <w:rPr>
          <w:lang w:val="en-GB"/>
        </w:rPr>
        <w:t xml:space="preserve"> than in </w:t>
      </w:r>
      <w:r>
        <w:rPr>
          <w:lang w:val="en-GB"/>
        </w:rPr>
        <w:t>the corresponding period of 2019,</w:t>
      </w:r>
      <w:r w:rsidRPr="00C52703">
        <w:rPr>
          <w:lang w:val="en-GB"/>
        </w:rPr>
        <w:t xml:space="preserve"> which saw a </w:t>
      </w:r>
      <w:r>
        <w:rPr>
          <w:lang w:val="en-GB"/>
        </w:rPr>
        <w:t>6.8</w:t>
      </w:r>
      <w:r w:rsidRPr="00C52703">
        <w:rPr>
          <w:lang w:val="en-GB"/>
        </w:rPr>
        <w:t>% increase</w:t>
      </w:r>
      <w:r>
        <w:rPr>
          <w:lang w:val="en-GB"/>
        </w:rPr>
        <w:t>.</w:t>
      </w:r>
    </w:p>
    <w:p w14:paraId="185AC143" w14:textId="77777777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77777777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77777777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4632D96">
                <wp:simplePos x="0" y="0"/>
                <wp:positionH relativeFrom="column">
                  <wp:posOffset>5219065</wp:posOffset>
                </wp:positionH>
                <wp:positionV relativeFrom="paragraph">
                  <wp:posOffset>114300</wp:posOffset>
                </wp:positionV>
                <wp:extent cx="1748790" cy="855345"/>
                <wp:effectExtent l="0" t="0" r="0" b="1905"/>
                <wp:wrapTight wrapText="bothSides">
                  <wp:wrapPolygon edited="0">
                    <wp:start x="706" y="0"/>
                    <wp:lineTo x="706" y="21167"/>
                    <wp:lineTo x="20706" y="21167"/>
                    <wp:lineTo x="20706" y="0"/>
                    <wp:lineTo x="706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77777777" w:rsidR="00BB33B9" w:rsidRPr="00AE5BE5" w:rsidRDefault="00BB33B9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 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 2020 amounted to 24.7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CDB" id="_x0000_s1028" type="#_x0000_t202" style="position:absolute;left:0;text-align:left;margin-left:410.95pt;margin-top:9pt;width:137.7pt;height:67.35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" filled="f" stroked="f">
                <v:textbox>
                  <w:txbxContent>
                    <w:p w14:paraId="74E140B5" w14:textId="77777777" w:rsidR="00BB33B9" w:rsidRPr="00AE5BE5" w:rsidRDefault="00BB33B9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 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 2020 amounted to 24.7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77777777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>
        <w:rPr>
          <w:noProof/>
          <w:spacing w:val="-2"/>
          <w:szCs w:val="19"/>
          <w:lang w:val="en-GB"/>
        </w:rPr>
        <w:t>April</w:t>
      </w:r>
      <w:r w:rsidRPr="00AE5BE5">
        <w:rPr>
          <w:noProof/>
          <w:spacing w:val="-2"/>
          <w:szCs w:val="19"/>
          <w:lang w:val="en-GB"/>
        </w:rPr>
        <w:t xml:space="preserve"> 2020 sold production of industry reached the level </w:t>
      </w:r>
      <w:r>
        <w:rPr>
          <w:noProof/>
          <w:spacing w:val="-2"/>
          <w:szCs w:val="19"/>
          <w:lang w:val="en-GB"/>
        </w:rPr>
        <w:t>lower by 24.7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ponding month of 2019 and by 20.8</w:t>
      </w:r>
      <w:r w:rsidRPr="00AE5BE5">
        <w:rPr>
          <w:noProof/>
          <w:spacing w:val="-2"/>
          <w:szCs w:val="19"/>
          <w:lang w:val="en-GB"/>
        </w:rPr>
        <w:t xml:space="preserve">% </w:t>
      </w:r>
      <w:r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>
        <w:rPr>
          <w:noProof/>
          <w:spacing w:val="-2"/>
          <w:szCs w:val="19"/>
          <w:lang w:val="en-GB"/>
        </w:rPr>
        <w:t>March 2020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77777777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51497FAB" w14:textId="0C105DA3" w:rsidR="003627E7" w:rsidRPr="00BB33B9" w:rsidRDefault="003627E7" w:rsidP="003627E7">
      <w:pPr>
        <w:rPr>
          <w:b/>
          <w:spacing w:val="-2"/>
          <w:sz w:val="18"/>
          <w:szCs w:val="18"/>
          <w:shd w:val="clear" w:color="auto" w:fill="FFFFFF"/>
        </w:rPr>
      </w:pPr>
      <w:r w:rsidRPr="003627E7"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804672" behindDoc="0" locked="0" layoutInCell="1" allowOverlap="1" wp14:anchorId="436F2887" wp14:editId="1A72A5A7">
            <wp:simplePos x="0" y="0"/>
            <wp:positionH relativeFrom="margin">
              <wp:align>right</wp:align>
            </wp:positionH>
            <wp:positionV relativeFrom="paragraph">
              <wp:posOffset>281458</wp:posOffset>
            </wp:positionV>
            <wp:extent cx="5186045" cy="3151505"/>
            <wp:effectExtent l="0" t="0" r="0" b="0"/>
            <wp:wrapSquare wrapText="bothSides"/>
            <wp:docPr id="32" name="Wykres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BB33B9" w:rsidRPr="00BB33B9">
        <w:rPr>
          <w:szCs w:val="18"/>
          <w:lang w:val="en-GB"/>
        </w:rPr>
        <w:t xml:space="preserve"> </w:t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7777777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B13542A" w14:textId="3FBE2B3D" w:rsidR="00BB33B9" w:rsidRPr="00D75D28" w:rsidRDefault="00BB33B9" w:rsidP="00BB33B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>
        <w:rPr>
          <w:b w:val="0"/>
          <w:sz w:val="19"/>
          <w:szCs w:val="19"/>
          <w:shd w:val="clear" w:color="auto" w:fill="FFFFFF"/>
          <w:lang w:val="en-GB"/>
        </w:rPr>
        <w:t>all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main industrial groupings in </w:t>
      </w:r>
      <w:r>
        <w:rPr>
          <w:b w:val="0"/>
          <w:sz w:val="19"/>
          <w:szCs w:val="19"/>
          <w:shd w:val="clear" w:color="auto" w:fill="FFFFFF"/>
          <w:lang w:val="en-GB"/>
        </w:rPr>
        <w:t>April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2020,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a </w:t>
      </w:r>
      <w:r>
        <w:rPr>
          <w:b w:val="0"/>
          <w:sz w:val="19"/>
          <w:szCs w:val="19"/>
          <w:shd w:val="clear" w:color="auto" w:fill="FFFFFF"/>
          <w:lang w:val="en-GB"/>
        </w:rPr>
        <w:t>de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The production of capital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decreased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50.9%,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47.8%,</w:t>
      </w:r>
      <w:r w:rsidRPr="004D23D2">
        <w:rPr>
          <w:b w:val="0"/>
          <w:sz w:val="19"/>
          <w:szCs w:val="19"/>
          <w:lang w:val="en-GB"/>
        </w:rPr>
        <w:t xml:space="preserve">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18.2%,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– by 15.1% and </w:t>
      </w:r>
      <w:r w:rsidRPr="004D23D2">
        <w:rPr>
          <w:b w:val="0"/>
          <w:sz w:val="19"/>
          <w:szCs w:val="19"/>
          <w:lang w:val="en-GB"/>
        </w:rPr>
        <w:t>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10.6%.</w:t>
      </w:r>
    </w:p>
    <w:p w14:paraId="1F90A97A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0BC26C1D" w14:textId="77777777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77777777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77777777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B33B9" w:rsidRPr="00C52703" w14:paraId="6891EC02" w14:textId="77777777" w:rsidTr="00554A1B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14:paraId="42522CF5" w14:textId="58163D40" w:rsidR="00BB33B9" w:rsidRPr="00C52703" w:rsidRDefault="00AC502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IV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  <w:tc>
          <w:tcPr>
            <w:tcW w:w="1305" w:type="dxa"/>
          </w:tcPr>
          <w:p w14:paraId="65938CEA" w14:textId="0E85AC72" w:rsidR="00BB33B9" w:rsidRPr="00C52703" w:rsidRDefault="00AC502E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I-IV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554A1B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14:paraId="516C0C05" w14:textId="28283136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="00AC502E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14:paraId="39160A69" w14:textId="2951BD01" w:rsidR="00BB33B9" w:rsidRPr="00C52703" w:rsidRDefault="00AC502E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IV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14:paraId="0691100D" w14:textId="21733514" w:rsidR="00BB33B9" w:rsidRPr="00C43A96" w:rsidRDefault="00AC502E" w:rsidP="00554A1B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I-IV</w:t>
            </w:r>
            <w:r w:rsidR="00BB33B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BB33B9" w:rsidRPr="00C52703" w14:paraId="7D22D384" w14:textId="77777777" w:rsidTr="00554A1B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BB33B9" w:rsidRPr="00C52703" w:rsidRDefault="00BB33B9" w:rsidP="00554A1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14:paraId="444C7070" w14:textId="77777777" w:rsidR="00BB33B9" w:rsidRPr="009D4C87" w:rsidRDefault="00BB33B9" w:rsidP="00554A1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74.5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14:paraId="438247E3" w14:textId="77777777" w:rsidR="00BB33B9" w:rsidRPr="009D4C87" w:rsidRDefault="00BB33B9" w:rsidP="00554A1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75.4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14:paraId="780CA913" w14:textId="77777777" w:rsidR="00BB33B9" w:rsidRPr="00DD58F4" w:rsidRDefault="00BB33B9" w:rsidP="00554A1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92.7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14:paraId="18BF4766" w14:textId="77777777" w:rsidR="00BB33B9" w:rsidRPr="009D4C87" w:rsidRDefault="00BB33B9" w:rsidP="00554A1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94.4</w:t>
            </w:r>
          </w:p>
        </w:tc>
      </w:tr>
      <w:tr w:rsidR="00BB33B9" w:rsidRPr="001D6A44" w14:paraId="2A38CBFB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BB33B9" w:rsidRPr="00C52703" w:rsidRDefault="00BB33B9" w:rsidP="00554A1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14:paraId="35ECCD50" w14:textId="77777777" w:rsidR="00BB33B9" w:rsidRPr="009D4C87" w:rsidRDefault="00BB33B9" w:rsidP="00554A1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90.1</w:t>
            </w:r>
          </w:p>
        </w:tc>
        <w:tc>
          <w:tcPr>
            <w:tcW w:w="1383" w:type="dxa"/>
            <w:vAlign w:val="center"/>
          </w:tcPr>
          <w:p w14:paraId="588D4170" w14:textId="77777777" w:rsidR="00BB33B9" w:rsidRPr="009D4C87" w:rsidRDefault="00BB33B9" w:rsidP="00554A1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91.2</w:t>
            </w:r>
          </w:p>
        </w:tc>
        <w:tc>
          <w:tcPr>
            <w:tcW w:w="1521" w:type="dxa"/>
            <w:vAlign w:val="center"/>
          </w:tcPr>
          <w:p w14:paraId="3E145B8D" w14:textId="77777777" w:rsidR="00BB33B9" w:rsidRPr="00DD58F4" w:rsidRDefault="00BB33B9" w:rsidP="00554A1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80.6</w:t>
            </w:r>
          </w:p>
        </w:tc>
        <w:tc>
          <w:tcPr>
            <w:tcW w:w="1305" w:type="dxa"/>
            <w:vAlign w:val="center"/>
          </w:tcPr>
          <w:p w14:paraId="2E08FF59" w14:textId="77777777" w:rsidR="00BB33B9" w:rsidRPr="009D4C87" w:rsidRDefault="00BB33B9" w:rsidP="00554A1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91.6</w:t>
            </w:r>
          </w:p>
        </w:tc>
      </w:tr>
      <w:tr w:rsidR="00BB33B9" w:rsidRPr="001D6A44" w14:paraId="150A389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BB33B9" w:rsidRPr="00C52703" w:rsidRDefault="00BB33B9" w:rsidP="00554A1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14:paraId="7FC620EA" w14:textId="77777777" w:rsidR="00BB33B9" w:rsidRPr="009D4C87" w:rsidRDefault="00BB33B9" w:rsidP="00554A1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72.5</w:t>
            </w:r>
          </w:p>
        </w:tc>
        <w:tc>
          <w:tcPr>
            <w:tcW w:w="1383" w:type="dxa"/>
            <w:vAlign w:val="center"/>
          </w:tcPr>
          <w:p w14:paraId="6EE9A7FE" w14:textId="77777777" w:rsidR="00BB33B9" w:rsidRPr="009D4C87" w:rsidRDefault="00BB33B9" w:rsidP="00554A1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72.5</w:t>
            </w:r>
          </w:p>
        </w:tc>
        <w:tc>
          <w:tcPr>
            <w:tcW w:w="1521" w:type="dxa"/>
            <w:vAlign w:val="center"/>
          </w:tcPr>
          <w:p w14:paraId="14DEA633" w14:textId="77777777" w:rsidR="00BB33B9" w:rsidRPr="00DD58F4" w:rsidRDefault="00BB33B9" w:rsidP="00554A1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91.4</w:t>
            </w:r>
          </w:p>
        </w:tc>
        <w:tc>
          <w:tcPr>
            <w:tcW w:w="1305" w:type="dxa"/>
            <w:vAlign w:val="center"/>
          </w:tcPr>
          <w:p w14:paraId="3C9AADCC" w14:textId="77777777" w:rsidR="00BB33B9" w:rsidRPr="009D4C87" w:rsidRDefault="00BB33B9" w:rsidP="00554A1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93.7</w:t>
            </w:r>
          </w:p>
        </w:tc>
      </w:tr>
      <w:tr w:rsidR="00BB33B9" w:rsidRPr="00D22ECE" w14:paraId="42745E0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BB33B9" w:rsidRPr="00C52703" w:rsidRDefault="00BB33B9" w:rsidP="00554A1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BB33B9" w:rsidRPr="00C52703" w:rsidRDefault="00BB33B9" w:rsidP="00554A1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14:paraId="5D57BAE3" w14:textId="77777777" w:rsidR="00BB33B9" w:rsidRPr="009D4C87" w:rsidRDefault="00BB33B9" w:rsidP="00554A1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84.5</w:t>
            </w:r>
          </w:p>
        </w:tc>
        <w:tc>
          <w:tcPr>
            <w:tcW w:w="1383" w:type="dxa"/>
            <w:vAlign w:val="center"/>
          </w:tcPr>
          <w:p w14:paraId="09A98E34" w14:textId="77777777" w:rsidR="00BB33B9" w:rsidRPr="009D4C87" w:rsidRDefault="00BB33B9" w:rsidP="00554A1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99.0</w:t>
            </w:r>
          </w:p>
        </w:tc>
        <w:tc>
          <w:tcPr>
            <w:tcW w:w="1521" w:type="dxa"/>
            <w:vAlign w:val="center"/>
          </w:tcPr>
          <w:p w14:paraId="48C11E68" w14:textId="77777777" w:rsidR="00BB33B9" w:rsidRPr="00DD58F4" w:rsidRDefault="00BB33B9" w:rsidP="00554A1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105.2</w:t>
            </w:r>
          </w:p>
        </w:tc>
        <w:tc>
          <w:tcPr>
            <w:tcW w:w="1305" w:type="dxa"/>
            <w:vAlign w:val="center"/>
          </w:tcPr>
          <w:p w14:paraId="33B85A7E" w14:textId="77777777" w:rsidR="00BB33B9" w:rsidRPr="009D4C87" w:rsidRDefault="00BB33B9" w:rsidP="00554A1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100.4</w:t>
            </w:r>
          </w:p>
        </w:tc>
      </w:tr>
      <w:tr w:rsidR="00BB33B9" w:rsidRPr="00A20FD5" w14:paraId="48DD5616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BB33B9" w:rsidRPr="00C52703" w:rsidRDefault="00BB33B9" w:rsidP="00554A1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BB33B9" w:rsidRPr="00C52703" w:rsidRDefault="00BB33B9" w:rsidP="00554A1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BB33B9" w:rsidRPr="00C52703" w:rsidRDefault="00BB33B9" w:rsidP="00554A1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14:paraId="10ECFA20" w14:textId="77777777" w:rsidR="00BB33B9" w:rsidRPr="009D4C87" w:rsidRDefault="00BB33B9" w:rsidP="00554A1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94.9</w:t>
            </w:r>
          </w:p>
        </w:tc>
        <w:tc>
          <w:tcPr>
            <w:tcW w:w="1383" w:type="dxa"/>
            <w:vAlign w:val="center"/>
          </w:tcPr>
          <w:p w14:paraId="6E445ECF" w14:textId="77777777" w:rsidR="00BB33B9" w:rsidRPr="009D4C87" w:rsidRDefault="00BB33B9" w:rsidP="00554A1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96.9</w:t>
            </w:r>
          </w:p>
        </w:tc>
        <w:tc>
          <w:tcPr>
            <w:tcW w:w="1521" w:type="dxa"/>
            <w:vAlign w:val="center"/>
          </w:tcPr>
          <w:p w14:paraId="4FF62C73" w14:textId="77777777" w:rsidR="00BB33B9" w:rsidRPr="00DD58F4" w:rsidRDefault="00BB33B9" w:rsidP="00554A1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118.2</w:t>
            </w:r>
          </w:p>
        </w:tc>
        <w:tc>
          <w:tcPr>
            <w:tcW w:w="1305" w:type="dxa"/>
            <w:vAlign w:val="center"/>
          </w:tcPr>
          <w:p w14:paraId="32141E5B" w14:textId="77777777" w:rsidR="00BB33B9" w:rsidRPr="009D4C87" w:rsidRDefault="00BB33B9" w:rsidP="00554A1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103.2</w:t>
            </w:r>
          </w:p>
        </w:tc>
      </w:tr>
    </w:tbl>
    <w:p w14:paraId="6E3C5957" w14:textId="77777777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7DA956C2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BB33B9">
        <w:rPr>
          <w:sz w:val="16"/>
          <w:szCs w:val="16"/>
          <w:lang w:val="en-GB"/>
        </w:rPr>
        <w:t xml:space="preserve"> March and reported data – in April.</w:t>
      </w:r>
    </w:p>
    <w:p w14:paraId="52E735D6" w14:textId="05838EB8" w:rsidR="003627E7" w:rsidRPr="003627E7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249DD8F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8E4C7A1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industry divisions, which saw a decrease in</w:t>
                            </w:r>
                            <w:r w:rsidR="006C1B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April 2019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96.9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D616D2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74B1A" id="_x0000_t202" coordsize="21600,21600" o:spt="202" path="m,l,21600r21600,l21600,xe">
                <v:stroke joinstyle="miter"/>
                <v:path gradientshapeok="t" o:connecttype="rect"/>
              </v:shapetype>
              <v:shape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38E4C7A1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industry divisions, which saw a decrease in</w:t>
                      </w:r>
                      <w:r w:rsidR="006C1B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April 2019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96.9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D616D2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</w:t>
      </w:r>
    </w:p>
    <w:p w14:paraId="59AA19FE" w14:textId="1149DA34" w:rsidR="00BB33B9" w:rsidRPr="00223D02" w:rsidRDefault="00BB33B9" w:rsidP="00BB33B9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>
        <w:rPr>
          <w:noProof/>
          <w:spacing w:val="-2"/>
          <w:szCs w:val="19"/>
          <w:lang w:val="en-GB"/>
        </w:rPr>
        <w:t>in April 2020,</w:t>
      </w:r>
      <w:r w:rsidRPr="000C0BD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as compared to April 2019, </w:t>
      </w:r>
      <w:r w:rsidRPr="00C52703">
        <w:rPr>
          <w:noProof/>
          <w:spacing w:val="-2"/>
          <w:szCs w:val="19"/>
          <w:lang w:val="en-GB"/>
        </w:rPr>
        <w:t xml:space="preserve">a </w:t>
      </w:r>
      <w:r>
        <w:rPr>
          <w:noProof/>
          <w:spacing w:val="-2"/>
          <w:szCs w:val="19"/>
          <w:lang w:val="en-GB"/>
        </w:rPr>
        <w:t>de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EA676B">
        <w:rPr>
          <w:noProof/>
          <w:spacing w:val="-2"/>
          <w:szCs w:val="19"/>
          <w:lang w:val="en-GB"/>
        </w:rPr>
        <w:t>30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</w:t>
      </w:r>
      <w:r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EA676B">
        <w:rPr>
          <w:noProof/>
          <w:spacing w:val="-2"/>
          <w:szCs w:val="19"/>
          <w:lang w:val="en-GB"/>
        </w:rPr>
        <w:t xml:space="preserve"> – by 78.</w:t>
      </w:r>
      <w:r>
        <w:rPr>
          <w:noProof/>
          <w:spacing w:val="-2"/>
          <w:szCs w:val="19"/>
          <w:lang w:val="en-GB"/>
        </w:rPr>
        <w:t>9%, m</w:t>
      </w:r>
      <w:r w:rsidRPr="00B7682E">
        <w:rPr>
          <w:noProof/>
          <w:spacing w:val="-2"/>
          <w:szCs w:val="19"/>
          <w:lang w:val="en-GB"/>
        </w:rPr>
        <w:t xml:space="preserve">anufacture of </w:t>
      </w:r>
      <w:r>
        <w:rPr>
          <w:noProof/>
          <w:spacing w:val="-2"/>
          <w:szCs w:val="19"/>
          <w:lang w:val="en-GB"/>
        </w:rPr>
        <w:t>machinery and equipment – by 34.0%,</w:t>
      </w:r>
      <w:r w:rsidRPr="00594126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manufacture of electrical equipment – by 28.1%,</w:t>
      </w:r>
      <w:r w:rsidRPr="00594126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manufa</w:t>
      </w:r>
      <w:r>
        <w:rPr>
          <w:noProof/>
          <w:spacing w:val="-2"/>
          <w:szCs w:val="19"/>
          <w:lang w:val="en-GB"/>
        </w:rPr>
        <w:t>cture of rubber and plastic products – by 25.9%,</w:t>
      </w:r>
      <w:r w:rsidRPr="00594126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manufacture of</w:t>
      </w:r>
      <w:r>
        <w:rPr>
          <w:noProof/>
          <w:spacing w:val="-2"/>
          <w:szCs w:val="19"/>
          <w:lang w:val="en-GB"/>
        </w:rPr>
        <w:t xml:space="preserve"> coke and refined </w:t>
      </w:r>
      <w:r w:rsidRPr="00223D02">
        <w:rPr>
          <w:noProof/>
          <w:spacing w:val="-2"/>
          <w:szCs w:val="19"/>
          <w:lang w:val="en-GB"/>
        </w:rPr>
        <w:t>petroleum products – by 23.2%, manufacture of basic metals – by 20.0%, manufacture of metal products – by 18.6% and</w:t>
      </w:r>
      <w:r w:rsidRPr="00223D02">
        <w:rPr>
          <w:szCs w:val="19"/>
        </w:rPr>
        <w:t xml:space="preserve"> </w:t>
      </w:r>
      <w:r w:rsidRPr="00223D02">
        <w:rPr>
          <w:noProof/>
          <w:spacing w:val="-2"/>
          <w:szCs w:val="19"/>
          <w:lang w:val="en-GB"/>
        </w:rPr>
        <w:t>manufacture of other non-metallic mineral products – by 17.7%.</w:t>
      </w:r>
    </w:p>
    <w:p w14:paraId="6DB412F7" w14:textId="21D11AB9" w:rsidR="00BB33B9" w:rsidRPr="00E6464F" w:rsidRDefault="00BB33B9" w:rsidP="00BB33B9">
      <w:pPr>
        <w:pStyle w:val="tytuwykresu"/>
        <w:spacing w:before="0" w:after="0"/>
        <w:rPr>
          <w:b w:val="0"/>
          <w:sz w:val="19"/>
          <w:szCs w:val="19"/>
          <w:lang w:val="en-GB"/>
        </w:rPr>
      </w:pPr>
      <w:r w:rsidRPr="00223D02">
        <w:rPr>
          <w:b w:val="0"/>
          <w:noProof/>
          <w:sz w:val="19"/>
          <w:szCs w:val="19"/>
          <w:lang w:val="en-GB"/>
        </w:rPr>
        <w:t xml:space="preserve">An increase in sold production of industry, as compared to April 2019, was recorded in 4 divisions, among others in, manufacture of pharmaceutical products – by 14.8%, </w:t>
      </w:r>
      <w:r w:rsidR="00E01D2D" w:rsidRPr="00E6464F">
        <w:rPr>
          <w:b w:val="0"/>
          <w:noProof/>
          <w:sz w:val="19"/>
          <w:szCs w:val="19"/>
          <w:lang w:val="en-GB"/>
        </w:rPr>
        <w:t xml:space="preserve">however </w:t>
      </w:r>
      <w:r w:rsidR="00223D02" w:rsidRPr="00E6464F">
        <w:rPr>
          <w:b w:val="0"/>
          <w:noProof/>
          <w:sz w:val="19"/>
          <w:szCs w:val="19"/>
          <w:lang w:val="en-GB"/>
        </w:rPr>
        <w:t xml:space="preserve">this division saw a decrease by </w:t>
      </w:r>
      <w:r w:rsidRPr="00E6464F">
        <w:rPr>
          <w:b w:val="0"/>
          <w:noProof/>
          <w:sz w:val="19"/>
          <w:szCs w:val="19"/>
          <w:lang w:val="en-GB"/>
        </w:rPr>
        <w:t>37.2% as compared to March 2020.</w:t>
      </w:r>
      <w:r w:rsidRPr="00E6464F">
        <w:rPr>
          <w:b w:val="0"/>
          <w:sz w:val="19"/>
          <w:szCs w:val="19"/>
          <w:lang w:val="en-GB"/>
        </w:rPr>
        <w:t xml:space="preserve"> </w:t>
      </w:r>
    </w:p>
    <w:p w14:paraId="7D7E1994" w14:textId="136D0D76" w:rsidR="003627E7" w:rsidRPr="00223D02" w:rsidRDefault="003627E7" w:rsidP="00BB33B9">
      <w:pPr>
        <w:suppressAutoHyphens/>
        <w:spacing w:before="0" w:after="0"/>
        <w:rPr>
          <w:szCs w:val="19"/>
          <w:shd w:val="clear" w:color="auto" w:fill="FFFFFF"/>
        </w:rPr>
      </w:pPr>
    </w:p>
    <w:p w14:paraId="5175D03E" w14:textId="77777777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2FC2BB08" w14:textId="77777777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810816" behindDoc="0" locked="0" layoutInCell="1" allowOverlap="1" wp14:anchorId="5C8DF9F2" wp14:editId="7E62F3E9">
            <wp:simplePos x="0" y="0"/>
            <wp:positionH relativeFrom="margin">
              <wp:posOffset>-36195</wp:posOffset>
            </wp:positionH>
            <wp:positionV relativeFrom="paragraph">
              <wp:posOffset>239116</wp:posOffset>
            </wp:positionV>
            <wp:extent cx="4915535" cy="3825240"/>
            <wp:effectExtent l="0" t="0" r="0" b="3810"/>
            <wp:wrapSquare wrapText="bothSides"/>
            <wp:docPr id="16" name="Wykres 16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xmlns:arto="http://schemas.microsoft.com/office/word/2006/arto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</w:p>
    <w:p w14:paraId="56CE5F97" w14:textId="6D753E99" w:rsidR="007C46D9" w:rsidRDefault="007C46D9" w:rsidP="007C46D9">
      <w:pPr>
        <w:spacing w:before="0" w:after="160" w:line="259" w:lineRule="auto"/>
        <w:rPr>
          <w:shd w:val="clear" w:color="auto" w:fill="FFFFFF"/>
        </w:rPr>
      </w:pPr>
    </w:p>
    <w:p w14:paraId="1337B694" w14:textId="77777777" w:rsidR="00061E62" w:rsidRDefault="00061E62" w:rsidP="003627E7">
      <w:pPr>
        <w:spacing w:line="240" w:lineRule="auto"/>
        <w:rPr>
          <w:szCs w:val="19"/>
          <w:lang w:val="en-GB"/>
        </w:rPr>
      </w:pPr>
    </w:p>
    <w:p w14:paraId="55775B64" w14:textId="19EE2333" w:rsidR="00E01D2D" w:rsidRDefault="00061E62" w:rsidP="00E01D2D">
      <w:pPr>
        <w:spacing w:before="0" w:after="0" w:line="240" w:lineRule="auto"/>
        <w:rPr>
          <w:szCs w:val="19"/>
          <w:lang w:val="en-GB"/>
        </w:rPr>
      </w:pPr>
      <w:r w:rsidRPr="00F107C8">
        <w:rPr>
          <w:szCs w:val="19"/>
          <w:lang w:val="en-GB"/>
        </w:rPr>
        <w:t xml:space="preserve">In addition to the </w:t>
      </w:r>
      <w:r w:rsidR="00311A70">
        <w:rPr>
          <w:szCs w:val="19"/>
          <w:lang w:val="en-GB"/>
        </w:rPr>
        <w:t xml:space="preserve">regular </w:t>
      </w:r>
      <w:r w:rsidRPr="00F107C8">
        <w:rPr>
          <w:szCs w:val="19"/>
          <w:lang w:val="en-GB"/>
        </w:rPr>
        <w:t xml:space="preserve">monthly </w:t>
      </w:r>
      <w:r w:rsidR="00311A70">
        <w:rPr>
          <w:szCs w:val="19"/>
          <w:lang w:val="en-GB"/>
        </w:rPr>
        <w:t>survey</w:t>
      </w:r>
      <w:r w:rsidRPr="00F107C8">
        <w:rPr>
          <w:szCs w:val="19"/>
          <w:lang w:val="en-GB"/>
        </w:rPr>
        <w:t xml:space="preserve">, respondents who reported </w:t>
      </w:r>
      <w:r w:rsidR="00E45484" w:rsidRPr="00F107C8">
        <w:rPr>
          <w:szCs w:val="19"/>
          <w:lang w:val="en-GB"/>
        </w:rPr>
        <w:t>in April</w:t>
      </w:r>
      <w:r w:rsidR="00E45484">
        <w:rPr>
          <w:szCs w:val="19"/>
          <w:lang w:val="en-GB"/>
        </w:rPr>
        <w:t>,</w:t>
      </w:r>
      <w:r w:rsidR="00E45484" w:rsidRPr="00F107C8">
        <w:rPr>
          <w:szCs w:val="19"/>
          <w:lang w:val="en-GB"/>
        </w:rPr>
        <w:t xml:space="preserve"> </w:t>
      </w:r>
      <w:r w:rsidR="00E45484">
        <w:rPr>
          <w:szCs w:val="19"/>
          <w:lang w:val="en-GB"/>
        </w:rPr>
        <w:t xml:space="preserve">as </w:t>
      </w:r>
      <w:r w:rsidR="00E45484" w:rsidRPr="00F107C8">
        <w:rPr>
          <w:szCs w:val="19"/>
          <w:lang w:val="en-GB"/>
        </w:rPr>
        <w:t>compared to the previous month</w:t>
      </w:r>
      <w:r w:rsidR="00E45484">
        <w:rPr>
          <w:szCs w:val="19"/>
          <w:lang w:val="en-GB"/>
        </w:rPr>
        <w:t>,</w:t>
      </w:r>
      <w:r w:rsidR="00E45484" w:rsidRPr="00F107C8">
        <w:rPr>
          <w:szCs w:val="19"/>
          <w:lang w:val="en-GB"/>
        </w:rPr>
        <w:t xml:space="preserve"> </w:t>
      </w:r>
      <w:r w:rsidRPr="00F107C8">
        <w:rPr>
          <w:szCs w:val="19"/>
          <w:lang w:val="en-GB"/>
        </w:rPr>
        <w:t>significant decreases or increases in the selected categories of the variables</w:t>
      </w:r>
      <w:r w:rsidR="00E01D2D">
        <w:rPr>
          <w:szCs w:val="19"/>
          <w:lang w:val="en-GB"/>
        </w:rPr>
        <w:t>,</w:t>
      </w:r>
      <w:r w:rsidRPr="00F107C8">
        <w:rPr>
          <w:szCs w:val="19"/>
          <w:lang w:val="en-GB"/>
        </w:rPr>
        <w:t xml:space="preserve"> were asked </w:t>
      </w:r>
      <w:r w:rsidR="00E01D2D">
        <w:rPr>
          <w:szCs w:val="19"/>
          <w:lang w:val="en-GB"/>
        </w:rPr>
        <w:t xml:space="preserve">for providing </w:t>
      </w:r>
      <w:r w:rsidRPr="00F107C8">
        <w:rPr>
          <w:szCs w:val="19"/>
          <w:lang w:val="en-GB"/>
        </w:rPr>
        <w:t xml:space="preserve">voluntarily </w:t>
      </w:r>
      <w:r w:rsidR="00E01D2D">
        <w:rPr>
          <w:szCs w:val="19"/>
          <w:lang w:val="en-GB"/>
        </w:rPr>
        <w:t>an</w:t>
      </w:r>
      <w:r w:rsidRPr="00F107C8">
        <w:rPr>
          <w:szCs w:val="19"/>
          <w:lang w:val="en-GB"/>
        </w:rPr>
        <w:t xml:space="preserve"> additional information on the reasons for these changes, including those related to COVID-19. </w:t>
      </w:r>
    </w:p>
    <w:p w14:paraId="3543A400" w14:textId="0904A301" w:rsidR="00E01D2D" w:rsidRDefault="00061E62" w:rsidP="00E01D2D">
      <w:pPr>
        <w:spacing w:before="0" w:after="0" w:line="240" w:lineRule="auto"/>
        <w:rPr>
          <w:szCs w:val="19"/>
          <w:lang w:val="en-GB"/>
        </w:rPr>
      </w:pPr>
      <w:r w:rsidRPr="00F107C8">
        <w:rPr>
          <w:szCs w:val="19"/>
          <w:lang w:val="en-GB"/>
        </w:rPr>
        <w:t xml:space="preserve">As justification for </w:t>
      </w:r>
      <w:r w:rsidR="00E45484">
        <w:rPr>
          <w:szCs w:val="19"/>
          <w:lang w:val="en-GB"/>
        </w:rPr>
        <w:t xml:space="preserve">a </w:t>
      </w:r>
      <w:r w:rsidRPr="00F107C8">
        <w:rPr>
          <w:szCs w:val="19"/>
          <w:lang w:val="en-GB"/>
        </w:rPr>
        <w:t xml:space="preserve">decrease in sold production, some respondents indicated a </w:t>
      </w:r>
      <w:r w:rsidR="00E45484">
        <w:rPr>
          <w:szCs w:val="19"/>
          <w:lang w:val="en-GB"/>
        </w:rPr>
        <w:t>decline</w:t>
      </w:r>
      <w:r w:rsidRPr="00F107C8">
        <w:rPr>
          <w:szCs w:val="19"/>
          <w:lang w:val="en-GB"/>
        </w:rPr>
        <w:t xml:space="preserve"> in orders related to COVID-19 (mainly in</w:t>
      </w:r>
      <w:r w:rsidRPr="00061E62">
        <w:rPr>
          <w:noProof/>
          <w:szCs w:val="19"/>
          <w:lang w:val="en-GB"/>
        </w:rPr>
        <w:t xml:space="preserve"> </w:t>
      </w:r>
      <w:r w:rsidRPr="00F107C8">
        <w:rPr>
          <w:noProof/>
          <w:szCs w:val="19"/>
          <w:lang w:val="en-GB"/>
        </w:rPr>
        <w:t>manufacture of metal products</w:t>
      </w:r>
      <w:r>
        <w:rPr>
          <w:noProof/>
          <w:szCs w:val="19"/>
          <w:lang w:val="en-GB"/>
        </w:rPr>
        <w:t>,</w:t>
      </w:r>
      <w:r w:rsidRPr="00F107C8">
        <w:t xml:space="preserve"> </w:t>
      </w:r>
      <w:r w:rsidRPr="00F107C8">
        <w:rPr>
          <w:noProof/>
          <w:szCs w:val="19"/>
          <w:lang w:val="en-GB"/>
        </w:rPr>
        <w:t>manufacture of rubber and plastic products</w:t>
      </w:r>
      <w:r>
        <w:rPr>
          <w:noProof/>
          <w:szCs w:val="19"/>
          <w:lang w:val="en-GB"/>
        </w:rPr>
        <w:t>,</w:t>
      </w:r>
      <w:r w:rsidRPr="00F107C8">
        <w:t xml:space="preserve"> </w:t>
      </w:r>
      <w:r w:rsidR="00663A16" w:rsidRPr="00D22ECE">
        <w:rPr>
          <w:noProof/>
          <w:spacing w:val="-2"/>
          <w:szCs w:val="19"/>
          <w:lang w:val="en-GB"/>
        </w:rPr>
        <w:t>manufacture of</w:t>
      </w:r>
      <w:r w:rsidR="00663A16">
        <w:rPr>
          <w:noProof/>
          <w:spacing w:val="-2"/>
          <w:szCs w:val="19"/>
          <w:lang w:val="en-GB"/>
        </w:rPr>
        <w:t xml:space="preserve"> coke and refined petroleum products,</w:t>
      </w:r>
      <w:r w:rsidR="00663A16" w:rsidRPr="00F107C8">
        <w:rPr>
          <w:noProof/>
          <w:szCs w:val="19"/>
          <w:lang w:val="en-GB"/>
        </w:rPr>
        <w:t xml:space="preserve"> </w:t>
      </w:r>
      <w:r w:rsidRPr="00F107C8">
        <w:rPr>
          <w:noProof/>
          <w:szCs w:val="19"/>
          <w:lang w:val="en-GB"/>
        </w:rPr>
        <w:t>manufacture of motor vehicles, trailers and semi-trailers</w:t>
      </w:r>
      <w:r>
        <w:rPr>
          <w:noProof/>
          <w:szCs w:val="19"/>
          <w:lang w:val="en-GB"/>
        </w:rPr>
        <w:t xml:space="preserve"> and manufacture of </w:t>
      </w:r>
      <w:r w:rsidRPr="00F107C8">
        <w:rPr>
          <w:noProof/>
          <w:szCs w:val="19"/>
          <w:lang w:val="en-GB"/>
        </w:rPr>
        <w:t>furniture</w:t>
      </w:r>
      <w:r>
        <w:rPr>
          <w:noProof/>
          <w:szCs w:val="19"/>
          <w:lang w:val="en-GB"/>
        </w:rPr>
        <w:t>).</w:t>
      </w:r>
      <w:r>
        <w:rPr>
          <w:szCs w:val="19"/>
          <w:lang w:val="en-GB"/>
        </w:rPr>
        <w:t xml:space="preserve"> </w:t>
      </w:r>
      <w:r w:rsidRPr="00F107C8">
        <w:rPr>
          <w:szCs w:val="19"/>
          <w:lang w:val="en-GB"/>
        </w:rPr>
        <w:t>Other reasons indicated more frequently by the respondents were</w:t>
      </w:r>
      <w:r w:rsidR="00311A70" w:rsidRPr="00311A70">
        <w:rPr>
          <w:rFonts w:eastAsia="Times New Roman" w:cs="Calibri"/>
          <w:color w:val="FF0000"/>
          <w:sz w:val="18"/>
          <w:szCs w:val="18"/>
          <w:lang w:val="en-GB" w:eastAsia="pl-PL"/>
        </w:rPr>
        <w:t xml:space="preserve"> </w:t>
      </w:r>
      <w:r w:rsidR="00311A70" w:rsidRPr="00311A70">
        <w:rPr>
          <w:szCs w:val="19"/>
          <w:lang w:val="en-GB"/>
        </w:rPr>
        <w:t xml:space="preserve">changes in employees’ weekly working hours </w:t>
      </w:r>
      <w:r w:rsidRPr="00311A70">
        <w:rPr>
          <w:szCs w:val="19"/>
          <w:lang w:val="en-GB"/>
        </w:rPr>
        <w:t xml:space="preserve">and </w:t>
      </w:r>
      <w:r w:rsidR="00311A70" w:rsidRPr="00311A70">
        <w:rPr>
          <w:szCs w:val="19"/>
          <w:lang w:val="en-GB"/>
        </w:rPr>
        <w:t xml:space="preserve">the </w:t>
      </w:r>
      <w:r w:rsidRPr="00311A70">
        <w:rPr>
          <w:szCs w:val="19"/>
          <w:lang w:val="en-GB"/>
        </w:rPr>
        <w:t xml:space="preserve">employees "on standstill" (mainly in </w:t>
      </w:r>
      <w:r w:rsidRPr="00311A70">
        <w:rPr>
          <w:noProof/>
          <w:szCs w:val="19"/>
          <w:lang w:val="en-GB"/>
        </w:rPr>
        <w:t>manufacture of motor vehicles, trailers and semi-trailers and manufacture of furniture)</w:t>
      </w:r>
      <w:r w:rsidRPr="00311A70">
        <w:rPr>
          <w:szCs w:val="19"/>
          <w:lang w:val="en-GB"/>
        </w:rPr>
        <w:t>.</w:t>
      </w:r>
      <w:r>
        <w:rPr>
          <w:szCs w:val="19"/>
          <w:lang w:val="en-GB"/>
        </w:rPr>
        <w:t xml:space="preserve"> </w:t>
      </w:r>
    </w:p>
    <w:p w14:paraId="6172EEAA" w14:textId="3BCB501E" w:rsidR="003627E7" w:rsidRPr="00061E62" w:rsidRDefault="00061E62" w:rsidP="00E01D2D">
      <w:pPr>
        <w:spacing w:before="0" w:after="0" w:line="240" w:lineRule="auto"/>
        <w:rPr>
          <w:szCs w:val="19"/>
          <w:lang w:val="en-GB"/>
        </w:rPr>
      </w:pPr>
      <w:r w:rsidRPr="00F107C8">
        <w:rPr>
          <w:szCs w:val="19"/>
          <w:lang w:val="en-GB"/>
        </w:rPr>
        <w:t>In the case of reporting an increase in</w:t>
      </w:r>
      <w:r w:rsidRPr="00061E62">
        <w:rPr>
          <w:szCs w:val="19"/>
          <w:lang w:val="en-GB"/>
        </w:rPr>
        <w:t xml:space="preserve"> </w:t>
      </w:r>
      <w:r w:rsidRPr="00F107C8">
        <w:rPr>
          <w:szCs w:val="19"/>
          <w:lang w:val="en-GB"/>
        </w:rPr>
        <w:t xml:space="preserve">sold production, few entities indicated </w:t>
      </w:r>
      <w:r w:rsidR="00E45484">
        <w:rPr>
          <w:szCs w:val="19"/>
          <w:lang w:val="en-GB"/>
        </w:rPr>
        <w:t>a growth</w:t>
      </w:r>
      <w:r w:rsidRPr="00F107C8">
        <w:rPr>
          <w:szCs w:val="19"/>
          <w:lang w:val="en-GB"/>
        </w:rPr>
        <w:t xml:space="preserve"> in the number of orders related to COVID-19</w:t>
      </w:r>
      <w:r w:rsidR="00E01D2D">
        <w:rPr>
          <w:szCs w:val="19"/>
          <w:lang w:val="en-GB"/>
        </w:rPr>
        <w:t xml:space="preserve">, </w:t>
      </w:r>
      <w:r w:rsidRPr="00F107C8">
        <w:rPr>
          <w:szCs w:val="19"/>
          <w:lang w:val="en-GB"/>
        </w:rPr>
        <w:t xml:space="preserve">e.g. in </w:t>
      </w:r>
      <w:r>
        <w:rPr>
          <w:szCs w:val="19"/>
          <w:lang w:val="en-GB"/>
        </w:rPr>
        <w:t>m</w:t>
      </w:r>
      <w:r w:rsidRPr="00F107C8">
        <w:rPr>
          <w:szCs w:val="19"/>
          <w:lang w:val="en-GB"/>
        </w:rPr>
        <w:t>anufacture of wearing apparel</w:t>
      </w:r>
      <w:r>
        <w:rPr>
          <w:szCs w:val="19"/>
          <w:lang w:val="en-GB"/>
        </w:rPr>
        <w:t>,</w:t>
      </w:r>
      <w:r w:rsidRPr="00061E62">
        <w:rPr>
          <w:szCs w:val="19"/>
          <w:lang w:val="en-GB"/>
        </w:rPr>
        <w:t xml:space="preserve"> </w:t>
      </w:r>
      <w:r>
        <w:rPr>
          <w:szCs w:val="19"/>
          <w:lang w:val="en-GB"/>
        </w:rPr>
        <w:t>m</w:t>
      </w:r>
      <w:r w:rsidRPr="00F107C8">
        <w:rPr>
          <w:szCs w:val="19"/>
          <w:lang w:val="en-GB"/>
        </w:rPr>
        <w:t>anufacture of chemicals and chemical products</w:t>
      </w:r>
      <w:r w:rsidR="00E45484">
        <w:rPr>
          <w:szCs w:val="19"/>
          <w:lang w:val="en-GB"/>
        </w:rPr>
        <w:t xml:space="preserve">. However, they </w:t>
      </w:r>
      <w:bookmarkStart w:id="0" w:name="_GoBack"/>
      <w:bookmarkEnd w:id="0"/>
      <w:r w:rsidRPr="00F107C8">
        <w:rPr>
          <w:szCs w:val="19"/>
          <w:lang w:val="en-GB"/>
        </w:rPr>
        <w:t xml:space="preserve">did not </w:t>
      </w:r>
      <w:r w:rsidR="00311A70">
        <w:rPr>
          <w:szCs w:val="19"/>
          <w:lang w:val="en-GB"/>
        </w:rPr>
        <w:t>affect</w:t>
      </w:r>
      <w:r w:rsidRPr="00F107C8">
        <w:rPr>
          <w:szCs w:val="19"/>
          <w:lang w:val="en-GB"/>
        </w:rPr>
        <w:t xml:space="preserve"> </w:t>
      </w:r>
      <w:r w:rsidR="00311A70">
        <w:rPr>
          <w:szCs w:val="19"/>
          <w:lang w:val="en-GB"/>
        </w:rPr>
        <w:t>the r</w:t>
      </w:r>
      <w:r w:rsidRPr="00F107C8">
        <w:rPr>
          <w:szCs w:val="19"/>
          <w:lang w:val="en-GB"/>
        </w:rPr>
        <w:t>esults</w:t>
      </w:r>
      <w:r w:rsidRPr="00061E62">
        <w:rPr>
          <w:szCs w:val="19"/>
          <w:lang w:val="en-GB"/>
        </w:rPr>
        <w:t xml:space="preserve"> </w:t>
      </w:r>
      <w:r w:rsidRPr="00F107C8">
        <w:rPr>
          <w:szCs w:val="19"/>
          <w:lang w:val="en-GB"/>
        </w:rPr>
        <w:t>at the level of aggregates in which decreases were recorded</w:t>
      </w:r>
      <w:r w:rsidR="003627E7" w:rsidRPr="003627E7">
        <w:rPr>
          <w:szCs w:val="19"/>
        </w:rPr>
        <w:t xml:space="preserve">.  </w:t>
      </w:r>
    </w:p>
    <w:p w14:paraId="6D035226" w14:textId="20FC7EA3" w:rsidR="00B5543C" w:rsidRDefault="00B5543C" w:rsidP="00F113BA">
      <w:pPr>
        <w:rPr>
          <w:b/>
          <w:sz w:val="18"/>
          <w:szCs w:val="18"/>
        </w:rPr>
      </w:pPr>
    </w:p>
    <w:p w14:paraId="33735DD0" w14:textId="1D8F15AD" w:rsidR="00B5543C" w:rsidRDefault="00B5543C" w:rsidP="00F113BA">
      <w:pPr>
        <w:rPr>
          <w:b/>
          <w:sz w:val="18"/>
          <w:szCs w:val="18"/>
        </w:rPr>
      </w:pPr>
    </w:p>
    <w:p w14:paraId="6BE2D598" w14:textId="3F2D5467" w:rsidR="00B5543C" w:rsidRDefault="00B5543C" w:rsidP="00F113BA">
      <w:pPr>
        <w:rPr>
          <w:b/>
          <w:sz w:val="18"/>
          <w:szCs w:val="18"/>
        </w:rPr>
      </w:pPr>
    </w:p>
    <w:p w14:paraId="78290AAC" w14:textId="07C90289" w:rsidR="00B5543C" w:rsidRDefault="00B5543C" w:rsidP="00F113BA">
      <w:pPr>
        <w:rPr>
          <w:b/>
          <w:sz w:val="18"/>
          <w:szCs w:val="18"/>
        </w:rPr>
      </w:pPr>
    </w:p>
    <w:p w14:paraId="598B5C66" w14:textId="7E5C78E0" w:rsidR="00B5543C" w:rsidRDefault="00B5543C" w:rsidP="00F113BA">
      <w:pPr>
        <w:rPr>
          <w:b/>
          <w:sz w:val="18"/>
          <w:szCs w:val="18"/>
        </w:rPr>
      </w:pPr>
    </w:p>
    <w:p w14:paraId="52648EE5" w14:textId="627C45D3" w:rsidR="00B5543C" w:rsidRDefault="00B5543C" w:rsidP="00F113BA">
      <w:pPr>
        <w:rPr>
          <w:b/>
          <w:sz w:val="18"/>
          <w:szCs w:val="18"/>
        </w:rPr>
      </w:pPr>
    </w:p>
    <w:p w14:paraId="76CAB8DC" w14:textId="4E51AEF0" w:rsidR="00B5543C" w:rsidRDefault="00B5543C" w:rsidP="00F113BA">
      <w:pPr>
        <w:rPr>
          <w:b/>
          <w:sz w:val="18"/>
          <w:szCs w:val="18"/>
        </w:rPr>
      </w:pPr>
    </w:p>
    <w:p w14:paraId="5A22CFAC" w14:textId="2A0A353C" w:rsidR="00B5543C" w:rsidRDefault="00B5543C" w:rsidP="00F113BA">
      <w:pPr>
        <w:rPr>
          <w:b/>
          <w:sz w:val="18"/>
          <w:szCs w:val="18"/>
        </w:rPr>
      </w:pPr>
    </w:p>
    <w:p w14:paraId="0485EE27" w14:textId="7D7A4258" w:rsidR="00B5543C" w:rsidRPr="00754F6C" w:rsidRDefault="00B5543C" w:rsidP="00F113BA">
      <w:pPr>
        <w:rPr>
          <w:b/>
          <w:sz w:val="18"/>
          <w:szCs w:val="18"/>
        </w:rPr>
      </w:pPr>
    </w:p>
    <w:p w14:paraId="1C15CEB7" w14:textId="5AFCDCEC" w:rsidR="00A80EF8" w:rsidRPr="00754F6C" w:rsidRDefault="00A80EF8" w:rsidP="00F113BA">
      <w:pPr>
        <w:rPr>
          <w:b/>
          <w:sz w:val="18"/>
          <w:szCs w:val="18"/>
        </w:rPr>
      </w:pPr>
      <w:r w:rsidRPr="00754F6C">
        <w:rPr>
          <w:noProof/>
          <w:lang w:eastAsia="pl-PL"/>
        </w:rPr>
        <w:drawing>
          <wp:inline distT="0" distB="0" distL="0" distR="0" wp14:anchorId="6A3F3238" wp14:editId="193BF2D3">
            <wp:extent cx="5122545" cy="210883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AE93069" w14:textId="01DE1D58" w:rsidR="00E56DD9" w:rsidRDefault="00F60CF2" w:rsidP="00F113BA">
      <w:pPr>
        <w:rPr>
          <w:szCs w:val="19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272991BC" wp14:editId="65513499">
            <wp:extent cx="5122545" cy="210883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Pr="00754F6C">
        <w:rPr>
          <w:b/>
          <w:noProof/>
          <w:sz w:val="18"/>
          <w:szCs w:val="18"/>
          <w:lang w:eastAsia="pl-PL"/>
        </w:rPr>
        <w:t xml:space="preserve"> </w:t>
      </w:r>
    </w:p>
    <w:p w14:paraId="11CDA204" w14:textId="77777777" w:rsidR="008F0617" w:rsidRDefault="008F0617" w:rsidP="00F113BA">
      <w:pPr>
        <w:rPr>
          <w:szCs w:val="19"/>
          <w:shd w:val="clear" w:color="auto" w:fill="FFFFFF"/>
        </w:rPr>
      </w:pPr>
    </w:p>
    <w:p w14:paraId="4802D170" w14:textId="153F3FC1" w:rsidR="007F2685" w:rsidRDefault="007F2685" w:rsidP="00C77B68">
      <w:pPr>
        <w:spacing w:line="240" w:lineRule="auto"/>
        <w:ind w:left="851" w:hanging="851"/>
        <w:rPr>
          <w:noProof/>
          <w:lang w:eastAsia="pl-PL"/>
        </w:rPr>
      </w:pPr>
    </w:p>
    <w:p w14:paraId="08724D98" w14:textId="10A3D635" w:rsidR="00EF3AE3" w:rsidRDefault="00EF3AE3" w:rsidP="00C77B68">
      <w:pPr>
        <w:spacing w:line="240" w:lineRule="auto"/>
        <w:ind w:left="851" w:hanging="851"/>
        <w:rPr>
          <w:b/>
          <w:sz w:val="18"/>
          <w:szCs w:val="18"/>
        </w:rPr>
      </w:pPr>
    </w:p>
    <w:p w14:paraId="23CEA485" w14:textId="27E10340" w:rsidR="00724458" w:rsidRPr="00C77B68" w:rsidRDefault="00724458" w:rsidP="00C77B68">
      <w:pPr>
        <w:spacing w:line="240" w:lineRule="auto"/>
        <w:ind w:left="851" w:hanging="851"/>
        <w:rPr>
          <w:b/>
          <w:sz w:val="18"/>
          <w:szCs w:val="18"/>
        </w:rPr>
        <w:sectPr w:rsidR="00724458" w:rsidRPr="00C77B68" w:rsidSect="006A19B6"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51437026" w:rsidR="003E66BF" w:rsidRPr="003627E7" w:rsidRDefault="003E66BF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Tel: (+48 22) 608 31 25</w:t>
            </w:r>
            <w:r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3627E7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D386E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1" w:history="1">
              <w:r w:rsidRPr="005D386E">
                <w:rPr>
                  <w:rFonts w:eastAsia="Fira Sans Light" w:cs="Times New Roman"/>
                  <w:b/>
                  <w:color w:val="0000FF"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3627E7" w:rsidRDefault="003E66BF" w:rsidP="003E66BF">
            <w:pPr>
              <w:rPr>
                <w:sz w:val="20"/>
                <w:szCs w:val="20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0C85CDA6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D208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"https://stat.gov.pl/en/topics/other-studies/informations-on-socio-economic-situation/statistical-bulletin-no-32020,4,111.html"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47F6EAC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D208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"https://stat.gov.pl/en/topics/other-studies/informations-on-socio-economic-situation/socio-economic-situation-of-the-country-in-the-1st-quarter-of-2020,1,108.html"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5678B6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5678B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364866" w:rsidRDefault="005678B6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0C85CDA6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D208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"https://stat.gov.pl/en/topics/other-studies/informations-on-socio-economic-situation/statistical-bulletin-no-32020,4,111.html"</w:instrText>
                      </w:r>
                      <w:r w:rsidR="002D2084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47F6EAC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D208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"https://stat.gov.pl/en/topics/other-studies/informations-on-socio-economic-situation/socio-economic-situation-of-the-country-in-the-1st-quarter-of-2020,1,108.html"</w:instrText>
                      </w:r>
                      <w:r w:rsidR="002D2084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1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3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3E66B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364866" w:rsidRDefault="003E66BF" w:rsidP="003E66B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EBE9C" w14:textId="77777777" w:rsidR="005678B6" w:rsidRDefault="005678B6" w:rsidP="000662E2">
      <w:pPr>
        <w:spacing w:after="0" w:line="240" w:lineRule="auto"/>
      </w:pPr>
      <w:r>
        <w:separator/>
      </w:r>
    </w:p>
  </w:endnote>
  <w:endnote w:type="continuationSeparator" w:id="0">
    <w:p w14:paraId="490CB131" w14:textId="77777777" w:rsidR="005678B6" w:rsidRDefault="005678B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6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A4F6E" w14:textId="77777777" w:rsidR="005678B6" w:rsidRDefault="005678B6" w:rsidP="000662E2">
      <w:pPr>
        <w:spacing w:after="0" w:line="240" w:lineRule="auto"/>
      </w:pPr>
      <w:r>
        <w:separator/>
      </w:r>
    </w:p>
  </w:footnote>
  <w:footnote w:type="continuationSeparator" w:id="0">
    <w:p w14:paraId="7284D170" w14:textId="77777777" w:rsidR="005678B6" w:rsidRDefault="005678B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1D4FBAA6">
              <wp:simplePos x="0" y="0"/>
              <wp:positionH relativeFrom="page">
                <wp:align>right</wp:align>
              </wp:positionH>
              <wp:positionV relativeFrom="paragraph">
                <wp:posOffset>170942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1" style="position:absolute;margin-left:111.05pt;margin-top:13.45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6B83BE3" w:rsidR="00112A4D" w:rsidRPr="00C97596" w:rsidRDefault="003627E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21.05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16B83BE3" w:rsidR="00112A4D" w:rsidRPr="00C97596" w:rsidRDefault="003627E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21.05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pt;height:126.75pt;visibility:visible;mso-wrap-style:square" o:bullet="t">
        <v:imagedata r:id="rId1" o:title=""/>
      </v:shape>
    </w:pict>
  </w:numPicBullet>
  <w:numPicBullet w:numPicBulletId="1">
    <w:pict>
      <v:shape id="_x0000_i1043" type="#_x0000_t75" style="width:125.25pt;height:126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4531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75A"/>
    <w:rsid w:val="001E482E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17A8"/>
    <w:rsid w:val="00223D02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084"/>
    <w:rsid w:val="002D2ECD"/>
    <w:rsid w:val="002D36F4"/>
    <w:rsid w:val="002D51CC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B02F7"/>
    <w:rsid w:val="003B10B5"/>
    <w:rsid w:val="003B1105"/>
    <w:rsid w:val="003B1454"/>
    <w:rsid w:val="003B2DB6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4B75"/>
    <w:rsid w:val="00445047"/>
    <w:rsid w:val="00445E43"/>
    <w:rsid w:val="004466B1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F0C3C"/>
    <w:rsid w:val="004F2A2C"/>
    <w:rsid w:val="004F4FCA"/>
    <w:rsid w:val="004F5A9B"/>
    <w:rsid w:val="004F63FC"/>
    <w:rsid w:val="004F64F0"/>
    <w:rsid w:val="004F6903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D07A2"/>
    <w:rsid w:val="006D109D"/>
    <w:rsid w:val="006D1926"/>
    <w:rsid w:val="006D4054"/>
    <w:rsid w:val="006D4186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636C"/>
    <w:rsid w:val="00756B32"/>
    <w:rsid w:val="0076234C"/>
    <w:rsid w:val="0076254F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DB7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61B"/>
    <w:rsid w:val="008D5D1D"/>
    <w:rsid w:val="008D6413"/>
    <w:rsid w:val="008E0933"/>
    <w:rsid w:val="008E0E06"/>
    <w:rsid w:val="008E6F47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33F4B"/>
    <w:rsid w:val="00937BDA"/>
    <w:rsid w:val="00943DC6"/>
    <w:rsid w:val="0094417D"/>
    <w:rsid w:val="00944262"/>
    <w:rsid w:val="009442CC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6502"/>
    <w:rsid w:val="00A86ECC"/>
    <w:rsid w:val="00A86FCC"/>
    <w:rsid w:val="00A87770"/>
    <w:rsid w:val="00A87DC7"/>
    <w:rsid w:val="00A90BDA"/>
    <w:rsid w:val="00A90CB1"/>
    <w:rsid w:val="00A91D74"/>
    <w:rsid w:val="00AA05AC"/>
    <w:rsid w:val="00AA087A"/>
    <w:rsid w:val="00AA3EB6"/>
    <w:rsid w:val="00AA5069"/>
    <w:rsid w:val="00AA710D"/>
    <w:rsid w:val="00AB0FC8"/>
    <w:rsid w:val="00AB237D"/>
    <w:rsid w:val="00AB255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19DE"/>
    <w:rsid w:val="00AE29E7"/>
    <w:rsid w:val="00AE2D4B"/>
    <w:rsid w:val="00AE3FB3"/>
    <w:rsid w:val="00AE4F99"/>
    <w:rsid w:val="00AE53E5"/>
    <w:rsid w:val="00AE6D6D"/>
    <w:rsid w:val="00AF19C9"/>
    <w:rsid w:val="00AF6719"/>
    <w:rsid w:val="00AF7709"/>
    <w:rsid w:val="00B05C82"/>
    <w:rsid w:val="00B068A7"/>
    <w:rsid w:val="00B06BE5"/>
    <w:rsid w:val="00B073F4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33B9"/>
    <w:rsid w:val="00BB4F09"/>
    <w:rsid w:val="00BB53B6"/>
    <w:rsid w:val="00BB544E"/>
    <w:rsid w:val="00BC207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3D5D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66FB"/>
    <w:rsid w:val="00D77B37"/>
    <w:rsid w:val="00D8211E"/>
    <w:rsid w:val="00D8397C"/>
    <w:rsid w:val="00D83BC5"/>
    <w:rsid w:val="00D83D00"/>
    <w:rsid w:val="00D84B34"/>
    <w:rsid w:val="00D8674B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7DA3"/>
    <w:rsid w:val="00E87F78"/>
    <w:rsid w:val="00E90AC0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8A3"/>
    <w:rsid w:val="00FB5906"/>
    <w:rsid w:val="00FB762F"/>
    <w:rsid w:val="00FC0BA6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bdm.stat.gov.pl/" TargetMode="External"/><Relationship Id="rId39" Type="http://schemas.openxmlformats.org/officeDocument/2006/relationships/hyperlink" Target="http://stat.gov.pl/en/poland-macroeconomic-indicators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en/metainformations/glossary/terms-used-in-official-statistics/1314,term.html" TargetMode="External"/><Relationship Id="rId42" Type="http://schemas.openxmlformats.org/officeDocument/2006/relationships/hyperlink" Target="http://stat.gov.pl/en/metainformations/glossary/terms-used-in-official-statistics/700,term.html" TargetMode="External"/><Relationship Id="rId47" Type="http://schemas.openxmlformats.org/officeDocument/2006/relationships/hyperlink" Target="http://stat.gov.pl/en/metainformations/glossary/terms-used-in-official-statistics/357,term.html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hyperlink" Target="http://stat.gov.pl/en/metainformations/glossary/terms-used-in-official-statistics/362,term.html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8.png"/><Relationship Id="rId32" Type="http://schemas.openxmlformats.org/officeDocument/2006/relationships/hyperlink" Target="http://stat.gov.pl/en/metainformations/glossary/terms-used-in-official-statistics/356,term.html" TargetMode="External"/><Relationship Id="rId37" Type="http://schemas.openxmlformats.org/officeDocument/2006/relationships/hyperlink" Target="http://swaid.stat.gov.pl/EN/SitePagesDBW/ProdukcjaPrzemyslowa.aspx" TargetMode="External"/><Relationship Id="rId40" Type="http://schemas.openxmlformats.org/officeDocument/2006/relationships/hyperlink" Target="https://bdl.stat.gov.pl/BDL/dane/podgrup/temat" TargetMode="External"/><Relationship Id="rId45" Type="http://schemas.openxmlformats.org/officeDocument/2006/relationships/hyperlink" Target="http://stat.gov.pl/en/metainformations/glossary/terms-used-in-official-statistics/1317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en/metainformations/glossary/terms-used-in-official-statistics/1313,term.html" TargetMode="External"/><Relationship Id="rId49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7,term.html" TargetMode="External"/><Relationship Id="rId44" Type="http://schemas.openxmlformats.org/officeDocument/2006/relationships/hyperlink" Target="http://stat.gov.pl/en/metainformations/glossary/terms-used-in-official-statistics/356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poland-macroeconomic-indicators/" TargetMode="External"/><Relationship Id="rId30" Type="http://schemas.openxmlformats.org/officeDocument/2006/relationships/hyperlink" Target="http://stat.gov.pl/en/metainformations/glossary/terms-used-in-official-statistics/700,term.html" TargetMode="External"/><Relationship Id="rId35" Type="http://schemas.openxmlformats.org/officeDocument/2006/relationships/hyperlink" Target="http://stat.gov.pl/en/metainformations/glossary/terms-used-in-official-statistics/357,term.html" TargetMode="External"/><Relationship Id="rId43" Type="http://schemas.openxmlformats.org/officeDocument/2006/relationships/hyperlink" Target="http://stat.gov.pl/en/metainformations/glossary/terms-used-in-official-statistics/707,term.html" TargetMode="External"/><Relationship Id="rId48" Type="http://schemas.openxmlformats.org/officeDocument/2006/relationships/hyperlink" Target="http://stat.gov.pl/en/metainformations/glossary/terms-used-in-official-statistics/1313,term.html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hyperlink" Target="http://swaid.stat.gov.pl/EN/SitePagesDBW/ProdukcjaPrzemyslowa.aspx" TargetMode="External"/><Relationship Id="rId33" Type="http://schemas.openxmlformats.org/officeDocument/2006/relationships/hyperlink" Target="http://stat.gov.pl/en/metainformations/glossary/terms-used-in-official-statistics/1317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hyperlink" Target="http://stat.gov.pl/en/metainformations/glossary/terms-used-in-official-statistics/1314,term.html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tat.gov.pl/en/metainformations/glossary/terms-used-in-official-statistics/362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6%20Sygnalna\Kopia%20Kopia%20Informacja%20sygnalna%20Budownictwo%20mieszkaniowe_wykres_012020%20PK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oweskaa\Desktop\B-06%202020\informacja%20sygnalna\stycze&#324;\Kopia%20Kopia%20Informacja%20sygnalna%20Budownictwo%20mieszkaniowe_wykres_012020%20PK%20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'2018'!$A$5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'2018'!$A$6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'2018'!$A$7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'2018'!$A$8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'2018'!$A$9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6187312"/>
        <c:axId val="-166193296"/>
      </c:lineChart>
      <c:catAx>
        <c:axId val="-166187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6193296"/>
        <c:crossesAt val="100"/>
        <c:auto val="1"/>
        <c:lblAlgn val="ctr"/>
        <c:lblOffset val="100"/>
        <c:noMultiLvlLbl val="0"/>
      </c:catAx>
      <c:valAx>
        <c:axId val="-166193296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618731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'IV 2020 ang'!$B$1</c:f>
              <c:strCache>
                <c:ptCount val="1"/>
                <c:pt idx="0">
                  <c:v>IV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'IV 2020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leather and related products</c:v>
                </c:pt>
                <c:pt idx="2">
                  <c:v>Manufacture of furniture</c:v>
                </c:pt>
                <c:pt idx="3">
                  <c:v>Manufacture of textiles</c:v>
                </c:pt>
                <c:pt idx="4">
                  <c:v>Manufacture of machinery and equipment </c:v>
                </c:pt>
                <c:pt idx="5">
                  <c:v>Manufacture of electrical equipment</c:v>
                </c:pt>
                <c:pt idx="6">
                  <c:v>Manufacture of other transport equipment</c:v>
                </c:pt>
                <c:pt idx="7">
                  <c:v>Manufacture of rubber and plastic products</c:v>
                </c:pt>
                <c:pt idx="8">
                  <c:v>Manufacture of wearing apparel</c:v>
                </c:pt>
                <c:pt idx="9">
                  <c:v>Manufacture of products of wood, cork, straw and wicker</c:v>
                </c:pt>
                <c:pt idx="10">
                  <c:v>Manufacture of coke and refined petroleum products</c:v>
                </c:pt>
                <c:pt idx="11">
                  <c:v>Manufacture of pharmaceutical products</c:v>
                </c:pt>
              </c:strCache>
            </c:strRef>
          </c:cat>
          <c:val>
            <c:numRef>
              <c:f>'IV 2020 ang'!$B$2:$B$13</c:f>
              <c:numCache>
                <c:formatCode>0.0_ ;[Red]\-0.0\ </c:formatCode>
                <c:ptCount val="12"/>
                <c:pt idx="0">
                  <c:v>21.1</c:v>
                </c:pt>
                <c:pt idx="1">
                  <c:v>30.6</c:v>
                </c:pt>
                <c:pt idx="2">
                  <c:v>49.6</c:v>
                </c:pt>
                <c:pt idx="3">
                  <c:v>63.1</c:v>
                </c:pt>
                <c:pt idx="4">
                  <c:v>66</c:v>
                </c:pt>
                <c:pt idx="5">
                  <c:v>71.900000000000006</c:v>
                </c:pt>
                <c:pt idx="6">
                  <c:v>72.7</c:v>
                </c:pt>
                <c:pt idx="7">
                  <c:v>74.099999999999994</c:v>
                </c:pt>
                <c:pt idx="8">
                  <c:v>74.3</c:v>
                </c:pt>
                <c:pt idx="9">
                  <c:v>74.599999999999994</c:v>
                </c:pt>
                <c:pt idx="10">
                  <c:v>76.8</c:v>
                </c:pt>
                <c:pt idx="11">
                  <c:v>114.8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'IV 2020 ang'!$C$1</c:f>
              <c:strCache>
                <c:ptCount val="1"/>
                <c:pt idx="0">
                  <c:v>IV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'IV 2020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leather and related products</c:v>
                </c:pt>
                <c:pt idx="2">
                  <c:v>Manufacture of furniture</c:v>
                </c:pt>
                <c:pt idx="3">
                  <c:v>Manufacture of textiles</c:v>
                </c:pt>
                <c:pt idx="4">
                  <c:v>Manufacture of machinery and equipment </c:v>
                </c:pt>
                <c:pt idx="5">
                  <c:v>Manufacture of electrical equipment</c:v>
                </c:pt>
                <c:pt idx="6">
                  <c:v>Manufacture of other transport equipment</c:v>
                </c:pt>
                <c:pt idx="7">
                  <c:v>Manufacture of rubber and plastic products</c:v>
                </c:pt>
                <c:pt idx="8">
                  <c:v>Manufacture of wearing apparel</c:v>
                </c:pt>
                <c:pt idx="9">
                  <c:v>Manufacture of products of wood, cork, straw and wicker</c:v>
                </c:pt>
                <c:pt idx="10">
                  <c:v>Manufacture of coke and refined petroleum products</c:v>
                </c:pt>
                <c:pt idx="11">
                  <c:v>Manufacture of pharmaceutical products</c:v>
                </c:pt>
              </c:strCache>
            </c:strRef>
          </c:cat>
          <c:val>
            <c:numRef>
              <c:f>'IV 2020 ang'!$C$2:$C$13</c:f>
              <c:numCache>
                <c:formatCode>0.0_ ;[Red]\-0.0\ </c:formatCode>
                <c:ptCount val="12"/>
                <c:pt idx="0">
                  <c:v>108</c:v>
                </c:pt>
                <c:pt idx="1">
                  <c:v>86.4</c:v>
                </c:pt>
                <c:pt idx="2">
                  <c:v>105.8</c:v>
                </c:pt>
                <c:pt idx="3">
                  <c:v>106.8</c:v>
                </c:pt>
                <c:pt idx="4">
                  <c:v>107.3</c:v>
                </c:pt>
                <c:pt idx="5">
                  <c:v>126.5</c:v>
                </c:pt>
                <c:pt idx="6">
                  <c:v>122.9</c:v>
                </c:pt>
                <c:pt idx="7">
                  <c:v>110.9</c:v>
                </c:pt>
                <c:pt idx="8">
                  <c:v>89.4</c:v>
                </c:pt>
                <c:pt idx="9">
                  <c:v>105.7</c:v>
                </c:pt>
                <c:pt idx="10">
                  <c:v>103</c:v>
                </c:pt>
                <c:pt idx="11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6191120"/>
        <c:axId val="-166190032"/>
      </c:barChart>
      <c:catAx>
        <c:axId val="-1661911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66190032"/>
        <c:crossesAt val="100"/>
        <c:auto val="1"/>
        <c:lblAlgn val="ctr"/>
        <c:lblOffset val="20"/>
        <c:noMultiLvlLbl val="0"/>
      </c:catAx>
      <c:valAx>
        <c:axId val="-166190032"/>
        <c:scaling>
          <c:orientation val="minMax"/>
          <c:max val="130"/>
          <c:min val="2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66191120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19078</c:v>
                </c:pt>
                <c:pt idx="46">
                  <c:v>19505</c:v>
                </c:pt>
                <c:pt idx="47">
                  <c:v>22931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6190576"/>
        <c:axId val="-166193840"/>
      </c:lineChart>
      <c:catAx>
        <c:axId val="-166190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619384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66193840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6190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17660</c:v>
                </c:pt>
                <c:pt idx="40">
                  <c:v>14968</c:v>
                </c:pt>
                <c:pt idx="41">
                  <c:v>14480</c:v>
                </c:pt>
                <c:pt idx="42">
                  <c:v>16946</c:v>
                </c:pt>
                <c:pt idx="43">
                  <c:v>17347</c:v>
                </c:pt>
                <c:pt idx="44">
                  <c:v>16884</c:v>
                </c:pt>
                <c:pt idx="45">
                  <c:v>20557</c:v>
                </c:pt>
                <c:pt idx="46">
                  <c:v>19119</c:v>
                </c:pt>
                <c:pt idx="47">
                  <c:v>22093</c:v>
                </c:pt>
                <c:pt idx="48">
                  <c:v>17409</c:v>
                </c:pt>
                <c:pt idx="49">
                  <c:v>16050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 formatCode="#,##0">
                  <c:v>26965</c:v>
                </c:pt>
                <c:pt idx="41">
                  <c:v>22514</c:v>
                </c:pt>
                <c:pt idx="42">
                  <c:v>24407</c:v>
                </c:pt>
                <c:pt idx="43">
                  <c:v>22431</c:v>
                </c:pt>
                <c:pt idx="44">
                  <c:v>24754</c:v>
                </c:pt>
                <c:pt idx="45">
                  <c:v>27824</c:v>
                </c:pt>
                <c:pt idx="46">
                  <c:v>19448</c:v>
                </c:pt>
                <c:pt idx="47">
                  <c:v>20101</c:v>
                </c:pt>
                <c:pt idx="48">
                  <c:v>18370</c:v>
                </c:pt>
                <c:pt idx="49">
                  <c:v>18920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  <c:pt idx="48">
                    <c:v>2020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  <c:pt idx="41">
                  <c:v>18956</c:v>
                </c:pt>
                <c:pt idx="42">
                  <c:v>21958</c:v>
                </c:pt>
                <c:pt idx="43" formatCode="#,##0">
                  <c:v>19528</c:v>
                </c:pt>
                <c:pt idx="44">
                  <c:v>21566</c:v>
                </c:pt>
                <c:pt idx="45">
                  <c:v>24095</c:v>
                </c:pt>
                <c:pt idx="46">
                  <c:v>18884</c:v>
                </c:pt>
                <c:pt idx="47">
                  <c:v>15858</c:v>
                </c:pt>
                <c:pt idx="48">
                  <c:v>15891</c:v>
                </c:pt>
                <c:pt idx="49">
                  <c:v>17875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6192752"/>
        <c:axId val="-166186768"/>
      </c:lineChart>
      <c:catAx>
        <c:axId val="-166192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6186768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66186768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619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79847580248911"/>
          <c:y val="0.86897040432605788"/>
          <c:w val="0.71807255820166771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6F310-1FA0-4C28-9FEE-CDECEAC5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dc:creator>Łokietek Katarzyna</dc:creator>
  <cp:keywords>mieszkania oddane do użytkowania; mieszkania w budowie; mieszkania rozpoczęte; pozwolenie na budowę; powierzchnia użytkowa</cp:keywords>
  <cp:lastModifiedBy>Kaczorowska Beata</cp:lastModifiedBy>
  <cp:revision>3</cp:revision>
  <cp:lastPrinted>2020-04-20T11:28:00Z</cp:lastPrinted>
  <dcterms:created xsi:type="dcterms:W3CDTF">2020-05-20T13:13:00Z</dcterms:created>
  <dcterms:modified xsi:type="dcterms:W3CDTF">2020-05-20T13:14:00Z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