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2AFDF124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541F7D17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F81C4E">
        <w:rPr>
          <w:shd w:val="clear" w:color="auto" w:fill="FFFFFF"/>
          <w:lang w:val="en-GB"/>
        </w:rPr>
        <w:t>June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667A6A14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41968592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370DFF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0B54D137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1C4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0.5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16A2AB50" w:rsidR="00BB33B9" w:rsidRPr="00AE5BE5" w:rsidRDefault="00F81C4E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 xml:space="preserve"> in sold production 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to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June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0B54D137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1C4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0.5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16A2AB50" w:rsidR="00BB33B9" w:rsidRPr="00AE5BE5" w:rsidRDefault="00F81C4E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7B4306">
                        <w:rPr>
                          <w:sz w:val="20"/>
                          <w:lang w:val="en-US"/>
                        </w:rPr>
                        <w:t xml:space="preserve"> in sold production 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to </w:t>
                      </w:r>
                      <w:r>
                        <w:rPr>
                          <w:sz w:val="20"/>
                          <w:lang w:val="en-US"/>
                        </w:rPr>
                        <w:t>June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1C4E">
        <w:rPr>
          <w:lang w:val="en-GB"/>
        </w:rPr>
        <w:t>In June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F81C4E">
        <w:rPr>
          <w:lang w:val="en-GB"/>
        </w:rPr>
        <w:t>0.5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F81C4E">
        <w:rPr>
          <w:lang w:val="en-GB"/>
        </w:rPr>
        <w:t>June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DA7D4B">
        <w:rPr>
          <w:spacing w:val="-2"/>
          <w:lang w:val="en-GB"/>
        </w:rPr>
        <w:t>decrease</w:t>
      </w:r>
      <w:r>
        <w:rPr>
          <w:spacing w:val="-2"/>
          <w:lang w:val="en-GB"/>
        </w:rPr>
        <w:t xml:space="preserve"> was recorded by </w:t>
      </w:r>
      <w:r w:rsidR="00AE2BD8">
        <w:rPr>
          <w:spacing w:val="-2"/>
          <w:lang w:val="en-GB"/>
        </w:rPr>
        <w:t>2.6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AE2BD8">
        <w:rPr>
          <w:spacing w:val="-2"/>
          <w:lang w:val="en-GB"/>
        </w:rPr>
        <w:t>May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>it 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AE2BD8">
        <w:rPr>
          <w:spacing w:val="-2"/>
          <w:lang w:val="en-GB"/>
        </w:rPr>
        <w:t>13.9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AE2BD8">
        <w:rPr>
          <w:lang w:val="en-GB"/>
        </w:rPr>
        <w:t>In the period January-June</w:t>
      </w:r>
      <w:r w:rsidR="0019680B">
        <w:rPr>
          <w:lang w:val="en-GB"/>
        </w:rPr>
        <w:t xml:space="preserve">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AE2BD8">
        <w:rPr>
          <w:lang w:val="en-GB"/>
        </w:rPr>
        <w:t>by 6.3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AE2BD8">
        <w:rPr>
          <w:lang w:val="en-GB"/>
        </w:rPr>
        <w:t>5.1</w:t>
      </w:r>
      <w:r w:rsidRPr="00C52703">
        <w:rPr>
          <w:lang w:val="en-GB"/>
        </w:rPr>
        <w:t xml:space="preserve">% </w:t>
      </w:r>
      <w:r w:rsidR="00DA7D4B">
        <w:rPr>
          <w:lang w:val="en-GB"/>
        </w:rPr>
        <w:t>growth</w:t>
      </w:r>
      <w:r>
        <w:rPr>
          <w:lang w:val="en-GB"/>
        </w:rPr>
        <w:t>.</w:t>
      </w:r>
    </w:p>
    <w:p w14:paraId="185AC143" w14:textId="422D437D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434C1C0D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3E59085A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FD64703">
                <wp:simplePos x="0" y="0"/>
                <wp:positionH relativeFrom="column">
                  <wp:posOffset>5219065</wp:posOffset>
                </wp:positionH>
                <wp:positionV relativeFrom="paragraph">
                  <wp:posOffset>114300</wp:posOffset>
                </wp:positionV>
                <wp:extent cx="1748790" cy="855345"/>
                <wp:effectExtent l="0" t="0" r="0" b="1905"/>
                <wp:wrapTight wrapText="bothSides">
                  <wp:wrapPolygon edited="0">
                    <wp:start x="706" y="0"/>
                    <wp:lineTo x="706" y="21167"/>
                    <wp:lineTo x="20706" y="21167"/>
                    <wp:lineTo x="20706" y="0"/>
                    <wp:lineTo x="706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68D42068" w:rsidR="00BB33B9" w:rsidRPr="00AE5BE5" w:rsidRDefault="00BB33B9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 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AE2B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 amounted to </w:t>
                            </w:r>
                            <w:r w:rsidR="00AE2B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4.9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0.95pt;margin-top:9pt;width:137.7pt;height:67.3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" filled="f" stroked="f">
                <v:textbox>
                  <w:txbxContent>
                    <w:p w14:paraId="74E140B5" w14:textId="68D42068" w:rsidR="00BB33B9" w:rsidRPr="00AE5BE5" w:rsidRDefault="00BB33B9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 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AE2B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 amounted to </w:t>
                      </w:r>
                      <w:r w:rsidR="00AE2B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4.9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5B3B00F6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AE2BD8">
        <w:rPr>
          <w:noProof/>
          <w:spacing w:val="-2"/>
          <w:szCs w:val="19"/>
          <w:lang w:val="en-GB"/>
        </w:rPr>
        <w:t>June</w:t>
      </w:r>
      <w:r w:rsidRPr="00AE5BE5">
        <w:rPr>
          <w:noProof/>
          <w:spacing w:val="-2"/>
          <w:szCs w:val="19"/>
          <w:lang w:val="en-GB"/>
        </w:rPr>
        <w:t xml:space="preserve"> 2020 sold production of industry reached the level </w:t>
      </w:r>
      <w:r w:rsidR="0019680B">
        <w:rPr>
          <w:noProof/>
          <w:spacing w:val="-2"/>
          <w:szCs w:val="19"/>
          <w:lang w:val="en-GB"/>
        </w:rPr>
        <w:t xml:space="preserve">lower by </w:t>
      </w:r>
      <w:r w:rsidR="00AE2BD8">
        <w:rPr>
          <w:noProof/>
          <w:spacing w:val="-2"/>
          <w:szCs w:val="19"/>
          <w:lang w:val="en-GB"/>
        </w:rPr>
        <w:t>4.9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 xml:space="preserve">onding month of 2019 and by </w:t>
      </w:r>
      <w:r w:rsidR="00AE2BD8">
        <w:rPr>
          <w:noProof/>
          <w:spacing w:val="-2"/>
          <w:szCs w:val="19"/>
          <w:lang w:val="en-GB"/>
        </w:rPr>
        <w:t>9.7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BA412C">
        <w:rPr>
          <w:noProof/>
          <w:spacing w:val="-2"/>
          <w:szCs w:val="19"/>
          <w:lang w:val="en-GB"/>
        </w:rPr>
        <w:t>May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094BA2D6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35B29CF9" w:rsidR="003627E7" w:rsidRPr="007B4306" w:rsidRDefault="00BA412C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3BD0B433" wp14:editId="50D88DC2">
            <wp:simplePos x="0" y="0"/>
            <wp:positionH relativeFrom="margin">
              <wp:align>right</wp:align>
            </wp:positionH>
            <wp:positionV relativeFrom="paragraph">
              <wp:posOffset>269240</wp:posOffset>
            </wp:positionV>
            <wp:extent cx="5168265" cy="315150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szCs w:val="18"/>
          <w:lang w:val="en-GB"/>
        </w:rPr>
        <w:t xml:space="preserve"> </w:t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0899E8FF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517AA976" w14:textId="1097922B" w:rsidR="00361CAD" w:rsidRPr="00D75D28" w:rsidRDefault="00361CAD" w:rsidP="00361CAD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>In most of the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>
        <w:rPr>
          <w:b w:val="0"/>
          <w:sz w:val="19"/>
          <w:szCs w:val="19"/>
          <w:shd w:val="clear" w:color="auto" w:fill="FFFFFF"/>
          <w:lang w:val="en-GB"/>
        </w:rPr>
        <w:t>June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2020,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>
        <w:rPr>
          <w:b w:val="0"/>
          <w:sz w:val="19"/>
          <w:szCs w:val="19"/>
          <w:shd w:val="clear" w:color="auto" w:fill="FFFFFF"/>
          <w:lang w:val="en-GB"/>
        </w:rPr>
        <w:t>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in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16.2%,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A412C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3.5% and</w:t>
      </w:r>
      <w:r w:rsidRPr="00F246E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by 3.3%. </w:t>
      </w:r>
      <w:r w:rsidRPr="00E2764C">
        <w:rPr>
          <w:b w:val="0"/>
          <w:sz w:val="19"/>
          <w:szCs w:val="19"/>
          <w:lang w:val="en-GB"/>
        </w:rPr>
        <w:t>A</w:t>
      </w:r>
      <w:r>
        <w:rPr>
          <w:b w:val="0"/>
          <w:sz w:val="19"/>
          <w:szCs w:val="19"/>
          <w:lang w:val="en-GB"/>
        </w:rPr>
        <w:t xml:space="preserve"> de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9.9% and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8.6%.</w:t>
      </w:r>
    </w:p>
    <w:p w14:paraId="1F90A97A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77777777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3FB1AEBD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3A0256EC" w:rsidR="00BB33B9" w:rsidRPr="00C52703" w:rsidRDefault="00AC502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305" w:type="dxa"/>
          </w:tcPr>
          <w:p w14:paraId="65938CEA" w14:textId="06CD77FA" w:rsidR="00BB33B9" w:rsidRPr="00C52703" w:rsidRDefault="0019680B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C502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39D7E50A" w:rsidR="00BB33B9" w:rsidRPr="00C52703" w:rsidRDefault="0019680B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2A7A89B9" w:rsidR="00BB33B9" w:rsidRPr="00C52703" w:rsidRDefault="00AC502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61CA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138055F0" w:rsidR="00BB33B9" w:rsidRPr="00C43A96" w:rsidRDefault="0019680B" w:rsidP="00554A1B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AC502E">
              <w:rPr>
                <w:sz w:val="16"/>
                <w:szCs w:val="16"/>
                <w:lang w:val="en-GB"/>
              </w:rPr>
              <w:t>V</w:t>
            </w:r>
            <w:r w:rsidR="00361CAD">
              <w:rPr>
                <w:sz w:val="16"/>
                <w:szCs w:val="16"/>
                <w:lang w:val="en-GB"/>
              </w:rPr>
              <w:t>I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6161F8B1" w:rsidR="0019680B" w:rsidRPr="009D4C87" w:rsidRDefault="00361CA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113.9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62423AA3" w:rsidR="0019680B" w:rsidRPr="009D4C87" w:rsidRDefault="00361CA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100.5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0F1347E7" w:rsidR="0019680B" w:rsidRPr="00DD58F4" w:rsidRDefault="00361CA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116.4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657C40B5" w:rsidR="0019680B" w:rsidRPr="009D4C87" w:rsidRDefault="00361CAD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93.7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068E8CC0" w:rsidR="0019680B" w:rsidRPr="009D4C87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108.4</w:t>
            </w:r>
          </w:p>
        </w:tc>
        <w:tc>
          <w:tcPr>
            <w:tcW w:w="1383" w:type="dxa"/>
            <w:vAlign w:val="center"/>
          </w:tcPr>
          <w:p w14:paraId="588D4170" w14:textId="21D05D7A" w:rsidR="0019680B" w:rsidRPr="009D4C87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93.5</w:t>
            </w:r>
          </w:p>
        </w:tc>
        <w:tc>
          <w:tcPr>
            <w:tcW w:w="1521" w:type="dxa"/>
            <w:vAlign w:val="center"/>
          </w:tcPr>
          <w:p w14:paraId="3E145B8D" w14:textId="71BA1A71" w:rsidR="0019680B" w:rsidRPr="00DD58F4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86.1</w:t>
            </w:r>
          </w:p>
        </w:tc>
        <w:tc>
          <w:tcPr>
            <w:tcW w:w="1305" w:type="dxa"/>
            <w:vAlign w:val="center"/>
          </w:tcPr>
          <w:p w14:paraId="2E08FF59" w14:textId="6ACB5EAE" w:rsidR="0019680B" w:rsidRPr="009D4C87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90.7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25BA4B30" w:rsidR="0019680B" w:rsidRPr="009D4C87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115.9</w:t>
            </w:r>
          </w:p>
        </w:tc>
        <w:tc>
          <w:tcPr>
            <w:tcW w:w="1383" w:type="dxa"/>
            <w:vAlign w:val="center"/>
          </w:tcPr>
          <w:p w14:paraId="6EE9A7FE" w14:textId="519ED820" w:rsidR="0019680B" w:rsidRPr="009D4C87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</w:t>
            </w:r>
          </w:p>
        </w:tc>
        <w:tc>
          <w:tcPr>
            <w:tcW w:w="1521" w:type="dxa"/>
            <w:vAlign w:val="center"/>
          </w:tcPr>
          <w:p w14:paraId="14DEA633" w14:textId="0B9563BB" w:rsidR="0019680B" w:rsidRPr="00DD58F4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119.8</w:t>
            </w:r>
          </w:p>
        </w:tc>
        <w:tc>
          <w:tcPr>
            <w:tcW w:w="1305" w:type="dxa"/>
            <w:vAlign w:val="center"/>
          </w:tcPr>
          <w:p w14:paraId="3C9AADCC" w14:textId="16FC2DE1" w:rsidR="0019680B" w:rsidRPr="009D4C87" w:rsidRDefault="00361CAD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93.0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76E33512" w:rsidR="0019680B" w:rsidRPr="009D4C87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94.2</w:t>
            </w:r>
          </w:p>
        </w:tc>
        <w:tc>
          <w:tcPr>
            <w:tcW w:w="1383" w:type="dxa"/>
            <w:vAlign w:val="center"/>
          </w:tcPr>
          <w:p w14:paraId="09A98E34" w14:textId="55D6366A" w:rsidR="0019680B" w:rsidRPr="009D4C87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95.7</w:t>
            </w:r>
          </w:p>
        </w:tc>
        <w:tc>
          <w:tcPr>
            <w:tcW w:w="1521" w:type="dxa"/>
            <w:vAlign w:val="center"/>
          </w:tcPr>
          <w:p w14:paraId="48C11E68" w14:textId="7D1FA804" w:rsidR="0019680B" w:rsidRPr="00DD58F4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90.4</w:t>
            </w:r>
          </w:p>
        </w:tc>
        <w:tc>
          <w:tcPr>
            <w:tcW w:w="1305" w:type="dxa"/>
            <w:vAlign w:val="center"/>
          </w:tcPr>
          <w:p w14:paraId="33B85A7E" w14:textId="6378BD2B" w:rsidR="0019680B" w:rsidRPr="009D4C87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0577DC11" w:rsidR="0019680B" w:rsidRPr="009D4C87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109.5</w:t>
            </w:r>
          </w:p>
        </w:tc>
        <w:tc>
          <w:tcPr>
            <w:tcW w:w="1383" w:type="dxa"/>
            <w:vAlign w:val="center"/>
          </w:tcPr>
          <w:p w14:paraId="6E445ECF" w14:textId="15F264D7" w:rsidR="0019680B" w:rsidRPr="009D4C87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108.9</w:t>
            </w:r>
          </w:p>
        </w:tc>
        <w:tc>
          <w:tcPr>
            <w:tcW w:w="1521" w:type="dxa"/>
            <w:vAlign w:val="center"/>
          </w:tcPr>
          <w:p w14:paraId="4FF62C73" w14:textId="427D8C4D" w:rsidR="0019680B" w:rsidRPr="00DD58F4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132.3</w:t>
            </w:r>
          </w:p>
        </w:tc>
        <w:tc>
          <w:tcPr>
            <w:tcW w:w="1305" w:type="dxa"/>
            <w:vAlign w:val="center"/>
          </w:tcPr>
          <w:p w14:paraId="32141E5B" w14:textId="29FE0FD0" w:rsidR="0019680B" w:rsidRPr="009D4C87" w:rsidRDefault="00361CAD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104.6</w:t>
            </w:r>
          </w:p>
        </w:tc>
      </w:tr>
    </w:tbl>
    <w:p w14:paraId="6E3C5957" w14:textId="26EBB12D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7AB35DC4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361CAD">
        <w:rPr>
          <w:sz w:val="16"/>
          <w:szCs w:val="16"/>
          <w:lang w:val="en-GB"/>
        </w:rPr>
        <w:t xml:space="preserve"> May and reported data – in June</w:t>
      </w:r>
      <w:r w:rsidR="00BB33B9">
        <w:rPr>
          <w:sz w:val="16"/>
          <w:szCs w:val="16"/>
          <w:lang w:val="en-GB"/>
        </w:rPr>
        <w:t>.</w:t>
      </w:r>
    </w:p>
    <w:p w14:paraId="52E735D6" w14:textId="3B9B2B97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B1C7A73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786B8C8C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June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68.4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786B8C8C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June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68.4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537BB136" w14:textId="468F097B" w:rsidR="00082002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50CA0">
        <w:rPr>
          <w:noProof/>
          <w:spacing w:val="-2"/>
          <w:szCs w:val="19"/>
          <w:lang w:val="en-GB"/>
        </w:rPr>
        <w:t>in June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as compared to June</w:t>
      </w:r>
      <w:r>
        <w:rPr>
          <w:noProof/>
          <w:spacing w:val="-2"/>
          <w:szCs w:val="19"/>
          <w:lang w:val="en-GB"/>
        </w:rPr>
        <w:t xml:space="preserve"> 2019,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082002">
        <w:rPr>
          <w:noProof/>
          <w:spacing w:val="-2"/>
          <w:szCs w:val="19"/>
          <w:lang w:val="en-GB"/>
        </w:rPr>
        <w:t>21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082002">
        <w:rPr>
          <w:noProof/>
          <w:spacing w:val="-2"/>
          <w:szCs w:val="19"/>
          <w:lang w:val="en-GB"/>
        </w:rPr>
        <w:t>manufacture of furniture – by 19.3%,</w:t>
      </w:r>
      <w:r w:rsidR="00082002" w:rsidRPr="00082002">
        <w:t xml:space="preserve"> </w:t>
      </w:r>
      <w:r w:rsidR="00082002">
        <w:rPr>
          <w:noProof/>
          <w:spacing w:val="-2"/>
          <w:szCs w:val="19"/>
          <w:lang w:val="en-GB"/>
        </w:rPr>
        <w:t>m</w:t>
      </w:r>
      <w:r w:rsidR="00082002" w:rsidRPr="00082002">
        <w:rPr>
          <w:noProof/>
          <w:spacing w:val="-2"/>
          <w:szCs w:val="19"/>
          <w:lang w:val="en-GB"/>
        </w:rPr>
        <w:t>anufacture of products of wood, cork, straw</w:t>
      </w:r>
      <w:r w:rsidR="00082002" w:rsidRPr="00082002">
        <w:t xml:space="preserve"> </w:t>
      </w:r>
      <w:r w:rsidR="00082002" w:rsidRPr="00082002">
        <w:rPr>
          <w:noProof/>
          <w:spacing w:val="-2"/>
          <w:szCs w:val="19"/>
          <w:lang w:val="en-GB"/>
        </w:rPr>
        <w:t>and wicker</w:t>
      </w:r>
      <w:r w:rsidR="00B16C69">
        <w:rPr>
          <w:noProof/>
          <w:spacing w:val="-2"/>
          <w:szCs w:val="19"/>
          <w:lang w:val="en-GB"/>
        </w:rPr>
        <w:t xml:space="preserve"> –</w:t>
      </w:r>
      <w:r w:rsidR="00082002">
        <w:rPr>
          <w:noProof/>
          <w:spacing w:val="-2"/>
          <w:szCs w:val="19"/>
          <w:lang w:val="en-GB"/>
        </w:rPr>
        <w:t xml:space="preserve"> by 17.6%, </w:t>
      </w:r>
      <w:r w:rsidR="00082002" w:rsidRPr="009D61BA">
        <w:rPr>
          <w:noProof/>
          <w:szCs w:val="19"/>
          <w:lang w:val="en-GB"/>
        </w:rPr>
        <w:t xml:space="preserve">manufacture of electrical equipment – by </w:t>
      </w:r>
      <w:r w:rsidR="00082002">
        <w:rPr>
          <w:noProof/>
          <w:szCs w:val="19"/>
          <w:lang w:val="en-GB"/>
        </w:rPr>
        <w:t>16.9%,</w:t>
      </w:r>
      <w:r w:rsidR="00082002" w:rsidRPr="00082002">
        <w:rPr>
          <w:noProof/>
          <w:spacing w:val="-2"/>
          <w:szCs w:val="19"/>
          <w:lang w:val="en-GB"/>
        </w:rPr>
        <w:t xml:space="preserve"> </w:t>
      </w:r>
      <w:r w:rsidR="00082002">
        <w:rPr>
          <w:noProof/>
          <w:spacing w:val="-2"/>
          <w:szCs w:val="19"/>
          <w:lang w:val="en-GB"/>
        </w:rPr>
        <w:t>manufacture of computer, electronic and optical products – by 7.0%,</w:t>
      </w:r>
      <w:r w:rsidR="00082002" w:rsidRPr="00082002">
        <w:t xml:space="preserve"> </w:t>
      </w:r>
      <w:r w:rsidR="00B16C69">
        <w:t xml:space="preserve">in </w:t>
      </w:r>
      <w:r w:rsidR="00082002">
        <w:rPr>
          <w:noProof/>
          <w:spacing w:val="-2"/>
          <w:szCs w:val="19"/>
          <w:lang w:val="en-GB"/>
        </w:rPr>
        <w:t>r</w:t>
      </w:r>
      <w:r w:rsidR="00082002" w:rsidRPr="00082002">
        <w:rPr>
          <w:noProof/>
          <w:spacing w:val="-2"/>
          <w:szCs w:val="19"/>
          <w:lang w:val="en-GB"/>
        </w:rPr>
        <w:t>epair and installation of machinery and equipment</w:t>
      </w:r>
      <w:r w:rsidR="00082002">
        <w:rPr>
          <w:noProof/>
          <w:spacing w:val="-2"/>
          <w:szCs w:val="19"/>
          <w:lang w:val="en-GB"/>
        </w:rPr>
        <w:t xml:space="preserve"> – by 6.9%,</w:t>
      </w:r>
      <w:r w:rsidR="00B16C69">
        <w:rPr>
          <w:noProof/>
          <w:spacing w:val="-2"/>
          <w:szCs w:val="19"/>
          <w:lang w:val="en-GB"/>
        </w:rPr>
        <w:t xml:space="preserve"> in</w:t>
      </w:r>
      <w:r w:rsidR="00082002" w:rsidRPr="00082002">
        <w:t xml:space="preserve"> </w:t>
      </w:r>
      <w:r w:rsidR="00082002">
        <w:rPr>
          <w:noProof/>
          <w:spacing w:val="-2"/>
          <w:szCs w:val="19"/>
          <w:lang w:val="en-GB"/>
        </w:rPr>
        <w:t>m</w:t>
      </w:r>
      <w:r w:rsidR="00082002" w:rsidRPr="00082002">
        <w:rPr>
          <w:noProof/>
          <w:spacing w:val="-2"/>
          <w:szCs w:val="19"/>
          <w:lang w:val="en-GB"/>
        </w:rPr>
        <w:t>anufacture of food products</w:t>
      </w:r>
      <w:r w:rsidR="00B16C69">
        <w:rPr>
          <w:noProof/>
          <w:spacing w:val="-2"/>
          <w:szCs w:val="19"/>
          <w:lang w:val="en-GB"/>
        </w:rPr>
        <w:t xml:space="preserve"> –</w:t>
      </w:r>
      <w:r w:rsidR="00082002">
        <w:rPr>
          <w:noProof/>
          <w:spacing w:val="-2"/>
          <w:szCs w:val="19"/>
          <w:lang w:val="en-GB"/>
        </w:rPr>
        <w:t xml:space="preserve"> by 6.3%.</w:t>
      </w:r>
    </w:p>
    <w:p w14:paraId="59CCEF03" w14:textId="65293894" w:rsidR="00082002" w:rsidRDefault="00DA7D4B" w:rsidP="00082002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bookmarkStart w:id="0" w:name="_GoBack"/>
      <w:bookmarkEnd w:id="0"/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082002">
        <w:rPr>
          <w:noProof/>
          <w:szCs w:val="19"/>
          <w:lang w:val="en-GB"/>
        </w:rPr>
        <w:t>f industry, as compared to June 2019, was recorded in 13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382CAB">
        <w:rPr>
          <w:noProof/>
          <w:szCs w:val="19"/>
          <w:lang w:val="en-GB"/>
        </w:rPr>
        <w:t>s, in</w:t>
      </w:r>
      <w:r w:rsidR="00BB33B9" w:rsidRPr="00223D02">
        <w:rPr>
          <w:noProof/>
          <w:szCs w:val="19"/>
          <w:lang w:val="en-GB"/>
        </w:rPr>
        <w:t xml:space="preserve"> </w:t>
      </w:r>
      <w:r w:rsidR="00082002" w:rsidRPr="00D22ECE">
        <w:rPr>
          <w:noProof/>
          <w:spacing w:val="-2"/>
          <w:szCs w:val="19"/>
          <w:lang w:val="en-GB"/>
        </w:rPr>
        <w:t>manufacture of</w:t>
      </w:r>
      <w:r w:rsidR="00082002">
        <w:rPr>
          <w:noProof/>
          <w:spacing w:val="-2"/>
          <w:szCs w:val="19"/>
          <w:lang w:val="en-GB"/>
        </w:rPr>
        <w:t xml:space="preserve"> coke and refined petroleum products – by 17.2</w:t>
      </w:r>
      <w:r w:rsidR="00082002" w:rsidRPr="00223D02">
        <w:rPr>
          <w:noProof/>
          <w:spacing w:val="-2"/>
          <w:szCs w:val="19"/>
          <w:lang w:val="en-GB"/>
        </w:rPr>
        <w:t>%,</w:t>
      </w:r>
      <w:r w:rsidR="00082002" w:rsidRPr="00082002">
        <w:rPr>
          <w:noProof/>
          <w:spacing w:val="-2"/>
          <w:szCs w:val="19"/>
          <w:lang w:val="en-GB"/>
        </w:rPr>
        <w:t xml:space="preserve"> </w:t>
      </w:r>
      <w:r w:rsidR="00082002">
        <w:rPr>
          <w:noProof/>
          <w:spacing w:val="-2"/>
          <w:szCs w:val="19"/>
          <w:lang w:val="en-GB"/>
        </w:rPr>
        <w:t>in mining of coal and lignite – by 17.0%,</w:t>
      </w:r>
      <w:r w:rsidR="00082002" w:rsidRPr="00082002">
        <w:rPr>
          <w:noProof/>
          <w:spacing w:val="-2"/>
          <w:szCs w:val="19"/>
          <w:lang w:val="en-GB"/>
        </w:rPr>
        <w:t xml:space="preserve"> </w:t>
      </w:r>
      <w:r w:rsidR="00B16C69">
        <w:rPr>
          <w:noProof/>
          <w:spacing w:val="-2"/>
          <w:szCs w:val="19"/>
          <w:lang w:val="en-GB"/>
        </w:rPr>
        <w:t xml:space="preserve">in </w:t>
      </w:r>
      <w:r w:rsidR="00082002">
        <w:rPr>
          <w:noProof/>
          <w:spacing w:val="-2"/>
          <w:szCs w:val="19"/>
          <w:lang w:val="en-GB"/>
        </w:rPr>
        <w:t>m</w:t>
      </w:r>
      <w:r w:rsidR="00082002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082002">
        <w:rPr>
          <w:noProof/>
          <w:spacing w:val="-2"/>
          <w:szCs w:val="19"/>
          <w:lang w:val="en-GB"/>
        </w:rPr>
        <w:t xml:space="preserve"> – by 15.2%,</w:t>
      </w:r>
      <w:r w:rsidR="00082002" w:rsidRPr="00082002">
        <w:rPr>
          <w:noProof/>
          <w:spacing w:val="-2"/>
          <w:szCs w:val="19"/>
          <w:lang w:val="en-GB"/>
        </w:rPr>
        <w:t xml:space="preserve"> </w:t>
      </w:r>
      <w:r w:rsidR="00082002">
        <w:rPr>
          <w:noProof/>
          <w:spacing w:val="-2"/>
          <w:szCs w:val="19"/>
          <w:lang w:val="en-GB"/>
        </w:rPr>
        <w:t>m</w:t>
      </w:r>
      <w:r w:rsidR="00082002" w:rsidRPr="00B7682E">
        <w:rPr>
          <w:noProof/>
          <w:spacing w:val="-2"/>
          <w:szCs w:val="19"/>
          <w:lang w:val="en-GB"/>
        </w:rPr>
        <w:t xml:space="preserve">anufacture of </w:t>
      </w:r>
      <w:r w:rsidR="00082002">
        <w:rPr>
          <w:noProof/>
          <w:spacing w:val="-2"/>
          <w:szCs w:val="19"/>
          <w:lang w:val="en-GB"/>
        </w:rPr>
        <w:t>machinery and equipment – by 13.0%,</w:t>
      </w:r>
      <w:r w:rsidR="00082002" w:rsidRPr="00082002">
        <w:rPr>
          <w:noProof/>
          <w:spacing w:val="-2"/>
          <w:szCs w:val="19"/>
          <w:lang w:val="en-GB"/>
        </w:rPr>
        <w:t xml:space="preserve"> </w:t>
      </w:r>
      <w:r w:rsidR="00082002">
        <w:rPr>
          <w:noProof/>
          <w:spacing w:val="-2"/>
          <w:szCs w:val="19"/>
          <w:lang w:val="en-GB"/>
        </w:rPr>
        <w:t>m</w:t>
      </w:r>
      <w:r w:rsidR="00082002" w:rsidRPr="00946446">
        <w:rPr>
          <w:noProof/>
          <w:spacing w:val="-2"/>
          <w:szCs w:val="19"/>
          <w:lang w:val="en-GB"/>
        </w:rPr>
        <w:t>anufacture of leather and related products</w:t>
      </w:r>
      <w:r w:rsidR="00082002">
        <w:rPr>
          <w:noProof/>
          <w:spacing w:val="-2"/>
          <w:szCs w:val="19"/>
          <w:lang w:val="en-GB"/>
        </w:rPr>
        <w:t xml:space="preserve"> – by 8.3%,</w:t>
      </w:r>
      <w:r w:rsidR="00082002" w:rsidRPr="00082002">
        <w:rPr>
          <w:noProof/>
          <w:spacing w:val="-2"/>
          <w:szCs w:val="19"/>
          <w:lang w:val="en-GB"/>
        </w:rPr>
        <w:t xml:space="preserve"> </w:t>
      </w:r>
      <w:r w:rsidR="00082002" w:rsidRPr="00223D02">
        <w:rPr>
          <w:noProof/>
          <w:spacing w:val="-2"/>
          <w:szCs w:val="19"/>
          <w:lang w:val="en-GB"/>
        </w:rPr>
        <w:t>manufac</w:t>
      </w:r>
      <w:r w:rsidR="00082002">
        <w:rPr>
          <w:noProof/>
          <w:spacing w:val="-2"/>
          <w:szCs w:val="19"/>
          <w:lang w:val="en-GB"/>
        </w:rPr>
        <w:t>ture of basic metals – by 7.3</w:t>
      </w:r>
      <w:r w:rsidR="00082002" w:rsidRPr="00223D02">
        <w:rPr>
          <w:noProof/>
          <w:spacing w:val="-2"/>
          <w:szCs w:val="19"/>
          <w:lang w:val="en-GB"/>
        </w:rPr>
        <w:t>%</w:t>
      </w:r>
      <w:r w:rsidR="00082002">
        <w:rPr>
          <w:noProof/>
          <w:spacing w:val="-2"/>
          <w:szCs w:val="19"/>
          <w:lang w:val="en-GB"/>
        </w:rPr>
        <w:t>.</w:t>
      </w:r>
    </w:p>
    <w:p w14:paraId="7D7E1994" w14:textId="73AB32F9" w:rsidR="003627E7" w:rsidRPr="007B4306" w:rsidRDefault="003627E7" w:rsidP="00BB33B9">
      <w:pPr>
        <w:suppressAutoHyphens/>
        <w:spacing w:before="0" w:after="0"/>
        <w:rPr>
          <w:szCs w:val="19"/>
          <w:shd w:val="clear" w:color="auto" w:fill="FFFFFF"/>
          <w:lang w:val="en-US"/>
        </w:rPr>
      </w:pPr>
    </w:p>
    <w:p w14:paraId="5175D03E" w14:textId="54C121FF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FC2BB08" w14:textId="1042113A" w:rsidR="00680622" w:rsidRPr="00680622" w:rsidRDefault="004407EC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 wp14:anchorId="62E9A09C" wp14:editId="425887E8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4961255" cy="3712845"/>
            <wp:effectExtent l="0" t="0" r="0" b="1905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</w:p>
    <w:p w14:paraId="56CE5F97" w14:textId="5517DB55" w:rsidR="007C46D9" w:rsidRDefault="007C46D9" w:rsidP="007C46D9">
      <w:pPr>
        <w:spacing w:before="0" w:after="160" w:line="259" w:lineRule="auto"/>
        <w:rPr>
          <w:shd w:val="clear" w:color="auto" w:fill="FFFFFF"/>
        </w:rPr>
      </w:pPr>
    </w:p>
    <w:p w14:paraId="11DA89CA" w14:textId="02E674C4" w:rsidR="00082002" w:rsidRDefault="00082002" w:rsidP="00946446">
      <w:pPr>
        <w:spacing w:line="240" w:lineRule="auto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 xml:space="preserve">Compared to May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, an increase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>
        <w:rPr>
          <w:szCs w:val="19"/>
          <w:lang w:val="en-GB"/>
        </w:rPr>
        <w:t>(in constant prices) in June</w:t>
      </w:r>
      <w:r w:rsidR="00946446" w:rsidRPr="00946446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 29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946446" w:rsidRPr="00946446">
        <w:rPr>
          <w:noProof/>
          <w:spacing w:val="-2"/>
          <w:szCs w:val="19"/>
          <w:lang w:val="en-GB"/>
        </w:rPr>
        <w:t xml:space="preserve"> </w:t>
      </w:r>
      <w:r w:rsidR="00946446">
        <w:rPr>
          <w:noProof/>
          <w:spacing w:val="-2"/>
          <w:szCs w:val="19"/>
          <w:lang w:val="en-GB"/>
        </w:rPr>
        <w:t>in</w:t>
      </w:r>
      <w:r w:rsidR="00946446" w:rsidRPr="009B74C8">
        <w:rPr>
          <w:noProof/>
          <w:spacing w:val="-2"/>
          <w:szCs w:val="19"/>
          <w:lang w:val="en-GB"/>
        </w:rPr>
        <w:t xml:space="preserve"> </w:t>
      </w:r>
      <w:r w:rsidR="00946446">
        <w:rPr>
          <w:noProof/>
          <w:spacing w:val="-2"/>
          <w:szCs w:val="19"/>
          <w:lang w:val="en-GB"/>
        </w:rPr>
        <w:t>m</w:t>
      </w:r>
      <w:r w:rsidR="00946446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46446">
        <w:rPr>
          <w:noProof/>
          <w:spacing w:val="-2"/>
          <w:szCs w:val="19"/>
          <w:lang w:val="en-GB"/>
        </w:rPr>
        <w:t xml:space="preserve"> – by </w:t>
      </w:r>
      <w:r>
        <w:rPr>
          <w:noProof/>
          <w:spacing w:val="-2"/>
          <w:szCs w:val="19"/>
          <w:lang w:val="en-GB"/>
        </w:rPr>
        <w:t>80.5</w:t>
      </w:r>
      <w:r w:rsidR="00946446">
        <w:rPr>
          <w:noProof/>
          <w:spacing w:val="-2"/>
          <w:szCs w:val="19"/>
          <w:lang w:val="en-GB"/>
        </w:rPr>
        <w:t>%,</w:t>
      </w:r>
      <w:r w:rsidR="00946446" w:rsidRPr="007B4306">
        <w:rPr>
          <w:lang w:val="en-US"/>
        </w:rPr>
        <w:t xml:space="preserve"> </w:t>
      </w:r>
      <w:r w:rsidR="00946446">
        <w:rPr>
          <w:noProof/>
          <w:spacing w:val="-2"/>
          <w:szCs w:val="19"/>
          <w:lang w:val="en-GB"/>
        </w:rPr>
        <w:t>m</w:t>
      </w:r>
      <w:r w:rsidR="00946446" w:rsidRPr="00946446">
        <w:rPr>
          <w:noProof/>
          <w:spacing w:val="-2"/>
          <w:szCs w:val="19"/>
          <w:lang w:val="en-GB"/>
        </w:rPr>
        <w:t>anufacture of leather and related products</w:t>
      </w:r>
      <w:r w:rsidR="00946446">
        <w:rPr>
          <w:noProof/>
          <w:spacing w:val="-2"/>
          <w:szCs w:val="19"/>
          <w:lang w:val="en-GB"/>
        </w:rPr>
        <w:t xml:space="preserve"> – by </w:t>
      </w:r>
      <w:r>
        <w:rPr>
          <w:noProof/>
          <w:spacing w:val="-2"/>
          <w:szCs w:val="19"/>
          <w:lang w:val="en-GB"/>
        </w:rPr>
        <w:t>37.2</w:t>
      </w:r>
      <w:r w:rsidR="00946446">
        <w:rPr>
          <w:noProof/>
          <w:spacing w:val="-2"/>
          <w:szCs w:val="19"/>
          <w:lang w:val="en-GB"/>
        </w:rPr>
        <w:t>%, m</w:t>
      </w:r>
      <w:r w:rsidR="00946446" w:rsidRPr="00946446">
        <w:rPr>
          <w:noProof/>
          <w:spacing w:val="-2"/>
          <w:szCs w:val="19"/>
          <w:lang w:val="en-GB"/>
        </w:rPr>
        <w:t>anufacture of furniture</w:t>
      </w:r>
      <w:r w:rsidR="00946446">
        <w:rPr>
          <w:noProof/>
          <w:spacing w:val="-2"/>
          <w:szCs w:val="19"/>
          <w:lang w:val="en-GB"/>
        </w:rPr>
        <w:t xml:space="preserve"> – by </w:t>
      </w:r>
      <w:r>
        <w:rPr>
          <w:noProof/>
          <w:spacing w:val="-2"/>
          <w:szCs w:val="19"/>
          <w:lang w:val="en-GB"/>
        </w:rPr>
        <w:t>33.4</w:t>
      </w:r>
      <w:r w:rsidR="00946446">
        <w:rPr>
          <w:noProof/>
          <w:spacing w:val="-2"/>
          <w:szCs w:val="19"/>
          <w:lang w:val="en-GB"/>
        </w:rPr>
        <w:t xml:space="preserve">%, </w:t>
      </w:r>
      <w:r w:rsidR="002B3236" w:rsidRPr="009D61BA">
        <w:rPr>
          <w:noProof/>
          <w:szCs w:val="19"/>
          <w:lang w:val="en-GB"/>
        </w:rPr>
        <w:t xml:space="preserve">manufacture of </w:t>
      </w:r>
      <w:r w:rsidR="002B3236" w:rsidRPr="00082002">
        <w:rPr>
          <w:noProof/>
          <w:spacing w:val="-2"/>
          <w:szCs w:val="19"/>
          <w:lang w:val="en-GB"/>
        </w:rPr>
        <w:t>machinery and equipment</w:t>
      </w:r>
      <w:r w:rsidR="002B3236">
        <w:rPr>
          <w:noProof/>
          <w:szCs w:val="19"/>
          <w:lang w:val="en-GB"/>
        </w:rPr>
        <w:t>– by 22.0%, m</w:t>
      </w:r>
      <w:r w:rsidR="002B3236" w:rsidRPr="002B3236">
        <w:rPr>
          <w:noProof/>
          <w:szCs w:val="19"/>
          <w:lang w:val="en-GB"/>
        </w:rPr>
        <w:t>anufactu</w:t>
      </w:r>
      <w:r w:rsidR="002B3236">
        <w:rPr>
          <w:noProof/>
          <w:szCs w:val="19"/>
          <w:lang w:val="en-GB"/>
        </w:rPr>
        <w:t>re of pharmaceutical products</w:t>
      </w:r>
      <w:r w:rsidR="002B3236" w:rsidRPr="002B3236">
        <w:rPr>
          <w:noProof/>
          <w:szCs w:val="19"/>
          <w:lang w:val="en-GB"/>
        </w:rPr>
        <w:t xml:space="preserve"> </w:t>
      </w:r>
      <w:r w:rsidR="002B3236">
        <w:rPr>
          <w:noProof/>
          <w:szCs w:val="19"/>
          <w:lang w:val="en-GB"/>
        </w:rPr>
        <w:t>– by 20.0%,</w:t>
      </w:r>
      <w:r w:rsidR="002B3236" w:rsidRPr="002B3236">
        <w:rPr>
          <w:noProof/>
          <w:spacing w:val="-2"/>
          <w:szCs w:val="19"/>
          <w:lang w:val="en-GB"/>
        </w:rPr>
        <w:t xml:space="preserve"> </w:t>
      </w:r>
      <w:r w:rsidR="002B3236" w:rsidRPr="00D22ECE">
        <w:rPr>
          <w:noProof/>
          <w:spacing w:val="-2"/>
          <w:szCs w:val="19"/>
          <w:lang w:val="en-GB"/>
        </w:rPr>
        <w:t>manufa</w:t>
      </w:r>
      <w:r w:rsidR="002B3236">
        <w:rPr>
          <w:noProof/>
          <w:spacing w:val="-2"/>
          <w:szCs w:val="19"/>
          <w:lang w:val="en-GB"/>
        </w:rPr>
        <w:t>cture of rubber and plastic products – by 15.7%,</w:t>
      </w:r>
      <w:r w:rsidR="002B3236" w:rsidRPr="002B3236">
        <w:rPr>
          <w:noProof/>
          <w:spacing w:val="-2"/>
          <w:szCs w:val="19"/>
          <w:lang w:val="en-GB"/>
        </w:rPr>
        <w:t xml:space="preserve"> </w:t>
      </w:r>
      <w:r w:rsidR="002B3236">
        <w:rPr>
          <w:noProof/>
          <w:spacing w:val="-2"/>
          <w:szCs w:val="19"/>
          <w:lang w:val="en-GB"/>
        </w:rPr>
        <w:t>manufacture of computer, electronic and optical products – by 13.2%.</w:t>
      </w:r>
    </w:p>
    <w:p w14:paraId="7DC0BAAA" w14:textId="20F8A9BE" w:rsidR="00E44A8F" w:rsidRDefault="00382CAB" w:rsidP="00946446">
      <w:pPr>
        <w:spacing w:line="240" w:lineRule="auto"/>
        <w:rPr>
          <w:noProof/>
          <w:spacing w:val="-2"/>
          <w:szCs w:val="19"/>
          <w:lang w:val="en-GB"/>
        </w:rPr>
      </w:pPr>
      <w:r w:rsidRPr="00A92C78">
        <w:rPr>
          <w:noProof/>
          <w:szCs w:val="19"/>
          <w:lang w:val="en-GB"/>
        </w:rPr>
        <w:t>A decrease in sold productio</w:t>
      </w:r>
      <w:r w:rsidR="002B3236">
        <w:rPr>
          <w:noProof/>
          <w:szCs w:val="19"/>
          <w:lang w:val="en-GB"/>
        </w:rPr>
        <w:t xml:space="preserve">n of industry, as compared to May 2020, was recorded in 5 </w:t>
      </w:r>
      <w:r w:rsidRPr="00223D02">
        <w:rPr>
          <w:noProof/>
          <w:szCs w:val="19"/>
          <w:lang w:val="en-GB"/>
        </w:rPr>
        <w:t>divisions, among other</w:t>
      </w:r>
      <w:r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 in</w:t>
      </w:r>
      <w:r w:rsidR="00E44A8F" w:rsidRPr="00E44A8F">
        <w:rPr>
          <w:noProof/>
          <w:spacing w:val="-2"/>
          <w:szCs w:val="19"/>
          <w:lang w:val="en-GB"/>
        </w:rPr>
        <w:t xml:space="preserve"> </w:t>
      </w:r>
      <w:r w:rsidR="002B3236" w:rsidRPr="00D22ECE">
        <w:rPr>
          <w:noProof/>
          <w:spacing w:val="-2"/>
          <w:szCs w:val="19"/>
          <w:lang w:val="en-GB"/>
        </w:rPr>
        <w:t>manufacture of</w:t>
      </w:r>
      <w:r w:rsidR="002B3236">
        <w:rPr>
          <w:noProof/>
          <w:spacing w:val="-2"/>
          <w:szCs w:val="19"/>
          <w:lang w:val="en-GB"/>
        </w:rPr>
        <w:t xml:space="preserve"> coke and refined petroleum products – by 6.5</w:t>
      </w:r>
      <w:r w:rsidR="002B3236" w:rsidRPr="00223D02">
        <w:rPr>
          <w:noProof/>
          <w:spacing w:val="-2"/>
          <w:szCs w:val="19"/>
          <w:lang w:val="en-GB"/>
        </w:rPr>
        <w:t>%</w:t>
      </w:r>
      <w:r w:rsidR="002B3236">
        <w:rPr>
          <w:noProof/>
          <w:spacing w:val="-2"/>
          <w:szCs w:val="19"/>
          <w:lang w:val="en-GB"/>
        </w:rPr>
        <w:t xml:space="preserve">, in </w:t>
      </w:r>
      <w:r w:rsidR="002B3236" w:rsidRPr="00D22ECE">
        <w:rPr>
          <w:noProof/>
          <w:spacing w:val="-2"/>
          <w:szCs w:val="19"/>
          <w:lang w:val="en-GB"/>
        </w:rPr>
        <w:t>electricity, gas steam and</w:t>
      </w:r>
      <w:r w:rsidR="002B3236">
        <w:rPr>
          <w:noProof/>
          <w:spacing w:val="-2"/>
          <w:szCs w:val="19"/>
          <w:lang w:val="en-GB"/>
        </w:rPr>
        <w:t xml:space="preserve"> air conditioning supply – by 5.8%.</w:t>
      </w:r>
      <w:r w:rsidR="002B3236" w:rsidRPr="00946446">
        <w:rPr>
          <w:noProof/>
          <w:spacing w:val="-2"/>
          <w:szCs w:val="19"/>
          <w:lang w:val="en-GB"/>
        </w:rPr>
        <w:t xml:space="preserve"> </w:t>
      </w:r>
    </w:p>
    <w:p w14:paraId="1F5B1DF6" w14:textId="7BE0B191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406EB350" w:rsidR="00E44A8F" w:rsidRPr="00680622" w:rsidRDefault="00820371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 wp14:anchorId="449C8D19" wp14:editId="39E88A9C">
            <wp:simplePos x="0" y="0"/>
            <wp:positionH relativeFrom="margin">
              <wp:align>right</wp:align>
            </wp:positionH>
            <wp:positionV relativeFrom="paragraph">
              <wp:posOffset>201184</wp:posOffset>
            </wp:positionV>
            <wp:extent cx="5122545" cy="35140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16AE869B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9215C0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962B781" w14:textId="77777777" w:rsidR="004407EC" w:rsidRDefault="004407EC" w:rsidP="00E01D2D">
      <w:pPr>
        <w:spacing w:before="0" w:after="0" w:line="240" w:lineRule="auto"/>
        <w:rPr>
          <w:szCs w:val="19"/>
        </w:rPr>
      </w:pPr>
    </w:p>
    <w:p w14:paraId="3B26C31B" w14:textId="77777777" w:rsidR="004407EC" w:rsidRDefault="004407EC" w:rsidP="00E01D2D">
      <w:pPr>
        <w:spacing w:before="0" w:after="0" w:line="240" w:lineRule="auto"/>
        <w:rPr>
          <w:szCs w:val="19"/>
        </w:rPr>
      </w:pPr>
    </w:p>
    <w:p w14:paraId="5917A438" w14:textId="77777777" w:rsidR="004407EC" w:rsidRDefault="004407EC" w:rsidP="00E01D2D">
      <w:pPr>
        <w:spacing w:before="0" w:after="0" w:line="240" w:lineRule="auto"/>
        <w:rPr>
          <w:szCs w:val="19"/>
        </w:rPr>
      </w:pPr>
    </w:p>
    <w:p w14:paraId="291A437D" w14:textId="77777777" w:rsidR="00820371" w:rsidRDefault="00820371" w:rsidP="00E01D2D">
      <w:pPr>
        <w:spacing w:before="0" w:after="0" w:line="240" w:lineRule="auto"/>
        <w:rPr>
          <w:szCs w:val="19"/>
        </w:rPr>
      </w:pPr>
    </w:p>
    <w:p w14:paraId="0FD37C5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3CEA485" w14:textId="072A94B0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382CAB">
        <w:rPr>
          <w:szCs w:val="19"/>
          <w:lang w:val="en-US"/>
        </w:rPr>
        <w:t>om Statistics Poland.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0A978D1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407E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"https://stat.gov.pl/en/topics/other-studies/informations-on-socio-economic-situation/statistical-bulletin-no-52020,4,113.html"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527249F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407E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"https://stat.gov.pl/en/topics/other-studies/informations-on-socio-economic-situation/socio-economic-situation-of-the-country-in-may-2020,1,110.html"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FF787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FF787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FF787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0A978D1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407E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"https://stat.gov.pl/en/topics/other-studies/informations-on-socio-economic-situation/statistical-bulletin-no-52020,4,113.html"</w:instrText>
                      </w:r>
                      <w:r w:rsidR="004407EC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527249F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407E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"https://stat.gov.pl/en/topics/other-studies/informations-on-socio-economic-situation/socio-economic-situation-of-the-country-in-may-2020,1,110.html"</w:instrText>
                      </w:r>
                      <w:r w:rsidR="004407EC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E85952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E859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E85952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481D9" w14:textId="77777777" w:rsidR="00FF787F" w:rsidRDefault="00FF787F" w:rsidP="000662E2">
      <w:pPr>
        <w:spacing w:after="0" w:line="240" w:lineRule="auto"/>
      </w:pPr>
      <w:r>
        <w:separator/>
      </w:r>
    </w:p>
  </w:endnote>
  <w:endnote w:type="continuationSeparator" w:id="0">
    <w:p w14:paraId="4D1B295B" w14:textId="77777777" w:rsidR="00FF787F" w:rsidRDefault="00FF78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D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D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E7768" w14:textId="77777777" w:rsidR="00FF787F" w:rsidRDefault="00FF787F" w:rsidP="000662E2">
      <w:pPr>
        <w:spacing w:after="0" w:line="240" w:lineRule="auto"/>
      </w:pPr>
      <w:r>
        <w:separator/>
      </w:r>
    </w:p>
  </w:footnote>
  <w:footnote w:type="continuationSeparator" w:id="0">
    <w:p w14:paraId="2F18A8D7" w14:textId="77777777" w:rsidR="00FF787F" w:rsidRDefault="00FF78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8" name="Obraz 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E225D74" w:rsidR="00112A4D" w:rsidRPr="00C97596" w:rsidRDefault="00F81C4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20.07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4E225D74" w:rsidR="00112A4D" w:rsidRPr="00C97596" w:rsidRDefault="00F81C4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20.07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16EAF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64F4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B32C6"/>
    <w:rsid w:val="00BB33B9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3942560"/>
        <c:axId val="1863933856"/>
      </c:lineChart>
      <c:catAx>
        <c:axId val="18639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63933856"/>
        <c:crossesAt val="100"/>
        <c:auto val="1"/>
        <c:lblAlgn val="ctr"/>
        <c:lblOffset val="100"/>
        <c:noMultiLvlLbl val="0"/>
      </c:catAx>
      <c:valAx>
        <c:axId val="1863933856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6394256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 2020 ang'!$B$1</c:f>
              <c:strCache>
                <c:ptCount val="1"/>
                <c:pt idx="0">
                  <c:v>VI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'VI 2020 ang'!$A$2:$A$13</c:f>
              <c:strCache>
                <c:ptCount val="12"/>
                <c:pt idx="0">
                  <c:v>Manufacture of tobacco products</c:v>
                </c:pt>
                <c:pt idx="1">
                  <c:v>Manufacture of furniture</c:v>
                </c:pt>
                <c:pt idx="2">
                  <c:v>Manufacture of products of wood, cork, straw and wicker</c:v>
                </c:pt>
                <c:pt idx="3">
                  <c:v>Manufacture of electrical equipment</c:v>
                </c:pt>
                <c:pt idx="4">
                  <c:v>Waste collection, treatment and disposal activities; materials recovery</c:v>
                </c:pt>
                <c:pt idx="5">
                  <c:v>Other manufacturing  </c:v>
                </c:pt>
                <c:pt idx="6">
                  <c:v>Manufacture of basic metals</c:v>
                </c:pt>
                <c:pt idx="7">
                  <c:v>Manufacture of leather and related products</c:v>
                </c:pt>
                <c:pt idx="8">
                  <c:v>Manufacture of machinery and equipment </c:v>
                </c:pt>
                <c:pt idx="9">
                  <c:v>Manufacture of motor vehicles, trailers and semi-trailers</c:v>
                </c:pt>
                <c:pt idx="10">
                  <c:v>Mining of coal and lignite </c:v>
                </c:pt>
                <c:pt idx="11">
                  <c:v>Manufacture of coke and refined petroleum products</c:v>
                </c:pt>
              </c:strCache>
            </c:strRef>
          </c:cat>
          <c:val>
            <c:numRef>
              <c:f>'VI 2020 ang'!$B$2:$B$13</c:f>
              <c:numCache>
                <c:formatCode>0.0_ ;[Red]\-0.0\ </c:formatCode>
                <c:ptCount val="12"/>
                <c:pt idx="0">
                  <c:v>126.9</c:v>
                </c:pt>
                <c:pt idx="1">
                  <c:v>119.3</c:v>
                </c:pt>
                <c:pt idx="2">
                  <c:v>117.6</c:v>
                </c:pt>
                <c:pt idx="3">
                  <c:v>116.9</c:v>
                </c:pt>
                <c:pt idx="4">
                  <c:v>114.5</c:v>
                </c:pt>
                <c:pt idx="5">
                  <c:v>113.3</c:v>
                </c:pt>
                <c:pt idx="6">
                  <c:v>92.7</c:v>
                </c:pt>
                <c:pt idx="7">
                  <c:v>91.7</c:v>
                </c:pt>
                <c:pt idx="8">
                  <c:v>87</c:v>
                </c:pt>
                <c:pt idx="9">
                  <c:v>84.8</c:v>
                </c:pt>
                <c:pt idx="10">
                  <c:v>83</c:v>
                </c:pt>
                <c:pt idx="11">
                  <c:v>82.8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'VI 2020 ang'!$C$1</c:f>
              <c:strCache>
                <c:ptCount val="1"/>
                <c:pt idx="0">
                  <c:v>VI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 2020 ang'!$A$2:$A$13</c:f>
              <c:strCache>
                <c:ptCount val="12"/>
                <c:pt idx="0">
                  <c:v>Manufacture of tobacco products</c:v>
                </c:pt>
                <c:pt idx="1">
                  <c:v>Manufacture of furniture</c:v>
                </c:pt>
                <c:pt idx="2">
                  <c:v>Manufacture of products of wood, cork, straw and wicker</c:v>
                </c:pt>
                <c:pt idx="3">
                  <c:v>Manufacture of electrical equipment</c:v>
                </c:pt>
                <c:pt idx="4">
                  <c:v>Waste collection, treatment and disposal activities; materials recovery</c:v>
                </c:pt>
                <c:pt idx="5">
                  <c:v>Other manufacturing  </c:v>
                </c:pt>
                <c:pt idx="6">
                  <c:v>Manufacture of basic metals</c:v>
                </c:pt>
                <c:pt idx="7">
                  <c:v>Manufacture of leather and related products</c:v>
                </c:pt>
                <c:pt idx="8">
                  <c:v>Manufacture of machinery and equipment </c:v>
                </c:pt>
                <c:pt idx="9">
                  <c:v>Manufacture of motor vehicles, trailers and semi-trailers</c:v>
                </c:pt>
                <c:pt idx="10">
                  <c:v>Mining of coal and lignite </c:v>
                </c:pt>
                <c:pt idx="11">
                  <c:v>Manufacture of coke and refined petroleum products</c:v>
                </c:pt>
              </c:strCache>
            </c:strRef>
          </c:cat>
          <c:val>
            <c:numRef>
              <c:f>'VI 2020 ang'!$C$2:$C$13</c:f>
              <c:numCache>
                <c:formatCode>0.0_ ;[Red]\-0.0\ </c:formatCode>
                <c:ptCount val="12"/>
                <c:pt idx="0">
                  <c:v>82.5</c:v>
                </c:pt>
                <c:pt idx="1">
                  <c:v>93.7</c:v>
                </c:pt>
                <c:pt idx="2">
                  <c:v>94.4</c:v>
                </c:pt>
                <c:pt idx="3">
                  <c:v>102.6</c:v>
                </c:pt>
                <c:pt idx="4">
                  <c:v>106.8</c:v>
                </c:pt>
                <c:pt idx="5">
                  <c:v>100.6</c:v>
                </c:pt>
                <c:pt idx="6">
                  <c:v>88.8</c:v>
                </c:pt>
                <c:pt idx="7">
                  <c:v>86.7</c:v>
                </c:pt>
                <c:pt idx="8">
                  <c:v>97.6</c:v>
                </c:pt>
                <c:pt idx="9">
                  <c:v>91.8</c:v>
                </c:pt>
                <c:pt idx="10">
                  <c:v>89.4</c:v>
                </c:pt>
                <c:pt idx="11">
                  <c:v>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3942016"/>
        <c:axId val="1863936576"/>
      </c:barChart>
      <c:catAx>
        <c:axId val="18639420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863936576"/>
        <c:crossesAt val="100"/>
        <c:auto val="1"/>
        <c:lblAlgn val="ctr"/>
        <c:lblOffset val="20"/>
        <c:noMultiLvlLbl val="0"/>
      </c:catAx>
      <c:valAx>
        <c:axId val="1863936576"/>
        <c:scaling>
          <c:orientation val="minMax"/>
          <c:max val="13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863942016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38923928775347E-2"/>
          <c:y val="7.9143513796526732E-2"/>
          <c:w val="0.93195636376071889"/>
          <c:h val="0.55246814355459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czerwiec angi'!$B$18:$B$22</c:f>
              <c:strCache>
                <c:ptCount val="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czerwiec angi'!$A$4:$B$37</c:f>
              <c:multiLvlStrCache>
                <c:ptCount val="34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7">
                    <c:v>I 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4">
                    <c:v>I 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1">
                    <c:v>I 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8">
                    <c:v>I 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</c:lvl>
                <c:lvl>
                  <c:pt idx="0">
                    <c:v>Manufacture of motor vehicles, trailers and semi-trailers</c:v>
                  </c:pt>
                  <c:pt idx="7">
                    <c:v>Manufacture of leather and related products</c:v>
                  </c:pt>
                  <c:pt idx="14">
                    <c:v>Manufacture of machinery and equipment</c:v>
                  </c:pt>
                  <c:pt idx="21">
                    <c:v>Manufacture of beverages</c:v>
                  </c:pt>
                  <c:pt idx="28">
                    <c:v>Manufacture of basic metals</c:v>
                  </c:pt>
                </c:lvl>
              </c:multiLvlStrCache>
            </c:multiLvlStrRef>
          </c:cat>
          <c:val>
            <c:numRef>
              <c:f>'wykres słupkowy - czerwiec angi'!$C$4:$C$37</c:f>
              <c:numCache>
                <c:formatCode>0.0_ ;[Red]\-0.0\ </c:formatCode>
                <c:ptCount val="34"/>
                <c:pt idx="0">
                  <c:v>117.4</c:v>
                </c:pt>
                <c:pt idx="1">
                  <c:v>108.3</c:v>
                </c:pt>
                <c:pt idx="2">
                  <c:v>75.8</c:v>
                </c:pt>
                <c:pt idx="3">
                  <c:v>28</c:v>
                </c:pt>
                <c:pt idx="4">
                  <c:v>209.7</c:v>
                </c:pt>
                <c:pt idx="5">
                  <c:v>180.5</c:v>
                </c:pt>
                <c:pt idx="7">
                  <c:v>131.5</c:v>
                </c:pt>
                <c:pt idx="8">
                  <c:v>107.1</c:v>
                </c:pt>
                <c:pt idx="9">
                  <c:v>78.900000000000006</c:v>
                </c:pt>
                <c:pt idx="10">
                  <c:v>40</c:v>
                </c:pt>
                <c:pt idx="11">
                  <c:v>191.4</c:v>
                </c:pt>
                <c:pt idx="12">
                  <c:v>137.19999999999999</c:v>
                </c:pt>
                <c:pt idx="14">
                  <c:v>72.099999999999994</c:v>
                </c:pt>
                <c:pt idx="15">
                  <c:v>121.6</c:v>
                </c:pt>
                <c:pt idx="16">
                  <c:v>104.4</c:v>
                </c:pt>
                <c:pt idx="17">
                  <c:v>68.7</c:v>
                </c:pt>
                <c:pt idx="18">
                  <c:v>109.6</c:v>
                </c:pt>
                <c:pt idx="19">
                  <c:v>122</c:v>
                </c:pt>
                <c:pt idx="21">
                  <c:v>82</c:v>
                </c:pt>
                <c:pt idx="22">
                  <c:v>112.5</c:v>
                </c:pt>
                <c:pt idx="23">
                  <c:v>116.1</c:v>
                </c:pt>
                <c:pt idx="24">
                  <c:v>100.3</c:v>
                </c:pt>
                <c:pt idx="25">
                  <c:v>94</c:v>
                </c:pt>
                <c:pt idx="26">
                  <c:v>120.6</c:v>
                </c:pt>
                <c:pt idx="28">
                  <c:v>133.5</c:v>
                </c:pt>
                <c:pt idx="29">
                  <c:v>98.6</c:v>
                </c:pt>
                <c:pt idx="30">
                  <c:v>103.8</c:v>
                </c:pt>
                <c:pt idx="31">
                  <c:v>77.5</c:v>
                </c:pt>
                <c:pt idx="32">
                  <c:v>102.3</c:v>
                </c:pt>
                <c:pt idx="33">
                  <c:v>106.3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863933312"/>
        <c:axId val="1863939296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'wykres słupkowy - czerwiec angi'!$A$4:$B$37</c15:sqref>
                        </c15:formulaRef>
                      </c:ext>
                    </c:extLst>
                    <c:multiLvlStrCache>
                      <c:ptCount val="34"/>
                      <c:lvl>
                        <c:pt idx="0">
                          <c:v>I 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V</c:v>
                        </c:pt>
                        <c:pt idx="5">
                          <c:v>VI</c:v>
                        </c:pt>
                        <c:pt idx="7">
                          <c:v>I </c:v>
                        </c:pt>
                        <c:pt idx="8">
                          <c:v>II</c:v>
                        </c:pt>
                        <c:pt idx="9">
                          <c:v>III</c:v>
                        </c:pt>
                        <c:pt idx="10">
                          <c:v>IV</c:v>
                        </c:pt>
                        <c:pt idx="11">
                          <c:v>V</c:v>
                        </c:pt>
                        <c:pt idx="12">
                          <c:v>VI</c:v>
                        </c:pt>
                        <c:pt idx="14">
                          <c:v>I </c:v>
                        </c:pt>
                        <c:pt idx="15">
                          <c:v>II</c:v>
                        </c:pt>
                        <c:pt idx="16">
                          <c:v>III</c:v>
                        </c:pt>
                        <c:pt idx="17">
                          <c:v>IV</c:v>
                        </c:pt>
                        <c:pt idx="18">
                          <c:v>V</c:v>
                        </c:pt>
                        <c:pt idx="19">
                          <c:v>VI</c:v>
                        </c:pt>
                        <c:pt idx="21">
                          <c:v>I </c:v>
                        </c:pt>
                        <c:pt idx="22">
                          <c:v>II</c:v>
                        </c:pt>
                        <c:pt idx="23">
                          <c:v>III</c:v>
                        </c:pt>
                        <c:pt idx="24">
                          <c:v>IV</c:v>
                        </c:pt>
                        <c:pt idx="25">
                          <c:v>V</c:v>
                        </c:pt>
                        <c:pt idx="26">
                          <c:v>VI</c:v>
                        </c:pt>
                        <c:pt idx="28">
                          <c:v>I </c:v>
                        </c:pt>
                        <c:pt idx="29">
                          <c:v>II</c:v>
                        </c:pt>
                        <c:pt idx="30">
                          <c:v>III</c:v>
                        </c:pt>
                        <c:pt idx="31">
                          <c:v>IV</c:v>
                        </c:pt>
                        <c:pt idx="32">
                          <c:v>V</c:v>
                        </c:pt>
                        <c:pt idx="33">
                          <c:v>VI</c:v>
                        </c:pt>
                      </c:lvl>
                      <c:lvl>
                        <c:pt idx="0">
                          <c:v>Manufacture of motor vehicles, trailers and semi-trailers</c:v>
                        </c:pt>
                        <c:pt idx="7">
                          <c:v>Manufacture of leather and related products</c:v>
                        </c:pt>
                        <c:pt idx="14">
                          <c:v>Manufacture of machinery and equipment</c:v>
                        </c:pt>
                        <c:pt idx="21">
                          <c:v>Manufacture of beverages</c:v>
                        </c:pt>
                        <c:pt idx="28">
                          <c:v>Manufacture of basic metals</c:v>
                        </c:pt>
                      </c:lvl>
                    </c:multiLvlStrCache>
                  </c:multiLvlStrRef>
                </c:ca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</c15:ser>
            </c15:filteredBarSeries>
          </c:ext>
        </c:extLst>
      </c:barChart>
      <c:catAx>
        <c:axId val="186393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63939296"/>
        <c:crosses val="autoZero"/>
        <c:auto val="1"/>
        <c:lblAlgn val="ctr"/>
        <c:lblOffset val="100"/>
        <c:noMultiLvlLbl val="0"/>
      </c:catAx>
      <c:valAx>
        <c:axId val="1863939296"/>
        <c:scaling>
          <c:orientation val="minMax"/>
          <c:max val="24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63933312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32FB21-0A40-47CC-949D-33E76A5C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Łokietek Katarzyna</dc:creator>
  <cp:lastModifiedBy>Łokietek Katarzyna</cp:lastModifiedBy>
  <cp:revision>13</cp:revision>
  <cp:lastPrinted>2020-06-19T06:38:00Z</cp:lastPrinted>
  <dcterms:created xsi:type="dcterms:W3CDTF">2020-07-16T12:54:00Z</dcterms:created>
  <dcterms:modified xsi:type="dcterms:W3CDTF">2020-07-17T05:13:00Z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