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30BCA869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3CFBBD07" w14:textId="42E42F6B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8C421A">
        <w:rPr>
          <w:shd w:val="clear" w:color="auto" w:fill="FFFFFF"/>
          <w:lang w:val="en-GB"/>
        </w:rPr>
        <w:t>July</w:t>
      </w:r>
      <w:r>
        <w:rPr>
          <w:shd w:val="clear" w:color="auto" w:fill="FFFFFF"/>
          <w:lang w:val="en-GB"/>
        </w:rPr>
        <w:t xml:space="preserve"> 2020</w:t>
      </w:r>
      <w:r w:rsidRPr="00346B6D">
        <w:rPr>
          <w:shd w:val="clear" w:color="auto" w:fill="FFFFFF"/>
          <w:vertAlign w:val="superscript"/>
          <w:lang w:val="en-GB"/>
        </w:rPr>
        <w:t>a)</w:t>
      </w:r>
    </w:p>
    <w:p w14:paraId="208F8186" w14:textId="626EA108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583E3C87" w:rsidR="00BB33B9" w:rsidRDefault="00BB33B9" w:rsidP="00BB33B9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63A8DF" wp14:editId="7B29FFC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3167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968B" w14:textId="6FEF3D87" w:rsidR="00BB33B9" w:rsidRPr="00AE5BE5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479D5D3" wp14:editId="62B00D32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C42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1.1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863140E" w14:textId="7FAF3A41" w:rsidR="00BB33B9" w:rsidRPr="00AE5BE5" w:rsidRDefault="00F81C4E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7B4306">
                              <w:rPr>
                                <w:sz w:val="20"/>
                                <w:lang w:val="en-US"/>
                              </w:rPr>
                              <w:t xml:space="preserve"> in sold production of industry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 as compared to </w:t>
                            </w:r>
                            <w:r w:rsidR="008C421A">
                              <w:rPr>
                                <w:sz w:val="20"/>
                                <w:lang w:val="en-US"/>
                              </w:rPr>
                              <w:t xml:space="preserve">July 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2019</w:t>
                            </w:r>
                          </w:p>
                          <w:p w14:paraId="3C055AD1" w14:textId="77777777" w:rsidR="00BB33B9" w:rsidRPr="00346B6D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3A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2.1pt;height:104.25pt;z-index:251807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" fillcolor="#001d77" stroked="f">
                <v:textbox>
                  <w:txbxContent>
                    <w:p w14:paraId="3773968B" w14:textId="6FEF3D87" w:rsidR="00BB33B9" w:rsidRPr="00AE5BE5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479D5D3" wp14:editId="62B00D32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C42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1.1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863140E" w14:textId="7FAF3A41" w:rsidR="00BB33B9" w:rsidRPr="00AE5BE5" w:rsidRDefault="00F81C4E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7B4306">
                        <w:rPr>
                          <w:sz w:val="20"/>
                          <w:lang w:val="en-US"/>
                        </w:rPr>
                        <w:t xml:space="preserve"> in sold production of industry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 as compared to </w:t>
                      </w:r>
                      <w:r w:rsidR="008C421A">
                        <w:rPr>
                          <w:sz w:val="20"/>
                          <w:lang w:val="en-US"/>
                        </w:rPr>
                        <w:t xml:space="preserve">July 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2019</w:t>
                      </w:r>
                    </w:p>
                    <w:p w14:paraId="3C055AD1" w14:textId="77777777" w:rsidR="00BB33B9" w:rsidRPr="00346B6D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2703"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32FA3C9" wp14:editId="05AB424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875B" w14:textId="77777777" w:rsidR="00BB33B9" w:rsidRPr="00B66B19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5EA7F5F" wp14:editId="40256004">
                                  <wp:extent cx="333375" cy="333375"/>
                                  <wp:effectExtent l="0" t="0" r="9525" b="9525"/>
                                  <wp:docPr id="1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2CC27AF0" w14:textId="77777777" w:rsidR="00BB33B9" w:rsidRPr="003F3148" w:rsidRDefault="00BB33B9" w:rsidP="00BB33B9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3BF30A9A" w14:textId="77777777" w:rsidR="00BB33B9" w:rsidRPr="003F3148" w:rsidRDefault="00BB33B9" w:rsidP="00BB33B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2FA3C9" id="_x0000_s1027" type="#_x0000_t202" style="position:absolute;margin-left:0;margin-top:6.55pt;width:2in;height:93.7pt;z-index:251806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2251875B" w14:textId="77777777" w:rsidR="00BB33B9" w:rsidRPr="00B66B19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5EA7F5F" wp14:editId="40256004">
                            <wp:extent cx="333375" cy="333375"/>
                            <wp:effectExtent l="0" t="0" r="9525" b="9525"/>
                            <wp:docPr id="1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2CC27AF0" w14:textId="77777777" w:rsidR="00BB33B9" w:rsidRPr="003F3148" w:rsidRDefault="00BB33B9" w:rsidP="00BB33B9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3BF30A9A" w14:textId="77777777" w:rsidR="00BB33B9" w:rsidRPr="003F3148" w:rsidRDefault="00BB33B9" w:rsidP="00BB33B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421A">
        <w:rPr>
          <w:lang w:val="en-GB"/>
        </w:rPr>
        <w:t>In July</w:t>
      </w:r>
      <w:r>
        <w:rPr>
          <w:lang w:val="en-GB"/>
        </w:rPr>
        <w:t xml:space="preserve"> 2020</w:t>
      </w:r>
      <w:r w:rsidRPr="00C52703">
        <w:rPr>
          <w:lang w:val="en-GB"/>
        </w:rPr>
        <w:t xml:space="preserve">, sold production of industry was by </w:t>
      </w:r>
      <w:r w:rsidR="008C421A">
        <w:rPr>
          <w:lang w:val="en-GB"/>
        </w:rPr>
        <w:t>1.1</w:t>
      </w:r>
      <w:r>
        <w:rPr>
          <w:lang w:val="en-GB"/>
        </w:rPr>
        <w:t xml:space="preserve">% </w:t>
      </w:r>
      <w:r w:rsidR="00DA7D4B">
        <w:rPr>
          <w:lang w:val="en-GB"/>
        </w:rPr>
        <w:t>higher</w:t>
      </w:r>
      <w:r>
        <w:rPr>
          <w:lang w:val="en-GB"/>
        </w:rPr>
        <w:t xml:space="preserve"> than in </w:t>
      </w:r>
      <w:r w:rsidR="008C421A">
        <w:rPr>
          <w:lang w:val="en-GB"/>
        </w:rPr>
        <w:t>July</w:t>
      </w:r>
      <w:r>
        <w:rPr>
          <w:lang w:val="en-GB"/>
        </w:rPr>
        <w:t xml:space="preserve"> 2019</w:t>
      </w:r>
      <w:r w:rsidRPr="00C52703">
        <w:rPr>
          <w:lang w:val="en-GB"/>
        </w:rPr>
        <w:t xml:space="preserve">, </w:t>
      </w:r>
      <w:r>
        <w:rPr>
          <w:spacing w:val="-2"/>
          <w:lang w:val="en-GB"/>
        </w:rPr>
        <w:t xml:space="preserve">when </w:t>
      </w:r>
      <w:r w:rsidR="005F27B3">
        <w:rPr>
          <w:spacing w:val="-2"/>
          <w:lang w:val="en-GB"/>
        </w:rPr>
        <w:t xml:space="preserve">an </w:t>
      </w:r>
      <w:r w:rsidR="008C421A">
        <w:rPr>
          <w:spacing w:val="-2"/>
          <w:lang w:val="en-GB"/>
        </w:rPr>
        <w:t>in</w:t>
      </w:r>
      <w:r w:rsidR="00DA7D4B">
        <w:rPr>
          <w:spacing w:val="-2"/>
          <w:lang w:val="en-GB"/>
        </w:rPr>
        <w:t>crease</w:t>
      </w:r>
      <w:r>
        <w:rPr>
          <w:spacing w:val="-2"/>
          <w:lang w:val="en-GB"/>
        </w:rPr>
        <w:t xml:space="preserve"> was recorded by </w:t>
      </w:r>
      <w:r w:rsidR="008C421A">
        <w:rPr>
          <w:spacing w:val="-2"/>
          <w:lang w:val="en-GB"/>
        </w:rPr>
        <w:t>5.8</w:t>
      </w:r>
      <w:r>
        <w:rPr>
          <w:spacing w:val="-2"/>
          <w:lang w:val="en-GB"/>
        </w:rPr>
        <w:t>%</w:t>
      </w:r>
      <w:r w:rsidR="00946446" w:rsidRPr="00946446">
        <w:rPr>
          <w:color w:val="FF0000"/>
          <w:lang w:val="en-GB"/>
        </w:rPr>
        <w:t xml:space="preserve"> </w:t>
      </w:r>
      <w:r w:rsidR="00946446" w:rsidRPr="00946446">
        <w:rPr>
          <w:lang w:val="en-GB"/>
        </w:rPr>
        <w:t>as compared to the previous year</w:t>
      </w:r>
      <w:r w:rsidRPr="00E337D4">
        <w:rPr>
          <w:spacing w:val="-2"/>
          <w:lang w:val="en-GB"/>
        </w:rPr>
        <w:t xml:space="preserve">, whereas </w:t>
      </w:r>
      <w:r w:rsidRPr="000640BF">
        <w:rPr>
          <w:spacing w:val="-2"/>
          <w:lang w:val="en-GB"/>
        </w:rPr>
        <w:t xml:space="preserve">in comparison with </w:t>
      </w:r>
      <w:r w:rsidR="008C421A">
        <w:rPr>
          <w:spacing w:val="-2"/>
          <w:lang w:val="en-GB"/>
        </w:rPr>
        <w:t>June</w:t>
      </w:r>
      <w:r>
        <w:rPr>
          <w:spacing w:val="-2"/>
          <w:lang w:val="en-GB"/>
        </w:rPr>
        <w:t xml:space="preserve"> 2020,</w:t>
      </w:r>
      <w:r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>it in</w:t>
      </w:r>
      <w:r w:rsidRPr="00E80B7A">
        <w:rPr>
          <w:spacing w:val="-2"/>
          <w:lang w:val="en-GB"/>
        </w:rPr>
        <w:t xml:space="preserve">creased </w:t>
      </w:r>
      <w:r w:rsidRPr="000640BF">
        <w:rPr>
          <w:spacing w:val="-2"/>
          <w:lang w:val="en-GB"/>
        </w:rPr>
        <w:t xml:space="preserve">by </w:t>
      </w:r>
      <w:r w:rsidR="008C421A">
        <w:rPr>
          <w:spacing w:val="-2"/>
          <w:lang w:val="en-GB"/>
        </w:rPr>
        <w:t>3.4</w:t>
      </w:r>
      <w:r w:rsidRPr="000640BF">
        <w:rPr>
          <w:spacing w:val="-2"/>
          <w:lang w:val="en-GB"/>
        </w:rPr>
        <w:t>%.</w:t>
      </w:r>
      <w:r w:rsidRPr="00B27CF9">
        <w:rPr>
          <w:lang w:val="en-GB"/>
        </w:rPr>
        <w:t xml:space="preserve"> </w:t>
      </w:r>
      <w:r w:rsidR="008C421A">
        <w:rPr>
          <w:lang w:val="en-GB"/>
        </w:rPr>
        <w:t>In the period January-July</w:t>
      </w:r>
      <w:r w:rsidR="0019680B">
        <w:rPr>
          <w:lang w:val="en-GB"/>
        </w:rPr>
        <w:t xml:space="preserve"> </w:t>
      </w:r>
      <w:r>
        <w:rPr>
          <w:lang w:val="en-GB"/>
        </w:rPr>
        <w:t>of 2020</w:t>
      </w:r>
      <w:r w:rsidRPr="00C52703">
        <w:rPr>
          <w:lang w:val="en-GB"/>
        </w:rPr>
        <w:t xml:space="preserve">, sold production of industry was </w:t>
      </w:r>
      <w:r w:rsidR="008C421A">
        <w:rPr>
          <w:lang w:val="en-GB"/>
        </w:rPr>
        <w:t>by 5.2</w:t>
      </w:r>
      <w:r w:rsidRPr="00C52703">
        <w:rPr>
          <w:lang w:val="en-GB"/>
        </w:rPr>
        <w:t xml:space="preserve">% </w:t>
      </w:r>
      <w:r>
        <w:rPr>
          <w:lang w:val="en-GB"/>
        </w:rPr>
        <w:t>lower</w:t>
      </w:r>
      <w:r w:rsidRPr="00C52703">
        <w:rPr>
          <w:lang w:val="en-GB"/>
        </w:rPr>
        <w:t xml:space="preserve"> than in </w:t>
      </w:r>
      <w:r>
        <w:rPr>
          <w:lang w:val="en-GB"/>
        </w:rPr>
        <w:t>the corresponding period of 2019,</w:t>
      </w:r>
      <w:r w:rsidRPr="00C52703">
        <w:rPr>
          <w:lang w:val="en-GB"/>
        </w:rPr>
        <w:t xml:space="preserve"> which saw a </w:t>
      </w:r>
      <w:r w:rsidR="00AE2BD8">
        <w:rPr>
          <w:lang w:val="en-GB"/>
        </w:rPr>
        <w:t>5.1</w:t>
      </w:r>
      <w:r w:rsidRPr="00C52703">
        <w:rPr>
          <w:lang w:val="en-GB"/>
        </w:rPr>
        <w:t xml:space="preserve">% </w:t>
      </w:r>
      <w:r w:rsidR="00DA7D4B">
        <w:rPr>
          <w:lang w:val="en-GB"/>
        </w:rPr>
        <w:t>growth</w:t>
      </w:r>
      <w:r>
        <w:rPr>
          <w:lang w:val="en-GB"/>
        </w:rPr>
        <w:t>.</w:t>
      </w:r>
    </w:p>
    <w:p w14:paraId="185AC143" w14:textId="75A1D4A7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6CB4EC45" w14:textId="6505DCD9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73D91776" w14:textId="228F3CA2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0302A253">
                <wp:simplePos x="0" y="0"/>
                <wp:positionH relativeFrom="column">
                  <wp:posOffset>5219065</wp:posOffset>
                </wp:positionH>
                <wp:positionV relativeFrom="paragraph">
                  <wp:posOffset>111760</wp:posOffset>
                </wp:positionV>
                <wp:extent cx="1704340" cy="855345"/>
                <wp:effectExtent l="0" t="0" r="0" b="1905"/>
                <wp:wrapTight wrapText="bothSides">
                  <wp:wrapPolygon edited="0">
                    <wp:start x="724" y="0"/>
                    <wp:lineTo x="724" y="21167"/>
                    <wp:lineTo x="20763" y="21167"/>
                    <wp:lineTo x="20763" y="0"/>
                    <wp:lineTo x="724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855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72DEDA2D" w:rsidR="00BB33B9" w:rsidRPr="00AE5BE5" w:rsidRDefault="006D5260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July</w:t>
                            </w:r>
                            <w:r w:rsid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 amounted to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0.2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BB33B9" w:rsidRPr="009D604E" w:rsidRDefault="00BB33B9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0.95pt;margin-top:8.8pt;width:134.2pt;height:67.35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" filled="f" stroked="f">
                <v:textbox>
                  <w:txbxContent>
                    <w:p w14:paraId="74E140B5" w14:textId="72DEDA2D" w:rsidR="00BB33B9" w:rsidRPr="00AE5BE5" w:rsidRDefault="006D5260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July</w:t>
                      </w:r>
                      <w:r w:rsid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 amounted to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0.2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BB33B9" w:rsidRPr="009D604E" w:rsidRDefault="00BB33B9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A660892" w14:textId="719A1270" w:rsidR="00BB33B9" w:rsidRPr="00AE5BE5" w:rsidRDefault="00BB33B9" w:rsidP="00BB33B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6D5260">
        <w:rPr>
          <w:noProof/>
          <w:spacing w:val="-2"/>
          <w:szCs w:val="19"/>
          <w:lang w:val="en-GB"/>
        </w:rPr>
        <w:t>July</w:t>
      </w:r>
      <w:r w:rsidRPr="00AE5BE5">
        <w:rPr>
          <w:noProof/>
          <w:spacing w:val="-2"/>
          <w:szCs w:val="19"/>
          <w:lang w:val="en-GB"/>
        </w:rPr>
        <w:t xml:space="preserve"> 2020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6D5260">
        <w:rPr>
          <w:noProof/>
          <w:spacing w:val="-2"/>
          <w:szCs w:val="19"/>
          <w:lang w:val="en-GB"/>
        </w:rPr>
        <w:t>0.2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19680B">
        <w:rPr>
          <w:noProof/>
          <w:spacing w:val="-2"/>
          <w:szCs w:val="19"/>
          <w:lang w:val="en-GB"/>
        </w:rPr>
        <w:t xml:space="preserve">onding month of 2019 and by </w:t>
      </w:r>
      <w:r w:rsidR="006D5260">
        <w:rPr>
          <w:noProof/>
          <w:spacing w:val="-2"/>
          <w:szCs w:val="19"/>
          <w:lang w:val="en-GB"/>
        </w:rPr>
        <w:t>6.2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19680B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 </w:t>
      </w:r>
      <w:r w:rsidR="006D5260">
        <w:rPr>
          <w:noProof/>
          <w:spacing w:val="-2"/>
          <w:szCs w:val="19"/>
          <w:lang w:val="en-GB"/>
        </w:rPr>
        <w:t>June</w:t>
      </w:r>
      <w:r>
        <w:rPr>
          <w:noProof/>
          <w:spacing w:val="-2"/>
          <w:szCs w:val="19"/>
          <w:lang w:val="en-GB"/>
        </w:rPr>
        <w:t xml:space="preserve"> 2020</w:t>
      </w:r>
      <w:r w:rsidRPr="00AE5BE5">
        <w:rPr>
          <w:noProof/>
          <w:spacing w:val="-2"/>
          <w:szCs w:val="19"/>
          <w:lang w:val="en-GB"/>
        </w:rPr>
        <w:t>.</w:t>
      </w:r>
    </w:p>
    <w:p w14:paraId="303DE366" w14:textId="2B1EA12C" w:rsidR="003627E7" w:rsidRPr="007B4306" w:rsidRDefault="003627E7" w:rsidP="003627E7">
      <w:pPr>
        <w:jc w:val="both"/>
        <w:rPr>
          <w:b/>
          <w:noProof/>
          <w:szCs w:val="19"/>
          <w:lang w:val="en-US" w:eastAsia="pl-PL"/>
        </w:rPr>
      </w:pPr>
    </w:p>
    <w:p w14:paraId="51497FAB" w14:textId="69F05222" w:rsidR="003627E7" w:rsidRPr="007B4306" w:rsidRDefault="000160A0" w:rsidP="003627E7">
      <w:pPr>
        <w:rPr>
          <w:b/>
          <w:spacing w:val="-2"/>
          <w:sz w:val="18"/>
          <w:szCs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23104" behindDoc="0" locked="0" layoutInCell="1" allowOverlap="1" wp14:anchorId="374AD783" wp14:editId="00E14C9C">
            <wp:simplePos x="0" y="0"/>
            <wp:positionH relativeFrom="margin">
              <wp:align>right</wp:align>
            </wp:positionH>
            <wp:positionV relativeFrom="paragraph">
              <wp:posOffset>247650</wp:posOffset>
            </wp:positionV>
            <wp:extent cx="5200650" cy="3151505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05D2ACF2" w14:textId="6662735B" w:rsidR="003627E7" w:rsidRPr="007B4306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  <w:lang w:val="en-US"/>
        </w:rPr>
      </w:pPr>
    </w:p>
    <w:p w14:paraId="517AA976" w14:textId="264DC020" w:rsidR="00361CAD" w:rsidRPr="00D75D28" w:rsidRDefault="005F27B3" w:rsidP="00361CAD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="00361CAD"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6D5260">
        <w:rPr>
          <w:b w:val="0"/>
          <w:sz w:val="19"/>
          <w:szCs w:val="19"/>
          <w:shd w:val="clear" w:color="auto" w:fill="FFFFFF"/>
          <w:lang w:val="en-GB"/>
        </w:rPr>
        <w:t>July</w:t>
      </w:r>
      <w:r w:rsidR="00361CAD"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61CAD">
        <w:rPr>
          <w:b w:val="0"/>
          <w:sz w:val="19"/>
          <w:szCs w:val="19"/>
          <w:shd w:val="clear" w:color="auto" w:fill="FFFFFF"/>
          <w:lang w:val="en-GB"/>
        </w:rPr>
        <w:t>2020, as compared to the previous year,</w:t>
      </w:r>
      <w:r w:rsidR="00361CAD"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 growth</w:t>
      </w:r>
      <w:r w:rsidR="00361CAD"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61CAD">
        <w:rPr>
          <w:b w:val="0"/>
          <w:sz w:val="19"/>
          <w:szCs w:val="19"/>
          <w:shd w:val="clear" w:color="auto" w:fill="FFFFFF"/>
          <w:lang w:val="en-GB"/>
        </w:rPr>
        <w:t>of</w:t>
      </w:r>
      <w:r w:rsidR="00361CAD"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 three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main industrial groupings</w:t>
      </w:r>
      <w:r w:rsidR="00361CAD" w:rsidRPr="00FC4B57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361CAD" w:rsidRPr="005B587B">
        <w:rPr>
          <w:b w:val="0"/>
          <w:sz w:val="19"/>
          <w:szCs w:val="19"/>
          <w:shd w:val="clear" w:color="auto" w:fill="FFFFFF"/>
          <w:lang w:val="en-GB"/>
        </w:rPr>
        <w:t xml:space="preserve">The production of durable consumer goods </w:t>
      </w:r>
      <w:r w:rsidR="00361CAD">
        <w:rPr>
          <w:b w:val="0"/>
          <w:sz w:val="19"/>
          <w:szCs w:val="19"/>
          <w:shd w:val="clear" w:color="auto" w:fill="FFFFFF"/>
          <w:lang w:val="en-GB"/>
        </w:rPr>
        <w:t xml:space="preserve">increased </w:t>
      </w:r>
      <w:r w:rsidR="00361CAD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6D5260">
        <w:rPr>
          <w:b w:val="0"/>
          <w:sz w:val="19"/>
          <w:szCs w:val="19"/>
          <w:shd w:val="clear" w:color="auto" w:fill="FFFFFF"/>
          <w:lang w:val="en-GB"/>
        </w:rPr>
        <w:t>22.9</w:t>
      </w:r>
      <w:r>
        <w:rPr>
          <w:b w:val="0"/>
          <w:sz w:val="19"/>
          <w:szCs w:val="19"/>
          <w:shd w:val="clear" w:color="auto" w:fill="FFFFFF"/>
          <w:lang w:val="en-GB"/>
        </w:rPr>
        <w:t>%,</w:t>
      </w:r>
      <w:r w:rsidR="006D5260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D5260" w:rsidRPr="005B587B">
        <w:rPr>
          <w:b w:val="0"/>
          <w:sz w:val="19"/>
          <w:szCs w:val="19"/>
          <w:shd w:val="clear" w:color="auto" w:fill="FFFFFF"/>
          <w:lang w:val="en-GB"/>
        </w:rPr>
        <w:t xml:space="preserve">non-durable consumer goods </w:t>
      </w:r>
      <w:r w:rsidR="006D5260">
        <w:rPr>
          <w:b w:val="0"/>
          <w:sz w:val="19"/>
          <w:szCs w:val="19"/>
          <w:shd w:val="clear" w:color="auto" w:fill="FFFFFF"/>
          <w:lang w:val="en-GB"/>
        </w:rPr>
        <w:t>– by 1.6%</w:t>
      </w:r>
      <w:r w:rsidR="006D5260" w:rsidRPr="006D5260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D5260">
        <w:rPr>
          <w:b w:val="0"/>
          <w:sz w:val="19"/>
          <w:szCs w:val="19"/>
          <w:shd w:val="clear" w:color="auto" w:fill="FFFFFF"/>
          <w:lang w:val="en-GB"/>
        </w:rPr>
        <w:t>and</w:t>
      </w:r>
      <w:r w:rsidR="006D5260" w:rsidRPr="005B587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61CAD" w:rsidRPr="005B587B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361CA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A412C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361CAD"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6D5260">
        <w:rPr>
          <w:b w:val="0"/>
          <w:sz w:val="19"/>
          <w:szCs w:val="19"/>
          <w:shd w:val="clear" w:color="auto" w:fill="FFFFFF"/>
          <w:lang w:val="en-GB"/>
        </w:rPr>
        <w:t>0.9</w:t>
      </w:r>
      <w:r w:rsidR="00361CAD">
        <w:rPr>
          <w:b w:val="0"/>
          <w:sz w:val="19"/>
          <w:szCs w:val="19"/>
          <w:shd w:val="clear" w:color="auto" w:fill="FFFFFF"/>
          <w:lang w:val="en-GB"/>
        </w:rPr>
        <w:t xml:space="preserve">%. </w:t>
      </w:r>
      <w:r w:rsidR="00361CAD" w:rsidRPr="00E2764C">
        <w:rPr>
          <w:b w:val="0"/>
          <w:sz w:val="19"/>
          <w:szCs w:val="19"/>
          <w:lang w:val="en-GB"/>
        </w:rPr>
        <w:t>A</w:t>
      </w:r>
      <w:r w:rsidR="00361CAD">
        <w:rPr>
          <w:b w:val="0"/>
          <w:sz w:val="19"/>
          <w:szCs w:val="19"/>
          <w:lang w:val="en-GB"/>
        </w:rPr>
        <w:t xml:space="preserve"> de</w:t>
      </w:r>
      <w:r w:rsidR="00361CAD" w:rsidRPr="00E2764C">
        <w:rPr>
          <w:b w:val="0"/>
          <w:sz w:val="19"/>
          <w:szCs w:val="19"/>
          <w:lang w:val="en-GB"/>
        </w:rPr>
        <w:t xml:space="preserve">crease was </w:t>
      </w:r>
      <w:r w:rsidR="00361CAD" w:rsidRPr="004D23D2">
        <w:rPr>
          <w:b w:val="0"/>
          <w:sz w:val="19"/>
          <w:szCs w:val="19"/>
          <w:lang w:val="en-GB"/>
        </w:rPr>
        <w:t>observed in</w:t>
      </w:r>
      <w:r w:rsidR="00361CAD" w:rsidRPr="004D23D2">
        <w:rPr>
          <w:sz w:val="19"/>
          <w:szCs w:val="19"/>
          <w:lang w:val="en-GB"/>
        </w:rPr>
        <w:t xml:space="preserve"> </w:t>
      </w:r>
      <w:r w:rsidR="00361CAD" w:rsidRPr="004D23D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361CAD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361CAD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61CAD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361CAD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6D5260">
        <w:rPr>
          <w:b w:val="0"/>
          <w:sz w:val="19"/>
          <w:szCs w:val="19"/>
          <w:shd w:val="clear" w:color="auto" w:fill="FFFFFF"/>
          <w:lang w:val="en-GB"/>
        </w:rPr>
        <w:t>7.0</w:t>
      </w:r>
      <w:r w:rsidR="00361CAD">
        <w:rPr>
          <w:b w:val="0"/>
          <w:sz w:val="19"/>
          <w:szCs w:val="19"/>
          <w:shd w:val="clear" w:color="auto" w:fill="FFFFFF"/>
          <w:lang w:val="en-GB"/>
        </w:rPr>
        <w:t xml:space="preserve">% and </w:t>
      </w:r>
      <w:r w:rsidR="00361CAD" w:rsidRPr="005B587B">
        <w:rPr>
          <w:b w:val="0"/>
          <w:sz w:val="19"/>
          <w:szCs w:val="19"/>
          <w:shd w:val="clear" w:color="auto" w:fill="FFFFFF"/>
          <w:lang w:val="en-GB"/>
        </w:rPr>
        <w:t>capital goods</w:t>
      </w:r>
      <w:r w:rsidR="00361CAD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361CAD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6D5260">
        <w:rPr>
          <w:b w:val="0"/>
          <w:sz w:val="19"/>
          <w:szCs w:val="19"/>
          <w:shd w:val="clear" w:color="auto" w:fill="FFFFFF"/>
          <w:lang w:val="en-GB"/>
        </w:rPr>
        <w:t>3.3</w:t>
      </w:r>
      <w:r w:rsidR="00361CAD">
        <w:rPr>
          <w:b w:val="0"/>
          <w:sz w:val="19"/>
          <w:szCs w:val="19"/>
          <w:shd w:val="clear" w:color="auto" w:fill="FFFFFF"/>
          <w:lang w:val="en-GB"/>
        </w:rPr>
        <w:t>%.</w:t>
      </w:r>
    </w:p>
    <w:p w14:paraId="1F90A97A" w14:textId="77777777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0BC26C1D" w14:textId="77777777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3CBA5041" w14:textId="77777777" w:rsidR="00BB33B9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08C039FB" w14:textId="3FB1AEBD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82"/>
        <w:gridCol w:w="1383"/>
        <w:gridCol w:w="1521"/>
        <w:gridCol w:w="1305"/>
      </w:tblGrid>
      <w:tr w:rsidR="00BB33B9" w:rsidRPr="00C52703" w14:paraId="6891EC02" w14:textId="77777777" w:rsidTr="00554A1B">
        <w:trPr>
          <w:trHeight w:val="113"/>
        </w:trPr>
        <w:tc>
          <w:tcPr>
            <w:tcW w:w="2489" w:type="dxa"/>
            <w:vMerge w:val="restart"/>
            <w:vAlign w:val="center"/>
          </w:tcPr>
          <w:p w14:paraId="517CF865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6" w:type="dxa"/>
            <w:gridSpan w:val="3"/>
            <w:vAlign w:val="center"/>
          </w:tcPr>
          <w:p w14:paraId="42522CF5" w14:textId="1C8E363D" w:rsidR="00BB33B9" w:rsidRPr="00C52703" w:rsidRDefault="00AC502E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V</w:t>
            </w:r>
            <w:r w:rsidR="00361CAD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8C421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6C1B1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</w:p>
        </w:tc>
        <w:tc>
          <w:tcPr>
            <w:tcW w:w="1305" w:type="dxa"/>
          </w:tcPr>
          <w:p w14:paraId="65938CEA" w14:textId="6A21C566" w:rsidR="00BB33B9" w:rsidRPr="00C52703" w:rsidRDefault="0019680B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</w:t>
            </w:r>
            <w:r w:rsidR="00AC502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V</w:t>
            </w:r>
            <w:r w:rsidR="00361CAD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8C421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="006C1B1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  <w:r w:rsidR="001879A1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BB33B9" w:rsidRPr="00C52703" w14:paraId="06217E12" w14:textId="77777777" w:rsidTr="00554A1B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4118045C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tcBorders>
              <w:bottom w:val="single" w:sz="12" w:space="0" w:color="212492"/>
            </w:tcBorders>
            <w:vAlign w:val="center"/>
          </w:tcPr>
          <w:p w14:paraId="516C0C05" w14:textId="16C39628" w:rsidR="00BB33B9" w:rsidRPr="00C52703" w:rsidRDefault="0019680B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8C421A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  <w:r w:rsidR="00BB33B9"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383" w:type="dxa"/>
            <w:tcBorders>
              <w:bottom w:val="single" w:sz="12" w:space="0" w:color="212492"/>
            </w:tcBorders>
            <w:vAlign w:val="center"/>
          </w:tcPr>
          <w:p w14:paraId="39160A69" w14:textId="686447C2" w:rsidR="00BB33B9" w:rsidRPr="00C52703" w:rsidRDefault="00AC502E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361CA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8C421A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>9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21" w:type="dxa"/>
            <w:tcBorders>
              <w:bottom w:val="single" w:sz="12" w:space="0" w:color="212492"/>
            </w:tcBorders>
            <w:vAlign w:val="center"/>
          </w:tcPr>
          <w:p w14:paraId="1D9A3BE2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40F8097E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305" w:type="dxa"/>
            <w:tcBorders>
              <w:bottom w:val="single" w:sz="12" w:space="0" w:color="212492"/>
            </w:tcBorders>
            <w:vAlign w:val="center"/>
          </w:tcPr>
          <w:p w14:paraId="0691100D" w14:textId="2C9ED7C9" w:rsidR="00BB33B9" w:rsidRPr="00C43A96" w:rsidRDefault="0019680B" w:rsidP="00554A1B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I-</w:t>
            </w:r>
            <w:r w:rsidR="00AC502E">
              <w:rPr>
                <w:sz w:val="16"/>
                <w:szCs w:val="16"/>
                <w:lang w:val="en-GB"/>
              </w:rPr>
              <w:t>V</w:t>
            </w:r>
            <w:r w:rsidR="00361CAD">
              <w:rPr>
                <w:sz w:val="16"/>
                <w:szCs w:val="16"/>
                <w:lang w:val="en-GB"/>
              </w:rPr>
              <w:t>I</w:t>
            </w:r>
            <w:r w:rsidR="008C421A">
              <w:rPr>
                <w:sz w:val="16"/>
                <w:szCs w:val="16"/>
                <w:lang w:val="en-GB"/>
              </w:rPr>
              <w:t>I</w:t>
            </w:r>
            <w:r w:rsidR="00BB33B9" w:rsidRPr="00C43A96">
              <w:rPr>
                <w:sz w:val="16"/>
                <w:szCs w:val="16"/>
                <w:lang w:val="en-GB"/>
              </w:rPr>
              <w:t xml:space="preserve"> 201</w:t>
            </w:r>
            <w:r w:rsidR="006C1B1E">
              <w:rPr>
                <w:sz w:val="16"/>
                <w:szCs w:val="16"/>
                <w:lang w:val="en-GB"/>
              </w:rPr>
              <w:t>9</w:t>
            </w:r>
            <w:r w:rsidR="00BB33B9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19680B" w:rsidRPr="00C52703" w14:paraId="7D22D384" w14:textId="77777777" w:rsidTr="00554A1B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4DEE269F" w14:textId="77777777" w:rsidR="0019680B" w:rsidRPr="00C52703" w:rsidRDefault="0019680B" w:rsidP="0019680B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82" w:type="dxa"/>
            <w:tcBorders>
              <w:top w:val="single" w:sz="12" w:space="0" w:color="212492"/>
            </w:tcBorders>
            <w:vAlign w:val="center"/>
          </w:tcPr>
          <w:p w14:paraId="444C7070" w14:textId="64C90BEA" w:rsidR="0019680B" w:rsidRPr="009D4C87" w:rsidRDefault="008C421A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103.4</w:t>
            </w:r>
          </w:p>
        </w:tc>
        <w:tc>
          <w:tcPr>
            <w:tcW w:w="1383" w:type="dxa"/>
            <w:tcBorders>
              <w:top w:val="single" w:sz="12" w:space="0" w:color="212492"/>
            </w:tcBorders>
            <w:vAlign w:val="center"/>
          </w:tcPr>
          <w:p w14:paraId="438247E3" w14:textId="37493398" w:rsidR="0019680B" w:rsidRPr="009D4C87" w:rsidRDefault="008C421A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101.1</w:t>
            </w:r>
          </w:p>
        </w:tc>
        <w:tc>
          <w:tcPr>
            <w:tcW w:w="1521" w:type="dxa"/>
            <w:tcBorders>
              <w:top w:val="single" w:sz="12" w:space="0" w:color="212492"/>
            </w:tcBorders>
            <w:vAlign w:val="center"/>
          </w:tcPr>
          <w:p w14:paraId="780CA913" w14:textId="36C81B6B" w:rsidR="0019680B" w:rsidRPr="00DD58F4" w:rsidRDefault="006D5260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120.4</w:t>
            </w:r>
          </w:p>
        </w:tc>
        <w:tc>
          <w:tcPr>
            <w:tcW w:w="1305" w:type="dxa"/>
            <w:tcBorders>
              <w:top w:val="single" w:sz="12" w:space="0" w:color="212492"/>
            </w:tcBorders>
            <w:vAlign w:val="center"/>
          </w:tcPr>
          <w:p w14:paraId="18BF4766" w14:textId="6453696B" w:rsidR="0019680B" w:rsidRPr="009D4C87" w:rsidRDefault="008C421A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94.8</w:t>
            </w:r>
          </w:p>
        </w:tc>
      </w:tr>
      <w:tr w:rsidR="0019680B" w:rsidRPr="001D6A44" w14:paraId="2A38CBFB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3C196963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82" w:type="dxa"/>
            <w:vAlign w:val="center"/>
          </w:tcPr>
          <w:p w14:paraId="35ECCD50" w14:textId="0FDAFE4E" w:rsidR="0019680B" w:rsidRPr="009D4C87" w:rsidRDefault="008C421A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94.1</w:t>
            </w:r>
          </w:p>
        </w:tc>
        <w:tc>
          <w:tcPr>
            <w:tcW w:w="1383" w:type="dxa"/>
            <w:vAlign w:val="center"/>
          </w:tcPr>
          <w:p w14:paraId="588D4170" w14:textId="0E4D285C" w:rsidR="0019680B" w:rsidRPr="009D4C87" w:rsidRDefault="008C421A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94.3</w:t>
            </w:r>
          </w:p>
        </w:tc>
        <w:tc>
          <w:tcPr>
            <w:tcW w:w="1521" w:type="dxa"/>
            <w:vAlign w:val="center"/>
          </w:tcPr>
          <w:p w14:paraId="3E145B8D" w14:textId="35D0B30F" w:rsidR="0019680B" w:rsidRPr="00DD58F4" w:rsidRDefault="006D5260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81.2</w:t>
            </w:r>
          </w:p>
        </w:tc>
        <w:tc>
          <w:tcPr>
            <w:tcW w:w="1305" w:type="dxa"/>
            <w:vAlign w:val="center"/>
          </w:tcPr>
          <w:p w14:paraId="2E08FF59" w14:textId="6F001A84" w:rsidR="0019680B" w:rsidRPr="009D4C87" w:rsidRDefault="008C421A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91.4</w:t>
            </w:r>
          </w:p>
        </w:tc>
      </w:tr>
      <w:tr w:rsidR="0019680B" w:rsidRPr="001D6A44" w14:paraId="150A3897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5FF61D12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82" w:type="dxa"/>
            <w:vAlign w:val="center"/>
          </w:tcPr>
          <w:p w14:paraId="7FC620EA" w14:textId="5F5AB832" w:rsidR="0019680B" w:rsidRPr="009D4C87" w:rsidRDefault="008C421A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103.8</w:t>
            </w:r>
          </w:p>
        </w:tc>
        <w:tc>
          <w:tcPr>
            <w:tcW w:w="1383" w:type="dxa"/>
            <w:vAlign w:val="center"/>
          </w:tcPr>
          <w:p w14:paraId="6EE9A7FE" w14:textId="4112189B" w:rsidR="0019680B" w:rsidRPr="009D4C87" w:rsidRDefault="008C421A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101.1</w:t>
            </w:r>
          </w:p>
        </w:tc>
        <w:tc>
          <w:tcPr>
            <w:tcW w:w="1521" w:type="dxa"/>
            <w:vAlign w:val="center"/>
          </w:tcPr>
          <w:p w14:paraId="14DEA633" w14:textId="22722277" w:rsidR="0019680B" w:rsidRPr="00DD58F4" w:rsidRDefault="006D5260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124.3</w:t>
            </w:r>
          </w:p>
        </w:tc>
        <w:tc>
          <w:tcPr>
            <w:tcW w:w="1305" w:type="dxa"/>
            <w:vAlign w:val="center"/>
          </w:tcPr>
          <w:p w14:paraId="3C9AADCC" w14:textId="72062253" w:rsidR="0019680B" w:rsidRPr="009D4C87" w:rsidRDefault="008C421A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94.4</w:t>
            </w:r>
          </w:p>
        </w:tc>
      </w:tr>
      <w:tr w:rsidR="0019680B" w:rsidRPr="00D22ECE" w14:paraId="42745E07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4429A54A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CB6D6B6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82" w:type="dxa"/>
            <w:vAlign w:val="center"/>
          </w:tcPr>
          <w:p w14:paraId="5D57BAE3" w14:textId="36594968" w:rsidR="0019680B" w:rsidRPr="009D4C87" w:rsidRDefault="008C421A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102.0</w:t>
            </w:r>
          </w:p>
        </w:tc>
        <w:tc>
          <w:tcPr>
            <w:tcW w:w="1383" w:type="dxa"/>
            <w:vAlign w:val="center"/>
          </w:tcPr>
          <w:p w14:paraId="09A98E34" w14:textId="6E46BB36" w:rsidR="0019680B" w:rsidRPr="009D4C87" w:rsidRDefault="008C421A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101.8</w:t>
            </w:r>
          </w:p>
        </w:tc>
        <w:tc>
          <w:tcPr>
            <w:tcW w:w="1521" w:type="dxa"/>
            <w:vAlign w:val="center"/>
          </w:tcPr>
          <w:p w14:paraId="48C11E68" w14:textId="0FA0E4CF" w:rsidR="0019680B" w:rsidRPr="00DD58F4" w:rsidRDefault="006D5260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92.1</w:t>
            </w:r>
          </w:p>
        </w:tc>
        <w:tc>
          <w:tcPr>
            <w:tcW w:w="1305" w:type="dxa"/>
            <w:vAlign w:val="center"/>
          </w:tcPr>
          <w:p w14:paraId="33B85A7E" w14:textId="705FCB67" w:rsidR="0019680B" w:rsidRPr="009D4C87" w:rsidRDefault="008C421A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98.0</w:t>
            </w:r>
          </w:p>
        </w:tc>
      </w:tr>
      <w:tr w:rsidR="0019680B" w:rsidRPr="00A20FD5" w14:paraId="48DD5616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05480C9C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38187CE3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E7BDD7E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82" w:type="dxa"/>
            <w:vAlign w:val="center"/>
          </w:tcPr>
          <w:p w14:paraId="10ECFA20" w14:textId="1A61DC32" w:rsidR="0019680B" w:rsidRPr="009D4C87" w:rsidRDefault="008C421A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102.5</w:t>
            </w:r>
          </w:p>
        </w:tc>
        <w:tc>
          <w:tcPr>
            <w:tcW w:w="1383" w:type="dxa"/>
            <w:vAlign w:val="center"/>
          </w:tcPr>
          <w:p w14:paraId="6E445ECF" w14:textId="2A88FCB5" w:rsidR="0019680B" w:rsidRPr="009D4C87" w:rsidRDefault="008C421A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107.5</w:t>
            </w:r>
          </w:p>
        </w:tc>
        <w:tc>
          <w:tcPr>
            <w:tcW w:w="1521" w:type="dxa"/>
            <w:vAlign w:val="center"/>
          </w:tcPr>
          <w:p w14:paraId="4FF62C73" w14:textId="2A7687CE" w:rsidR="0019680B" w:rsidRPr="00DD58F4" w:rsidRDefault="006D5260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135.4</w:t>
            </w:r>
          </w:p>
        </w:tc>
        <w:tc>
          <w:tcPr>
            <w:tcW w:w="1305" w:type="dxa"/>
            <w:vAlign w:val="center"/>
          </w:tcPr>
          <w:p w14:paraId="32141E5B" w14:textId="260B14FF" w:rsidR="0019680B" w:rsidRPr="009D4C87" w:rsidRDefault="008C421A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105.1</w:t>
            </w:r>
          </w:p>
        </w:tc>
      </w:tr>
    </w:tbl>
    <w:p w14:paraId="6E3C5957" w14:textId="26EBB12D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1C3C4629" w14:textId="6303EF83" w:rsidR="00BB33B9" w:rsidRDefault="001879A1" w:rsidP="00BB33B9">
      <w:pPr>
        <w:spacing w:before="60" w:after="0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  <w:lang w:val="en-GB"/>
        </w:rPr>
        <w:t>a</w:t>
      </w:r>
      <w:r w:rsidR="00BB33B9" w:rsidRPr="006107B6">
        <w:rPr>
          <w:sz w:val="16"/>
          <w:szCs w:val="16"/>
          <w:vertAlign w:val="superscript"/>
          <w:lang w:val="en-GB"/>
        </w:rPr>
        <w:t>)</w:t>
      </w:r>
      <w:r w:rsidR="00BB33B9">
        <w:rPr>
          <w:sz w:val="16"/>
          <w:szCs w:val="16"/>
          <w:lang w:val="en-GB"/>
        </w:rPr>
        <w:t xml:space="preserve"> </w:t>
      </w:r>
      <w:r w:rsidR="00BB33B9" w:rsidRPr="006107B6">
        <w:rPr>
          <w:sz w:val="16"/>
          <w:szCs w:val="16"/>
          <w:lang w:val="en-GB"/>
        </w:rPr>
        <w:t>Data including final information on production and prices in</w:t>
      </w:r>
      <w:r w:rsidR="008C421A">
        <w:rPr>
          <w:sz w:val="16"/>
          <w:szCs w:val="16"/>
          <w:lang w:val="en-GB"/>
        </w:rPr>
        <w:t xml:space="preserve"> June and reported data – in July</w:t>
      </w:r>
      <w:r w:rsidR="00BB33B9">
        <w:rPr>
          <w:sz w:val="16"/>
          <w:szCs w:val="16"/>
          <w:lang w:val="en-GB"/>
        </w:rPr>
        <w:t>.</w:t>
      </w:r>
    </w:p>
    <w:p w14:paraId="52E735D6" w14:textId="3B9B2B97" w:rsidR="003627E7" w:rsidRPr="007B4306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2B1C7A73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7FA4EC7C" w:rsidR="00BB33B9" w:rsidRPr="00BB33B9" w:rsidRDefault="00BB33B9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DA7D4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 w:rsidR="008C42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July</w:t>
                            </w:r>
                            <w:r w:rsidR="006C1B1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8C42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67.6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3627E7" w:rsidRPr="007B4306" w:rsidRDefault="003627E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" filled="f" stroked="f">
                <v:textbox>
                  <w:txbxContent>
                    <w:p w14:paraId="5F2B646E" w14:textId="7FA4EC7C" w:rsidR="00BB33B9" w:rsidRPr="00BB33B9" w:rsidRDefault="00BB33B9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DA7D4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 w:rsidR="008C42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July</w:t>
                      </w:r>
                      <w:r w:rsidR="006C1B1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8C42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67.6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3627E7" w:rsidRPr="007B4306" w:rsidRDefault="003627E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</w:p>
    <w:p w14:paraId="56A7D940" w14:textId="08C75008" w:rsidR="008C421A" w:rsidRPr="008F4C41" w:rsidRDefault="00BB33B9" w:rsidP="00BB33B9">
      <w:pPr>
        <w:spacing w:before="0" w:after="0"/>
        <w:rPr>
          <w:lang w:val="en-US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 July</w:t>
      </w:r>
      <w:r>
        <w:rPr>
          <w:noProof/>
          <w:spacing w:val="-2"/>
          <w:szCs w:val="19"/>
          <w:lang w:val="en-GB"/>
        </w:rPr>
        <w:t xml:space="preserve"> 2020,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>as compared to July</w:t>
      </w:r>
      <w:r>
        <w:rPr>
          <w:noProof/>
          <w:spacing w:val="-2"/>
          <w:szCs w:val="19"/>
          <w:lang w:val="en-GB"/>
        </w:rPr>
        <w:t xml:space="preserve"> 2019,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8C421A">
        <w:rPr>
          <w:noProof/>
          <w:spacing w:val="-2"/>
          <w:szCs w:val="19"/>
          <w:lang w:val="en-GB"/>
        </w:rPr>
        <w:t>20</w:t>
      </w:r>
      <w:r w:rsidRPr="00D22ECE">
        <w:rPr>
          <w:noProof/>
          <w:spacing w:val="-2"/>
          <w:szCs w:val="19"/>
          <w:lang w:val="en-GB"/>
        </w:rPr>
        <w:t xml:space="preserve"> (out of 34) industry divisions, among others,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 w:rsidR="00082002">
        <w:rPr>
          <w:noProof/>
          <w:spacing w:val="-2"/>
          <w:szCs w:val="19"/>
          <w:lang w:val="en-GB"/>
        </w:rPr>
        <w:t xml:space="preserve">manufacture of furniture – by </w:t>
      </w:r>
      <w:r w:rsidR="008C421A">
        <w:rPr>
          <w:noProof/>
          <w:spacing w:val="-2"/>
          <w:szCs w:val="19"/>
          <w:lang w:val="en-GB"/>
        </w:rPr>
        <w:t>24.2</w:t>
      </w:r>
      <w:r w:rsidR="00082002">
        <w:rPr>
          <w:noProof/>
          <w:spacing w:val="-2"/>
          <w:szCs w:val="19"/>
          <w:lang w:val="en-GB"/>
        </w:rPr>
        <w:t>%,</w:t>
      </w:r>
      <w:r w:rsidR="00082002" w:rsidRPr="008F4C41">
        <w:rPr>
          <w:lang w:val="en-US"/>
        </w:rPr>
        <w:t xml:space="preserve"> </w:t>
      </w:r>
      <w:r w:rsidR="008C421A">
        <w:rPr>
          <w:noProof/>
          <w:spacing w:val="-2"/>
          <w:szCs w:val="19"/>
          <w:lang w:val="en-GB"/>
        </w:rPr>
        <w:t>manufacture of computer, electronic and optical products – by 15.3%,</w:t>
      </w:r>
      <w:r w:rsidR="008C421A" w:rsidRPr="008C421A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>m</w:t>
      </w:r>
      <w:r w:rsidR="008C421A" w:rsidRPr="00082002">
        <w:rPr>
          <w:noProof/>
          <w:spacing w:val="-2"/>
          <w:szCs w:val="19"/>
          <w:lang w:val="en-GB"/>
        </w:rPr>
        <w:t>anufacture of products of wood, cork, straw</w:t>
      </w:r>
      <w:r w:rsidR="008C421A" w:rsidRPr="008F4C41">
        <w:rPr>
          <w:lang w:val="en-US"/>
        </w:rPr>
        <w:t xml:space="preserve"> </w:t>
      </w:r>
      <w:r w:rsidR="008C421A" w:rsidRPr="00082002">
        <w:rPr>
          <w:noProof/>
          <w:spacing w:val="-2"/>
          <w:szCs w:val="19"/>
          <w:lang w:val="en-GB"/>
        </w:rPr>
        <w:t>and wicker</w:t>
      </w:r>
      <w:r w:rsidR="008C421A">
        <w:rPr>
          <w:noProof/>
          <w:spacing w:val="-2"/>
          <w:szCs w:val="19"/>
          <w:lang w:val="en-GB"/>
        </w:rPr>
        <w:t xml:space="preserve"> – by 14.8%,</w:t>
      </w:r>
      <w:r w:rsidR="008C421A" w:rsidRPr="008C421A">
        <w:rPr>
          <w:noProof/>
          <w:szCs w:val="19"/>
          <w:lang w:val="en-GB"/>
        </w:rPr>
        <w:t xml:space="preserve"> </w:t>
      </w:r>
      <w:r w:rsidR="008C421A" w:rsidRPr="009D61BA">
        <w:rPr>
          <w:noProof/>
          <w:szCs w:val="19"/>
          <w:lang w:val="en-GB"/>
        </w:rPr>
        <w:t xml:space="preserve">manufacture of electrical equipment – by </w:t>
      </w:r>
      <w:r w:rsidR="008C421A">
        <w:rPr>
          <w:noProof/>
          <w:szCs w:val="19"/>
          <w:lang w:val="en-GB"/>
        </w:rPr>
        <w:t>7.1%,</w:t>
      </w:r>
      <w:r w:rsidR="008C421A" w:rsidRPr="008C421A">
        <w:rPr>
          <w:noProof/>
          <w:spacing w:val="-2"/>
          <w:szCs w:val="19"/>
          <w:lang w:val="en-GB"/>
        </w:rPr>
        <w:t xml:space="preserve"> </w:t>
      </w:r>
      <w:r w:rsidR="008C421A" w:rsidRPr="00D22ECE">
        <w:rPr>
          <w:noProof/>
          <w:spacing w:val="-2"/>
          <w:szCs w:val="19"/>
          <w:lang w:val="en-GB"/>
        </w:rPr>
        <w:t>manufa</w:t>
      </w:r>
      <w:r w:rsidR="008C421A">
        <w:rPr>
          <w:noProof/>
          <w:spacing w:val="-2"/>
          <w:szCs w:val="19"/>
          <w:lang w:val="en-GB"/>
        </w:rPr>
        <w:t>cture of rubber and plastic products – by 4.5%,</w:t>
      </w:r>
      <w:r w:rsidR="008C421A" w:rsidRPr="008F4C41">
        <w:rPr>
          <w:lang w:val="en-US"/>
        </w:rPr>
        <w:t xml:space="preserve"> </w:t>
      </w:r>
      <w:r w:rsidR="008C421A">
        <w:rPr>
          <w:noProof/>
          <w:spacing w:val="-2"/>
          <w:szCs w:val="19"/>
          <w:lang w:val="en-GB"/>
        </w:rPr>
        <w:t>m</w:t>
      </w:r>
      <w:r w:rsidR="008C421A" w:rsidRPr="008C421A">
        <w:rPr>
          <w:noProof/>
          <w:spacing w:val="-2"/>
          <w:szCs w:val="19"/>
          <w:lang w:val="en-GB"/>
        </w:rPr>
        <w:t>anufacture of chemicals and chemical products</w:t>
      </w:r>
      <w:r w:rsidR="00D74A5B">
        <w:rPr>
          <w:noProof/>
          <w:spacing w:val="-2"/>
          <w:szCs w:val="19"/>
          <w:lang w:val="en-GB"/>
        </w:rPr>
        <w:t xml:space="preserve"> – by 4.1%.</w:t>
      </w:r>
      <w:r w:rsidR="00D74A5B" w:rsidRPr="00D74A5B">
        <w:rPr>
          <w:noProof/>
          <w:spacing w:val="-2"/>
          <w:szCs w:val="19"/>
          <w:lang w:val="en-GB"/>
        </w:rPr>
        <w:t xml:space="preserve"> </w:t>
      </w:r>
    </w:p>
    <w:p w14:paraId="59CCEF03" w14:textId="1E5B1971" w:rsidR="00082002" w:rsidRDefault="00DA7D4B" w:rsidP="00082002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082002">
        <w:rPr>
          <w:noProof/>
          <w:szCs w:val="19"/>
          <w:lang w:val="en-GB"/>
        </w:rPr>
        <w:t> de</w:t>
      </w:r>
      <w:r w:rsidR="00BB33B9" w:rsidRPr="00223D02">
        <w:rPr>
          <w:noProof/>
          <w:szCs w:val="19"/>
          <w:lang w:val="en-GB"/>
        </w:rPr>
        <w:t>crease in sold production o</w:t>
      </w:r>
      <w:r w:rsidR="00D74A5B">
        <w:rPr>
          <w:noProof/>
          <w:szCs w:val="19"/>
          <w:lang w:val="en-GB"/>
        </w:rPr>
        <w:t>f industry, as compared to July</w:t>
      </w:r>
      <w:r w:rsidR="00082002">
        <w:rPr>
          <w:noProof/>
          <w:szCs w:val="19"/>
          <w:lang w:val="en-GB"/>
        </w:rPr>
        <w:t xml:space="preserve"> 2019, was </w:t>
      </w:r>
      <w:r w:rsidR="00D74A5B">
        <w:rPr>
          <w:noProof/>
          <w:szCs w:val="19"/>
          <w:lang w:val="en-GB"/>
        </w:rPr>
        <w:t>recorded in 14</w:t>
      </w:r>
      <w:r w:rsidR="00BB33B9" w:rsidRPr="00223D02">
        <w:rPr>
          <w:noProof/>
          <w:szCs w:val="19"/>
          <w:lang w:val="en-GB"/>
        </w:rPr>
        <w:t xml:space="preserve"> divisions, among other</w:t>
      </w:r>
      <w:r w:rsidR="00382CAB">
        <w:rPr>
          <w:noProof/>
          <w:szCs w:val="19"/>
          <w:lang w:val="en-GB"/>
        </w:rPr>
        <w:t xml:space="preserve">s, </w:t>
      </w:r>
      <w:r w:rsidR="00D74A5B">
        <w:rPr>
          <w:noProof/>
          <w:spacing w:val="-2"/>
          <w:szCs w:val="19"/>
          <w:lang w:val="en-GB"/>
        </w:rPr>
        <w:t>in mining of coal and lignite – by 18.4%,</w:t>
      </w:r>
      <w:r w:rsidR="00D74A5B" w:rsidRPr="00D74A5B">
        <w:rPr>
          <w:noProof/>
          <w:spacing w:val="-2"/>
          <w:szCs w:val="19"/>
          <w:lang w:val="en-GB"/>
        </w:rPr>
        <w:t xml:space="preserve"> </w:t>
      </w:r>
      <w:r w:rsidR="00D74A5B">
        <w:rPr>
          <w:noProof/>
          <w:szCs w:val="19"/>
          <w:lang w:val="en-GB"/>
        </w:rPr>
        <w:t>in</w:t>
      </w:r>
      <w:r w:rsidR="00D74A5B" w:rsidRPr="00223D02">
        <w:rPr>
          <w:noProof/>
          <w:szCs w:val="19"/>
          <w:lang w:val="en-GB"/>
        </w:rPr>
        <w:t xml:space="preserve"> </w:t>
      </w:r>
      <w:r w:rsidR="00D74A5B" w:rsidRPr="00D22ECE">
        <w:rPr>
          <w:noProof/>
          <w:spacing w:val="-2"/>
          <w:szCs w:val="19"/>
          <w:lang w:val="en-GB"/>
        </w:rPr>
        <w:t>manufacture of</w:t>
      </w:r>
      <w:r w:rsidR="00D74A5B">
        <w:rPr>
          <w:noProof/>
          <w:spacing w:val="-2"/>
          <w:szCs w:val="19"/>
          <w:lang w:val="en-GB"/>
        </w:rPr>
        <w:t xml:space="preserve"> coke and refined petroleum products – by 15.0</w:t>
      </w:r>
      <w:r w:rsidR="00D74A5B" w:rsidRPr="00223D02">
        <w:rPr>
          <w:noProof/>
          <w:spacing w:val="-2"/>
          <w:szCs w:val="19"/>
          <w:lang w:val="en-GB"/>
        </w:rPr>
        <w:t>%,</w:t>
      </w:r>
      <w:r w:rsidR="00D74A5B" w:rsidRPr="00082002">
        <w:rPr>
          <w:noProof/>
          <w:spacing w:val="-2"/>
          <w:szCs w:val="19"/>
          <w:lang w:val="en-GB"/>
        </w:rPr>
        <w:t xml:space="preserve"> </w:t>
      </w:r>
      <w:r w:rsidR="00D74A5B">
        <w:rPr>
          <w:noProof/>
          <w:spacing w:val="-2"/>
          <w:szCs w:val="19"/>
          <w:lang w:val="en-GB"/>
        </w:rPr>
        <w:t>m</w:t>
      </w:r>
      <w:r w:rsidR="00D74A5B" w:rsidRPr="00B7682E">
        <w:rPr>
          <w:noProof/>
          <w:spacing w:val="-2"/>
          <w:szCs w:val="19"/>
          <w:lang w:val="en-GB"/>
        </w:rPr>
        <w:t xml:space="preserve">anufacture of </w:t>
      </w:r>
      <w:r w:rsidR="00D74A5B">
        <w:rPr>
          <w:noProof/>
          <w:spacing w:val="-2"/>
          <w:szCs w:val="19"/>
          <w:lang w:val="en-GB"/>
        </w:rPr>
        <w:t>machinery and equipment – by 13.3%,</w:t>
      </w:r>
      <w:r w:rsidR="00D74A5B" w:rsidRPr="00D74A5B">
        <w:rPr>
          <w:noProof/>
          <w:spacing w:val="-2"/>
          <w:szCs w:val="19"/>
          <w:lang w:val="en-GB"/>
        </w:rPr>
        <w:t xml:space="preserve"> </w:t>
      </w:r>
      <w:r w:rsidR="00D74A5B" w:rsidRPr="00223D02">
        <w:rPr>
          <w:noProof/>
          <w:spacing w:val="-2"/>
          <w:szCs w:val="19"/>
          <w:lang w:val="en-GB"/>
        </w:rPr>
        <w:t>manufac</w:t>
      </w:r>
      <w:r w:rsidR="00D74A5B">
        <w:rPr>
          <w:noProof/>
          <w:spacing w:val="-2"/>
          <w:szCs w:val="19"/>
          <w:lang w:val="en-GB"/>
        </w:rPr>
        <w:t>ture of basic metals – by 9.7</w:t>
      </w:r>
      <w:r w:rsidR="00D74A5B" w:rsidRPr="00223D02">
        <w:rPr>
          <w:noProof/>
          <w:spacing w:val="-2"/>
          <w:szCs w:val="19"/>
          <w:lang w:val="en-GB"/>
        </w:rPr>
        <w:t>%</w:t>
      </w:r>
      <w:r w:rsidR="00D74A5B">
        <w:rPr>
          <w:noProof/>
          <w:spacing w:val="-2"/>
          <w:szCs w:val="19"/>
          <w:lang w:val="en-GB"/>
        </w:rPr>
        <w:t>,</w:t>
      </w:r>
      <w:r w:rsidR="00D74A5B" w:rsidRPr="008F4C41">
        <w:rPr>
          <w:lang w:val="en-US"/>
        </w:rPr>
        <w:t xml:space="preserve"> </w:t>
      </w:r>
      <w:r w:rsidR="00AA5973" w:rsidRPr="008F4C41">
        <w:rPr>
          <w:lang w:val="en-US"/>
        </w:rPr>
        <w:t>manufacture of other non-metallic minera</w:t>
      </w:r>
      <w:r w:rsidR="008F4C41">
        <w:rPr>
          <w:lang w:val="en-US"/>
        </w:rPr>
        <w:t>l</w:t>
      </w:r>
      <w:r w:rsidR="00AA5973" w:rsidRPr="008F4C41">
        <w:rPr>
          <w:lang w:val="en-US"/>
        </w:rPr>
        <w:t xml:space="preserve"> products </w:t>
      </w:r>
      <w:r w:rsidR="00D74A5B">
        <w:rPr>
          <w:noProof/>
          <w:spacing w:val="-2"/>
          <w:szCs w:val="19"/>
          <w:lang w:val="en-GB"/>
        </w:rPr>
        <w:t xml:space="preserve">– by </w:t>
      </w:r>
      <w:r w:rsidR="00AA5973">
        <w:rPr>
          <w:noProof/>
          <w:spacing w:val="-2"/>
          <w:szCs w:val="19"/>
          <w:lang w:val="en-GB"/>
        </w:rPr>
        <w:t>2.8</w:t>
      </w:r>
      <w:r w:rsidR="00D74A5B">
        <w:rPr>
          <w:noProof/>
          <w:spacing w:val="-2"/>
          <w:szCs w:val="19"/>
          <w:lang w:val="en-GB"/>
        </w:rPr>
        <w:t>%</w:t>
      </w:r>
      <w:r w:rsidR="00AA5973">
        <w:rPr>
          <w:noProof/>
          <w:spacing w:val="-2"/>
          <w:szCs w:val="19"/>
          <w:lang w:val="en-GB"/>
        </w:rPr>
        <w:t>, m</w:t>
      </w:r>
      <w:r w:rsidR="00AA5973" w:rsidRPr="00AA5973">
        <w:rPr>
          <w:noProof/>
          <w:spacing w:val="-2"/>
          <w:szCs w:val="19"/>
          <w:lang w:val="en-GB"/>
        </w:rPr>
        <w:t>anufacture of metal products</w:t>
      </w:r>
      <w:r w:rsidR="00AA5973">
        <w:rPr>
          <w:noProof/>
          <w:spacing w:val="-2"/>
          <w:szCs w:val="19"/>
          <w:lang w:val="en-GB"/>
        </w:rPr>
        <w:t xml:space="preserve"> – by 2.0</w:t>
      </w:r>
      <w:r w:rsidR="00AA5973" w:rsidRPr="00223D02">
        <w:rPr>
          <w:noProof/>
          <w:spacing w:val="-2"/>
          <w:szCs w:val="19"/>
          <w:lang w:val="en-GB"/>
        </w:rPr>
        <w:t>%</w:t>
      </w:r>
      <w:r w:rsidR="00D74A5B">
        <w:rPr>
          <w:noProof/>
          <w:spacing w:val="-2"/>
          <w:szCs w:val="19"/>
          <w:lang w:val="en-GB"/>
        </w:rPr>
        <w:t>.</w:t>
      </w:r>
    </w:p>
    <w:p w14:paraId="7D7E1994" w14:textId="5C5665EB" w:rsidR="003627E7" w:rsidRPr="007B4306" w:rsidRDefault="003627E7" w:rsidP="00BB33B9">
      <w:pPr>
        <w:suppressAutoHyphens/>
        <w:spacing w:before="0" w:after="0"/>
        <w:rPr>
          <w:szCs w:val="19"/>
          <w:shd w:val="clear" w:color="auto" w:fill="FFFFFF"/>
          <w:lang w:val="en-US"/>
        </w:rPr>
      </w:pPr>
    </w:p>
    <w:p w14:paraId="5175D03E" w14:textId="3659644E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2FC2BB08" w14:textId="1F99F4BB" w:rsidR="00680622" w:rsidRPr="00680622" w:rsidRDefault="00D74A5B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21056" behindDoc="0" locked="0" layoutInCell="1" allowOverlap="1" wp14:anchorId="0C41875E" wp14:editId="28A945FF">
            <wp:simplePos x="0" y="0"/>
            <wp:positionH relativeFrom="margin">
              <wp:align>right</wp:align>
            </wp:positionH>
            <wp:positionV relativeFrom="paragraph">
              <wp:posOffset>271145</wp:posOffset>
            </wp:positionV>
            <wp:extent cx="5191760" cy="3585845"/>
            <wp:effectExtent l="0" t="0" r="8890" b="0"/>
            <wp:wrapSquare wrapText="bothSides"/>
            <wp:docPr id="9" name="Wykres 9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bookmarkStart w:id="0" w:name="_GoBack"/>
      <w:bookmarkEnd w:id="0"/>
    </w:p>
    <w:p w14:paraId="146D592D" w14:textId="3A4FC660" w:rsidR="00D74A5B" w:rsidRPr="008F4C41" w:rsidRDefault="005F27B3" w:rsidP="0051196A">
      <w:pPr>
        <w:spacing w:before="0" w:after="0"/>
        <w:rPr>
          <w:lang w:val="en-US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>ompared to June</w:t>
      </w:r>
      <w:r w:rsidR="00082002">
        <w:rPr>
          <w:szCs w:val="19"/>
          <w:lang w:val="en-GB"/>
        </w:rPr>
        <w:t xml:space="preserve"> </w:t>
      </w:r>
      <w:r w:rsidR="00946446">
        <w:rPr>
          <w:szCs w:val="19"/>
          <w:lang w:val="en-GB"/>
        </w:rPr>
        <w:t>2020</w:t>
      </w:r>
      <w:r w:rsidR="00946446" w:rsidRPr="00946446">
        <w:rPr>
          <w:szCs w:val="19"/>
          <w:lang w:val="en-GB"/>
        </w:rPr>
        <w:t xml:space="preserve">, an increase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 in July</w:t>
      </w:r>
      <w:r w:rsidR="00946446" w:rsidRPr="00946446">
        <w:rPr>
          <w:szCs w:val="19"/>
          <w:lang w:val="en-GB"/>
        </w:rPr>
        <w:t xml:space="preserve"> </w:t>
      </w:r>
      <w:r w:rsidR="00946446">
        <w:rPr>
          <w:szCs w:val="19"/>
          <w:lang w:val="en-GB"/>
        </w:rPr>
        <w:t>2020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D74A5B">
        <w:rPr>
          <w:szCs w:val="19"/>
          <w:lang w:val="en-GB"/>
        </w:rPr>
        <w:t>in 25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>divisions, among others,</w:t>
      </w:r>
      <w:r w:rsidR="00946446" w:rsidRPr="00946446">
        <w:rPr>
          <w:noProof/>
          <w:spacing w:val="-2"/>
          <w:szCs w:val="19"/>
          <w:lang w:val="en-GB"/>
        </w:rPr>
        <w:t xml:space="preserve"> </w:t>
      </w:r>
      <w:r w:rsidR="00D74A5B">
        <w:rPr>
          <w:noProof/>
          <w:szCs w:val="19"/>
          <w:lang w:val="en-GB"/>
        </w:rPr>
        <w:t>in</w:t>
      </w:r>
      <w:r w:rsidR="00D74A5B" w:rsidRPr="00223D02">
        <w:rPr>
          <w:noProof/>
          <w:szCs w:val="19"/>
          <w:lang w:val="en-GB"/>
        </w:rPr>
        <w:t xml:space="preserve"> </w:t>
      </w:r>
      <w:r w:rsidR="00D74A5B" w:rsidRPr="00D22ECE">
        <w:rPr>
          <w:noProof/>
          <w:spacing w:val="-2"/>
          <w:szCs w:val="19"/>
          <w:lang w:val="en-GB"/>
        </w:rPr>
        <w:t>manufacture of</w:t>
      </w:r>
      <w:r w:rsidR="00D74A5B">
        <w:rPr>
          <w:noProof/>
          <w:spacing w:val="-2"/>
          <w:szCs w:val="19"/>
          <w:lang w:val="en-GB"/>
        </w:rPr>
        <w:t xml:space="preserve"> coke and refined petroleum products – by 15.9</w:t>
      </w:r>
      <w:r w:rsidR="00D74A5B" w:rsidRPr="00223D02">
        <w:rPr>
          <w:noProof/>
          <w:spacing w:val="-2"/>
          <w:szCs w:val="19"/>
          <w:lang w:val="en-GB"/>
        </w:rPr>
        <w:t>%,</w:t>
      </w:r>
      <w:r w:rsidR="00D74A5B" w:rsidRPr="00082002">
        <w:rPr>
          <w:noProof/>
          <w:spacing w:val="-2"/>
          <w:szCs w:val="19"/>
          <w:lang w:val="en-GB"/>
        </w:rPr>
        <w:t xml:space="preserve"> </w:t>
      </w:r>
      <w:r w:rsidR="00946446">
        <w:rPr>
          <w:noProof/>
          <w:spacing w:val="-2"/>
          <w:szCs w:val="19"/>
          <w:lang w:val="en-GB"/>
        </w:rPr>
        <w:t>m</w:t>
      </w:r>
      <w:r w:rsidR="00946446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946446">
        <w:rPr>
          <w:noProof/>
          <w:spacing w:val="-2"/>
          <w:szCs w:val="19"/>
          <w:lang w:val="en-GB"/>
        </w:rPr>
        <w:t xml:space="preserve"> – by </w:t>
      </w:r>
      <w:r w:rsidR="00D74A5B">
        <w:rPr>
          <w:noProof/>
          <w:spacing w:val="-2"/>
          <w:szCs w:val="19"/>
          <w:lang w:val="en-GB"/>
        </w:rPr>
        <w:t>9.2</w:t>
      </w:r>
      <w:r w:rsidR="00946446">
        <w:rPr>
          <w:noProof/>
          <w:spacing w:val="-2"/>
          <w:szCs w:val="19"/>
          <w:lang w:val="en-GB"/>
        </w:rPr>
        <w:t>%,</w:t>
      </w:r>
      <w:r w:rsidR="00946446" w:rsidRPr="007B4306">
        <w:rPr>
          <w:lang w:val="en-US"/>
        </w:rPr>
        <w:t xml:space="preserve"> </w:t>
      </w:r>
      <w:r w:rsidR="00D74A5B">
        <w:rPr>
          <w:lang w:val="en-US"/>
        </w:rPr>
        <w:t>m</w:t>
      </w:r>
      <w:r w:rsidR="00D74A5B" w:rsidRPr="00D74A5B">
        <w:rPr>
          <w:lang w:val="en-US"/>
        </w:rPr>
        <w:t>anufacture of paper and paper products</w:t>
      </w:r>
      <w:r w:rsidR="00D74A5B">
        <w:rPr>
          <w:lang w:val="en-US"/>
        </w:rPr>
        <w:t xml:space="preserve"> </w:t>
      </w:r>
      <w:r w:rsidR="00D74A5B">
        <w:rPr>
          <w:noProof/>
          <w:spacing w:val="-2"/>
          <w:szCs w:val="19"/>
          <w:lang w:val="en-GB"/>
        </w:rPr>
        <w:t>– by 9.1%,</w:t>
      </w:r>
      <w:r w:rsidR="0051196A" w:rsidRPr="0051196A">
        <w:rPr>
          <w:noProof/>
          <w:spacing w:val="-2"/>
          <w:szCs w:val="19"/>
          <w:lang w:val="en-GB"/>
        </w:rPr>
        <w:t xml:space="preserve"> </w:t>
      </w:r>
      <w:r w:rsidR="0051196A">
        <w:rPr>
          <w:noProof/>
          <w:spacing w:val="-2"/>
          <w:szCs w:val="19"/>
          <w:lang w:val="en-GB"/>
        </w:rPr>
        <w:t>m</w:t>
      </w:r>
      <w:r w:rsidR="0051196A" w:rsidRPr="008C421A">
        <w:rPr>
          <w:noProof/>
          <w:spacing w:val="-2"/>
          <w:szCs w:val="19"/>
          <w:lang w:val="en-GB"/>
        </w:rPr>
        <w:t>anufacture of chemicals and chemical products</w:t>
      </w:r>
      <w:r>
        <w:rPr>
          <w:noProof/>
          <w:spacing w:val="-2"/>
          <w:szCs w:val="19"/>
          <w:lang w:val="en-GB"/>
        </w:rPr>
        <w:t xml:space="preserve"> and</w:t>
      </w:r>
      <w:r w:rsidR="0051196A">
        <w:rPr>
          <w:noProof/>
          <w:spacing w:val="-2"/>
          <w:szCs w:val="19"/>
          <w:lang w:val="en-GB"/>
        </w:rPr>
        <w:t xml:space="preserve"> </w:t>
      </w:r>
      <w:r w:rsidR="0051196A" w:rsidRPr="00D22ECE">
        <w:rPr>
          <w:noProof/>
          <w:spacing w:val="-2"/>
          <w:szCs w:val="19"/>
          <w:lang w:val="en-GB"/>
        </w:rPr>
        <w:t>manufa</w:t>
      </w:r>
      <w:r w:rsidR="0051196A">
        <w:rPr>
          <w:noProof/>
          <w:spacing w:val="-2"/>
          <w:szCs w:val="19"/>
          <w:lang w:val="en-GB"/>
        </w:rPr>
        <w:t>cture of rubber and plastic products – by 6.6% each,</w:t>
      </w:r>
      <w:r w:rsidR="0051196A" w:rsidRPr="00D74A5B">
        <w:rPr>
          <w:noProof/>
          <w:spacing w:val="-2"/>
          <w:szCs w:val="19"/>
          <w:lang w:val="en-GB"/>
        </w:rPr>
        <w:t xml:space="preserve"> </w:t>
      </w:r>
      <w:r w:rsidR="0051196A">
        <w:rPr>
          <w:noProof/>
          <w:spacing w:val="-2"/>
          <w:szCs w:val="19"/>
          <w:lang w:val="en-GB"/>
        </w:rPr>
        <w:t>in mining of coal and lignite – by 6.1%,</w:t>
      </w:r>
      <w:r>
        <w:rPr>
          <w:noProof/>
          <w:spacing w:val="-2"/>
          <w:szCs w:val="19"/>
          <w:lang w:val="en-GB"/>
        </w:rPr>
        <w:t xml:space="preserve"> in</w:t>
      </w:r>
      <w:r w:rsidR="0051196A" w:rsidRPr="0051196A">
        <w:rPr>
          <w:noProof/>
          <w:spacing w:val="-2"/>
          <w:szCs w:val="19"/>
          <w:lang w:val="en-GB"/>
        </w:rPr>
        <w:t xml:space="preserve"> </w:t>
      </w:r>
      <w:r w:rsidR="0051196A">
        <w:rPr>
          <w:noProof/>
          <w:spacing w:val="-2"/>
          <w:szCs w:val="19"/>
          <w:lang w:val="en-GB"/>
        </w:rPr>
        <w:t>m</w:t>
      </w:r>
      <w:r w:rsidR="0051196A" w:rsidRPr="00946446">
        <w:rPr>
          <w:noProof/>
          <w:spacing w:val="-2"/>
          <w:szCs w:val="19"/>
          <w:lang w:val="en-GB"/>
        </w:rPr>
        <w:t>anufacture of furniture</w:t>
      </w:r>
      <w:r w:rsidR="0051196A">
        <w:rPr>
          <w:noProof/>
          <w:spacing w:val="-2"/>
          <w:szCs w:val="19"/>
          <w:lang w:val="en-GB"/>
        </w:rPr>
        <w:t xml:space="preserve"> – by 5.9%.</w:t>
      </w:r>
    </w:p>
    <w:p w14:paraId="58E8EA1C" w14:textId="217A2027" w:rsidR="0051196A" w:rsidRDefault="00382CAB" w:rsidP="0051196A">
      <w:pPr>
        <w:spacing w:line="240" w:lineRule="auto"/>
        <w:rPr>
          <w:noProof/>
          <w:spacing w:val="-2"/>
          <w:szCs w:val="19"/>
          <w:lang w:val="en-GB"/>
        </w:rPr>
      </w:pPr>
      <w:r w:rsidRPr="00A92C78">
        <w:rPr>
          <w:noProof/>
          <w:szCs w:val="19"/>
          <w:lang w:val="en-GB"/>
        </w:rPr>
        <w:t>A decrease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>d to June 2020, was recorded in 9</w:t>
      </w:r>
      <w:r w:rsidR="002B3236">
        <w:rPr>
          <w:noProof/>
          <w:szCs w:val="19"/>
          <w:lang w:val="en-GB"/>
        </w:rPr>
        <w:t xml:space="preserve"> </w:t>
      </w:r>
      <w:r w:rsidRPr="00223D02">
        <w:rPr>
          <w:noProof/>
          <w:szCs w:val="19"/>
          <w:lang w:val="en-GB"/>
        </w:rPr>
        <w:t>divisions, among other</w:t>
      </w:r>
      <w:r w:rsidRPr="00382CAB">
        <w:rPr>
          <w:noProof/>
          <w:szCs w:val="19"/>
          <w:lang w:val="en-GB"/>
        </w:rPr>
        <w:t>s</w:t>
      </w:r>
      <w:r w:rsidR="00E44A8F">
        <w:rPr>
          <w:szCs w:val="19"/>
          <w:lang w:val="en-GB"/>
        </w:rPr>
        <w:t>,</w:t>
      </w:r>
      <w:r w:rsidR="0051196A" w:rsidRPr="008F4C41">
        <w:rPr>
          <w:lang w:val="en-US"/>
        </w:rPr>
        <w:t xml:space="preserve"> in </w:t>
      </w:r>
      <w:r w:rsidR="0051196A">
        <w:rPr>
          <w:noProof/>
          <w:spacing w:val="-2"/>
          <w:szCs w:val="19"/>
          <w:lang w:val="en-GB"/>
        </w:rPr>
        <w:t>r</w:t>
      </w:r>
      <w:r w:rsidR="0051196A" w:rsidRPr="00082002">
        <w:rPr>
          <w:noProof/>
          <w:spacing w:val="-2"/>
          <w:szCs w:val="19"/>
          <w:lang w:val="en-GB"/>
        </w:rPr>
        <w:t>epair and installation of machinery and equipment</w:t>
      </w:r>
      <w:r w:rsidR="0051196A">
        <w:rPr>
          <w:noProof/>
          <w:spacing w:val="-2"/>
          <w:szCs w:val="19"/>
          <w:lang w:val="en-GB"/>
        </w:rPr>
        <w:t xml:space="preserve"> – by 15.5%,</w:t>
      </w:r>
      <w:r w:rsidR="0051196A" w:rsidRPr="0051196A">
        <w:rPr>
          <w:noProof/>
          <w:szCs w:val="19"/>
          <w:lang w:val="en-GB"/>
        </w:rPr>
        <w:t xml:space="preserve"> </w:t>
      </w:r>
      <w:r w:rsidR="005F27B3">
        <w:rPr>
          <w:noProof/>
          <w:szCs w:val="19"/>
          <w:lang w:val="en-GB"/>
        </w:rPr>
        <w:t xml:space="preserve">in </w:t>
      </w:r>
      <w:r w:rsidR="0051196A" w:rsidRPr="009D61BA">
        <w:rPr>
          <w:noProof/>
          <w:szCs w:val="19"/>
          <w:lang w:val="en-GB"/>
        </w:rPr>
        <w:t xml:space="preserve">manufacture of </w:t>
      </w:r>
      <w:r w:rsidR="0051196A" w:rsidRPr="00082002">
        <w:rPr>
          <w:noProof/>
          <w:spacing w:val="-2"/>
          <w:szCs w:val="19"/>
          <w:lang w:val="en-GB"/>
        </w:rPr>
        <w:t>machinery and equipment</w:t>
      </w:r>
      <w:r w:rsidR="0051196A">
        <w:rPr>
          <w:noProof/>
          <w:szCs w:val="19"/>
          <w:lang w:val="en-GB"/>
        </w:rPr>
        <w:t>– by 8.8%,</w:t>
      </w:r>
      <w:r w:rsidR="0051196A" w:rsidRPr="008F4C41">
        <w:rPr>
          <w:lang w:val="en-US"/>
        </w:rPr>
        <w:t xml:space="preserve"> </w:t>
      </w:r>
      <w:r w:rsidR="0051196A">
        <w:rPr>
          <w:noProof/>
          <w:szCs w:val="19"/>
          <w:lang w:val="en-GB"/>
        </w:rPr>
        <w:t>m</w:t>
      </w:r>
      <w:r w:rsidR="0051196A" w:rsidRPr="0051196A">
        <w:rPr>
          <w:noProof/>
          <w:szCs w:val="19"/>
          <w:lang w:val="en-GB"/>
        </w:rPr>
        <w:t>anufacture of textiles</w:t>
      </w:r>
      <w:r w:rsidR="0051196A">
        <w:rPr>
          <w:noProof/>
          <w:spacing w:val="-2"/>
          <w:szCs w:val="19"/>
          <w:lang w:val="en-GB"/>
        </w:rPr>
        <w:t xml:space="preserve"> – by 2.5%.</w:t>
      </w:r>
    </w:p>
    <w:p w14:paraId="7DC0BAAA" w14:textId="36E59F96" w:rsidR="00E44A8F" w:rsidRDefault="00E44A8F" w:rsidP="0051196A">
      <w:pPr>
        <w:spacing w:before="0" w:after="0" w:line="240" w:lineRule="auto"/>
        <w:rPr>
          <w:noProof/>
          <w:spacing w:val="-2"/>
          <w:szCs w:val="19"/>
          <w:lang w:val="en-GB"/>
        </w:rPr>
      </w:pPr>
    </w:p>
    <w:p w14:paraId="1F5B1DF6" w14:textId="7BE0B191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5BC71B6A" w:rsidR="00E44A8F" w:rsidRPr="00680622" w:rsidRDefault="005F27B3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24128" behindDoc="0" locked="0" layoutInCell="1" allowOverlap="1" wp14:anchorId="2D29ED5E" wp14:editId="6F1B1C17">
            <wp:simplePos x="0" y="0"/>
            <wp:positionH relativeFrom="margin">
              <wp:align>left</wp:align>
            </wp:positionH>
            <wp:positionV relativeFrom="paragraph">
              <wp:posOffset>231140</wp:posOffset>
            </wp:positionV>
            <wp:extent cx="5122545" cy="402336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5CB1D26C" w14:textId="1BAD2091" w:rsidR="00E44A8F" w:rsidRDefault="00E44A8F" w:rsidP="00946446">
      <w:pPr>
        <w:spacing w:line="240" w:lineRule="auto"/>
        <w:rPr>
          <w:szCs w:val="19"/>
          <w:lang w:val="en-GB"/>
        </w:rPr>
      </w:pPr>
    </w:p>
    <w:p w14:paraId="676345E0" w14:textId="76570EFC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8F4C41" w:rsidRDefault="00946446" w:rsidP="00E01D2D">
      <w:pPr>
        <w:spacing w:before="0" w:after="0" w:line="240" w:lineRule="auto"/>
        <w:rPr>
          <w:szCs w:val="19"/>
          <w:lang w:val="en-US"/>
        </w:rPr>
      </w:pPr>
    </w:p>
    <w:p w14:paraId="616124B2" w14:textId="77777777" w:rsidR="00E44A8F" w:rsidRPr="008F4C41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66C9BBB2" w14:textId="77777777" w:rsidR="00E44A8F" w:rsidRPr="008F4C41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64327F3E" w14:textId="77777777" w:rsidR="00E44A8F" w:rsidRPr="008F4C41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004856BA" w14:textId="77777777" w:rsidR="00E44A8F" w:rsidRPr="008F4C41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7233D1F1" w14:textId="77777777" w:rsidR="00E44A8F" w:rsidRPr="008F4C41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490A097B" w14:textId="77777777" w:rsidR="00E44A8F" w:rsidRPr="008F4C41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13215A71" w14:textId="77777777" w:rsidR="00E44A8F" w:rsidRPr="008F4C41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019750EF" w14:textId="77777777" w:rsidR="00E44A8F" w:rsidRPr="008F4C41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250896ED" w14:textId="77777777" w:rsidR="00E44A8F" w:rsidRPr="008F4C41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5592BB1E" w14:textId="77777777" w:rsidR="00E44A8F" w:rsidRPr="008F4C41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0FD37C51" w14:textId="77777777" w:rsidR="00E44A8F" w:rsidRPr="008F4C41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0D8D59BB" w14:textId="77777777" w:rsidR="0051196A" w:rsidRPr="008F4C41" w:rsidRDefault="0051196A" w:rsidP="00E01D2D">
      <w:pPr>
        <w:spacing w:before="0" w:after="0" w:line="240" w:lineRule="auto"/>
        <w:rPr>
          <w:szCs w:val="19"/>
          <w:lang w:val="en-US"/>
        </w:rPr>
      </w:pPr>
    </w:p>
    <w:p w14:paraId="317661F2" w14:textId="77777777" w:rsidR="00781422" w:rsidRPr="008F4C41" w:rsidRDefault="00781422" w:rsidP="00E01D2D">
      <w:pPr>
        <w:spacing w:before="0" w:after="0" w:line="240" w:lineRule="auto"/>
        <w:rPr>
          <w:szCs w:val="19"/>
          <w:lang w:val="en-US"/>
        </w:rPr>
      </w:pPr>
    </w:p>
    <w:p w14:paraId="23CEA485" w14:textId="6E87D5F6" w:rsidR="00724458" w:rsidRPr="00E44A8F" w:rsidRDefault="006C7839" w:rsidP="00E44A8F">
      <w:pPr>
        <w:rPr>
          <w:szCs w:val="19"/>
          <w:lang w:val="en-US"/>
        </w:rPr>
        <w:sectPr w:rsidR="00724458" w:rsidRPr="00E44A8F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51196A">
        <w:rPr>
          <w:szCs w:val="19"/>
          <w:lang w:val="en-US"/>
        </w:rPr>
        <w:t>.</w:t>
      </w:r>
    </w:p>
    <w:p w14:paraId="268FA71D" w14:textId="77777777" w:rsidR="0021268C" w:rsidRPr="007B4306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E66BF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20CE9255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FD093D5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6FC41AC2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14:paraId="1A1AFB1A" w14:textId="01017D57" w:rsidR="003E66BF" w:rsidRPr="003627E7" w:rsidRDefault="00531F98" w:rsidP="003E66B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 w:rsidR="003E66BF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(+48 22) 608 31 25</w:t>
            </w:r>
            <w:r w:rsidR="003E66BF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5943B952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16295556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BB6FDA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14:paraId="606D0496" w14:textId="23323C65" w:rsidR="003E66BF" w:rsidRPr="003627E7" w:rsidRDefault="003E66BF" w:rsidP="003E66B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E66BF" w:rsidRPr="008F4C41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E11B2E" w14:textId="77777777" w:rsidR="003E66BF" w:rsidRPr="005D386E" w:rsidRDefault="003E66BF" w:rsidP="003E66BF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14:paraId="53DC68FC" w14:textId="77777777" w:rsidR="003E66BF" w:rsidRPr="005D386E" w:rsidRDefault="003E66BF" w:rsidP="003E66BF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14:paraId="457CB2DA" w14:textId="49B46B01" w:rsidR="003E66BF" w:rsidRPr="003627E7" w:rsidRDefault="003E66BF" w:rsidP="003E66BF">
            <w:pPr>
              <w:spacing w:before="0" w:after="0" w:line="276" w:lineRule="auto"/>
              <w:rPr>
                <w:sz w:val="18"/>
                <w:lang w:val="en-US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31F98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20" w:history="1">
              <w:r w:rsidRPr="00531F98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45D04467" w:rsidR="003E66BF" w:rsidRPr="003627E7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61DD0DBD" wp14:editId="786502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1054AA93" w:rsidR="003E66BF" w:rsidRPr="007B4306" w:rsidRDefault="003E66BF" w:rsidP="003E66BF">
            <w:pPr>
              <w:rPr>
                <w:sz w:val="20"/>
                <w:szCs w:val="20"/>
                <w:lang w:val="en-US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E66BF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E66BF" w:rsidRPr="007B4306" w:rsidRDefault="003E66BF" w:rsidP="003E66B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C60062F" w14:textId="4BF2CC6A" w:rsidR="003E66BF" w:rsidRPr="007B4306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C98D5E0" wp14:editId="4E51C4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EB3A6A5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3E66BF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060CFBA4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3B1E7395" wp14:editId="1A44ED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52B4232E" w:rsidR="003E66BF" w:rsidRPr="003627E7" w:rsidRDefault="003E66BF" w:rsidP="003E66BF">
            <w:pPr>
              <w:rPr>
                <w:sz w:val="20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3E66BF" w:rsidRPr="0099652B" w:rsidRDefault="003E66BF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7A38FB17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DE3D0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"https://stat.gov.pl/en/topics/other-studies/informations-on-socio-economic-situation/statistical-bulletin-no-62020,4,114.html"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5DDC6C0B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DE3D0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"https://stat.gov.pl/en/topics/other-studies/informations-on-socio-economic-situation/socio-economic-situation-of-the-country-in-june-2020,1,111.html"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3E66BF" w:rsidRPr="00346B6D" w:rsidRDefault="00E1539A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3E66BF" w:rsidRPr="00346B6D" w:rsidRDefault="00E1539A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3E66BF" w:rsidRPr="00346B6D" w:rsidRDefault="00E1539A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3E66BF" w:rsidRPr="00346B6D" w:rsidRDefault="00E1539A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3E66BF" w:rsidRPr="00230331" w:rsidRDefault="003E66B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77777777" w:rsidR="003E66BF" w:rsidRPr="00346B6D" w:rsidRDefault="00E1539A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8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5F61F60" w14:textId="77777777" w:rsidR="003E66BF" w:rsidRPr="00346B6D" w:rsidRDefault="00E1539A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14:paraId="4E1E66FD" w14:textId="77777777" w:rsidR="003E66BF" w:rsidRPr="00346B6D" w:rsidRDefault="00E1539A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77777777" w:rsidR="003E66BF" w:rsidRPr="00346B6D" w:rsidRDefault="00E1539A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77777777" w:rsidR="003E66BF" w:rsidRPr="00346B6D" w:rsidRDefault="00E1539A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77777777" w:rsidR="003E66BF" w:rsidRPr="00346B6D" w:rsidRDefault="00E1539A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77777777" w:rsidR="003E66BF" w:rsidRPr="00346B6D" w:rsidRDefault="00E1539A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7538C02F" w:rsidR="003627E7" w:rsidRPr="007B4306" w:rsidRDefault="00E1539A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3627E7" w:rsidRPr="007B4306" w:rsidRDefault="003627E7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3E66BF" w:rsidRPr="0099652B" w:rsidRDefault="003E66BF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7A38FB17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DE3D03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"https://stat.gov.pl/en/topics/other-studies/informations-on-socio-economic-situation/statistical-bulletin-no-62020,4,114.html"</w:instrText>
                      </w:r>
                      <w:r w:rsidR="00DE3D0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5DDC6C0B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DE3D03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"https://stat.gov.pl/en/topics/other-studies/informations-on-socio-economic-situation/socio-economic-situation-of-the-country-in-june-2020,1,111.html"</w:instrText>
                      </w:r>
                      <w:r w:rsidR="00DE3D0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bookmarkStart w:id="1" w:name="_GoBack"/>
                      <w:bookmarkEnd w:id="1"/>
                    </w:p>
                    <w:p w14:paraId="3237251E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3E66BF" w:rsidRPr="00346B6D" w:rsidRDefault="00FC1641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3E66BF" w:rsidRPr="00346B6D" w:rsidRDefault="00FC1641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3E66BF" w:rsidRPr="00346B6D" w:rsidRDefault="00FC1641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8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3E66BF" w:rsidRPr="00346B6D" w:rsidRDefault="00FC1641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3E66BF" w:rsidRPr="00230331" w:rsidRDefault="003E66B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77777777" w:rsidR="003E66BF" w:rsidRPr="00346B6D" w:rsidRDefault="00FC1641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40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05F61F60" w14:textId="77777777" w:rsidR="003E66BF" w:rsidRPr="00346B6D" w:rsidRDefault="00FC1641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1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14:paraId="4E1E66FD" w14:textId="77777777" w:rsidR="003E66BF" w:rsidRPr="00346B6D" w:rsidRDefault="00FC1641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2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77777777" w:rsidR="003E66BF" w:rsidRPr="00346B6D" w:rsidRDefault="00FC1641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77777777" w:rsidR="003E66BF" w:rsidRPr="00346B6D" w:rsidRDefault="00FC1641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77777777" w:rsidR="003E66BF" w:rsidRPr="00346B6D" w:rsidRDefault="00FC1641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77777777" w:rsidR="003E66BF" w:rsidRPr="00346B6D" w:rsidRDefault="00FC1641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7538C02F" w:rsidR="003627E7" w:rsidRPr="007B4306" w:rsidRDefault="00FC1641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3627E7" w:rsidRPr="007B4306" w:rsidRDefault="003627E7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9EEDF" w14:textId="77777777" w:rsidR="00E1539A" w:rsidRDefault="00E1539A" w:rsidP="000662E2">
      <w:pPr>
        <w:spacing w:after="0" w:line="240" w:lineRule="auto"/>
      </w:pPr>
      <w:r>
        <w:separator/>
      </w:r>
    </w:p>
  </w:endnote>
  <w:endnote w:type="continuationSeparator" w:id="0">
    <w:p w14:paraId="1F829183" w14:textId="77777777" w:rsidR="00E1539A" w:rsidRDefault="00E1539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C0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C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C4ED1" w14:textId="77777777" w:rsidR="00E1539A" w:rsidRDefault="00E1539A" w:rsidP="000662E2">
      <w:pPr>
        <w:spacing w:after="0" w:line="240" w:lineRule="auto"/>
      </w:pPr>
      <w:r>
        <w:separator/>
      </w:r>
    </w:p>
  </w:footnote>
  <w:footnote w:type="continuationSeparator" w:id="0">
    <w:p w14:paraId="72657BF4" w14:textId="77777777" w:rsidR="00E1539A" w:rsidRDefault="00E1539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4862B6" w:rsidRDefault="00BB33B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6FE39045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77777777" w:rsidR="00BB33B9" w:rsidRPr="003C6C8D" w:rsidRDefault="00BB33B9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1134560" id="Schemat blokowy: opóźnienie 6" o:spid="_x0000_s1031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xXDwYAAE0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77777777" w:rsidR="00BB33B9" w:rsidRPr="003C6C8D" w:rsidRDefault="00BB33B9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1251217F">
          <wp:extent cx="1866900" cy="704850"/>
          <wp:effectExtent l="0" t="0" r="0" b="0"/>
          <wp:docPr id="11" name="Obraz 11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E6993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01E1FCD3" w:rsidR="00112A4D" w:rsidRPr="00C97596" w:rsidRDefault="008C421A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20.08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01E1FCD3" w:rsidR="00112A4D" w:rsidRPr="00C97596" w:rsidRDefault="008C421A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20.08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31" type="#_x0000_t75" style="width:122.2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7C7"/>
    <w:rsid w:val="000169EB"/>
    <w:rsid w:val="00016E48"/>
    <w:rsid w:val="00016EAF"/>
    <w:rsid w:val="00021CD6"/>
    <w:rsid w:val="00024626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002"/>
    <w:rsid w:val="00084531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96C33"/>
    <w:rsid w:val="000A09E4"/>
    <w:rsid w:val="000A1172"/>
    <w:rsid w:val="000A39FD"/>
    <w:rsid w:val="000A3ACF"/>
    <w:rsid w:val="000A4C12"/>
    <w:rsid w:val="000A4E2A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B0B"/>
    <w:rsid w:val="00216F21"/>
    <w:rsid w:val="002173E8"/>
    <w:rsid w:val="00217D5E"/>
    <w:rsid w:val="002217A8"/>
    <w:rsid w:val="00223D02"/>
    <w:rsid w:val="0022605C"/>
    <w:rsid w:val="00226CDB"/>
    <w:rsid w:val="00226D83"/>
    <w:rsid w:val="002300C4"/>
    <w:rsid w:val="002308C6"/>
    <w:rsid w:val="00231001"/>
    <w:rsid w:val="0023461B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3236"/>
    <w:rsid w:val="002B583F"/>
    <w:rsid w:val="002B6B12"/>
    <w:rsid w:val="002B6B7B"/>
    <w:rsid w:val="002C0F77"/>
    <w:rsid w:val="002C424B"/>
    <w:rsid w:val="002C4336"/>
    <w:rsid w:val="002C6D15"/>
    <w:rsid w:val="002D0AC4"/>
    <w:rsid w:val="002D1DA5"/>
    <w:rsid w:val="002D2084"/>
    <w:rsid w:val="002D2ECD"/>
    <w:rsid w:val="002D36F4"/>
    <w:rsid w:val="002D51CC"/>
    <w:rsid w:val="002D7096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5515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1A70"/>
    <w:rsid w:val="003133B6"/>
    <w:rsid w:val="00315805"/>
    <w:rsid w:val="00320924"/>
    <w:rsid w:val="00322EDD"/>
    <w:rsid w:val="003231A1"/>
    <w:rsid w:val="00324C9B"/>
    <w:rsid w:val="00332263"/>
    <w:rsid w:val="00332320"/>
    <w:rsid w:val="00332724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0B5"/>
    <w:rsid w:val="003B1105"/>
    <w:rsid w:val="003B1454"/>
    <w:rsid w:val="003B2DB6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66BF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C08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B13C4"/>
    <w:rsid w:val="004B4738"/>
    <w:rsid w:val="004B548D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F0C3C"/>
    <w:rsid w:val="004F2A2C"/>
    <w:rsid w:val="004F4FCA"/>
    <w:rsid w:val="004F5A9B"/>
    <w:rsid w:val="004F63FC"/>
    <w:rsid w:val="004F64F0"/>
    <w:rsid w:val="004F6903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49CE"/>
    <w:rsid w:val="0051691A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8B6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64F4"/>
    <w:rsid w:val="005F27B3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1026E"/>
    <w:rsid w:val="006102AA"/>
    <w:rsid w:val="00610DCD"/>
    <w:rsid w:val="00612D21"/>
    <w:rsid w:val="00613ECD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73CA"/>
    <w:rsid w:val="00667D6F"/>
    <w:rsid w:val="00670AB6"/>
    <w:rsid w:val="00671511"/>
    <w:rsid w:val="006720A1"/>
    <w:rsid w:val="00673657"/>
    <w:rsid w:val="00673BE0"/>
    <w:rsid w:val="00673C26"/>
    <w:rsid w:val="00674508"/>
    <w:rsid w:val="00674ABE"/>
    <w:rsid w:val="0067676E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1B1E"/>
    <w:rsid w:val="006C33EC"/>
    <w:rsid w:val="006C38D2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ACE"/>
    <w:rsid w:val="006E013F"/>
    <w:rsid w:val="006E02EC"/>
    <w:rsid w:val="006E0A1C"/>
    <w:rsid w:val="006E0C18"/>
    <w:rsid w:val="006E2350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458"/>
    <w:rsid w:val="00724FB4"/>
    <w:rsid w:val="007317DF"/>
    <w:rsid w:val="0073330A"/>
    <w:rsid w:val="00734924"/>
    <w:rsid w:val="00735139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636C"/>
    <w:rsid w:val="00756B32"/>
    <w:rsid w:val="0076234C"/>
    <w:rsid w:val="0076254F"/>
    <w:rsid w:val="00762709"/>
    <w:rsid w:val="0076349B"/>
    <w:rsid w:val="00763711"/>
    <w:rsid w:val="0076475E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422"/>
    <w:rsid w:val="00781779"/>
    <w:rsid w:val="0078199D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97F76"/>
    <w:rsid w:val="007A1014"/>
    <w:rsid w:val="007A2DC1"/>
    <w:rsid w:val="007A41A9"/>
    <w:rsid w:val="007A510F"/>
    <w:rsid w:val="007A5CB7"/>
    <w:rsid w:val="007B0E35"/>
    <w:rsid w:val="007B2673"/>
    <w:rsid w:val="007B3102"/>
    <w:rsid w:val="007B3DB7"/>
    <w:rsid w:val="007B4306"/>
    <w:rsid w:val="007B4F73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5E14"/>
    <w:rsid w:val="00816DE1"/>
    <w:rsid w:val="0082037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22FC"/>
    <w:rsid w:val="00852448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561B"/>
    <w:rsid w:val="008D5D1D"/>
    <w:rsid w:val="008D61DC"/>
    <w:rsid w:val="008D6413"/>
    <w:rsid w:val="008E0933"/>
    <w:rsid w:val="008E0E06"/>
    <w:rsid w:val="008E1949"/>
    <w:rsid w:val="008E6F47"/>
    <w:rsid w:val="008F04DA"/>
    <w:rsid w:val="008F0617"/>
    <w:rsid w:val="008F1C42"/>
    <w:rsid w:val="008F2D53"/>
    <w:rsid w:val="008F3638"/>
    <w:rsid w:val="008F4B57"/>
    <w:rsid w:val="008F4C41"/>
    <w:rsid w:val="008F5556"/>
    <w:rsid w:val="008F596C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6A92"/>
    <w:rsid w:val="0092758B"/>
    <w:rsid w:val="00927755"/>
    <w:rsid w:val="00927D58"/>
    <w:rsid w:val="009301B3"/>
    <w:rsid w:val="00931AE5"/>
    <w:rsid w:val="0093398C"/>
    <w:rsid w:val="00933EC1"/>
    <w:rsid w:val="00933F4B"/>
    <w:rsid w:val="00937BDA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3614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6A47"/>
    <w:rsid w:val="00A40D16"/>
    <w:rsid w:val="00A40F30"/>
    <w:rsid w:val="00A4219B"/>
    <w:rsid w:val="00A4223C"/>
    <w:rsid w:val="00A42C79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6502"/>
    <w:rsid w:val="00A86ECC"/>
    <w:rsid w:val="00A86FCC"/>
    <w:rsid w:val="00A87770"/>
    <w:rsid w:val="00A87DC7"/>
    <w:rsid w:val="00A90BDA"/>
    <w:rsid w:val="00A90CB1"/>
    <w:rsid w:val="00A91D74"/>
    <w:rsid w:val="00A92C78"/>
    <w:rsid w:val="00AA05AC"/>
    <w:rsid w:val="00AA087A"/>
    <w:rsid w:val="00AA3EB6"/>
    <w:rsid w:val="00AA5069"/>
    <w:rsid w:val="00AA5973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19DE"/>
    <w:rsid w:val="00AE29E7"/>
    <w:rsid w:val="00AE2BD8"/>
    <w:rsid w:val="00AE2D4B"/>
    <w:rsid w:val="00AE3FB3"/>
    <w:rsid w:val="00AE4F99"/>
    <w:rsid w:val="00AE53E5"/>
    <w:rsid w:val="00AE6D6D"/>
    <w:rsid w:val="00AF19C9"/>
    <w:rsid w:val="00AF6719"/>
    <w:rsid w:val="00AF7709"/>
    <w:rsid w:val="00B05C82"/>
    <w:rsid w:val="00B068A7"/>
    <w:rsid w:val="00B06BE5"/>
    <w:rsid w:val="00B073F4"/>
    <w:rsid w:val="00B074D5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033A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272D"/>
    <w:rsid w:val="00B85633"/>
    <w:rsid w:val="00B86655"/>
    <w:rsid w:val="00B914E9"/>
    <w:rsid w:val="00B91AC6"/>
    <w:rsid w:val="00B94252"/>
    <w:rsid w:val="00B956EE"/>
    <w:rsid w:val="00B95FA8"/>
    <w:rsid w:val="00B96AD0"/>
    <w:rsid w:val="00BA02E1"/>
    <w:rsid w:val="00BA14B6"/>
    <w:rsid w:val="00BA2BA1"/>
    <w:rsid w:val="00BA2ECD"/>
    <w:rsid w:val="00BA412C"/>
    <w:rsid w:val="00BA44CD"/>
    <w:rsid w:val="00BB32C6"/>
    <w:rsid w:val="00BB33B9"/>
    <w:rsid w:val="00BB4F09"/>
    <w:rsid w:val="00BB53B6"/>
    <w:rsid w:val="00BB544E"/>
    <w:rsid w:val="00BC207E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3F0"/>
    <w:rsid w:val="00C34417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6FBF"/>
    <w:rsid w:val="00C47820"/>
    <w:rsid w:val="00C51E88"/>
    <w:rsid w:val="00C52C74"/>
    <w:rsid w:val="00C5434F"/>
    <w:rsid w:val="00C561ED"/>
    <w:rsid w:val="00C61781"/>
    <w:rsid w:val="00C62034"/>
    <w:rsid w:val="00C64A37"/>
    <w:rsid w:val="00C6552F"/>
    <w:rsid w:val="00C67295"/>
    <w:rsid w:val="00C71109"/>
    <w:rsid w:val="00C7158E"/>
    <w:rsid w:val="00C7250B"/>
    <w:rsid w:val="00C7346B"/>
    <w:rsid w:val="00C77B68"/>
    <w:rsid w:val="00C77C0E"/>
    <w:rsid w:val="00C8094E"/>
    <w:rsid w:val="00C809E5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39A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71A2"/>
    <w:rsid w:val="00E67A9D"/>
    <w:rsid w:val="00E705AD"/>
    <w:rsid w:val="00E71287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A96"/>
    <w:rsid w:val="00F539BD"/>
    <w:rsid w:val="00F54181"/>
    <w:rsid w:val="00F55149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79CC"/>
    <w:rsid w:val="00F802BE"/>
    <w:rsid w:val="00F816A1"/>
    <w:rsid w:val="00F81BB6"/>
    <w:rsid w:val="00F81C4E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357,term.html" TargetMode="External"/><Relationship Id="rId42" Type="http://schemas.openxmlformats.org/officeDocument/2006/relationships/hyperlink" Target="http://stat.gov.pl/en/metainformations/glossary/terms-used-in-official-statistics/707,term.html" TargetMode="External"/><Relationship Id="rId47" Type="http://schemas.openxmlformats.org/officeDocument/2006/relationships/hyperlink" Target="http://stat.gov.pl/en/metainformations/glossary/terms-used-in-official-statistics/1313,term.html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://stat.gov.pl/en/metainformations/glossary/terms-used-in-official-statistics/700,term.html" TargetMode="External"/><Relationship Id="rId11" Type="http://schemas.openxmlformats.org/officeDocument/2006/relationships/image" Target="media/image31.emf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://stat.gov.pl/en/metainformations/glossary/terms-used-in-official-statistics/1317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metainformations/glossary/terms-used-in-official-statistics/362,term.html" TargetMode="External"/><Relationship Id="rId45" Type="http://schemas.openxmlformats.org/officeDocument/2006/relationships/hyperlink" Target="http://stat.gov.pl/en/metainformations/glossary/terms-used-in-official-statistics/1314,term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image" Target="media/image8.png"/><Relationship Id="rId28" Type="http://schemas.openxmlformats.org/officeDocument/2006/relationships/hyperlink" Target="http://stat.gov.pl/en/metainformations/glossary/terms-used-in-official-statistics/362,term.html" TargetMode="External"/><Relationship Id="rId36" Type="http://schemas.openxmlformats.org/officeDocument/2006/relationships/hyperlink" Target="http://swaid.stat.gov.pl/EN/SitePagesDBW/ProdukcjaPrzemyslowa.aspx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356,term.html" TargetMode="External"/><Relationship Id="rId44" Type="http://schemas.openxmlformats.org/officeDocument/2006/relationships/hyperlink" Target="http://stat.gov.pl/en/metainformations/glossary/terms-used-in-official-statistics/131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en/metainformations/glossary/terms-used-in-official-statistics/707,term.html" TargetMode="External"/><Relationship Id="rId35" Type="http://schemas.openxmlformats.org/officeDocument/2006/relationships/hyperlink" Target="http://stat.gov.pl/en/metainformations/glossary/terms-used-in-official-statistics/1313,term.html" TargetMode="External"/><Relationship Id="rId43" Type="http://schemas.openxmlformats.org/officeDocument/2006/relationships/hyperlink" Target="http://stat.gov.pl/en/metainformations/glossary/terms-used-in-official-statistics/356,term.html" TargetMode="External"/><Relationship Id="rId48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tat.gov.pl/en/metainformations/glossary/terms-used-in-official-statistics/1314,term.html" TargetMode="External"/><Relationship Id="rId38" Type="http://schemas.openxmlformats.org/officeDocument/2006/relationships/hyperlink" Target="http://stat.gov.pl/en/poland-macroeconomic-indicators/" TargetMode="External"/><Relationship Id="rId46" Type="http://schemas.openxmlformats.org/officeDocument/2006/relationships/hyperlink" Target="http://stat.gov.pl/en/metainformations/glossary/terms-used-in-official-statistics/357,term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en/metainformations/glossary/terms-used-in-official-statistics/70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'2020'!$A$5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'2020'!$A$6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'2020'!$A$7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'2020'!$A$8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'2020'!$A$9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6440800"/>
        <c:axId val="256455488"/>
      </c:lineChart>
      <c:catAx>
        <c:axId val="256440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56455488"/>
        <c:crossesAt val="100"/>
        <c:auto val="1"/>
        <c:lblAlgn val="ctr"/>
        <c:lblOffset val="100"/>
        <c:noMultiLvlLbl val="0"/>
      </c:catAx>
      <c:valAx>
        <c:axId val="256455488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56440800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'VII 2020 ang'!$B$1</c:f>
              <c:strCache>
                <c:ptCount val="1"/>
                <c:pt idx="0">
                  <c:v>VII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'VII 2020 ang'!$A$2:$A$13</c:f>
              <c:strCache>
                <c:ptCount val="12"/>
                <c:pt idx="0">
                  <c:v>Manufacture of furniture</c:v>
                </c:pt>
                <c:pt idx="1">
                  <c:v>Manufacture of computer, electronic and optical products</c:v>
                </c:pt>
                <c:pt idx="2">
                  <c:v>Manufacture of products of wood, cork, straw and wicker</c:v>
                </c:pt>
                <c:pt idx="3">
                  <c:v>Waste collection, treatment and disposal activities; materials recovery</c:v>
                </c:pt>
                <c:pt idx="4">
                  <c:v>Manufacture of tobacco products</c:v>
                </c:pt>
                <c:pt idx="5">
                  <c:v>Manufacture of pharmaceutical products</c:v>
                </c:pt>
                <c:pt idx="6">
                  <c:v>Manufacture of textiles</c:v>
                </c:pt>
                <c:pt idx="7">
                  <c:v>Repair and installation of machinery and equipment</c:v>
                </c:pt>
                <c:pt idx="8">
                  <c:v>Manufacture of basic metals</c:v>
                </c:pt>
                <c:pt idx="9">
                  <c:v>Manufacture of machinery and equipment </c:v>
                </c:pt>
                <c:pt idx="10">
                  <c:v>Manufacture of coke and refined petroleum products</c:v>
                </c:pt>
                <c:pt idx="11">
                  <c:v>Mining of coal and lignite </c:v>
                </c:pt>
              </c:strCache>
            </c:strRef>
          </c:cat>
          <c:val>
            <c:numRef>
              <c:f>'VII 2020 ang'!$B$2:$B$13</c:f>
              <c:numCache>
                <c:formatCode>0.0_ ;[Red]\-0.0\ </c:formatCode>
                <c:ptCount val="12"/>
                <c:pt idx="0">
                  <c:v>124.2</c:v>
                </c:pt>
                <c:pt idx="1">
                  <c:v>115.3</c:v>
                </c:pt>
                <c:pt idx="2">
                  <c:v>114.8</c:v>
                </c:pt>
                <c:pt idx="3">
                  <c:v>114.3</c:v>
                </c:pt>
                <c:pt idx="4">
                  <c:v>113</c:v>
                </c:pt>
                <c:pt idx="5">
                  <c:v>108.3</c:v>
                </c:pt>
                <c:pt idx="6">
                  <c:v>95.8</c:v>
                </c:pt>
                <c:pt idx="7">
                  <c:v>91.4</c:v>
                </c:pt>
                <c:pt idx="8">
                  <c:v>90.3</c:v>
                </c:pt>
                <c:pt idx="9">
                  <c:v>86.7</c:v>
                </c:pt>
                <c:pt idx="10">
                  <c:v>85</c:v>
                </c:pt>
                <c:pt idx="11">
                  <c:v>81.599999999999994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'VII 2020 ang'!$C$1</c:f>
              <c:strCache>
                <c:ptCount val="1"/>
                <c:pt idx="0">
                  <c:v>VII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'VII 2020 ang'!$A$2:$A$13</c:f>
              <c:strCache>
                <c:ptCount val="12"/>
                <c:pt idx="0">
                  <c:v>Manufacture of furniture</c:v>
                </c:pt>
                <c:pt idx="1">
                  <c:v>Manufacture of computer, electronic and optical products</c:v>
                </c:pt>
                <c:pt idx="2">
                  <c:v>Manufacture of products of wood, cork, straw and wicker</c:v>
                </c:pt>
                <c:pt idx="3">
                  <c:v>Waste collection, treatment and disposal activities; materials recovery</c:v>
                </c:pt>
                <c:pt idx="4">
                  <c:v>Manufacture of tobacco products</c:v>
                </c:pt>
                <c:pt idx="5">
                  <c:v>Manufacture of pharmaceutical products</c:v>
                </c:pt>
                <c:pt idx="6">
                  <c:v>Manufacture of textiles</c:v>
                </c:pt>
                <c:pt idx="7">
                  <c:v>Repair and installation of machinery and equipment</c:v>
                </c:pt>
                <c:pt idx="8">
                  <c:v>Manufacture of basic metals</c:v>
                </c:pt>
                <c:pt idx="9">
                  <c:v>Manufacture of machinery and equipment </c:v>
                </c:pt>
                <c:pt idx="10">
                  <c:v>Manufacture of coke and refined petroleum products</c:v>
                </c:pt>
                <c:pt idx="11">
                  <c:v>Mining of coal and lignite </c:v>
                </c:pt>
              </c:strCache>
            </c:strRef>
          </c:cat>
          <c:val>
            <c:numRef>
              <c:f>'VII 2020 ang'!$C$2:$C$13</c:f>
              <c:numCache>
                <c:formatCode>0.0_ ;[Red]\-0.0\ </c:formatCode>
                <c:ptCount val="12"/>
                <c:pt idx="0">
                  <c:v>105.7</c:v>
                </c:pt>
                <c:pt idx="1">
                  <c:v>105.5</c:v>
                </c:pt>
                <c:pt idx="2">
                  <c:v>101.8</c:v>
                </c:pt>
                <c:pt idx="3">
                  <c:v>117.6</c:v>
                </c:pt>
                <c:pt idx="4">
                  <c:v>98.2</c:v>
                </c:pt>
                <c:pt idx="5">
                  <c:v>95.8</c:v>
                </c:pt>
                <c:pt idx="6">
                  <c:v>110</c:v>
                </c:pt>
                <c:pt idx="7">
                  <c:v>115.4</c:v>
                </c:pt>
                <c:pt idx="8">
                  <c:v>95.5</c:v>
                </c:pt>
                <c:pt idx="9">
                  <c:v>101.9</c:v>
                </c:pt>
                <c:pt idx="10">
                  <c:v>104.9</c:v>
                </c:pt>
                <c:pt idx="11">
                  <c:v>97.2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6452224"/>
        <c:axId val="256445152"/>
      </c:barChart>
      <c:catAx>
        <c:axId val="25645222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256445152"/>
        <c:crossesAt val="100"/>
        <c:auto val="1"/>
        <c:lblAlgn val="ctr"/>
        <c:lblOffset val="20"/>
        <c:noMultiLvlLbl val="0"/>
      </c:catAx>
      <c:valAx>
        <c:axId val="256445152"/>
        <c:scaling>
          <c:orientation val="minMax"/>
          <c:max val="125"/>
          <c:min val="8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256452224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638923928775347E-2"/>
          <c:y val="7.9143513796526732E-2"/>
          <c:w val="0.93195636376071889"/>
          <c:h val="0.55246814355459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słupkowy - lipiec ang'!$B$20:$B$24</c:f>
              <c:strCache>
                <c:ptCount val="5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10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11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1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3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14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6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7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18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19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2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21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22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24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25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26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27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28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29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3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32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33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34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35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36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37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3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cat>
            <c:multiLvlStrRef>
              <c:f>'wykres słupkowy - lipiec ang'!$A$4:$B$42</c:f>
              <c:multiLvlStrCache>
                <c:ptCount val="39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8">
                    <c:v>I 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  <c:pt idx="13">
                    <c:v>VI</c:v>
                  </c:pt>
                  <c:pt idx="14">
                    <c:v>VII</c:v>
                  </c:pt>
                  <c:pt idx="16">
                    <c:v>I 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V</c:v>
                  </c:pt>
                  <c:pt idx="21">
                    <c:v>VI</c:v>
                  </c:pt>
                  <c:pt idx="22">
                    <c:v>VII</c:v>
                  </c:pt>
                  <c:pt idx="24">
                    <c:v>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2">
                    <c:v>I 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V</c:v>
                  </c:pt>
                  <c:pt idx="37">
                    <c:v>VI</c:v>
                  </c:pt>
                  <c:pt idx="38">
                    <c:v>VII</c:v>
                  </c:pt>
                </c:lvl>
                <c:lvl>
                  <c:pt idx="0">
                    <c:v>Manufacture of coke and refined petroleum products</c:v>
                  </c:pt>
                  <c:pt idx="8">
                    <c:v>Manufacture of paper and paper products</c:v>
                  </c:pt>
                  <c:pt idx="16">
                    <c:v>Manufacture of motor vehicles, trailers and semi-trailers</c:v>
                  </c:pt>
                  <c:pt idx="24">
                    <c:v>Manufacture of basic metals</c:v>
                  </c:pt>
                  <c:pt idx="32">
                    <c:v>Manufacture of other non-metallic mineral products</c:v>
                  </c:pt>
                </c:lvl>
              </c:multiLvlStrCache>
            </c:multiLvlStrRef>
          </c:cat>
          <c:val>
            <c:numRef>
              <c:f>'wykres słupkowy - lipiec ang'!$C$4:$C$42</c:f>
              <c:numCache>
                <c:formatCode>0.0_ ;[Red]\-0.0\ </c:formatCode>
                <c:ptCount val="39"/>
                <c:pt idx="0">
                  <c:v>109.7</c:v>
                </c:pt>
                <c:pt idx="1">
                  <c:v>94.5</c:v>
                </c:pt>
                <c:pt idx="2">
                  <c:v>102.4</c:v>
                </c:pt>
                <c:pt idx="3">
                  <c:v>83.6</c:v>
                </c:pt>
                <c:pt idx="4">
                  <c:v>110.4</c:v>
                </c:pt>
                <c:pt idx="5">
                  <c:v>93.6</c:v>
                </c:pt>
                <c:pt idx="6">
                  <c:v>115.9</c:v>
                </c:pt>
                <c:pt idx="8">
                  <c:v>125.4</c:v>
                </c:pt>
                <c:pt idx="9">
                  <c:v>92.1</c:v>
                </c:pt>
                <c:pt idx="10">
                  <c:v>110.2</c:v>
                </c:pt>
                <c:pt idx="11">
                  <c:v>83.9</c:v>
                </c:pt>
                <c:pt idx="12">
                  <c:v>94.7</c:v>
                </c:pt>
                <c:pt idx="13">
                  <c:v>107.3</c:v>
                </c:pt>
                <c:pt idx="14">
                  <c:v>109.1</c:v>
                </c:pt>
                <c:pt idx="16">
                  <c:v>117.4</c:v>
                </c:pt>
                <c:pt idx="17">
                  <c:v>108.3</c:v>
                </c:pt>
                <c:pt idx="18">
                  <c:v>75.8</c:v>
                </c:pt>
                <c:pt idx="19">
                  <c:v>28</c:v>
                </c:pt>
                <c:pt idx="20">
                  <c:v>209.7</c:v>
                </c:pt>
                <c:pt idx="21">
                  <c:v>180.1</c:v>
                </c:pt>
                <c:pt idx="22">
                  <c:v>109.2</c:v>
                </c:pt>
                <c:pt idx="24">
                  <c:v>133.5</c:v>
                </c:pt>
                <c:pt idx="25">
                  <c:v>98.6</c:v>
                </c:pt>
                <c:pt idx="26">
                  <c:v>103.8</c:v>
                </c:pt>
                <c:pt idx="27">
                  <c:v>77.5</c:v>
                </c:pt>
                <c:pt idx="28">
                  <c:v>102.3</c:v>
                </c:pt>
                <c:pt idx="29">
                  <c:v>106.6</c:v>
                </c:pt>
                <c:pt idx="30">
                  <c:v>104.4</c:v>
                </c:pt>
                <c:pt idx="32">
                  <c:v>107.3</c:v>
                </c:pt>
                <c:pt idx="33">
                  <c:v>106.3</c:v>
                </c:pt>
                <c:pt idx="34">
                  <c:v>115.2</c:v>
                </c:pt>
                <c:pt idx="35">
                  <c:v>81.2</c:v>
                </c:pt>
                <c:pt idx="36">
                  <c:v>106.8</c:v>
                </c:pt>
                <c:pt idx="37">
                  <c:v>110.8</c:v>
                </c:pt>
                <c:pt idx="38">
                  <c:v>104.2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256452768"/>
        <c:axId val="256444608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spPr>
                  <a:solidFill>
                    <a:schemeClr val="accent2"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multiLvlStrRef>
                    <c:extLst>
                      <c:ext uri="{02D57815-91ED-43cb-92C2-25804820EDAC}">
                        <c15:formulaRef>
                          <c15:sqref>'wykres słupkowy - lipiec ang'!$A$4:$B$42</c15:sqref>
                        </c15:formulaRef>
                      </c:ext>
                    </c:extLst>
                    <c:multiLvlStrCache>
                      <c:ptCount val="39"/>
                      <c:lvl>
                        <c:pt idx="0">
                          <c:v>I </c:v>
                        </c:pt>
                        <c:pt idx="1">
                          <c:v>II</c:v>
                        </c:pt>
                        <c:pt idx="2">
                          <c:v>III</c:v>
                        </c:pt>
                        <c:pt idx="3">
                          <c:v>IV</c:v>
                        </c:pt>
                        <c:pt idx="4">
                          <c:v>V</c:v>
                        </c:pt>
                        <c:pt idx="5">
                          <c:v>VI</c:v>
                        </c:pt>
                        <c:pt idx="6">
                          <c:v>VII</c:v>
                        </c:pt>
                        <c:pt idx="8">
                          <c:v>I </c:v>
                        </c:pt>
                        <c:pt idx="9">
                          <c:v>II</c:v>
                        </c:pt>
                        <c:pt idx="10">
                          <c:v>III</c:v>
                        </c:pt>
                        <c:pt idx="11">
                          <c:v>IV</c:v>
                        </c:pt>
                        <c:pt idx="12">
                          <c:v>V</c:v>
                        </c:pt>
                        <c:pt idx="13">
                          <c:v>VI</c:v>
                        </c:pt>
                        <c:pt idx="14">
                          <c:v>VII</c:v>
                        </c:pt>
                        <c:pt idx="16">
                          <c:v>I </c:v>
                        </c:pt>
                        <c:pt idx="17">
                          <c:v>II</c:v>
                        </c:pt>
                        <c:pt idx="18">
                          <c:v>III</c:v>
                        </c:pt>
                        <c:pt idx="19">
                          <c:v>IV</c:v>
                        </c:pt>
                        <c:pt idx="20">
                          <c:v>V</c:v>
                        </c:pt>
                        <c:pt idx="21">
                          <c:v>VI</c:v>
                        </c:pt>
                        <c:pt idx="22">
                          <c:v>VII</c:v>
                        </c:pt>
                        <c:pt idx="24">
                          <c:v>I </c:v>
                        </c:pt>
                        <c:pt idx="25">
                          <c:v>II</c:v>
                        </c:pt>
                        <c:pt idx="26">
                          <c:v>III</c:v>
                        </c:pt>
                        <c:pt idx="27">
                          <c:v>IV</c:v>
                        </c:pt>
                        <c:pt idx="28">
                          <c:v>V</c:v>
                        </c:pt>
                        <c:pt idx="29">
                          <c:v>VI</c:v>
                        </c:pt>
                        <c:pt idx="30">
                          <c:v>VII</c:v>
                        </c:pt>
                        <c:pt idx="32">
                          <c:v>I </c:v>
                        </c:pt>
                        <c:pt idx="33">
                          <c:v>II</c:v>
                        </c:pt>
                        <c:pt idx="34">
                          <c:v>III</c:v>
                        </c:pt>
                        <c:pt idx="35">
                          <c:v>IV</c:v>
                        </c:pt>
                        <c:pt idx="36">
                          <c:v>V</c:v>
                        </c:pt>
                        <c:pt idx="37">
                          <c:v>VI</c:v>
                        </c:pt>
                        <c:pt idx="38">
                          <c:v>VII</c:v>
                        </c:pt>
                      </c:lvl>
                      <c:lvl>
                        <c:pt idx="0">
                          <c:v>Manufacture of coke and refined petroleum products</c:v>
                        </c:pt>
                        <c:pt idx="8">
                          <c:v>Manufacture of paper and paper products</c:v>
                        </c:pt>
                        <c:pt idx="16">
                          <c:v>Manufacture of motor vehicles, trailers and semi-trailers</c:v>
                        </c:pt>
                        <c:pt idx="24">
                          <c:v>Manufacture of basic metals</c:v>
                        </c:pt>
                        <c:pt idx="32">
                          <c:v>Manufacture of other non-metallic mineral products</c:v>
                        </c:pt>
                      </c:lvl>
                    </c:multiLvlStrCache>
                  </c:multiLvlStrRef>
                </c:cat>
                <c:val>
                  <c:numLit>
                    <c:formatCode>General</c:formatCode>
                    <c:ptCount val="1"/>
                    <c:pt idx="0">
                      <c:v>1</c:v>
                    </c:pt>
                  </c:numLit>
                </c:val>
              </c15:ser>
            </c15:filteredBarSeries>
          </c:ext>
        </c:extLst>
      </c:barChart>
      <c:catAx>
        <c:axId val="25645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587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56444608"/>
        <c:crossesAt val="100"/>
        <c:auto val="1"/>
        <c:lblAlgn val="ctr"/>
        <c:lblOffset val="100"/>
        <c:noMultiLvlLbl val="0"/>
      </c:catAx>
      <c:valAx>
        <c:axId val="256444608"/>
        <c:scaling>
          <c:orientation val="minMax"/>
          <c:max val="210"/>
          <c:min val="2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spc="2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5645276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B7AA5-C77A-43D9-915E-3756CA05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Łokietek Katarzyna</dc:creator>
  <cp:lastModifiedBy>Kaczorowska Beata</cp:lastModifiedBy>
  <cp:revision>3</cp:revision>
  <cp:lastPrinted>2020-06-19T06:38:00Z</cp:lastPrinted>
  <dcterms:created xsi:type="dcterms:W3CDTF">2020-08-18T13:01:00Z</dcterms:created>
  <dcterms:modified xsi:type="dcterms:W3CDTF">2020-08-18T13:12:00Z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