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434F4789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374B67E6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026847">
        <w:rPr>
          <w:shd w:val="clear" w:color="auto" w:fill="FFFFFF"/>
          <w:lang w:val="en-GB"/>
        </w:rPr>
        <w:t>November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02FF24C7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460C9287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15DC09E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2A4CC0EE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68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5.4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4A14AC0A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026847">
                              <w:rPr>
                                <w:sz w:val="20"/>
                                <w:lang w:val="en-US"/>
                              </w:rPr>
                              <w:t>November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2A4CC0EE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68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5.4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4A14AC0A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026847">
                        <w:rPr>
                          <w:sz w:val="20"/>
                          <w:lang w:val="en-US"/>
                        </w:rPr>
                        <w:t>November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6847">
        <w:rPr>
          <w:lang w:val="en-GB"/>
        </w:rPr>
        <w:t>In November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026847">
        <w:rPr>
          <w:lang w:val="en-GB"/>
        </w:rPr>
        <w:t>5.4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026847">
        <w:rPr>
          <w:lang w:val="en-GB"/>
        </w:rPr>
        <w:t>November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9C547B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026847">
        <w:rPr>
          <w:spacing w:val="-2"/>
          <w:lang w:val="en-GB"/>
        </w:rPr>
        <w:t>1.4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026847">
        <w:rPr>
          <w:spacing w:val="-2"/>
          <w:lang w:val="en-GB"/>
        </w:rPr>
        <w:t>October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026847">
        <w:rPr>
          <w:spacing w:val="-2"/>
          <w:lang w:val="en-GB"/>
        </w:rPr>
        <w:t>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026847">
        <w:rPr>
          <w:spacing w:val="-2"/>
          <w:lang w:val="en-GB"/>
        </w:rPr>
        <w:t>1.6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026847">
        <w:rPr>
          <w:lang w:val="en-GB"/>
        </w:rPr>
        <w:t>November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026847">
        <w:rPr>
          <w:lang w:val="en-GB"/>
        </w:rPr>
        <w:t>2.1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026847">
        <w:rPr>
          <w:lang w:val="en-GB"/>
        </w:rPr>
        <w:t>4.0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7CC6362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68EC43B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38D6B081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EBF1EF5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8DD41A4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0268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2020 amounted to </w:t>
                            </w:r>
                            <w:r w:rsidR="000268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3.5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58DD41A4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0268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2020 amounted to </w:t>
                      </w:r>
                      <w:r w:rsidR="000268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3.5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6C105DB5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026847">
        <w:rPr>
          <w:noProof/>
          <w:spacing w:val="-2"/>
          <w:szCs w:val="19"/>
          <w:lang w:val="en-GB"/>
        </w:rPr>
        <w:t>November</w:t>
      </w:r>
      <w:r w:rsidR="00405D79">
        <w:rPr>
          <w:noProof/>
          <w:spacing w:val="-2"/>
          <w:szCs w:val="19"/>
          <w:lang w:val="en-GB"/>
        </w:rPr>
        <w:t xml:space="preserve"> </w:t>
      </w:r>
      <w:r w:rsidRPr="00AE5BE5">
        <w:rPr>
          <w:noProof/>
          <w:spacing w:val="-2"/>
          <w:szCs w:val="19"/>
          <w:lang w:val="en-GB"/>
        </w:rPr>
        <w:t xml:space="preserve">2020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026847">
        <w:rPr>
          <w:noProof/>
          <w:spacing w:val="-2"/>
          <w:szCs w:val="19"/>
          <w:lang w:val="en-GB"/>
        </w:rPr>
        <w:t>3.5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026847">
        <w:rPr>
          <w:noProof/>
          <w:spacing w:val="-2"/>
          <w:szCs w:val="19"/>
          <w:lang w:val="en-GB"/>
        </w:rPr>
        <w:t>1.2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026847">
        <w:rPr>
          <w:noProof/>
          <w:spacing w:val="-2"/>
          <w:szCs w:val="19"/>
          <w:lang w:val="en-GB"/>
        </w:rPr>
        <w:t>October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090A75DB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677F0805" w:rsidR="003627E7" w:rsidRPr="007B4306" w:rsidRDefault="00026847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8464" behindDoc="0" locked="0" layoutInCell="1" allowOverlap="1" wp14:anchorId="6D4C9FCE" wp14:editId="605857C4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5168265" cy="315150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0B34110E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755086EE" w14:textId="155FAF28" w:rsidR="00AD6B92" w:rsidRPr="00D75D28" w:rsidRDefault="00AD6B92" w:rsidP="00AD6B9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November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2020,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n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in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026847" w:rsidRPr="00FC4B57">
        <w:rPr>
          <w:b w:val="0"/>
          <w:sz w:val="19"/>
          <w:szCs w:val="19"/>
          <w:shd w:val="clear" w:color="auto" w:fill="FFFFFF"/>
          <w:lang w:val="en-GB"/>
        </w:rPr>
        <w:t xml:space="preserve"> most of the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15DB7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615DB7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 xml:space="preserve">intermediate goods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in</w:t>
      </w:r>
      <w:r w:rsidR="005E5DF4">
        <w:rPr>
          <w:b w:val="0"/>
          <w:sz w:val="19"/>
          <w:szCs w:val="19"/>
          <w:shd w:val="clear" w:color="auto" w:fill="FFFFFF"/>
          <w:lang w:val="en-GB"/>
        </w:rPr>
        <w:t xml:space="preserve">creased by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9.4%,</w:t>
      </w:r>
      <w:r w:rsidR="00026847" w:rsidRPr="000268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– by 7.7%,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7.3% and </w:t>
      </w:r>
      <w:r w:rsidR="00026847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026847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1.7%. </w:t>
      </w:r>
      <w:r w:rsidRPr="00E2764C">
        <w:rPr>
          <w:b w:val="0"/>
          <w:sz w:val="19"/>
          <w:szCs w:val="19"/>
          <w:lang w:val="en-GB"/>
        </w:rPr>
        <w:t>A</w:t>
      </w:r>
      <w:r w:rsidR="00026847">
        <w:rPr>
          <w:b w:val="0"/>
          <w:sz w:val="19"/>
          <w:szCs w:val="19"/>
          <w:lang w:val="en-GB"/>
        </w:rPr>
        <w:t xml:space="preserve"> de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026847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26847">
        <w:rPr>
          <w:b w:val="0"/>
          <w:sz w:val="19"/>
          <w:szCs w:val="19"/>
          <w:shd w:val="clear" w:color="auto" w:fill="FFFFFF"/>
          <w:lang w:val="en-GB"/>
        </w:rPr>
        <w:t>8.0%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.</w:t>
      </w:r>
      <w:r w:rsidR="00026847" w:rsidRPr="000268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F90A97A" w14:textId="61976C03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386D4012" w:rsidR="00BB33B9" w:rsidRPr="00C52703" w:rsidRDefault="005E5DF4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11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5" w:type="dxa"/>
          </w:tcPr>
          <w:p w14:paraId="65938CEA" w14:textId="2CFEB422" w:rsidR="00BB33B9" w:rsidRPr="00C52703" w:rsidRDefault="001F312B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5E5DF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11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72F84946" w:rsidR="00BB33B9" w:rsidRPr="00C52703" w:rsidRDefault="005E5DF4" w:rsidP="005E5DF4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AD6B92">
              <w:rPr>
                <w:color w:val="000000" w:themeColor="text1"/>
                <w:sz w:val="16"/>
                <w:szCs w:val="16"/>
                <w:lang w:val="en-GB"/>
              </w:rPr>
              <w:t>0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74B684C6" w:rsidR="00BB33B9" w:rsidRPr="00C52703" w:rsidRDefault="00AD6B92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5E5DF4">
              <w:rPr>
                <w:color w:val="000000" w:themeColor="text1"/>
                <w:sz w:val="16"/>
                <w:szCs w:val="16"/>
                <w:lang w:val="en-GB"/>
              </w:rPr>
              <w:t>1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4339A06F" w:rsidR="00BB33B9" w:rsidRPr="00C43A96" w:rsidRDefault="001F312B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 w:rsidR="0019680B">
              <w:rPr>
                <w:sz w:val="16"/>
                <w:szCs w:val="16"/>
                <w:lang w:val="en-GB"/>
              </w:rPr>
              <w:t>-</w:t>
            </w:r>
            <w:r w:rsidR="005E5DF4">
              <w:rPr>
                <w:sz w:val="16"/>
                <w:szCs w:val="16"/>
                <w:lang w:val="en-GB"/>
              </w:rPr>
              <w:t>11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14CC9174" w:rsidR="0019680B" w:rsidRPr="009D4C87" w:rsidRDefault="005E5DF4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98.4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3EE6E036" w:rsidR="0019680B" w:rsidRPr="009D4C87" w:rsidRDefault="005E5DF4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105.4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39878152" w:rsidR="0019680B" w:rsidRPr="00DD58F4" w:rsidRDefault="005E5DF4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132.7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574474BE" w:rsidR="0019680B" w:rsidRPr="009D4C87" w:rsidRDefault="005E5DF4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97.9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06F4BB6D" w:rsidR="0019680B" w:rsidRPr="009D4C87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</w:t>
            </w:r>
          </w:p>
        </w:tc>
        <w:tc>
          <w:tcPr>
            <w:tcW w:w="1383" w:type="dxa"/>
            <w:vAlign w:val="center"/>
          </w:tcPr>
          <w:p w14:paraId="588D4170" w14:textId="3A345C06" w:rsidR="0019680B" w:rsidRPr="009D4C87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96.6</w:t>
            </w:r>
          </w:p>
        </w:tc>
        <w:tc>
          <w:tcPr>
            <w:tcW w:w="1521" w:type="dxa"/>
            <w:vAlign w:val="center"/>
          </w:tcPr>
          <w:p w14:paraId="3E145B8D" w14:textId="1E790401" w:rsidR="0019680B" w:rsidRPr="00DD58F4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91.3</w:t>
            </w:r>
          </w:p>
        </w:tc>
        <w:tc>
          <w:tcPr>
            <w:tcW w:w="1305" w:type="dxa"/>
            <w:vAlign w:val="center"/>
          </w:tcPr>
          <w:p w14:paraId="2E08FF59" w14:textId="783F88D8" w:rsidR="0019680B" w:rsidRPr="009D4C87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91.5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75C7057C" w:rsidR="0019680B" w:rsidRPr="009D4C87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97.5</w:t>
            </w:r>
          </w:p>
        </w:tc>
        <w:tc>
          <w:tcPr>
            <w:tcW w:w="1383" w:type="dxa"/>
            <w:vAlign w:val="center"/>
          </w:tcPr>
          <w:p w14:paraId="6EE9A7FE" w14:textId="05BB14F2" w:rsidR="0019680B" w:rsidRPr="009D4C87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107.2</w:t>
            </w:r>
          </w:p>
        </w:tc>
        <w:tc>
          <w:tcPr>
            <w:tcW w:w="1521" w:type="dxa"/>
            <w:vAlign w:val="center"/>
          </w:tcPr>
          <w:p w14:paraId="14DEA633" w14:textId="239B4C58" w:rsidR="0019680B" w:rsidRPr="00DD58F4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135.9</w:t>
            </w:r>
          </w:p>
        </w:tc>
        <w:tc>
          <w:tcPr>
            <w:tcW w:w="1305" w:type="dxa"/>
            <w:vAlign w:val="center"/>
          </w:tcPr>
          <w:p w14:paraId="3C9AADCC" w14:textId="3871AEEB" w:rsidR="0019680B" w:rsidRPr="009D4C87" w:rsidRDefault="005E5DF4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6F2A4B6C" w:rsidR="0019680B" w:rsidRPr="009D4C87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109.0</w:t>
            </w:r>
          </w:p>
        </w:tc>
        <w:tc>
          <w:tcPr>
            <w:tcW w:w="1383" w:type="dxa"/>
            <w:vAlign w:val="center"/>
          </w:tcPr>
          <w:p w14:paraId="09A98E34" w14:textId="751F3551" w:rsidR="0019680B" w:rsidRPr="009D4C87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89.5</w:t>
            </w:r>
          </w:p>
        </w:tc>
        <w:tc>
          <w:tcPr>
            <w:tcW w:w="1521" w:type="dxa"/>
            <w:vAlign w:val="center"/>
          </w:tcPr>
          <w:p w14:paraId="48C11E68" w14:textId="17CC855E" w:rsidR="0019680B" w:rsidRPr="00DD58F4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117.3</w:t>
            </w:r>
          </w:p>
        </w:tc>
        <w:tc>
          <w:tcPr>
            <w:tcW w:w="1305" w:type="dxa"/>
            <w:vAlign w:val="center"/>
          </w:tcPr>
          <w:p w14:paraId="33B85A7E" w14:textId="7C504F4D" w:rsidR="0019680B" w:rsidRPr="009D4C87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97.5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449C654C" w:rsidR="0019680B" w:rsidRPr="009D4C87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</w:t>
            </w:r>
          </w:p>
        </w:tc>
        <w:tc>
          <w:tcPr>
            <w:tcW w:w="1383" w:type="dxa"/>
            <w:vAlign w:val="center"/>
          </w:tcPr>
          <w:p w14:paraId="6E445ECF" w14:textId="494D677A" w:rsidR="0019680B" w:rsidRPr="009D4C87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107.4</w:t>
            </w:r>
          </w:p>
        </w:tc>
        <w:tc>
          <w:tcPr>
            <w:tcW w:w="1521" w:type="dxa"/>
            <w:vAlign w:val="center"/>
          </w:tcPr>
          <w:p w14:paraId="4FF62C73" w14:textId="1C251FDF" w:rsidR="0019680B" w:rsidRPr="00DD58F4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132.5</w:t>
            </w:r>
          </w:p>
        </w:tc>
        <w:tc>
          <w:tcPr>
            <w:tcW w:w="1305" w:type="dxa"/>
            <w:vAlign w:val="center"/>
          </w:tcPr>
          <w:p w14:paraId="32141E5B" w14:textId="2FFF2653" w:rsidR="0019680B" w:rsidRPr="009D4C87" w:rsidRDefault="005E5DF4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</w:tr>
    </w:tbl>
    <w:p w14:paraId="6E3C5957" w14:textId="0EE1E14D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616F8EAE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5E5DF4">
        <w:rPr>
          <w:sz w:val="16"/>
          <w:szCs w:val="16"/>
          <w:lang w:val="en-GB"/>
        </w:rPr>
        <w:t>October</w:t>
      </w:r>
      <w:r w:rsidR="008C421A">
        <w:rPr>
          <w:sz w:val="16"/>
          <w:szCs w:val="16"/>
          <w:lang w:val="en-GB"/>
        </w:rPr>
        <w:t xml:space="preserve"> and reported data – in </w:t>
      </w:r>
      <w:r w:rsidR="005E5DF4">
        <w:rPr>
          <w:sz w:val="16"/>
          <w:szCs w:val="16"/>
          <w:lang w:val="en-GB"/>
        </w:rPr>
        <w:t>Novem</w:t>
      </w:r>
      <w:r w:rsidR="00AD6B92">
        <w:rPr>
          <w:sz w:val="16"/>
          <w:szCs w:val="16"/>
          <w:lang w:val="en-GB"/>
        </w:rPr>
        <w:t>ber</w:t>
      </w:r>
      <w:r w:rsidR="00BB33B9">
        <w:rPr>
          <w:sz w:val="16"/>
          <w:szCs w:val="16"/>
          <w:lang w:val="en-GB"/>
        </w:rPr>
        <w:t>.</w:t>
      </w:r>
    </w:p>
    <w:p w14:paraId="52E735D6" w14:textId="7862BC99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B27C0CB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64A7A75F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5E5D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5E5D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78.3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64A7A75F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5E5D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5E5D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78.3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43691329" w14:textId="19C190E9" w:rsidR="00615DB7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5E5DF4">
        <w:rPr>
          <w:noProof/>
          <w:spacing w:val="-2"/>
          <w:szCs w:val="19"/>
          <w:lang w:val="en-GB"/>
        </w:rPr>
        <w:t>November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5E5DF4">
        <w:rPr>
          <w:noProof/>
          <w:spacing w:val="-2"/>
          <w:szCs w:val="19"/>
          <w:lang w:val="en-GB"/>
        </w:rPr>
        <w:t xml:space="preserve">November </w:t>
      </w:r>
      <w:r>
        <w:rPr>
          <w:noProof/>
          <w:spacing w:val="-2"/>
          <w:szCs w:val="19"/>
          <w:lang w:val="en-GB"/>
        </w:rPr>
        <w:t xml:space="preserve">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5E5DF4">
        <w:rPr>
          <w:noProof/>
          <w:spacing w:val="-2"/>
          <w:szCs w:val="19"/>
          <w:lang w:val="en-GB"/>
        </w:rPr>
        <w:t>24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91E20" w:rsidRPr="009D61BA">
        <w:rPr>
          <w:noProof/>
          <w:szCs w:val="19"/>
          <w:lang w:val="en-GB"/>
        </w:rPr>
        <w:t xml:space="preserve">manufacture of electrical equipment – by </w:t>
      </w:r>
      <w:r w:rsidR="005E5DF4">
        <w:rPr>
          <w:noProof/>
          <w:szCs w:val="19"/>
          <w:lang w:val="en-GB"/>
        </w:rPr>
        <w:t>24.5</w:t>
      </w:r>
      <w:r w:rsidR="00691E20">
        <w:rPr>
          <w:noProof/>
          <w:szCs w:val="19"/>
          <w:lang w:val="en-GB"/>
        </w:rPr>
        <w:t>%,</w:t>
      </w:r>
      <w:r w:rsidR="00691E20" w:rsidRPr="008C421A">
        <w:rPr>
          <w:noProof/>
          <w:spacing w:val="-2"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5E5DF4">
        <w:rPr>
          <w:noProof/>
          <w:spacing w:val="-2"/>
          <w:szCs w:val="19"/>
          <w:lang w:val="en-GB"/>
        </w:rPr>
        <w:t>15.5</w:t>
      </w:r>
      <w:r w:rsidR="00A50D1A">
        <w:rPr>
          <w:noProof/>
          <w:spacing w:val="-2"/>
          <w:szCs w:val="19"/>
          <w:lang w:val="en-GB"/>
        </w:rPr>
        <w:t xml:space="preserve">%, </w:t>
      </w:r>
      <w:r w:rsidR="000D6E9C">
        <w:rPr>
          <w:noProof/>
          <w:spacing w:val="-2"/>
          <w:szCs w:val="19"/>
          <w:lang w:val="en-GB"/>
        </w:rPr>
        <w:t>m</w:t>
      </w:r>
      <w:r w:rsidR="000D6E9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0D6E9C">
        <w:rPr>
          <w:noProof/>
          <w:spacing w:val="-2"/>
          <w:szCs w:val="19"/>
          <w:lang w:val="en-GB"/>
        </w:rPr>
        <w:t xml:space="preserve"> – by 14.5%,</w:t>
      </w:r>
      <w:r w:rsidR="000D6E9C" w:rsidRPr="00082002">
        <w:rPr>
          <w:noProof/>
          <w:spacing w:val="-2"/>
          <w:szCs w:val="19"/>
          <w:lang w:val="en-GB"/>
        </w:rPr>
        <w:t xml:space="preserve"> </w:t>
      </w:r>
      <w:r w:rsidR="00615DB7">
        <w:rPr>
          <w:noProof/>
          <w:spacing w:val="-2"/>
          <w:szCs w:val="19"/>
          <w:lang w:val="en-GB"/>
        </w:rPr>
        <w:t>m</w:t>
      </w:r>
      <w:r w:rsidR="00615DB7" w:rsidRPr="00082002">
        <w:rPr>
          <w:noProof/>
          <w:spacing w:val="-2"/>
          <w:szCs w:val="19"/>
          <w:lang w:val="en-GB"/>
        </w:rPr>
        <w:t>anufacture of products of wood, cork, straw</w:t>
      </w:r>
      <w:r w:rsidR="00615DB7" w:rsidRPr="0056462D">
        <w:rPr>
          <w:lang w:val="en-US"/>
        </w:rPr>
        <w:t xml:space="preserve"> </w:t>
      </w:r>
      <w:r w:rsidR="00615DB7" w:rsidRPr="00082002">
        <w:rPr>
          <w:noProof/>
          <w:spacing w:val="-2"/>
          <w:szCs w:val="19"/>
          <w:lang w:val="en-GB"/>
        </w:rPr>
        <w:t>and wicker</w:t>
      </w:r>
      <w:r w:rsidR="000D6E9C">
        <w:rPr>
          <w:noProof/>
          <w:spacing w:val="-2"/>
          <w:szCs w:val="19"/>
          <w:lang w:val="en-GB"/>
        </w:rPr>
        <w:t xml:space="preserve"> – by 13.2</w:t>
      </w:r>
      <w:r w:rsidR="00615DB7">
        <w:rPr>
          <w:noProof/>
          <w:spacing w:val="-2"/>
          <w:szCs w:val="19"/>
          <w:lang w:val="en-GB"/>
        </w:rPr>
        <w:t>%,</w:t>
      </w:r>
      <w:r w:rsidR="00615DB7" w:rsidRPr="00615DB7">
        <w:rPr>
          <w:noProof/>
          <w:spacing w:val="-2"/>
          <w:szCs w:val="19"/>
          <w:lang w:val="en-GB"/>
        </w:rPr>
        <w:t xml:space="preserve"> </w:t>
      </w:r>
      <w:r w:rsidR="000D6E9C" w:rsidRPr="00D22ECE">
        <w:rPr>
          <w:noProof/>
          <w:spacing w:val="-2"/>
          <w:szCs w:val="19"/>
          <w:lang w:val="en-GB"/>
        </w:rPr>
        <w:t>manufa</w:t>
      </w:r>
      <w:r w:rsidR="000D6E9C">
        <w:rPr>
          <w:noProof/>
          <w:spacing w:val="-2"/>
          <w:szCs w:val="19"/>
          <w:lang w:val="en-GB"/>
        </w:rPr>
        <w:t>cture of rubber and plastic products – by 12.0%, m</w:t>
      </w:r>
      <w:r w:rsidR="000D6E9C" w:rsidRPr="00691E20">
        <w:rPr>
          <w:noProof/>
          <w:spacing w:val="-2"/>
          <w:szCs w:val="19"/>
          <w:lang w:val="en-GB"/>
        </w:rPr>
        <w:t>anufacture of other transport equipment</w:t>
      </w:r>
      <w:r w:rsidR="000D6E9C">
        <w:rPr>
          <w:noProof/>
          <w:spacing w:val="-2"/>
          <w:szCs w:val="19"/>
          <w:lang w:val="en-GB"/>
        </w:rPr>
        <w:t xml:space="preserve"> – by 10.7%, </w:t>
      </w:r>
      <w:r w:rsidR="00615DB7">
        <w:rPr>
          <w:noProof/>
          <w:spacing w:val="-2"/>
          <w:szCs w:val="19"/>
          <w:lang w:val="en-GB"/>
        </w:rPr>
        <w:t>m</w:t>
      </w:r>
      <w:r w:rsidR="00615DB7" w:rsidRPr="008C421A">
        <w:rPr>
          <w:noProof/>
          <w:spacing w:val="-2"/>
          <w:szCs w:val="19"/>
          <w:lang w:val="en-GB"/>
        </w:rPr>
        <w:t>anufacture of chemicals and chemical products</w:t>
      </w:r>
      <w:r w:rsidR="000D6E9C">
        <w:rPr>
          <w:noProof/>
          <w:spacing w:val="-2"/>
          <w:szCs w:val="19"/>
          <w:lang w:val="en-GB"/>
        </w:rPr>
        <w:t xml:space="preserve"> – by 9.7</w:t>
      </w:r>
      <w:r w:rsidR="00615DB7">
        <w:rPr>
          <w:noProof/>
          <w:spacing w:val="-2"/>
          <w:szCs w:val="19"/>
          <w:lang w:val="en-GB"/>
        </w:rPr>
        <w:t>%,</w:t>
      </w:r>
      <w:r w:rsidR="000D6E9C" w:rsidRPr="000D6E9C">
        <w:rPr>
          <w:noProof/>
          <w:spacing w:val="-2"/>
          <w:szCs w:val="19"/>
          <w:lang w:val="en-GB"/>
        </w:rPr>
        <w:t xml:space="preserve"> </w:t>
      </w:r>
      <w:r w:rsidR="000D6E9C">
        <w:rPr>
          <w:noProof/>
          <w:spacing w:val="-2"/>
          <w:szCs w:val="19"/>
          <w:lang w:val="en-GB"/>
        </w:rPr>
        <w:t>m</w:t>
      </w:r>
      <w:r w:rsidR="000D6E9C" w:rsidRPr="0065283F">
        <w:rPr>
          <w:noProof/>
          <w:spacing w:val="-2"/>
          <w:szCs w:val="19"/>
          <w:lang w:val="en-GB"/>
        </w:rPr>
        <w:t xml:space="preserve">anufacture of </w:t>
      </w:r>
      <w:r w:rsidR="000D6E9C">
        <w:rPr>
          <w:noProof/>
          <w:spacing w:val="-2"/>
          <w:szCs w:val="19"/>
          <w:lang w:val="en-GB"/>
        </w:rPr>
        <w:t>paper and paper products – by 8.9%.</w:t>
      </w:r>
      <w:r w:rsidR="008F62FB">
        <w:rPr>
          <w:noProof/>
          <w:spacing w:val="-2"/>
          <w:szCs w:val="19"/>
          <w:lang w:val="en-GB"/>
        </w:rPr>
        <w:t xml:space="preserve"> </w:t>
      </w:r>
    </w:p>
    <w:p w14:paraId="285EF355" w14:textId="6ECB195F" w:rsidR="00615DB7" w:rsidRPr="0056462D" w:rsidRDefault="00DA7D4B" w:rsidP="00615DB7">
      <w:pPr>
        <w:spacing w:before="0"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0D6E9C">
        <w:rPr>
          <w:noProof/>
          <w:szCs w:val="19"/>
          <w:lang w:val="en-GB"/>
        </w:rPr>
        <w:t>November</w:t>
      </w:r>
      <w:r w:rsidR="00A50D1A">
        <w:rPr>
          <w:noProof/>
          <w:szCs w:val="19"/>
          <w:lang w:val="en-GB"/>
        </w:rPr>
        <w:t xml:space="preserve"> </w:t>
      </w:r>
      <w:r w:rsidR="00082002">
        <w:rPr>
          <w:noProof/>
          <w:szCs w:val="19"/>
          <w:lang w:val="en-GB"/>
        </w:rPr>
        <w:t xml:space="preserve">2019, was </w:t>
      </w:r>
      <w:r w:rsidR="000D6E9C">
        <w:rPr>
          <w:noProof/>
          <w:szCs w:val="19"/>
          <w:lang w:val="en-GB"/>
        </w:rPr>
        <w:t>recorded in 10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0D6E9C">
        <w:rPr>
          <w:noProof/>
          <w:szCs w:val="19"/>
          <w:lang w:val="en-GB"/>
        </w:rPr>
        <w:t>in</w:t>
      </w:r>
      <w:r w:rsidR="000D6E9C" w:rsidRPr="0056462D">
        <w:rPr>
          <w:lang w:val="en-US"/>
        </w:rPr>
        <w:t xml:space="preserve"> </w:t>
      </w:r>
      <w:r w:rsidR="000D6E9C">
        <w:rPr>
          <w:noProof/>
          <w:spacing w:val="-2"/>
          <w:szCs w:val="19"/>
          <w:lang w:val="en-GB"/>
        </w:rPr>
        <w:t>e</w:t>
      </w:r>
      <w:r w:rsidR="000D6E9C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0D6E9C">
        <w:rPr>
          <w:noProof/>
          <w:spacing w:val="-2"/>
          <w:szCs w:val="19"/>
          <w:lang w:val="en-GB"/>
        </w:rPr>
        <w:t xml:space="preserve"> – by 10.5 %,</w:t>
      </w:r>
      <w:r w:rsidR="00615DB7" w:rsidRPr="00223D02">
        <w:rPr>
          <w:noProof/>
          <w:szCs w:val="19"/>
          <w:lang w:val="en-GB"/>
        </w:rPr>
        <w:t xml:space="preserve"> </w:t>
      </w:r>
      <w:r w:rsidR="00B41691">
        <w:rPr>
          <w:noProof/>
          <w:szCs w:val="19"/>
          <w:lang w:val="en-GB"/>
        </w:rPr>
        <w:t>in </w:t>
      </w:r>
      <w:r w:rsidR="00615DB7" w:rsidRPr="009D61BA">
        <w:rPr>
          <w:noProof/>
          <w:szCs w:val="19"/>
          <w:lang w:val="en-GB"/>
        </w:rPr>
        <w:t xml:space="preserve">manufacture of </w:t>
      </w:r>
      <w:r w:rsidR="00615DB7" w:rsidRPr="00082002">
        <w:rPr>
          <w:noProof/>
          <w:spacing w:val="-2"/>
          <w:szCs w:val="19"/>
          <w:lang w:val="en-GB"/>
        </w:rPr>
        <w:t>machinery and equipment</w:t>
      </w:r>
      <w:r w:rsidR="00615DB7">
        <w:rPr>
          <w:noProof/>
          <w:szCs w:val="19"/>
          <w:lang w:val="en-GB"/>
        </w:rPr>
        <w:t xml:space="preserve">– by </w:t>
      </w:r>
      <w:r w:rsidR="000D6E9C">
        <w:rPr>
          <w:noProof/>
          <w:szCs w:val="19"/>
          <w:lang w:val="en-GB"/>
        </w:rPr>
        <w:t>10.4</w:t>
      </w:r>
      <w:r w:rsidR="00615DB7">
        <w:rPr>
          <w:noProof/>
          <w:szCs w:val="19"/>
          <w:lang w:val="en-GB"/>
        </w:rPr>
        <w:t>%,</w:t>
      </w:r>
      <w:r w:rsidR="00691E20">
        <w:rPr>
          <w:noProof/>
          <w:spacing w:val="-2"/>
          <w:szCs w:val="19"/>
          <w:lang w:val="en-GB"/>
        </w:rPr>
        <w:t xml:space="preserve"> </w:t>
      </w:r>
      <w:r w:rsidR="000D6E9C" w:rsidRPr="00223D02">
        <w:rPr>
          <w:noProof/>
          <w:spacing w:val="-2"/>
          <w:szCs w:val="19"/>
          <w:lang w:val="en-GB"/>
        </w:rPr>
        <w:t>manufac</w:t>
      </w:r>
      <w:r w:rsidR="000D6E9C">
        <w:rPr>
          <w:noProof/>
          <w:spacing w:val="-2"/>
          <w:szCs w:val="19"/>
          <w:lang w:val="en-GB"/>
        </w:rPr>
        <w:t>ture of basic metals – by 5.2</w:t>
      </w:r>
      <w:r w:rsidR="000D6E9C" w:rsidRPr="00223D02">
        <w:rPr>
          <w:noProof/>
          <w:spacing w:val="-2"/>
          <w:szCs w:val="19"/>
          <w:lang w:val="en-GB"/>
        </w:rPr>
        <w:t>%</w:t>
      </w:r>
      <w:r w:rsidR="000D6E9C">
        <w:rPr>
          <w:noProof/>
          <w:spacing w:val="-2"/>
          <w:szCs w:val="19"/>
          <w:lang w:val="en-GB"/>
        </w:rPr>
        <w:t xml:space="preserve">, </w:t>
      </w:r>
      <w:r w:rsidR="00615DB7">
        <w:rPr>
          <w:noProof/>
          <w:spacing w:val="-2"/>
          <w:szCs w:val="19"/>
          <w:lang w:val="en-GB"/>
        </w:rPr>
        <w:t>m</w:t>
      </w:r>
      <w:r w:rsidR="00615DB7" w:rsidRPr="0065283F">
        <w:rPr>
          <w:noProof/>
          <w:spacing w:val="-2"/>
          <w:szCs w:val="19"/>
          <w:lang w:val="en-GB"/>
        </w:rPr>
        <w:t xml:space="preserve">anufacture of </w:t>
      </w:r>
      <w:r w:rsidR="00615DB7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615DB7">
        <w:rPr>
          <w:noProof/>
          <w:spacing w:val="-2"/>
          <w:szCs w:val="19"/>
          <w:lang w:val="en-GB"/>
        </w:rPr>
        <w:t xml:space="preserve"> – by </w:t>
      </w:r>
      <w:r w:rsidR="000D6E9C">
        <w:rPr>
          <w:noProof/>
          <w:spacing w:val="-2"/>
          <w:szCs w:val="19"/>
          <w:lang w:val="en-GB"/>
        </w:rPr>
        <w:t>5.0</w:t>
      </w:r>
      <w:r w:rsidR="0056462D">
        <w:rPr>
          <w:noProof/>
          <w:spacing w:val="-2"/>
          <w:szCs w:val="19"/>
          <w:lang w:val="en-GB"/>
        </w:rPr>
        <w:t>.</w:t>
      </w:r>
    </w:p>
    <w:p w14:paraId="59CCEF03" w14:textId="7DB492FC" w:rsidR="00082002" w:rsidRDefault="00082002" w:rsidP="008F62FB">
      <w:pPr>
        <w:spacing w:before="0" w:after="0" w:line="120" w:lineRule="exact"/>
        <w:rPr>
          <w:noProof/>
          <w:szCs w:val="19"/>
          <w:lang w:val="en-GB"/>
        </w:rPr>
      </w:pPr>
    </w:p>
    <w:p w14:paraId="7D7E1994" w14:textId="7A41D0D0" w:rsidR="003627E7" w:rsidRPr="007B4306" w:rsidRDefault="003627E7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7C353E24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32D9B2F" w14:textId="75811D58" w:rsidR="00A84C79" w:rsidRPr="0056462D" w:rsidRDefault="00F536E7" w:rsidP="00680622">
      <w:pPr>
        <w:spacing w:before="0" w:after="0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9488" behindDoc="0" locked="0" layoutInCell="1" allowOverlap="1" wp14:anchorId="42DE4985" wp14:editId="547A5E5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5017135" cy="3561715"/>
            <wp:effectExtent l="0" t="0" r="0" b="635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56462D">
        <w:rPr>
          <w:noProof/>
          <w:lang w:val="en-US" w:eastAsia="pl-PL"/>
        </w:rPr>
        <w:t xml:space="preserve"> </w:t>
      </w:r>
      <w:bookmarkStart w:id="0" w:name="_GoBack"/>
      <w:bookmarkEnd w:id="0"/>
    </w:p>
    <w:p w14:paraId="0B594068" w14:textId="73107699" w:rsidR="00F536E7" w:rsidRDefault="005F27B3" w:rsidP="005119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F536E7">
        <w:rPr>
          <w:szCs w:val="19"/>
          <w:lang w:val="en-GB"/>
        </w:rPr>
        <w:t>Octo</w:t>
      </w:r>
      <w:r w:rsidR="004B5684">
        <w:rPr>
          <w:szCs w:val="19"/>
          <w:lang w:val="en-GB"/>
        </w:rPr>
        <w:t>ber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E90FCB">
        <w:rPr>
          <w:szCs w:val="19"/>
          <w:lang w:val="en-GB"/>
        </w:rPr>
        <w:t>, a</w:t>
      </w:r>
      <w:r w:rsidR="00F536E7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F536E7">
        <w:rPr>
          <w:szCs w:val="19"/>
          <w:lang w:val="en-GB"/>
        </w:rPr>
        <w:t>Novem</w:t>
      </w:r>
      <w:r w:rsidR="004B5684">
        <w:rPr>
          <w:szCs w:val="19"/>
          <w:lang w:val="en-GB"/>
        </w:rPr>
        <w:t>ber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F536E7">
        <w:rPr>
          <w:szCs w:val="19"/>
          <w:lang w:val="en-GB"/>
        </w:rPr>
        <w:t>27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 xml:space="preserve">in </w:t>
      </w:r>
      <w:r w:rsidR="00F536E7" w:rsidRPr="00223D02">
        <w:rPr>
          <w:noProof/>
          <w:spacing w:val="-2"/>
          <w:szCs w:val="19"/>
          <w:lang w:val="en-GB"/>
        </w:rPr>
        <w:t>manufac</w:t>
      </w:r>
      <w:r w:rsidR="00F536E7">
        <w:rPr>
          <w:noProof/>
          <w:spacing w:val="-2"/>
          <w:szCs w:val="19"/>
          <w:lang w:val="en-GB"/>
        </w:rPr>
        <w:t>ture of basic metals – by 7.4</w:t>
      </w:r>
      <w:r w:rsidR="00F536E7" w:rsidRPr="00223D02">
        <w:rPr>
          <w:noProof/>
          <w:spacing w:val="-2"/>
          <w:szCs w:val="19"/>
          <w:lang w:val="en-GB"/>
        </w:rPr>
        <w:t>%</w:t>
      </w:r>
      <w:r w:rsidR="00F536E7">
        <w:rPr>
          <w:noProof/>
          <w:spacing w:val="-2"/>
          <w:szCs w:val="19"/>
          <w:lang w:val="en-GB"/>
        </w:rPr>
        <w:t>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082002">
        <w:rPr>
          <w:noProof/>
          <w:spacing w:val="-2"/>
          <w:szCs w:val="19"/>
          <w:lang w:val="en-GB"/>
        </w:rPr>
        <w:t>anufacture of products of wood, cork, straw</w:t>
      </w:r>
      <w:r w:rsidR="00F536E7" w:rsidRPr="0056462D">
        <w:rPr>
          <w:lang w:val="en-US"/>
        </w:rPr>
        <w:t xml:space="preserve"> </w:t>
      </w:r>
      <w:r w:rsidR="00F536E7" w:rsidRPr="00082002">
        <w:rPr>
          <w:noProof/>
          <w:spacing w:val="-2"/>
          <w:szCs w:val="19"/>
          <w:lang w:val="en-GB"/>
        </w:rPr>
        <w:t>and wicker</w:t>
      </w:r>
      <w:r w:rsidR="00F536E7">
        <w:rPr>
          <w:noProof/>
          <w:spacing w:val="-2"/>
          <w:szCs w:val="19"/>
          <w:lang w:val="en-GB"/>
        </w:rPr>
        <w:t xml:space="preserve"> </w:t>
      </w:r>
      <w:r w:rsidR="00087806">
        <w:rPr>
          <w:noProof/>
          <w:spacing w:val="-2"/>
          <w:szCs w:val="19"/>
          <w:lang w:val="en-GB"/>
        </w:rPr>
        <w:t>and m</w:t>
      </w:r>
      <w:r w:rsidR="00087806" w:rsidRPr="00946446">
        <w:rPr>
          <w:noProof/>
          <w:spacing w:val="-2"/>
          <w:szCs w:val="19"/>
          <w:lang w:val="en-GB"/>
        </w:rPr>
        <w:t>anufacture of furniture</w:t>
      </w:r>
      <w:r w:rsidR="00087806">
        <w:rPr>
          <w:noProof/>
          <w:spacing w:val="-2"/>
          <w:szCs w:val="19"/>
          <w:lang w:val="en-GB"/>
        </w:rPr>
        <w:t xml:space="preserve"> </w:t>
      </w:r>
      <w:r w:rsidR="00087806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>– by 6.2%</w:t>
      </w:r>
      <w:r w:rsidR="00087806">
        <w:rPr>
          <w:noProof/>
          <w:spacing w:val="-2"/>
          <w:szCs w:val="19"/>
          <w:lang w:val="en-GB"/>
        </w:rPr>
        <w:t xml:space="preserve"> each</w:t>
      </w:r>
      <w:r w:rsidR="00F536E7">
        <w:rPr>
          <w:noProof/>
          <w:spacing w:val="-2"/>
          <w:szCs w:val="19"/>
          <w:lang w:val="en-GB"/>
        </w:rPr>
        <w:t>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65283F">
        <w:rPr>
          <w:noProof/>
          <w:spacing w:val="-2"/>
          <w:szCs w:val="19"/>
          <w:lang w:val="en-GB"/>
        </w:rPr>
        <w:t xml:space="preserve">anufacture of </w:t>
      </w:r>
      <w:r w:rsidR="00F536E7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F536E7">
        <w:rPr>
          <w:noProof/>
          <w:spacing w:val="-2"/>
          <w:szCs w:val="19"/>
          <w:lang w:val="en-GB"/>
        </w:rPr>
        <w:t xml:space="preserve"> – by 5.2%,</w:t>
      </w:r>
      <w:r w:rsidR="00F536E7" w:rsidRPr="00F536E7">
        <w:rPr>
          <w:noProof/>
          <w:szCs w:val="19"/>
          <w:lang w:val="en-GB"/>
        </w:rPr>
        <w:t xml:space="preserve"> </w:t>
      </w:r>
      <w:r w:rsidR="00F536E7" w:rsidRPr="009D61BA">
        <w:rPr>
          <w:noProof/>
          <w:szCs w:val="19"/>
          <w:lang w:val="en-GB"/>
        </w:rPr>
        <w:t xml:space="preserve">manufacture of electrical equipment – by </w:t>
      </w:r>
      <w:r w:rsidR="00F536E7">
        <w:rPr>
          <w:noProof/>
          <w:szCs w:val="19"/>
          <w:lang w:val="en-GB"/>
        </w:rPr>
        <w:t>4.8%,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8C421A">
        <w:rPr>
          <w:noProof/>
          <w:spacing w:val="-2"/>
          <w:szCs w:val="19"/>
          <w:lang w:val="en-GB"/>
        </w:rPr>
        <w:t>anufacture of chemicals and chemical products</w:t>
      </w:r>
      <w:r w:rsidR="00F536E7">
        <w:rPr>
          <w:noProof/>
          <w:spacing w:val="-2"/>
          <w:szCs w:val="19"/>
          <w:lang w:val="en-GB"/>
        </w:rPr>
        <w:t xml:space="preserve"> – by 4.6%,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 w:rsidRPr="00D22ECE">
        <w:rPr>
          <w:noProof/>
          <w:spacing w:val="-2"/>
          <w:szCs w:val="19"/>
          <w:lang w:val="en-GB"/>
        </w:rPr>
        <w:t>manufa</w:t>
      </w:r>
      <w:r w:rsidR="00F536E7">
        <w:rPr>
          <w:noProof/>
          <w:spacing w:val="-2"/>
          <w:szCs w:val="19"/>
          <w:lang w:val="en-GB"/>
        </w:rPr>
        <w:t>cture of food products – by 4.</w:t>
      </w:r>
      <w:r w:rsidR="00087806">
        <w:rPr>
          <w:noProof/>
          <w:spacing w:val="-2"/>
          <w:szCs w:val="19"/>
          <w:lang w:val="en-GB"/>
        </w:rPr>
        <w:t>2</w:t>
      </w:r>
      <w:r w:rsidR="00F536E7">
        <w:rPr>
          <w:noProof/>
          <w:spacing w:val="-2"/>
          <w:szCs w:val="19"/>
          <w:lang w:val="en-GB"/>
        </w:rPr>
        <w:t>%,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F536E7" w:rsidRPr="00D22ECE">
        <w:rPr>
          <w:noProof/>
          <w:spacing w:val="-2"/>
          <w:szCs w:val="19"/>
          <w:lang w:val="en-GB"/>
        </w:rPr>
        <w:t>manufa</w:t>
      </w:r>
      <w:r w:rsidR="00F536E7">
        <w:rPr>
          <w:noProof/>
          <w:spacing w:val="-2"/>
          <w:szCs w:val="19"/>
          <w:lang w:val="en-GB"/>
        </w:rPr>
        <w:t>cture of rubber</w:t>
      </w:r>
      <w:r w:rsidR="00087806">
        <w:rPr>
          <w:noProof/>
          <w:spacing w:val="-2"/>
          <w:szCs w:val="19"/>
          <w:lang w:val="en-GB"/>
        </w:rPr>
        <w:t xml:space="preserve"> and plastic products – by 4.0%.</w:t>
      </w:r>
    </w:p>
    <w:p w14:paraId="468E8470" w14:textId="59A2CD8B" w:rsidR="00F536E7" w:rsidRDefault="00256334" w:rsidP="00F536E7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F536E7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F536E7">
        <w:rPr>
          <w:noProof/>
          <w:szCs w:val="19"/>
          <w:lang w:val="en-GB"/>
        </w:rPr>
        <w:t>October</w:t>
      </w:r>
      <w:r w:rsidR="009863EE">
        <w:rPr>
          <w:noProof/>
          <w:szCs w:val="19"/>
          <w:lang w:val="en-GB"/>
        </w:rPr>
        <w:t xml:space="preserve"> 2020, </w:t>
      </w:r>
      <w:r w:rsidR="00F536E7">
        <w:rPr>
          <w:noProof/>
          <w:szCs w:val="19"/>
          <w:lang w:val="en-GB"/>
        </w:rPr>
        <w:t>was recorded in 7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56462D">
        <w:rPr>
          <w:lang w:val="en-US"/>
        </w:rPr>
        <w:t xml:space="preserve"> </w:t>
      </w:r>
      <w:r w:rsidR="004B5684">
        <w:rPr>
          <w:noProof/>
          <w:spacing w:val="-2"/>
          <w:szCs w:val="19"/>
          <w:lang w:val="en-GB"/>
        </w:rPr>
        <w:t xml:space="preserve">in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691E20">
        <w:rPr>
          <w:noProof/>
          <w:spacing w:val="-2"/>
          <w:szCs w:val="19"/>
          <w:lang w:val="en-GB"/>
        </w:rPr>
        <w:t>anufacture of other transport equipment</w:t>
      </w:r>
      <w:r w:rsidR="00F536E7">
        <w:rPr>
          <w:noProof/>
          <w:spacing w:val="-2"/>
          <w:szCs w:val="19"/>
          <w:lang w:val="en-GB"/>
        </w:rPr>
        <w:t xml:space="preserve"> – by 22.8%, </w:t>
      </w:r>
      <w:r w:rsidR="00F536E7">
        <w:rPr>
          <w:noProof/>
          <w:szCs w:val="19"/>
          <w:lang w:val="en-GB"/>
        </w:rPr>
        <w:t>in</w:t>
      </w:r>
      <w:r w:rsidR="00F536E7" w:rsidRPr="0056462D">
        <w:rPr>
          <w:lang w:val="en-US"/>
        </w:rPr>
        <w:t xml:space="preserve"> </w:t>
      </w:r>
      <w:r w:rsidR="00F536E7">
        <w:rPr>
          <w:noProof/>
          <w:spacing w:val="-2"/>
          <w:szCs w:val="19"/>
          <w:lang w:val="en-GB"/>
        </w:rPr>
        <w:t>e</w:t>
      </w:r>
      <w:r w:rsidR="00F536E7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F536E7">
        <w:rPr>
          <w:noProof/>
          <w:spacing w:val="-2"/>
          <w:szCs w:val="19"/>
          <w:lang w:val="en-GB"/>
        </w:rPr>
        <w:t xml:space="preserve"> – by 9.0%,</w:t>
      </w:r>
      <w:r w:rsidR="00F536E7" w:rsidRPr="00F536E7">
        <w:rPr>
          <w:noProof/>
          <w:spacing w:val="-2"/>
          <w:szCs w:val="19"/>
          <w:lang w:val="en-GB"/>
        </w:rPr>
        <w:t xml:space="preserve"> </w:t>
      </w:r>
      <w:r w:rsidR="00087806">
        <w:rPr>
          <w:noProof/>
          <w:spacing w:val="-2"/>
          <w:szCs w:val="19"/>
          <w:lang w:val="en-GB"/>
        </w:rPr>
        <w:t xml:space="preserve">in </w:t>
      </w:r>
      <w:r w:rsidR="00F536E7">
        <w:rPr>
          <w:noProof/>
          <w:spacing w:val="-2"/>
          <w:szCs w:val="19"/>
          <w:lang w:val="en-GB"/>
        </w:rPr>
        <w:t>m</w:t>
      </w:r>
      <w:r w:rsidR="00F536E7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F536E7">
        <w:rPr>
          <w:noProof/>
          <w:spacing w:val="-2"/>
          <w:szCs w:val="19"/>
          <w:lang w:val="en-GB"/>
        </w:rPr>
        <w:t xml:space="preserve"> – by 5.1%.</w:t>
      </w:r>
    </w:p>
    <w:p w14:paraId="58E8EA1C" w14:textId="6CFC8C5D" w:rsidR="0051196A" w:rsidRDefault="0051196A" w:rsidP="004B5684">
      <w:pPr>
        <w:spacing w:before="0" w:after="0"/>
        <w:rPr>
          <w:noProof/>
          <w:spacing w:val="-2"/>
          <w:szCs w:val="19"/>
          <w:lang w:val="en-GB"/>
        </w:rPr>
      </w:pP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001F2269" w:rsidR="00E44A8F" w:rsidRPr="00680622" w:rsidRDefault="00B41691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40512" behindDoc="0" locked="0" layoutInCell="1" allowOverlap="1" wp14:anchorId="2B1A7390" wp14:editId="251662BF">
            <wp:simplePos x="0" y="0"/>
            <wp:positionH relativeFrom="margin">
              <wp:posOffset>-52070</wp:posOffset>
            </wp:positionH>
            <wp:positionV relativeFrom="paragraph">
              <wp:posOffset>239395</wp:posOffset>
            </wp:positionV>
            <wp:extent cx="5207635" cy="381635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048BBEB0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56462D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616124B2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66C9BBB2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64327F3E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04856BA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7233D1F1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490A097B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13215A71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19750EF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250896ED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5592BB1E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FD37C51" w14:textId="77777777" w:rsidR="00E44A8F" w:rsidRPr="0056462D" w:rsidRDefault="00E44A8F" w:rsidP="00E01D2D">
      <w:pPr>
        <w:spacing w:before="0" w:after="0" w:line="240" w:lineRule="auto"/>
        <w:rPr>
          <w:szCs w:val="19"/>
          <w:lang w:val="en-US"/>
        </w:rPr>
      </w:pPr>
    </w:p>
    <w:p w14:paraId="0D8D59BB" w14:textId="77777777" w:rsidR="0051196A" w:rsidRPr="0056462D" w:rsidRDefault="0051196A" w:rsidP="00E01D2D">
      <w:pPr>
        <w:spacing w:before="0" w:after="0" w:line="240" w:lineRule="auto"/>
        <w:rPr>
          <w:szCs w:val="19"/>
          <w:lang w:val="en-US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56462D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2580F033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1050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"https://stat.gov.pl/en/topics/other-studies/informations-on-socio-economic-situation/statistical-bulletin-no-102020,4,118.html"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68584A4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F1050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"https://stat.gov.pl/obszary-tematyczne/inne-opracowania/informacje-o-sytuacji-spoleczno-gospodarczej/sytuacja-spoleczno-gospodarcza-kraju-w-pazdzierniku-2020-r-,1,102.html"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816818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81681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816818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2580F033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1050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"https://stat.gov.pl/en/topics/other-studies/informations-on-socio-economic-situation/statistical-bulletin-no-102020,4,118.html"</w:instrText>
                      </w:r>
                      <w:r w:rsidR="00F10507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68584A4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F10507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"https://stat.gov.pl/obszary-tematyczne/inne-opracowania/informacje-o-sytuacji-spoleczno-gospodarczej/sytuacja-spoleczno-gospodarcza-kraju-w-pazdzierniku-2020-r-,1,102.html"</w:instrText>
                      </w:r>
                      <w:r w:rsidR="00F10507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BD1BEB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BD1BE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BD1BEB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3457" w14:textId="77777777" w:rsidR="00816818" w:rsidRDefault="00816818" w:rsidP="000662E2">
      <w:pPr>
        <w:spacing w:after="0" w:line="240" w:lineRule="auto"/>
      </w:pPr>
      <w:r>
        <w:separator/>
      </w:r>
    </w:p>
  </w:endnote>
  <w:endnote w:type="continuationSeparator" w:id="0">
    <w:p w14:paraId="3403D09C" w14:textId="77777777" w:rsidR="00816818" w:rsidRDefault="0081681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62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4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7007C" w14:textId="77777777" w:rsidR="00816818" w:rsidRDefault="00816818" w:rsidP="000662E2">
      <w:pPr>
        <w:spacing w:after="0" w:line="240" w:lineRule="auto"/>
      </w:pPr>
      <w:r>
        <w:separator/>
      </w:r>
    </w:p>
  </w:footnote>
  <w:footnote w:type="continuationSeparator" w:id="0">
    <w:p w14:paraId="31D8FDE9" w14:textId="77777777" w:rsidR="00816818" w:rsidRDefault="0081681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DAAC3A3" w:rsidR="00112A4D" w:rsidRPr="00C97596" w:rsidRDefault="0002684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18.12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6DAAC3A3" w:rsidR="00112A4D" w:rsidRPr="00C97596" w:rsidRDefault="0002684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18.12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4626"/>
    <w:rsid w:val="00026847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6CFA"/>
    <w:rsid w:val="000870D1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6D15"/>
    <w:rsid w:val="002D0AC4"/>
    <w:rsid w:val="002D1DA5"/>
    <w:rsid w:val="002D2084"/>
    <w:rsid w:val="002D2ECD"/>
    <w:rsid w:val="002D36F4"/>
    <w:rsid w:val="002D51CC"/>
    <w:rsid w:val="002D6008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462D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818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CFE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1691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1BEB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1C1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2B6A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0507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6E7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1D34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5AC4"/>
    <w:rsid w:val="00F9616E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4879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 (2)'!$A$5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 (2)'!$A$6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 (2)'!$A$7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 (2)'!$A$8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 (2)'!$A$9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7279312"/>
        <c:axId val="1227277680"/>
      </c:lineChart>
      <c:catAx>
        <c:axId val="122727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7277680"/>
        <c:crossesAt val="100"/>
        <c:auto val="1"/>
        <c:lblAlgn val="ctr"/>
        <c:lblOffset val="100"/>
        <c:noMultiLvlLbl val="0"/>
      </c:catAx>
      <c:valAx>
        <c:axId val="122727768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727931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'XI 2020 ang'!$B$1</c:f>
              <c:strCache>
                <c:ptCount val="1"/>
                <c:pt idx="0">
                  <c:v>11 2020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'XI 2020 ang'!$A$2:$A$13</c:f>
              <c:strCache>
                <c:ptCount val="12"/>
                <c:pt idx="0">
                  <c:v>Manufacture of electrical equipment</c:v>
                </c:pt>
                <c:pt idx="1">
                  <c:v>Manufacture of textiles</c:v>
                </c:pt>
                <c:pt idx="2">
                  <c:v>Manufacture of computer, electronic and optical products</c:v>
                </c:pt>
                <c:pt idx="3">
                  <c:v>Manufacture of motor vehicles, trailers and semi-trailers</c:v>
                </c:pt>
                <c:pt idx="4">
                  <c:v>Manufacture of products of wood, cork, straw and wicker</c:v>
                </c:pt>
                <c:pt idx="5">
                  <c:v>Manufacture of rubber and plastic products</c:v>
                </c:pt>
                <c:pt idx="6">
                  <c:v>Manufacture of wearing apparel</c:v>
                </c:pt>
                <c:pt idx="7">
                  <c:v>Mining of coal and lignite </c:v>
                </c:pt>
                <c:pt idx="8">
                  <c:v>Manufacture of coke and refined petroleum products</c:v>
                </c:pt>
                <c:pt idx="9">
                  <c:v>Manufacture of basic metals</c:v>
                </c:pt>
                <c:pt idx="10">
                  <c:v>Manufacture of machinery and equipment </c:v>
                </c:pt>
                <c:pt idx="11">
                  <c:v>Electricity, gas, steam and air conditioning supply</c:v>
                </c:pt>
              </c:strCache>
            </c:strRef>
          </c:cat>
          <c:val>
            <c:numRef>
              <c:f>'XI 2020 ang'!$B$2:$B$13</c:f>
              <c:numCache>
                <c:formatCode>0.0_ ;[Red]\-0.0\ </c:formatCode>
                <c:ptCount val="12"/>
                <c:pt idx="0">
                  <c:v>124.5</c:v>
                </c:pt>
                <c:pt idx="1">
                  <c:v>120.4</c:v>
                </c:pt>
                <c:pt idx="2">
                  <c:v>115.5</c:v>
                </c:pt>
                <c:pt idx="3">
                  <c:v>114.5</c:v>
                </c:pt>
                <c:pt idx="4">
                  <c:v>113.2</c:v>
                </c:pt>
                <c:pt idx="5">
                  <c:v>112</c:v>
                </c:pt>
                <c:pt idx="6">
                  <c:v>96.8</c:v>
                </c:pt>
                <c:pt idx="7">
                  <c:v>96.4</c:v>
                </c:pt>
                <c:pt idx="8">
                  <c:v>95</c:v>
                </c:pt>
                <c:pt idx="9">
                  <c:v>94.8</c:v>
                </c:pt>
                <c:pt idx="10">
                  <c:v>89.6</c:v>
                </c:pt>
                <c:pt idx="11">
                  <c:v>89.5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'XI 2020 ang'!$C$1</c:f>
              <c:strCache>
                <c:ptCount val="1"/>
                <c:pt idx="0">
                  <c:v>11 2019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'XI 2020 ang'!$A$2:$A$13</c:f>
              <c:strCache>
                <c:ptCount val="12"/>
                <c:pt idx="0">
                  <c:v>Manufacture of electrical equipment</c:v>
                </c:pt>
                <c:pt idx="1">
                  <c:v>Manufacture of textiles</c:v>
                </c:pt>
                <c:pt idx="2">
                  <c:v>Manufacture of computer, electronic and optical products</c:v>
                </c:pt>
                <c:pt idx="3">
                  <c:v>Manufacture of motor vehicles, trailers and semi-trailers</c:v>
                </c:pt>
                <c:pt idx="4">
                  <c:v>Manufacture of products of wood, cork, straw and wicker</c:v>
                </c:pt>
                <c:pt idx="5">
                  <c:v>Manufacture of rubber and plastic products</c:v>
                </c:pt>
                <c:pt idx="6">
                  <c:v>Manufacture of wearing apparel</c:v>
                </c:pt>
                <c:pt idx="7">
                  <c:v>Mining of coal and lignite </c:v>
                </c:pt>
                <c:pt idx="8">
                  <c:v>Manufacture of coke and refined petroleum products</c:v>
                </c:pt>
                <c:pt idx="9">
                  <c:v>Manufacture of basic metals</c:v>
                </c:pt>
                <c:pt idx="10">
                  <c:v>Manufacture of machinery and equipment </c:v>
                </c:pt>
                <c:pt idx="11">
                  <c:v>Electricity, gas, steam and air conditioning supply</c:v>
                </c:pt>
              </c:strCache>
            </c:strRef>
          </c:cat>
          <c:val>
            <c:numRef>
              <c:f>'XI 2020 ang'!$C$2:$C$13</c:f>
              <c:numCache>
                <c:formatCode>0.0_ ;[Red]\-0.0\ </c:formatCode>
                <c:ptCount val="12"/>
                <c:pt idx="0">
                  <c:v>105.4</c:v>
                </c:pt>
                <c:pt idx="1">
                  <c:v>91.5</c:v>
                </c:pt>
                <c:pt idx="2">
                  <c:v>106.9</c:v>
                </c:pt>
                <c:pt idx="3">
                  <c:v>95.6</c:v>
                </c:pt>
                <c:pt idx="4">
                  <c:v>101.9</c:v>
                </c:pt>
                <c:pt idx="5">
                  <c:v>101.9</c:v>
                </c:pt>
                <c:pt idx="6">
                  <c:v>95.6</c:v>
                </c:pt>
                <c:pt idx="7">
                  <c:v>95.8</c:v>
                </c:pt>
                <c:pt idx="8">
                  <c:v>93.9</c:v>
                </c:pt>
                <c:pt idx="9">
                  <c:v>95.8</c:v>
                </c:pt>
                <c:pt idx="10">
                  <c:v>101.8</c:v>
                </c:pt>
                <c:pt idx="11">
                  <c:v>114.3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273872"/>
        <c:axId val="1227282576"/>
      </c:barChart>
      <c:catAx>
        <c:axId val="12272738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227282576"/>
        <c:crossesAt val="100"/>
        <c:auto val="1"/>
        <c:lblAlgn val="ctr"/>
        <c:lblOffset val="20"/>
        <c:noMultiLvlLbl val="0"/>
      </c:catAx>
      <c:valAx>
        <c:axId val="1227282576"/>
        <c:scaling>
          <c:orientation val="minMax"/>
          <c:max val="125"/>
          <c:min val="8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22727387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87835512397285853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listopad (2)'!$C$1:$C$2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(2)'!$C$4:$C$50</c:f>
              <c:numCache>
                <c:formatCode>General</c:formatCode>
                <c:ptCount val="47"/>
              </c:numCache>
            </c:numRef>
          </c:val>
        </c:ser>
        <c:ser>
          <c:idx val="1"/>
          <c:order val="1"/>
          <c:tx>
            <c:strRef>
              <c:f>'wykres słupkowy - listopad (2)'!$D$1:$D$2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0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41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</c:dPt>
          <c:dPt>
            <c:idx val="4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dPt>
            <c:idx val="43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4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5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46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listopad (2)'!$D$4:$D$50</c:f>
              <c:numCache>
                <c:formatCode>0.0_ ;[Red]\-0.0\ </c:formatCode>
                <c:ptCount val="47"/>
                <c:pt idx="0">
                  <c:v>130.1</c:v>
                </c:pt>
                <c:pt idx="1">
                  <c:v>100.5</c:v>
                </c:pt>
                <c:pt idx="2">
                  <c:v>100.1</c:v>
                </c:pt>
                <c:pt idx="3">
                  <c:v>77</c:v>
                </c:pt>
                <c:pt idx="4">
                  <c:v>121.9</c:v>
                </c:pt>
                <c:pt idx="5">
                  <c:v>116.9</c:v>
                </c:pt>
                <c:pt idx="6">
                  <c:v>99.5</c:v>
                </c:pt>
                <c:pt idx="7">
                  <c:v>95.4</c:v>
                </c:pt>
                <c:pt idx="8">
                  <c:v>108.9</c:v>
                </c:pt>
                <c:pt idx="9">
                  <c:v>101.8</c:v>
                </c:pt>
                <c:pt idx="10">
                  <c:v>93.8</c:v>
                </c:pt>
                <c:pt idx="12">
                  <c:v>99</c:v>
                </c:pt>
                <c:pt idx="13">
                  <c:v>102.4</c:v>
                </c:pt>
                <c:pt idx="14">
                  <c:v>101.8</c:v>
                </c:pt>
                <c:pt idx="15">
                  <c:v>66.8</c:v>
                </c:pt>
                <c:pt idx="16">
                  <c:v>137.4</c:v>
                </c:pt>
                <c:pt idx="17">
                  <c:v>113.1</c:v>
                </c:pt>
                <c:pt idx="18">
                  <c:v>100.4</c:v>
                </c:pt>
                <c:pt idx="19">
                  <c:v>97.2</c:v>
                </c:pt>
                <c:pt idx="20">
                  <c:v>133.9</c:v>
                </c:pt>
                <c:pt idx="21">
                  <c:v>106.9</c:v>
                </c:pt>
                <c:pt idx="22">
                  <c:v>95.2</c:v>
                </c:pt>
                <c:pt idx="24">
                  <c:v>117.3</c:v>
                </c:pt>
                <c:pt idx="25">
                  <c:v>101.9</c:v>
                </c:pt>
                <c:pt idx="26">
                  <c:v>113.2</c:v>
                </c:pt>
                <c:pt idx="27">
                  <c:v>80.400000000000006</c:v>
                </c:pt>
                <c:pt idx="28">
                  <c:v>102.9</c:v>
                </c:pt>
                <c:pt idx="29">
                  <c:v>103.9</c:v>
                </c:pt>
                <c:pt idx="30">
                  <c:v>106.3</c:v>
                </c:pt>
                <c:pt idx="31">
                  <c:v>92.3</c:v>
                </c:pt>
                <c:pt idx="32">
                  <c:v>108.7</c:v>
                </c:pt>
                <c:pt idx="33">
                  <c:v>103.5</c:v>
                </c:pt>
                <c:pt idx="34">
                  <c:v>95.4</c:v>
                </c:pt>
                <c:pt idx="36">
                  <c:v>128.5</c:v>
                </c:pt>
                <c:pt idx="37">
                  <c:v>103.6</c:v>
                </c:pt>
                <c:pt idx="38">
                  <c:v>101.3</c:v>
                </c:pt>
                <c:pt idx="39">
                  <c:v>74</c:v>
                </c:pt>
                <c:pt idx="40">
                  <c:v>113.1</c:v>
                </c:pt>
                <c:pt idx="41">
                  <c:v>115.9</c:v>
                </c:pt>
                <c:pt idx="42">
                  <c:v>106.6</c:v>
                </c:pt>
                <c:pt idx="43">
                  <c:v>93.2</c:v>
                </c:pt>
                <c:pt idx="44">
                  <c:v>116.3</c:v>
                </c:pt>
                <c:pt idx="45">
                  <c:v>102.9</c:v>
                </c:pt>
                <c:pt idx="46">
                  <c:v>96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listopad (2)'!$E$1:$E$2</c:f>
              <c:strCache>
                <c:ptCount val="2"/>
                <c:pt idx="1">
                  <c:v>01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dPt>
            <c:idx val="1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listopad (2)'!$E$4:$E$50</c:f>
              <c:numCache>
                <c:formatCode>General</c:formatCode>
                <c:ptCount val="47"/>
              </c:numCache>
            </c:numRef>
          </c:val>
        </c:ser>
        <c:ser>
          <c:idx val="3"/>
          <c:order val="3"/>
          <c:tx>
            <c:strRef>
              <c:f>'wykres słupkowy - listopad (2)'!$F$1:$F$2</c:f>
              <c:strCache>
                <c:ptCount val="2"/>
                <c:pt idx="1">
                  <c:v>02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(2)'!$F$4:$F$50</c:f>
              <c:numCache>
                <c:formatCode>General</c:formatCode>
                <c:ptCount val="47"/>
              </c:numCache>
            </c:numRef>
          </c:val>
        </c:ser>
        <c:ser>
          <c:idx val="4"/>
          <c:order val="4"/>
          <c:tx>
            <c:strRef>
              <c:f>'wykres słupkowy - listopad (2)'!$G$1:$G$2</c:f>
              <c:strCache>
                <c:ptCount val="2"/>
                <c:pt idx="1">
                  <c:v>03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(2)'!$G$4:$G$50</c:f>
              <c:numCache>
                <c:formatCode>General</c:formatCode>
                <c:ptCount val="47"/>
              </c:numCache>
            </c:numRef>
          </c:val>
        </c:ser>
        <c:ser>
          <c:idx val="5"/>
          <c:order val="5"/>
          <c:tx>
            <c:strRef>
              <c:f>'wykres słupkowy - listopad (2)'!$H$1:$H$2</c:f>
              <c:strCache>
                <c:ptCount val="2"/>
                <c:pt idx="1">
                  <c:v>04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(2)'!$H$4:$H$50</c:f>
              <c:numCache>
                <c:formatCode>General</c:formatCode>
                <c:ptCount val="47"/>
              </c:numCache>
            </c:numRef>
          </c:val>
        </c:ser>
        <c:ser>
          <c:idx val="6"/>
          <c:order val="6"/>
          <c:tx>
            <c:strRef>
              <c:f>'wykres słupkowy - listopad (2)'!$I$1:$I$2</c:f>
              <c:strCache>
                <c:ptCount val="2"/>
                <c:pt idx="1">
                  <c:v>05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(2)'!$I$4:$I$50</c:f>
              <c:numCache>
                <c:formatCode>General</c:formatCode>
                <c:ptCount val="47"/>
              </c:numCache>
            </c:numRef>
          </c:val>
        </c:ser>
        <c:ser>
          <c:idx val="7"/>
          <c:order val="7"/>
          <c:tx>
            <c:strRef>
              <c:f>'wykres słupkowy - listopad (2)'!$J$1:$J$2</c:f>
              <c:strCache>
                <c:ptCount val="2"/>
                <c:pt idx="1">
                  <c:v>06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(2)'!$J$4:$J$50</c:f>
              <c:numCache>
                <c:formatCode>General</c:formatCode>
                <c:ptCount val="47"/>
              </c:numCache>
            </c:numRef>
          </c:val>
        </c:ser>
        <c:ser>
          <c:idx val="8"/>
          <c:order val="8"/>
          <c:tx>
            <c:strRef>
              <c:f>'wykres słupkowy - listopad (2)'!$K$1:$K$2</c:f>
              <c:strCache>
                <c:ptCount val="2"/>
                <c:pt idx="1">
                  <c:v>07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(2)'!$K$4:$K$50</c:f>
              <c:numCache>
                <c:formatCode>General</c:formatCode>
                <c:ptCount val="47"/>
              </c:numCache>
            </c:numRef>
          </c:val>
        </c:ser>
        <c:ser>
          <c:idx val="9"/>
          <c:order val="9"/>
          <c:tx>
            <c:strRef>
              <c:f>'wykres słupkowy - listopad (2)'!$L$1:$L$2</c:f>
              <c:strCache>
                <c:ptCount val="2"/>
                <c:pt idx="1">
                  <c:v>08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(2)'!$L$4:$L$50</c:f>
              <c:numCache>
                <c:formatCode>General</c:formatCode>
                <c:ptCount val="47"/>
              </c:numCache>
            </c:numRef>
          </c:val>
        </c:ser>
        <c:ser>
          <c:idx val="10"/>
          <c:order val="10"/>
          <c:tx>
            <c:strRef>
              <c:f>'wykres słupkowy - listopad (2)'!$M$1:$M$2</c:f>
              <c:strCache>
                <c:ptCount val="2"/>
                <c:pt idx="1">
                  <c:v>09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(2)'!$M$4:$M$50</c:f>
              <c:numCache>
                <c:formatCode>General</c:formatCode>
                <c:ptCount val="47"/>
              </c:numCache>
            </c:numRef>
          </c:val>
        </c:ser>
        <c:ser>
          <c:idx val="11"/>
          <c:order val="11"/>
          <c:tx>
            <c:strRef>
              <c:f>'wykres słupkowy - listopad (2)'!$N$1:$N$2</c:f>
              <c:strCache>
                <c:ptCount val="2"/>
                <c:pt idx="1">
                  <c:v>10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(2)'!$N$4:$N$50</c:f>
              <c:numCache>
                <c:formatCode>General</c:formatCode>
                <c:ptCount val="47"/>
              </c:numCache>
            </c:numRef>
          </c:val>
        </c:ser>
        <c:ser>
          <c:idx val="12"/>
          <c:order val="12"/>
          <c:tx>
            <c:strRef>
              <c:f>'wykres słupkowy - listopad (2)'!$O$1:$O$2</c:f>
              <c:strCache>
                <c:ptCount val="2"/>
                <c:pt idx="1">
                  <c:v>11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listopad (2)'!$O$4:$O$50</c:f>
              <c:numCache>
                <c:formatCode>General</c:formatCode>
                <c:ptCount val="4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1227284752"/>
        <c:axId val="1227274416"/>
      </c:barChart>
      <c:catAx>
        <c:axId val="122728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7274416"/>
        <c:crossesAt val="100"/>
        <c:auto val="1"/>
        <c:lblAlgn val="ctr"/>
        <c:lblOffset val="100"/>
        <c:noMultiLvlLbl val="0"/>
      </c:catAx>
      <c:valAx>
        <c:axId val="1227274416"/>
        <c:scaling>
          <c:orientation val="minMax"/>
          <c:max val="140"/>
          <c:min val="65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72847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475747894845238"/>
          <c:y val="0.91315471589345854"/>
          <c:w val="0.51750174961859774"/>
          <c:h val="4.0061852733524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0.52037</cdr:x>
      <cdr:y>0.70382</cdr:y>
    </cdr:from>
    <cdr:to>
      <cdr:x>0.72489</cdr:x>
      <cdr:y>0.8584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665620" y="2686023"/>
          <a:ext cx="1047640" cy="58991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                 of chemicals                  and chemical products</a:t>
          </a:r>
        </a:p>
      </cdr:txBody>
    </cdr:sp>
  </cdr:relSizeAnchor>
  <cdr:relSizeAnchor xmlns:cdr="http://schemas.openxmlformats.org/drawingml/2006/chartDrawing">
    <cdr:from>
      <cdr:x>0.0946</cdr:x>
      <cdr:y>0.70349</cdr:y>
    </cdr:from>
    <cdr:to>
      <cdr:x>0.26716</cdr:x>
      <cdr:y>0.88756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484593" y="2684763"/>
          <a:ext cx="883946" cy="70249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            of products            of wood, cork, straw and wicker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0.31791</cdr:x>
      <cdr:y>0.70736</cdr:y>
    </cdr:from>
    <cdr:to>
      <cdr:x>0.49205</cdr:x>
      <cdr:y>0.83339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628508" y="2699533"/>
          <a:ext cx="892056" cy="48098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           of electrical equipment</a:t>
          </a:r>
        </a:p>
      </cdr:txBody>
    </cdr:sp>
  </cdr:relSizeAnchor>
  <cdr:relSizeAnchor xmlns:cdr="http://schemas.openxmlformats.org/drawingml/2006/chartDrawing">
    <cdr:from>
      <cdr:x>0.75417</cdr:x>
      <cdr:y>0.70736</cdr:y>
    </cdr:from>
    <cdr:to>
      <cdr:x>0.96119</cdr:x>
      <cdr:y>0.83339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863270" y="2699533"/>
          <a:ext cx="1060469" cy="48098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rubber and plastic products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2899CBA5-9ED8-4552-BCF6-61F8876A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November 2020</dc:title>
  <cp:lastPrinted>2020-06-19T06:38:00Z</cp:lastPrinted>
  <dcterms:created xsi:type="dcterms:W3CDTF">2020-12-17T07:07:00Z</dcterms:created>
  <dcterms:modified xsi:type="dcterms:W3CDTF">2020-12-17T07:09:00Z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