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074DD8">
      <w:pPr>
        <w:pStyle w:val="tytuinformacji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B71522" w:rsidRPr="00FF2C0B">
        <w:rPr>
          <w:rFonts w:cs="Arial"/>
          <w:lang w:val="en-US"/>
        </w:rPr>
        <w:t xml:space="preserve"> </w:t>
      </w:r>
      <w:r w:rsidR="008C612B">
        <w:rPr>
          <w:rFonts w:cs="Arial"/>
          <w:lang w:val="en-US"/>
        </w:rPr>
        <w:t>January</w:t>
      </w:r>
      <w:r w:rsidR="005934DA" w:rsidRPr="00FF2C0B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8C612B">
        <w:rPr>
          <w:rFonts w:cs="Arial"/>
          <w:szCs w:val="40"/>
          <w:lang w:val="en-US"/>
        </w:rPr>
        <w:t>20</w:t>
      </w:r>
    </w:p>
    <w:p w:rsidR="00393761" w:rsidRPr="000A3BE8" w:rsidRDefault="00393761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:rsidR="005734CC" w:rsidRPr="00FA130D" w:rsidRDefault="00AB3C32" w:rsidP="00FA130D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8C612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8C612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An increase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8C612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8C612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An increase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10EE" w:rsidRPr="003910EE">
        <w:rPr>
          <w:rFonts w:cs="Arial"/>
          <w:lang w:val="en-US"/>
        </w:rPr>
        <w:t xml:space="preserve">In </w:t>
      </w:r>
      <w:r w:rsidR="008C612B">
        <w:rPr>
          <w:rFonts w:cs="Arial"/>
          <w:lang w:val="en-US"/>
        </w:rPr>
        <w:t xml:space="preserve">January </w:t>
      </w:r>
      <w:r w:rsidR="003910EE" w:rsidRPr="003910EE">
        <w:rPr>
          <w:rFonts w:cs="Arial"/>
          <w:lang w:val="en-US"/>
        </w:rPr>
        <w:t>20</w:t>
      </w:r>
      <w:r w:rsidR="008C612B">
        <w:rPr>
          <w:rFonts w:cs="Arial"/>
          <w:lang w:val="en-US"/>
        </w:rPr>
        <w:t>20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C612B">
        <w:rPr>
          <w:rStyle w:val="Odwoanieprzypisudolnego"/>
          <w:rFonts w:cs="Arial"/>
          <w:lang w:val="en-US"/>
        </w:rPr>
        <w:footnoteReference w:id="2"/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 </w:t>
      </w:r>
      <w:r w:rsidR="00F24830">
        <w:rPr>
          <w:rFonts w:cs="Arial"/>
          <w:lang w:val="en-US"/>
        </w:rPr>
        <w:t>3</w:t>
      </w:r>
      <w:r w:rsidR="001A40AB">
        <w:rPr>
          <w:rFonts w:cs="Arial"/>
          <w:lang w:val="en-US"/>
        </w:rPr>
        <w:t>.</w:t>
      </w:r>
      <w:r w:rsidR="00F24830">
        <w:rPr>
          <w:rFonts w:cs="Arial"/>
          <w:lang w:val="en-US"/>
        </w:rPr>
        <w:t>4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higher than the year before (against a growth of </w:t>
      </w:r>
      <w:r w:rsidR="001D6715">
        <w:rPr>
          <w:rFonts w:cs="Arial"/>
          <w:lang w:val="en-US"/>
        </w:rPr>
        <w:t>6</w:t>
      </w:r>
      <w:r w:rsidR="008A0000">
        <w:rPr>
          <w:rFonts w:cs="Arial"/>
          <w:lang w:val="en-US"/>
        </w:rPr>
        <w:t>.</w:t>
      </w:r>
      <w:r w:rsidR="001D6715">
        <w:rPr>
          <w:rFonts w:cs="Arial"/>
          <w:lang w:val="en-US"/>
        </w:rPr>
        <w:t>1</w:t>
      </w:r>
      <w:r w:rsidR="004B784E">
        <w:rPr>
          <w:rFonts w:cs="Arial"/>
          <w:lang w:val="en-US"/>
        </w:rPr>
        <w:t>% in</w:t>
      </w:r>
      <w:r w:rsidR="00BF6E53">
        <w:rPr>
          <w:rFonts w:cs="Arial"/>
          <w:lang w:val="en-US"/>
        </w:rPr>
        <w:t xml:space="preserve"> </w:t>
      </w:r>
      <w:r w:rsidR="001D6715">
        <w:rPr>
          <w:rFonts w:cs="Arial"/>
          <w:lang w:val="en-US"/>
        </w:rPr>
        <w:t>January</w:t>
      </w:r>
      <w:r w:rsidR="00773313">
        <w:rPr>
          <w:rFonts w:cs="Arial"/>
          <w:lang w:val="en-US"/>
        </w:rPr>
        <w:t xml:space="preserve"> </w:t>
      </w:r>
      <w:r w:rsidR="004B784E">
        <w:rPr>
          <w:rFonts w:cs="Arial"/>
          <w:lang w:val="en-US"/>
        </w:rPr>
        <w:t>201</w:t>
      </w:r>
      <w:r w:rsidR="001D6715">
        <w:rPr>
          <w:rFonts w:cs="Arial"/>
          <w:lang w:val="en-US"/>
        </w:rPr>
        <w:t>9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 xml:space="preserve">Compared with </w:t>
      </w:r>
      <w:r w:rsidR="008C57A4">
        <w:rPr>
          <w:lang w:val="en-US"/>
        </w:rPr>
        <w:t xml:space="preserve">December </w:t>
      </w:r>
      <w:r w:rsidR="00EA5ED1">
        <w:rPr>
          <w:lang w:val="en-US"/>
        </w:rPr>
        <w:t>201</w:t>
      </w:r>
      <w:r w:rsidR="00BF6E53">
        <w:rPr>
          <w:lang w:val="en-US"/>
        </w:rPr>
        <w:t>9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16751F">
        <w:rPr>
          <w:lang w:val="en-US"/>
        </w:rPr>
        <w:t>de</w:t>
      </w:r>
      <w:r w:rsidR="002B5519">
        <w:rPr>
          <w:lang w:val="en-US"/>
        </w:rPr>
        <w:t xml:space="preserve">creased by </w:t>
      </w:r>
      <w:r w:rsidR="0016751F">
        <w:rPr>
          <w:lang w:val="en-US"/>
        </w:rPr>
        <w:t>20</w:t>
      </w:r>
      <w:r w:rsidR="002B5519">
        <w:rPr>
          <w:lang w:val="en-US"/>
        </w:rPr>
        <w:t>.</w:t>
      </w:r>
      <w:r w:rsidR="0016751F">
        <w:rPr>
          <w:lang w:val="en-US"/>
        </w:rPr>
        <w:t>6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</w:p>
    <w:p w:rsidR="00417691" w:rsidRDefault="00417691" w:rsidP="00074DD8">
      <w:pPr>
        <w:pStyle w:val="Nagwek1"/>
        <w:rPr>
          <w:lang w:val="en-US"/>
        </w:rPr>
      </w:pPr>
    </w:p>
    <w:p w:rsidR="00B94822" w:rsidRDefault="00B94822" w:rsidP="00074DD8">
      <w:pPr>
        <w:pStyle w:val="Nagwek1"/>
        <w:rPr>
          <w:lang w:val="en-US"/>
        </w:rPr>
      </w:pPr>
    </w:p>
    <w:p w:rsidR="00C22105" w:rsidRPr="00EF2DFF" w:rsidRDefault="00AB3C32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120650</wp:posOffset>
                </wp:positionV>
                <wp:extent cx="1790700" cy="1403350"/>
                <wp:effectExtent l="0" t="0" r="0" b="6350"/>
                <wp:wrapTight wrapText="bothSides">
                  <wp:wrapPolygon edited="0">
                    <wp:start x="689" y="0"/>
                    <wp:lineTo x="689" y="21405"/>
                    <wp:lineTo x="20681" y="21405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F4044" w:rsidRDefault="00234F14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082349">
                              <w:rPr>
                                <w:rFonts w:cs="Arial"/>
                                <w:lang w:val="en-US"/>
                              </w:rPr>
                              <w:t>January</w:t>
                            </w:r>
                            <w:r w:rsidR="002617F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  <w:r w:rsidR="00082349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7F0AEA">
                              <w:rPr>
                                <w:rFonts w:cs="Arial"/>
                                <w:lang w:val="en-US"/>
                              </w:rPr>
                              <w:t>an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increase in retail sales 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at constant prices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per annum was recorded in </w:t>
                            </w:r>
                            <w:r w:rsidR="00885382">
                              <w:rPr>
                                <w:rFonts w:cs="Arial"/>
                                <w:lang w:val="en-US"/>
                              </w:rPr>
                              <w:t>the majority of</w:t>
                            </w:r>
                            <w:r w:rsidR="00B51FA5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E5446B"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  <w:r w:rsidR="002617F8">
                              <w:rPr>
                                <w:rFonts w:cs="Arial"/>
                                <w:lang w:val="en-US"/>
                              </w:rPr>
                              <w:t>, of which the highest in the group “</w:t>
                            </w:r>
                            <w:r w:rsidR="009804E8">
                              <w:rPr>
                                <w:rFonts w:cs="Arial"/>
                                <w:lang w:val="en-US"/>
                              </w:rPr>
                              <w:t>textiles, clothing, footwear”</w:t>
                            </w:r>
                            <w:r w:rsidR="002617F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234F14" w:rsidRPr="000F4044" w:rsidRDefault="00234F1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1.05pt;margin-top:9.5pt;width:141pt;height:110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" filled="f" stroked="f">
                <v:textbox>
                  <w:txbxContent>
                    <w:p w:rsidR="00234F14" w:rsidRPr="000F4044" w:rsidRDefault="00234F14" w:rsidP="00074DD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082349">
                        <w:rPr>
                          <w:rFonts w:cs="Arial"/>
                          <w:lang w:val="en-US"/>
                        </w:rPr>
                        <w:t>January</w:t>
                      </w:r>
                      <w:r w:rsidR="002617F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20</w:t>
                      </w:r>
                      <w:r w:rsidR="00082349">
                        <w:rPr>
                          <w:rFonts w:cs="Arial"/>
                          <w:lang w:val="en-US"/>
                        </w:rPr>
                        <w:t>20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7F0AEA">
                        <w:rPr>
                          <w:rFonts w:cs="Arial"/>
                          <w:lang w:val="en-US"/>
                        </w:rPr>
                        <w:t>an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increase in retail sales 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at constant prices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per annum was recorded in </w:t>
                      </w:r>
                      <w:r w:rsidR="00885382">
                        <w:rPr>
                          <w:rFonts w:cs="Arial"/>
                          <w:lang w:val="en-US"/>
                        </w:rPr>
                        <w:t>the majority of</w:t>
                      </w:r>
                      <w:r w:rsidR="00B51FA5">
                        <w:rPr>
                          <w:rFonts w:cs="Arial"/>
                          <w:lang w:val="en-US"/>
                        </w:rPr>
                        <w:t> </w:t>
                      </w:r>
                      <w:r w:rsidR="00E5446B">
                        <w:rPr>
                          <w:rFonts w:cs="Arial"/>
                          <w:lang w:val="en-US"/>
                        </w:rPr>
                        <w:t>groups</w:t>
                      </w:r>
                      <w:r w:rsidR="002617F8">
                        <w:rPr>
                          <w:rFonts w:cs="Arial"/>
                          <w:lang w:val="en-US"/>
                        </w:rPr>
                        <w:t>, of which the highest in the group “</w:t>
                      </w:r>
                      <w:r w:rsidR="009804E8">
                        <w:rPr>
                          <w:rFonts w:cs="Arial"/>
                          <w:lang w:val="en-US"/>
                        </w:rPr>
                        <w:t>textiles, clothing, footwear”</w:t>
                      </w:r>
                      <w:r w:rsidR="002617F8">
                        <w:rPr>
                          <w:rFonts w:cs="Arial"/>
                          <w:lang w:val="en-US"/>
                        </w:rPr>
                        <w:t xml:space="preserve"> </w:t>
                      </w:r>
                    </w:p>
                    <w:p w:rsidR="00234F14" w:rsidRPr="000F4044" w:rsidRDefault="00234F1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FF4AAC" w:rsidRDefault="00794E5F" w:rsidP="00D40D4C">
      <w:pPr>
        <w:spacing w:before="0" w:after="0" w:line="240" w:lineRule="atLeast"/>
        <w:rPr>
          <w:rFonts w:cs="Arial"/>
          <w:lang w:val="en-US"/>
        </w:rPr>
      </w:pPr>
      <w:r w:rsidRPr="00794E5F">
        <w:rPr>
          <w:rFonts w:cs="Arial"/>
          <w:lang w:val="en-US"/>
        </w:rPr>
        <w:t>Among the groups with a significa</w:t>
      </w:r>
      <w:r w:rsidR="009759D1">
        <w:rPr>
          <w:rFonts w:cs="Arial"/>
          <w:lang w:val="en-US"/>
        </w:rPr>
        <w:t>nt share in total retail sales</w:t>
      </w:r>
      <w:r w:rsidR="00214C41" w:rsidRPr="00214C41">
        <w:rPr>
          <w:rFonts w:cs="Arial"/>
          <w:lang w:val="en-US"/>
        </w:rPr>
        <w:t xml:space="preserve"> </w:t>
      </w:r>
      <w:r w:rsidR="003F1175">
        <w:rPr>
          <w:rFonts w:cs="Arial"/>
          <w:lang w:val="en-US"/>
        </w:rPr>
        <w:t xml:space="preserve">an increase </w:t>
      </w:r>
      <w:r w:rsidRPr="00794E5F">
        <w:rPr>
          <w:rFonts w:cs="Arial"/>
          <w:lang w:val="en-US"/>
        </w:rPr>
        <w:t>in</w:t>
      </w:r>
      <w:r w:rsidR="00BE6C16">
        <w:rPr>
          <w:rFonts w:cs="Arial"/>
          <w:lang w:val="en-US"/>
        </w:rPr>
        <w:t xml:space="preserve"> </w:t>
      </w:r>
      <w:r w:rsidR="00082349">
        <w:rPr>
          <w:rFonts w:cs="Arial"/>
          <w:lang w:val="en-US"/>
        </w:rPr>
        <w:t xml:space="preserve">January </w:t>
      </w:r>
      <w:r w:rsidRPr="00794E5F">
        <w:rPr>
          <w:rFonts w:cs="Arial"/>
          <w:lang w:val="en-US"/>
        </w:rPr>
        <w:t>20</w:t>
      </w:r>
      <w:r w:rsidR="00B56EAC">
        <w:rPr>
          <w:rFonts w:cs="Arial"/>
          <w:lang w:val="en-US"/>
        </w:rPr>
        <w:t xml:space="preserve">20 </w:t>
      </w:r>
      <w:r w:rsidRPr="00794E5F">
        <w:rPr>
          <w:rFonts w:cs="Arial"/>
          <w:lang w:val="en-US"/>
        </w:rPr>
        <w:t xml:space="preserve">compared to the </w:t>
      </w:r>
      <w:r>
        <w:rPr>
          <w:rFonts w:cs="Arial"/>
          <w:lang w:val="en-US"/>
        </w:rPr>
        <w:t xml:space="preserve">corresponding period of </w:t>
      </w:r>
      <w:r w:rsidR="00D47ADD">
        <w:rPr>
          <w:rFonts w:cs="Arial"/>
          <w:lang w:val="en-US"/>
        </w:rPr>
        <w:t>201</w:t>
      </w:r>
      <w:r w:rsidR="00B56EAC">
        <w:rPr>
          <w:rFonts w:cs="Arial"/>
          <w:lang w:val="en-US"/>
        </w:rPr>
        <w:t>9</w:t>
      </w:r>
      <w:r>
        <w:rPr>
          <w:rFonts w:cs="Arial"/>
          <w:lang w:val="en-US"/>
        </w:rPr>
        <w:t xml:space="preserve"> </w:t>
      </w:r>
      <w:r w:rsidR="00E37890">
        <w:rPr>
          <w:rFonts w:cs="Arial"/>
          <w:lang w:val="en-US"/>
        </w:rPr>
        <w:t xml:space="preserve">(at constant prices) </w:t>
      </w:r>
      <w:r>
        <w:rPr>
          <w:rFonts w:cs="Arial"/>
          <w:lang w:val="en-US"/>
        </w:rPr>
        <w:t>was observed</w:t>
      </w:r>
      <w:r w:rsidR="00033C72">
        <w:rPr>
          <w:rFonts w:cs="Arial"/>
          <w:lang w:val="en-US"/>
        </w:rPr>
        <w:t xml:space="preserve"> </w:t>
      </w:r>
      <w:r w:rsidR="00214C41">
        <w:rPr>
          <w:rFonts w:cs="Arial"/>
          <w:lang w:val="en-US"/>
        </w:rPr>
        <w:t xml:space="preserve">in </w:t>
      </w:r>
      <w:r w:rsidR="00034108">
        <w:rPr>
          <w:rFonts w:cs="Arial"/>
          <w:lang w:val="en-US"/>
        </w:rPr>
        <w:t>enterprises</w:t>
      </w:r>
      <w:r w:rsidR="00034108" w:rsidRPr="00426464">
        <w:rPr>
          <w:rFonts w:cs="Arial"/>
          <w:color w:val="000000"/>
          <w:szCs w:val="19"/>
          <w:lang w:val="en-US"/>
        </w:rPr>
        <w:t xml:space="preserve"> </w:t>
      </w:r>
      <w:r w:rsidR="003F1175">
        <w:rPr>
          <w:rFonts w:cs="Arial"/>
          <w:color w:val="000000"/>
          <w:szCs w:val="19"/>
          <w:lang w:val="en-US"/>
        </w:rPr>
        <w:t>trading in motor vehicles, motorcycles, parts</w:t>
      </w:r>
      <w:r w:rsidR="00034108">
        <w:rPr>
          <w:rFonts w:cs="Arial"/>
          <w:lang w:val="en-US"/>
        </w:rPr>
        <w:t xml:space="preserve"> (by </w:t>
      </w:r>
      <w:r w:rsidR="003F1175">
        <w:rPr>
          <w:rFonts w:cs="Arial"/>
          <w:lang w:val="en-US"/>
        </w:rPr>
        <w:t>3</w:t>
      </w:r>
      <w:r w:rsidR="00BF1BFB">
        <w:rPr>
          <w:rFonts w:cs="Arial"/>
          <w:lang w:val="en-US"/>
        </w:rPr>
        <w:t>.</w:t>
      </w:r>
      <w:r w:rsidR="003F1175">
        <w:rPr>
          <w:rFonts w:cs="Arial"/>
          <w:lang w:val="en-US"/>
        </w:rPr>
        <w:t>5</w:t>
      </w:r>
      <w:r w:rsidR="00034108">
        <w:rPr>
          <w:rFonts w:cs="Arial"/>
          <w:lang w:val="en-US"/>
        </w:rPr>
        <w:t xml:space="preserve">% against an increase of </w:t>
      </w:r>
      <w:r w:rsidR="00847FBC">
        <w:rPr>
          <w:rFonts w:cs="Arial"/>
          <w:lang w:val="en-US"/>
        </w:rPr>
        <w:t>5</w:t>
      </w:r>
      <w:r w:rsidR="00034108">
        <w:rPr>
          <w:rFonts w:cs="Arial"/>
          <w:lang w:val="en-US"/>
        </w:rPr>
        <w:t>.</w:t>
      </w:r>
      <w:r w:rsidR="003F1175">
        <w:rPr>
          <w:rFonts w:cs="Arial"/>
          <w:lang w:val="en-US"/>
        </w:rPr>
        <w:t>9</w:t>
      </w:r>
      <w:r w:rsidR="00034108">
        <w:rPr>
          <w:rFonts w:cs="Arial"/>
          <w:lang w:val="en-US"/>
        </w:rPr>
        <w:t>% the year before)</w:t>
      </w:r>
      <w:r w:rsidR="003F1175">
        <w:rPr>
          <w:rFonts w:cs="Arial"/>
          <w:lang w:val="en-US"/>
        </w:rPr>
        <w:t xml:space="preserve"> and in units selling solid, liquid and gaseous fuels (by 2.5% against an increase of 4.5% the year before).</w:t>
      </w:r>
    </w:p>
    <w:p w:rsidR="006E278A" w:rsidRDefault="0095619E" w:rsidP="00D40D4C">
      <w:pPr>
        <w:spacing w:before="0" w:after="0" w:line="240" w:lineRule="atLeast"/>
        <w:rPr>
          <w:rFonts w:cs="Arial"/>
          <w:sz w:val="18"/>
          <w:szCs w:val="18"/>
          <w:lang w:val="en-US"/>
        </w:rPr>
      </w:pPr>
      <w:r>
        <w:rPr>
          <w:rFonts w:cs="Arial"/>
          <w:lang w:val="en-US"/>
        </w:rPr>
        <w:t xml:space="preserve">Within </w:t>
      </w:r>
      <w:r w:rsidRPr="00794E5F">
        <w:rPr>
          <w:rFonts w:cs="Arial"/>
          <w:lang w:val="en-US"/>
        </w:rPr>
        <w:t xml:space="preserve">groups with a </w:t>
      </w:r>
      <w:r>
        <w:rPr>
          <w:rFonts w:cs="Arial"/>
          <w:lang w:val="en-US"/>
        </w:rPr>
        <w:t>lower share in total retail sales</w:t>
      </w:r>
      <w:r w:rsidR="00FF4AAC" w:rsidRPr="00FF4AAC">
        <w:rPr>
          <w:rFonts w:cs="Arial"/>
          <w:lang w:val="en-US"/>
        </w:rPr>
        <w:t xml:space="preserve"> </w:t>
      </w:r>
      <w:r w:rsidR="00FF4AAC">
        <w:rPr>
          <w:rFonts w:cs="Arial"/>
          <w:lang w:val="en-US"/>
        </w:rPr>
        <w:t>the highest increase</w:t>
      </w:r>
      <w:r w:rsidR="00BF1BFB" w:rsidRPr="00BF1BFB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was </w:t>
      </w:r>
      <w:r w:rsidR="00FC27C1">
        <w:rPr>
          <w:rFonts w:cs="Arial"/>
          <w:lang w:val="en-US"/>
        </w:rPr>
        <w:t>noted in</w:t>
      </w:r>
      <w:r>
        <w:rPr>
          <w:rFonts w:cs="Arial"/>
          <w:lang w:val="en-US"/>
        </w:rPr>
        <w:t xml:space="preserve"> </w:t>
      </w:r>
      <w:r w:rsidR="006E467E">
        <w:rPr>
          <w:rFonts w:cs="Arial"/>
          <w:lang w:val="en-US"/>
        </w:rPr>
        <w:t>en</w:t>
      </w:r>
      <w:r w:rsidR="00820164">
        <w:rPr>
          <w:rFonts w:cs="Arial"/>
          <w:lang w:val="en-US"/>
        </w:rPr>
        <w:t>t</w:t>
      </w:r>
      <w:r w:rsidR="006E467E">
        <w:rPr>
          <w:rFonts w:cs="Arial"/>
          <w:lang w:val="en-US"/>
        </w:rPr>
        <w:t>ities</w:t>
      </w:r>
      <w:r>
        <w:rPr>
          <w:rFonts w:cs="Arial"/>
          <w:lang w:val="en-US"/>
        </w:rPr>
        <w:t xml:space="preserve"> </w:t>
      </w:r>
      <w:r w:rsidR="00D64CFB">
        <w:rPr>
          <w:rFonts w:cs="Arial"/>
          <w:lang w:val="en-US"/>
        </w:rPr>
        <w:t>classified into</w:t>
      </w:r>
      <w:r w:rsidR="003C723B">
        <w:rPr>
          <w:rFonts w:cs="Arial"/>
          <w:lang w:val="en-US"/>
        </w:rPr>
        <w:t xml:space="preserve"> the</w:t>
      </w:r>
      <w:r w:rsidR="00D64CFB">
        <w:rPr>
          <w:rFonts w:cs="Arial"/>
          <w:lang w:val="en-US"/>
        </w:rPr>
        <w:t xml:space="preserve"> group</w:t>
      </w:r>
      <w:r>
        <w:rPr>
          <w:rFonts w:cs="Arial"/>
          <w:lang w:val="en-US"/>
        </w:rPr>
        <w:t xml:space="preserve"> </w:t>
      </w:r>
      <w:r w:rsidR="006E278A">
        <w:rPr>
          <w:rFonts w:cs="Arial"/>
          <w:lang w:val="en-US"/>
        </w:rPr>
        <w:t>“ textiles, clothing, footwear</w:t>
      </w:r>
      <w:r w:rsidR="00230CBA" w:rsidRPr="00AF2E2D">
        <w:rPr>
          <w:rFonts w:cs="Arial"/>
          <w:sz w:val="18"/>
          <w:szCs w:val="18"/>
          <w:lang w:val="en-US"/>
        </w:rPr>
        <w:t>“</w:t>
      </w:r>
      <w:r w:rsidR="006E278A">
        <w:rPr>
          <w:rFonts w:cs="Arial"/>
          <w:sz w:val="18"/>
          <w:szCs w:val="18"/>
          <w:lang w:val="en-US"/>
        </w:rPr>
        <w:t xml:space="preserve"> (by 10.5%). </w:t>
      </w:r>
    </w:p>
    <w:p w:rsidR="000E7B9D" w:rsidRDefault="00640117" w:rsidP="00D40D4C">
      <w:pPr>
        <w:spacing w:before="0" w:after="0" w:line="240" w:lineRule="atLeast"/>
        <w:rPr>
          <w:rFonts w:cs="Arial"/>
          <w:sz w:val="18"/>
          <w:szCs w:val="18"/>
          <w:lang w:val="en-US"/>
        </w:rPr>
      </w:pPr>
      <w:r>
        <w:rPr>
          <w:rFonts w:cs="Arial"/>
          <w:sz w:val="18"/>
          <w:szCs w:val="18"/>
          <w:lang w:val="en-US"/>
        </w:rPr>
        <w:t>A</w:t>
      </w:r>
      <w:r w:rsidR="009E69D1">
        <w:rPr>
          <w:rFonts w:cs="Arial"/>
          <w:sz w:val="18"/>
          <w:szCs w:val="18"/>
          <w:lang w:val="en-US"/>
        </w:rPr>
        <w:t xml:space="preserve"> d</w:t>
      </w:r>
      <w:r>
        <w:rPr>
          <w:rFonts w:cs="Arial"/>
          <w:sz w:val="18"/>
          <w:szCs w:val="18"/>
          <w:lang w:val="en-US"/>
        </w:rPr>
        <w:t>ecrease</w:t>
      </w:r>
      <w:r w:rsidR="009E69D1">
        <w:rPr>
          <w:rFonts w:cs="Arial"/>
          <w:sz w:val="18"/>
          <w:szCs w:val="18"/>
          <w:lang w:val="en-US"/>
        </w:rPr>
        <w:t xml:space="preserve"> in retail sales </w:t>
      </w:r>
      <w:r w:rsidR="00A72E5A">
        <w:rPr>
          <w:rFonts w:cs="Arial"/>
          <w:sz w:val="18"/>
          <w:szCs w:val="18"/>
          <w:lang w:val="en-US"/>
        </w:rPr>
        <w:t>was repor</w:t>
      </w:r>
      <w:r w:rsidR="009E69D1">
        <w:rPr>
          <w:rFonts w:cs="Arial"/>
          <w:sz w:val="18"/>
          <w:szCs w:val="18"/>
          <w:lang w:val="en-US"/>
        </w:rPr>
        <w:t xml:space="preserve">ted by </w:t>
      </w:r>
      <w:r w:rsidR="006737AC">
        <w:rPr>
          <w:rFonts w:cs="Arial"/>
          <w:sz w:val="18"/>
          <w:szCs w:val="18"/>
          <w:lang w:val="en-US"/>
        </w:rPr>
        <w:t>enterp</w:t>
      </w:r>
      <w:r w:rsidR="00B46E1C">
        <w:rPr>
          <w:rFonts w:cs="Arial"/>
          <w:sz w:val="18"/>
          <w:szCs w:val="18"/>
          <w:lang w:val="en-US"/>
        </w:rPr>
        <w:t>r</w:t>
      </w:r>
      <w:r w:rsidR="006737AC">
        <w:rPr>
          <w:rFonts w:cs="Arial"/>
          <w:sz w:val="18"/>
          <w:szCs w:val="18"/>
          <w:lang w:val="en-US"/>
        </w:rPr>
        <w:t xml:space="preserve">ises </w:t>
      </w:r>
      <w:r w:rsidR="006E278A">
        <w:rPr>
          <w:rFonts w:cs="Arial"/>
          <w:sz w:val="18"/>
          <w:szCs w:val="18"/>
          <w:lang w:val="en-US"/>
        </w:rPr>
        <w:t>from groups: “newspapers, books, other sale in specialized stores” (by 4.8%); “</w:t>
      </w:r>
      <w:r w:rsidR="00AA17D6">
        <w:rPr>
          <w:rFonts w:cs="Arial"/>
          <w:sz w:val="18"/>
          <w:szCs w:val="18"/>
          <w:lang w:val="en-US"/>
        </w:rPr>
        <w:t xml:space="preserve">food, </w:t>
      </w:r>
      <w:r w:rsidR="00894780">
        <w:rPr>
          <w:rFonts w:cs="Arial"/>
          <w:sz w:val="18"/>
          <w:szCs w:val="18"/>
          <w:lang w:val="en-US"/>
        </w:rPr>
        <w:t>beverages, and tobacco products</w:t>
      </w:r>
      <w:r w:rsidR="00EB711C">
        <w:rPr>
          <w:rFonts w:cs="Arial"/>
          <w:sz w:val="18"/>
          <w:szCs w:val="18"/>
          <w:lang w:val="en-US"/>
        </w:rPr>
        <w:t xml:space="preserve"> (by 0</w:t>
      </w:r>
      <w:r w:rsidR="00AA17D6">
        <w:rPr>
          <w:rFonts w:cs="Arial"/>
          <w:sz w:val="18"/>
          <w:szCs w:val="18"/>
          <w:lang w:val="en-US"/>
        </w:rPr>
        <w:t>.</w:t>
      </w:r>
      <w:r w:rsidR="006E278A">
        <w:rPr>
          <w:rFonts w:cs="Arial"/>
          <w:sz w:val="18"/>
          <w:szCs w:val="18"/>
          <w:lang w:val="en-US"/>
        </w:rPr>
        <w:t>9%); “others” (by 0.5%).</w:t>
      </w:r>
    </w:p>
    <w:p w:rsidR="002763FC" w:rsidRDefault="002763FC" w:rsidP="001A75DF">
      <w:pPr>
        <w:pStyle w:val="tytuwykresu"/>
        <w:rPr>
          <w:lang w:val="en-US"/>
        </w:rPr>
      </w:pPr>
    </w:p>
    <w:p w:rsidR="009E69D1" w:rsidRDefault="008C6D41" w:rsidP="001A75DF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760632"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767808" behindDoc="0" locked="0" layoutInCell="1" allowOverlap="1" wp14:anchorId="0D25BA1F" wp14:editId="7B61EAE2">
            <wp:simplePos x="0" y="0"/>
            <wp:positionH relativeFrom="margin">
              <wp:posOffset>0</wp:posOffset>
            </wp:positionH>
            <wp:positionV relativeFrom="margin">
              <wp:posOffset>4566920</wp:posOffset>
            </wp:positionV>
            <wp:extent cx="5118735" cy="2748915"/>
            <wp:effectExtent l="0" t="0" r="571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A808AA" w:rsidRDefault="00A808AA" w:rsidP="00A808AA">
      <w:pPr>
        <w:pStyle w:val="Nagwek1"/>
        <w:rPr>
          <w:rFonts w:ascii="Fira Sans" w:hAnsi="Fira Sans" w:cs="Arial"/>
          <w:b/>
          <w:color w:val="auto"/>
          <w:sz w:val="18"/>
          <w:szCs w:val="18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</w:p>
    <w:p w:rsidR="00364EBA" w:rsidRDefault="00364EBA" w:rsidP="00364EBA">
      <w:pPr>
        <w:rPr>
          <w:lang w:val="en-US" w:eastAsia="pl-PL"/>
        </w:rPr>
      </w:pPr>
    </w:p>
    <w:tbl>
      <w:tblPr>
        <w:tblW w:w="8051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162"/>
        <w:gridCol w:w="1162"/>
        <w:gridCol w:w="1162"/>
        <w:gridCol w:w="1162"/>
      </w:tblGrid>
      <w:tr w:rsidR="00364EBA" w:rsidRPr="00382DAE" w:rsidTr="0066664F">
        <w:trPr>
          <w:cantSplit/>
          <w:trHeight w:val="340"/>
        </w:trPr>
        <w:tc>
          <w:tcPr>
            <w:tcW w:w="340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364EBA" w:rsidRPr="00760B21" w:rsidRDefault="00364EBA" w:rsidP="0066664F">
            <w:pPr>
              <w:spacing w:before="240" w:line="240" w:lineRule="atLeast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60B21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324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364EBA" w:rsidRPr="00760B21" w:rsidRDefault="00364EBA" w:rsidP="0066664F">
            <w:pPr>
              <w:spacing w:after="0" w:line="240" w:lineRule="atLeast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color w:val="000000"/>
                <w:sz w:val="16"/>
                <w:szCs w:val="16"/>
                <w:lang w:val="en-GB"/>
              </w:rPr>
              <w:t>Constant prices</w:t>
            </w:r>
          </w:p>
        </w:tc>
        <w:tc>
          <w:tcPr>
            <w:tcW w:w="232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64EBA" w:rsidRPr="00760B21" w:rsidRDefault="00364EBA" w:rsidP="0066664F">
            <w:pPr>
              <w:spacing w:after="0" w:line="240" w:lineRule="atLeast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color w:val="000000"/>
                <w:sz w:val="16"/>
                <w:szCs w:val="16"/>
                <w:lang w:val="en-GB"/>
              </w:rPr>
              <w:t>Current prices</w:t>
            </w:r>
          </w:p>
        </w:tc>
      </w:tr>
      <w:tr w:rsidR="00364EBA" w:rsidRPr="00382DAE" w:rsidTr="0066664F">
        <w:trPr>
          <w:cantSplit/>
          <w:trHeight w:val="340"/>
        </w:trPr>
        <w:tc>
          <w:tcPr>
            <w:tcW w:w="3403" w:type="dxa"/>
            <w:vMerge/>
            <w:shd w:val="clear" w:color="auto" w:fill="auto"/>
            <w:vAlign w:val="center"/>
          </w:tcPr>
          <w:p w:rsidR="00364EBA" w:rsidRPr="00760B21" w:rsidRDefault="00364EBA" w:rsidP="0066664F">
            <w:pPr>
              <w:spacing w:before="240" w:line="240" w:lineRule="atLeast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2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64EBA" w:rsidRPr="00760B21" w:rsidRDefault="00364EBA" w:rsidP="008067AB">
            <w:pPr>
              <w:spacing w:after="0" w:line="240" w:lineRule="atLeast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color w:val="000000"/>
                <w:sz w:val="16"/>
                <w:szCs w:val="16"/>
              </w:rPr>
              <w:t>I 20</w:t>
            </w:r>
            <w:r w:rsidR="008067AB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2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64EBA" w:rsidRPr="00760B21" w:rsidRDefault="00364EBA" w:rsidP="008067AB">
            <w:pPr>
              <w:spacing w:after="0" w:line="240" w:lineRule="atLeast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color w:val="000000"/>
                <w:sz w:val="16"/>
                <w:szCs w:val="16"/>
              </w:rPr>
              <w:t>I 20</w:t>
            </w:r>
            <w:r w:rsidR="008067AB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364EBA" w:rsidRPr="00382DAE" w:rsidTr="0066664F">
        <w:trPr>
          <w:trHeight w:val="340"/>
        </w:trPr>
        <w:tc>
          <w:tcPr>
            <w:tcW w:w="3403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364EBA" w:rsidRPr="00760B21" w:rsidRDefault="00364EBA" w:rsidP="0066664F">
            <w:pPr>
              <w:spacing w:line="240" w:lineRule="atLeas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364EBA" w:rsidRPr="00760B21" w:rsidRDefault="00364EBA" w:rsidP="008067AB">
            <w:pPr>
              <w:spacing w:after="0" w:line="240" w:lineRule="atLeast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color w:val="000000"/>
                <w:sz w:val="16"/>
                <w:szCs w:val="16"/>
              </w:rPr>
              <w:t>XII 201</w:t>
            </w:r>
            <w:r w:rsidR="008067AB">
              <w:rPr>
                <w:rFonts w:cs="Arial"/>
                <w:color w:val="000000"/>
                <w:sz w:val="16"/>
                <w:szCs w:val="16"/>
              </w:rPr>
              <w:t>9</w:t>
            </w:r>
            <w:r w:rsidRPr="00760B2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6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64EBA" w:rsidRPr="00760B21" w:rsidRDefault="00364EBA" w:rsidP="008067AB">
            <w:pPr>
              <w:spacing w:after="0" w:line="240" w:lineRule="atLeast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color w:val="000000"/>
                <w:sz w:val="16"/>
                <w:szCs w:val="16"/>
              </w:rPr>
              <w:t>I 201</w:t>
            </w:r>
            <w:r w:rsidR="008067AB">
              <w:rPr>
                <w:rFonts w:cs="Arial"/>
                <w:color w:val="000000"/>
                <w:sz w:val="16"/>
                <w:szCs w:val="16"/>
              </w:rPr>
              <w:t>9</w:t>
            </w:r>
            <w:r w:rsidRPr="00760B2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6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64EBA" w:rsidRPr="00760B21" w:rsidRDefault="00364EBA" w:rsidP="008067AB">
            <w:pPr>
              <w:spacing w:after="0" w:line="240" w:lineRule="atLeast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color w:val="000000"/>
                <w:sz w:val="16"/>
                <w:szCs w:val="16"/>
              </w:rPr>
              <w:t>XII 201</w:t>
            </w:r>
            <w:r w:rsidR="008067AB">
              <w:rPr>
                <w:rFonts w:cs="Arial"/>
                <w:color w:val="000000"/>
                <w:sz w:val="16"/>
                <w:szCs w:val="16"/>
              </w:rPr>
              <w:t>9</w:t>
            </w:r>
            <w:r w:rsidRPr="00760B2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6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64EBA" w:rsidRPr="00760B21" w:rsidRDefault="00364EBA" w:rsidP="008067AB">
            <w:pPr>
              <w:spacing w:after="0" w:line="240" w:lineRule="atLeast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color w:val="000000"/>
                <w:sz w:val="16"/>
                <w:szCs w:val="16"/>
              </w:rPr>
              <w:t>I 201</w:t>
            </w:r>
            <w:r w:rsidR="008067AB">
              <w:rPr>
                <w:rFonts w:cs="Arial"/>
                <w:color w:val="000000"/>
                <w:sz w:val="16"/>
                <w:szCs w:val="16"/>
              </w:rPr>
              <w:t>9</w:t>
            </w:r>
            <w:r w:rsidRPr="00760B2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030374" w:rsidRPr="00382DAE" w:rsidTr="0066664F">
        <w:trPr>
          <w:trHeight w:val="369"/>
        </w:trPr>
        <w:tc>
          <w:tcPr>
            <w:tcW w:w="3403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030374" w:rsidRPr="00760B21" w:rsidRDefault="00030374" w:rsidP="00030374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79.4</w:t>
            </w:r>
          </w:p>
        </w:tc>
        <w:tc>
          <w:tcPr>
            <w:tcW w:w="116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116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79.6</w:t>
            </w:r>
          </w:p>
        </w:tc>
        <w:tc>
          <w:tcPr>
            <w:tcW w:w="116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105.7</w:t>
            </w:r>
          </w:p>
        </w:tc>
      </w:tr>
      <w:tr w:rsidR="00030374" w:rsidRPr="00382DAE" w:rsidTr="0066664F">
        <w:trPr>
          <w:trHeight w:val="369"/>
        </w:trPr>
        <w:tc>
          <w:tcPr>
            <w:tcW w:w="3403" w:type="dxa"/>
            <w:shd w:val="clear" w:color="auto" w:fill="auto"/>
            <w:vAlign w:val="center"/>
            <w:hideMark/>
          </w:tcPr>
          <w:p w:rsidR="00030374" w:rsidRPr="00760B21" w:rsidRDefault="00030374" w:rsidP="00030374">
            <w:pPr>
              <w:spacing w:before="0" w:after="0" w:line="240" w:lineRule="atLeast"/>
              <w:ind w:firstLine="176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30374" w:rsidRPr="00382DAE" w:rsidTr="0066664F">
        <w:trPr>
          <w:trHeight w:val="369"/>
        </w:trPr>
        <w:tc>
          <w:tcPr>
            <w:tcW w:w="3403" w:type="dxa"/>
            <w:shd w:val="clear" w:color="auto" w:fill="auto"/>
            <w:vAlign w:val="center"/>
            <w:hideMark/>
          </w:tcPr>
          <w:p w:rsidR="00030374" w:rsidRPr="00760B21" w:rsidRDefault="00030374" w:rsidP="0003037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bookmarkStart w:id="0" w:name="OLE_LINK1"/>
            <w:r w:rsidRPr="00760B21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  <w:bookmarkEnd w:id="0"/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87.3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87.6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101.6</w:t>
            </w:r>
          </w:p>
        </w:tc>
      </w:tr>
      <w:tr w:rsidR="00030374" w:rsidRPr="00543644" w:rsidTr="0066664F">
        <w:trPr>
          <w:trHeight w:val="369"/>
        </w:trPr>
        <w:tc>
          <w:tcPr>
            <w:tcW w:w="3403" w:type="dxa"/>
            <w:shd w:val="clear" w:color="auto" w:fill="auto"/>
            <w:vAlign w:val="center"/>
            <w:hideMark/>
          </w:tcPr>
          <w:p w:rsidR="00030374" w:rsidRPr="00760B21" w:rsidRDefault="00030374" w:rsidP="0003037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760B21">
              <w:rPr>
                <w:rFonts w:cs="Arial"/>
                <w:sz w:val="16"/>
                <w:szCs w:val="16"/>
                <w:lang w:val="en-US"/>
              </w:rPr>
              <w:t>Sol</w:t>
            </w:r>
            <w:r>
              <w:rPr>
                <w:rFonts w:cs="Arial"/>
                <w:sz w:val="16"/>
                <w:szCs w:val="16"/>
                <w:lang w:val="en-US"/>
              </w:rPr>
              <w:t>i</w:t>
            </w:r>
            <w:r w:rsidRPr="00760B21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95.8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104.9</w:t>
            </w:r>
          </w:p>
        </w:tc>
      </w:tr>
      <w:tr w:rsidR="00030374" w:rsidRPr="00543644" w:rsidTr="0066664F">
        <w:trPr>
          <w:trHeight w:val="369"/>
        </w:trPr>
        <w:tc>
          <w:tcPr>
            <w:tcW w:w="3403" w:type="dxa"/>
            <w:shd w:val="clear" w:color="auto" w:fill="auto"/>
            <w:vAlign w:val="center"/>
            <w:hideMark/>
          </w:tcPr>
          <w:p w:rsidR="00030374" w:rsidRPr="00760B21" w:rsidRDefault="00030374" w:rsidP="0003037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760B21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77.0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78.3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105.7</w:t>
            </w:r>
          </w:p>
        </w:tc>
      </w:tr>
      <w:tr w:rsidR="00030374" w:rsidRPr="00543644" w:rsidTr="0066664F">
        <w:trPr>
          <w:trHeight w:val="567"/>
        </w:trPr>
        <w:tc>
          <w:tcPr>
            <w:tcW w:w="3403" w:type="dxa"/>
            <w:shd w:val="clear" w:color="auto" w:fill="auto"/>
            <w:vAlign w:val="center"/>
            <w:hideMark/>
          </w:tcPr>
          <w:p w:rsidR="00030374" w:rsidRPr="00760B21" w:rsidRDefault="00030374" w:rsidP="0003037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760B21">
              <w:rPr>
                <w:rFonts w:cs="Arial"/>
                <w:sz w:val="16"/>
                <w:szCs w:val="16"/>
                <w:lang w:val="en-US"/>
              </w:rPr>
              <w:t>Other retail sales in non-specialized stores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030374" w:rsidRPr="00382DAE" w:rsidTr="0066664F">
        <w:trPr>
          <w:cantSplit/>
          <w:trHeight w:val="567"/>
        </w:trPr>
        <w:tc>
          <w:tcPr>
            <w:tcW w:w="3403" w:type="dxa"/>
            <w:shd w:val="clear" w:color="auto" w:fill="auto"/>
            <w:vAlign w:val="center"/>
            <w:hideMark/>
          </w:tcPr>
          <w:p w:rsidR="00030374" w:rsidRPr="00760B21" w:rsidRDefault="00030374" w:rsidP="0003037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760B21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760B21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85.9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105.2</w:t>
            </w:r>
          </w:p>
        </w:tc>
      </w:tr>
      <w:tr w:rsidR="00030374" w:rsidRPr="00382DAE" w:rsidTr="0066664F">
        <w:trPr>
          <w:cantSplit/>
          <w:trHeight w:val="424"/>
        </w:trPr>
        <w:tc>
          <w:tcPr>
            <w:tcW w:w="3403" w:type="dxa"/>
            <w:shd w:val="clear" w:color="auto" w:fill="auto"/>
            <w:vAlign w:val="center"/>
            <w:hideMark/>
          </w:tcPr>
          <w:p w:rsidR="00030374" w:rsidRPr="00760B21" w:rsidRDefault="00030374" w:rsidP="0003037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72.1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108.8</w:t>
            </w:r>
          </w:p>
        </w:tc>
      </w:tr>
      <w:tr w:rsidR="00030374" w:rsidRPr="00543644" w:rsidTr="0066664F">
        <w:trPr>
          <w:cantSplit/>
          <w:trHeight w:val="370"/>
        </w:trPr>
        <w:tc>
          <w:tcPr>
            <w:tcW w:w="3403" w:type="dxa"/>
            <w:shd w:val="clear" w:color="auto" w:fill="auto"/>
            <w:vAlign w:val="center"/>
            <w:hideMark/>
          </w:tcPr>
          <w:p w:rsidR="00030374" w:rsidRPr="00760B21" w:rsidRDefault="00030374" w:rsidP="0003037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760B21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65.3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105.8</w:t>
            </w:r>
          </w:p>
        </w:tc>
      </w:tr>
      <w:tr w:rsidR="00030374" w:rsidRPr="00543644" w:rsidTr="0066664F">
        <w:trPr>
          <w:cantSplit/>
          <w:trHeight w:val="567"/>
        </w:trPr>
        <w:tc>
          <w:tcPr>
            <w:tcW w:w="3403" w:type="dxa"/>
            <w:shd w:val="clear" w:color="auto" w:fill="auto"/>
            <w:vAlign w:val="center"/>
            <w:hideMark/>
          </w:tcPr>
          <w:p w:rsidR="00030374" w:rsidRPr="00760B21" w:rsidRDefault="00030374" w:rsidP="0003037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760B21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59.4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96.3</w:t>
            </w:r>
          </w:p>
        </w:tc>
      </w:tr>
      <w:tr w:rsidR="00030374" w:rsidRPr="00382DAE" w:rsidTr="0066664F">
        <w:trPr>
          <w:cantSplit/>
          <w:trHeight w:val="369"/>
        </w:trPr>
        <w:tc>
          <w:tcPr>
            <w:tcW w:w="3403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30374" w:rsidRPr="00760B21" w:rsidRDefault="00030374" w:rsidP="00030374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81.1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99.5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81.0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:rsidR="00030374" w:rsidRPr="00374327" w:rsidRDefault="00030374" w:rsidP="0003037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101.9</w:t>
            </w:r>
          </w:p>
        </w:tc>
      </w:tr>
    </w:tbl>
    <w:p w:rsidR="00364EBA" w:rsidRDefault="00364EBA" w:rsidP="00364EBA">
      <w:pPr>
        <w:rPr>
          <w:lang w:val="en-US" w:eastAsia="pl-PL"/>
        </w:rPr>
      </w:pPr>
    </w:p>
    <w:p w:rsidR="008C6118" w:rsidRPr="00B73F57" w:rsidRDefault="00B73F57" w:rsidP="00364EBA">
      <w:pPr>
        <w:rPr>
          <w:sz w:val="16"/>
          <w:szCs w:val="16"/>
          <w:lang w:val="en-US" w:eastAsia="pl-PL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 w:rsidRPr="00B73F57">
        <w:rPr>
          <w:rStyle w:val="tlid-translation"/>
          <w:sz w:val="16"/>
          <w:szCs w:val="16"/>
          <w:lang w:val="en"/>
        </w:rPr>
        <w:t>No information or</w:t>
      </w:r>
      <w:r w:rsidR="00395D86">
        <w:rPr>
          <w:rStyle w:val="tlid-translation"/>
          <w:sz w:val="16"/>
          <w:szCs w:val="16"/>
          <w:lang w:val="en"/>
        </w:rPr>
        <w:t xml:space="preserve"> statistical</w:t>
      </w:r>
      <w:r w:rsidRPr="00B73F57">
        <w:rPr>
          <w:rStyle w:val="tlid-translation"/>
          <w:sz w:val="16"/>
          <w:szCs w:val="16"/>
          <w:lang w:val="en"/>
        </w:rPr>
        <w:t xml:space="preserve"> confidentiality required</w:t>
      </w:r>
    </w:p>
    <w:p w:rsidR="008C6118" w:rsidRDefault="008C6118" w:rsidP="00364EBA">
      <w:pPr>
        <w:rPr>
          <w:lang w:val="en-US" w:eastAsia="pl-PL"/>
        </w:rPr>
      </w:pPr>
    </w:p>
    <w:p w:rsidR="008C6118" w:rsidRDefault="008C6118" w:rsidP="00364EBA">
      <w:pPr>
        <w:rPr>
          <w:lang w:val="en-US" w:eastAsia="pl-PL"/>
        </w:rPr>
      </w:pPr>
    </w:p>
    <w:p w:rsidR="00A274DF" w:rsidRDefault="00A274DF" w:rsidP="00A274DF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Pr="008C6D41">
        <w:rPr>
          <w:lang w:val="en-US"/>
        </w:rPr>
        <w:t xml:space="preserve"> 2.</w:t>
      </w:r>
      <w:r>
        <w:rPr>
          <w:lang w:val="en-US"/>
        </w:rPr>
        <w:t xml:space="preserve"> </w:t>
      </w:r>
      <w:r w:rsidRPr="008C6D41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 xml:space="preserve">Retail sales of goods in </w:t>
      </w:r>
      <w:r w:rsidR="00D43AF4">
        <w:rPr>
          <w:shd w:val="clear" w:color="auto" w:fill="FFFFFF"/>
          <w:lang w:val="en-US"/>
        </w:rPr>
        <w:t xml:space="preserve">January </w:t>
      </w:r>
      <w:r w:rsidRPr="00C15AD6">
        <w:rPr>
          <w:shd w:val="clear" w:color="auto" w:fill="FFFFFF"/>
          <w:lang w:val="en-US"/>
        </w:rPr>
        <w:t>20</w:t>
      </w:r>
      <w:r w:rsidR="00D43AF4">
        <w:rPr>
          <w:shd w:val="clear" w:color="auto" w:fill="FFFFFF"/>
          <w:lang w:val="en-US"/>
        </w:rPr>
        <w:t>20</w:t>
      </w:r>
      <w:r w:rsidRPr="00C15AD6">
        <w:rPr>
          <w:rFonts w:cs="Arial"/>
          <w:b w:val="0"/>
          <w:lang w:val="en-US"/>
        </w:rPr>
        <w:t xml:space="preserve"> </w:t>
      </w:r>
      <w:r w:rsidRPr="00C15AD6">
        <w:rPr>
          <w:rFonts w:cs="Arial"/>
          <w:lang w:val="en-US"/>
        </w:rPr>
        <w:t>by type of enterpris</w:t>
      </w:r>
      <w:bookmarkStart w:id="1" w:name="_GoBack"/>
      <w:bookmarkEnd w:id="1"/>
      <w:r w:rsidRPr="00C15AD6">
        <w:rPr>
          <w:rFonts w:cs="Arial"/>
          <w:lang w:val="en-US"/>
        </w:rPr>
        <w:t xml:space="preserve">e activity </w:t>
      </w:r>
      <w:r w:rsidRPr="00C15AD6">
        <w:rPr>
          <w:shd w:val="clear" w:color="auto" w:fill="FFFFFF"/>
          <w:lang w:val="en-US"/>
        </w:rPr>
        <w:t>(constant prices)  – corresponding period of previous year=100</w:t>
      </w:r>
    </w:p>
    <w:p w:rsidR="00A274DF" w:rsidRDefault="008C6118" w:rsidP="00A274DF">
      <w:pPr>
        <w:pStyle w:val="tytuwykresu"/>
        <w:rPr>
          <w:rFonts w:ascii="Fira Sans SemiBold" w:hAnsi="Fira Sans SemiBold"/>
          <w:color w:val="001D77"/>
          <w:szCs w:val="23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78048" behindDoc="0" locked="0" layoutInCell="1" allowOverlap="1" wp14:anchorId="3E9867F8" wp14:editId="77D960C5">
            <wp:simplePos x="0" y="0"/>
            <wp:positionH relativeFrom="margin">
              <wp:posOffset>0</wp:posOffset>
            </wp:positionH>
            <wp:positionV relativeFrom="margin">
              <wp:posOffset>5657850</wp:posOffset>
            </wp:positionV>
            <wp:extent cx="5125720" cy="3036570"/>
            <wp:effectExtent l="0" t="0" r="0" b="0"/>
            <wp:wrapSquare wrapText="bothSides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</w:p>
    <w:p w:rsidR="008C6118" w:rsidRDefault="008C6118" w:rsidP="00A274DF">
      <w:pPr>
        <w:pStyle w:val="tytuwykresu"/>
        <w:rPr>
          <w:rFonts w:ascii="Fira Sans SemiBold" w:hAnsi="Fira Sans SemiBold"/>
          <w:color w:val="001D77"/>
          <w:szCs w:val="23"/>
          <w:lang w:val="en-US"/>
        </w:rPr>
      </w:pPr>
    </w:p>
    <w:p w:rsidR="008C6118" w:rsidRDefault="008C6118" w:rsidP="00A274DF">
      <w:pPr>
        <w:pStyle w:val="tytuwykresu"/>
        <w:rPr>
          <w:rFonts w:ascii="Fira Sans SemiBold" w:hAnsi="Fira Sans SemiBold"/>
          <w:color w:val="001D77"/>
          <w:szCs w:val="23"/>
          <w:lang w:val="en-US"/>
        </w:rPr>
      </w:pPr>
    </w:p>
    <w:p w:rsidR="008C6118" w:rsidRPr="006011F2" w:rsidRDefault="008C6118" w:rsidP="008C6118">
      <w:pPr>
        <w:pStyle w:val="tytuwykresu"/>
        <w:spacing w:before="240"/>
        <w:rPr>
          <w:rFonts w:ascii="Fira Sans SemiBold" w:hAnsi="Fira Sans SemiBold"/>
          <w:b w:val="0"/>
          <w:color w:val="001D77"/>
          <w:szCs w:val="23"/>
          <w:lang w:val="en-US"/>
        </w:rPr>
      </w:pPr>
      <w:r w:rsidRPr="006011F2">
        <w:rPr>
          <w:rFonts w:ascii="Fira Sans SemiBold" w:hAnsi="Fira Sans SemiBold"/>
          <w:b w:val="0"/>
          <w:color w:val="001D77"/>
          <w:szCs w:val="23"/>
          <w:lang w:val="en-US"/>
        </w:rPr>
        <w:lastRenderedPageBreak/>
        <w:t>Retail sales seasonally adjusted</w:t>
      </w:r>
    </w:p>
    <w:p w:rsidR="008C6118" w:rsidRDefault="00F72DC8" w:rsidP="00A274DF">
      <w:pPr>
        <w:rPr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5683885</wp:posOffset>
                </wp:positionH>
                <wp:positionV relativeFrom="paragraph">
                  <wp:posOffset>83355</wp:posOffset>
                </wp:positionV>
                <wp:extent cx="1835150" cy="1165860"/>
                <wp:effectExtent l="0" t="0" r="0" b="0"/>
                <wp:wrapTight wrapText="bothSides">
                  <wp:wrapPolygon edited="0">
                    <wp:start x="673" y="0"/>
                    <wp:lineTo x="673" y="21176"/>
                    <wp:lineTo x="20853" y="21176"/>
                    <wp:lineTo x="20853" y="0"/>
                    <wp:lineTo x="67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0F4044" w:rsidRDefault="00F72DC8" w:rsidP="00F72DC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January 2020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an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increase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0.1%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 December 2019</w:t>
                            </w:r>
                          </w:p>
                          <w:p w:rsidR="00F72DC8" w:rsidRPr="000F4044" w:rsidRDefault="00F72DC8" w:rsidP="00F72DC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FC67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7.55pt;margin-top:6.55pt;width:144.5pt;height:91.8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" filled="f" stroked="f">
                <v:textbox>
                  <w:txbxContent>
                    <w:p w:rsidR="00F72DC8" w:rsidRPr="000F4044" w:rsidRDefault="00F72DC8" w:rsidP="00F72DC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>
                        <w:rPr>
                          <w:rFonts w:cs="Arial"/>
                          <w:lang w:val="en-US"/>
                        </w:rPr>
                        <w:t>January 2020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>
                        <w:rPr>
                          <w:rFonts w:cs="Arial"/>
                          <w:lang w:val="en-US"/>
                        </w:rPr>
                        <w:t>an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increase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0.1%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 December 2019</w:t>
                      </w:r>
                    </w:p>
                    <w:p w:rsidR="00F72DC8" w:rsidRPr="000F4044" w:rsidRDefault="00F72DC8" w:rsidP="00F72DC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E53A8D">
        <w:rPr>
          <w:szCs w:val="23"/>
          <w:lang w:val="en-US"/>
        </w:rPr>
        <w:t>January</w:t>
      </w:r>
      <w:r w:rsidR="00E351A2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</w:t>
      </w:r>
      <w:r w:rsidR="00E53A8D">
        <w:rPr>
          <w:szCs w:val="23"/>
          <w:lang w:val="en-US"/>
        </w:rPr>
        <w:t>20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E351A2">
        <w:rPr>
          <w:szCs w:val="23"/>
          <w:lang w:val="en-US"/>
        </w:rPr>
        <w:t>0</w:t>
      </w:r>
      <w:r>
        <w:rPr>
          <w:szCs w:val="23"/>
          <w:lang w:val="en-US"/>
        </w:rPr>
        <w:t>.</w:t>
      </w:r>
      <w:r w:rsidR="00E53A8D">
        <w:rPr>
          <w:szCs w:val="23"/>
          <w:lang w:val="en-US"/>
        </w:rPr>
        <w:t>1</w:t>
      </w:r>
      <w:r>
        <w:rPr>
          <w:szCs w:val="23"/>
          <w:lang w:val="en-US"/>
        </w:rPr>
        <w:t xml:space="preserve">% </w:t>
      </w:r>
      <w:r w:rsidR="00E53A8D">
        <w:rPr>
          <w:szCs w:val="23"/>
          <w:lang w:val="en-US"/>
        </w:rPr>
        <w:t>higher</w:t>
      </w:r>
      <w:r>
        <w:rPr>
          <w:szCs w:val="23"/>
          <w:lang w:val="en-US"/>
        </w:rPr>
        <w:t xml:space="preserve"> in comparison to </w:t>
      </w:r>
      <w:r w:rsidR="00E53A8D">
        <w:rPr>
          <w:szCs w:val="23"/>
          <w:lang w:val="en-US"/>
        </w:rPr>
        <w:t>December</w:t>
      </w:r>
      <w:r>
        <w:rPr>
          <w:szCs w:val="23"/>
          <w:lang w:val="en-US"/>
        </w:rPr>
        <w:t xml:space="preserve"> 2019</w:t>
      </w:r>
      <w:r w:rsidRPr="00EC1228">
        <w:rPr>
          <w:szCs w:val="23"/>
          <w:lang w:val="en-US"/>
        </w:rPr>
        <w:t>.</w:t>
      </w:r>
    </w:p>
    <w:p w:rsidR="00A274DF" w:rsidRDefault="00A274DF" w:rsidP="00B04BBF">
      <w:pPr>
        <w:rPr>
          <w:noProof/>
          <w:lang w:val="en-US"/>
        </w:rPr>
      </w:pPr>
    </w:p>
    <w:p w:rsidR="00E80C30" w:rsidRPr="001520A2" w:rsidRDefault="008C6D41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D421C" w:rsidP="00B25EE8">
      <w:pPr>
        <w:pStyle w:val="tytuwykresu"/>
        <w:rPr>
          <w:rFonts w:asciiTheme="majorHAnsi" w:hAnsiTheme="majorHAnsi"/>
          <w:noProof/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122545" cy="2466975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="000470AA" w:rsidRPr="008C57A4" w:rsidTr="00E23337">
        <w:trPr>
          <w:trHeight w:val="1912"/>
        </w:trPr>
        <w:tc>
          <w:tcPr>
            <w:tcW w:w="4379" w:type="dxa"/>
          </w:tcPr>
          <w:p w:rsidR="000470AA" w:rsidRPr="006011F2" w:rsidRDefault="001A75DF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6011F2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6011F2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Pr="006011F2" w:rsidRDefault="001A75DF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6011F2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D8007A" w:rsidRPr="006011F2" w:rsidRDefault="00D8007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6011F2">
              <w:rPr>
                <w:rFonts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6011F2" w:rsidRDefault="004B7E11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6011F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6011F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Pr="006011F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FF2C0B" w:rsidRPr="006011F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6011F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Pr="006011F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17FFE" w:rsidRPr="006011F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6011F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Pr="006011F2" w:rsidRDefault="001A75DF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6011F2">
              <w:rPr>
                <w:rFonts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6011F2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6011F2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382DAE" w:rsidRPr="006011F2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6011F2" w:rsidRDefault="00382DA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6011F2">
              <w:rPr>
                <w:rFonts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6011F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6011F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6011F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6011F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6011F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Pr="006011F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F2C0B" w:rsidRPr="006011F2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+</w:t>
            </w:r>
            <w:r w:rsidR="00FF2C0B" w:rsidRPr="006011F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48</w:t>
            </w:r>
            <w:r w:rsidRPr="006011F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6011F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0E0FFA" w:rsidRPr="006011F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8C57A4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6011F2" w:rsidRDefault="00FF2C0B" w:rsidP="00FF2C0B">
            <w:pPr>
              <w:rPr>
                <w:b/>
                <w:sz w:val="20"/>
                <w:lang w:val="en-US"/>
              </w:rPr>
            </w:pPr>
            <w:r w:rsidRPr="006011F2">
              <w:rPr>
                <w:b/>
                <w:sz w:val="20"/>
                <w:lang w:val="en-US"/>
              </w:rPr>
              <w:t>Press Office</w:t>
            </w:r>
          </w:p>
          <w:p w:rsidR="00FF2C0B" w:rsidRPr="006011F2" w:rsidRDefault="0094724C" w:rsidP="00FF2C0B">
            <w:pPr>
              <w:rPr>
                <w:sz w:val="20"/>
                <w:lang w:val="en-US"/>
              </w:rPr>
            </w:pPr>
            <w:r w:rsidRPr="006011F2">
              <w:rPr>
                <w:sz w:val="20"/>
                <w:lang w:val="en-US"/>
              </w:rPr>
              <w:t>Office: t</w:t>
            </w:r>
            <w:r w:rsidR="00ED42E6" w:rsidRPr="006011F2">
              <w:rPr>
                <w:sz w:val="20"/>
                <w:lang w:val="en-US"/>
              </w:rPr>
              <w:t>el</w:t>
            </w:r>
            <w:r w:rsidR="0006019C" w:rsidRPr="006011F2">
              <w:rPr>
                <w:sz w:val="20"/>
                <w:lang w:val="en-US"/>
              </w:rPr>
              <w:t>.</w:t>
            </w:r>
            <w:r w:rsidR="00FF2C0B" w:rsidRPr="006011F2">
              <w:rPr>
                <w:sz w:val="20"/>
                <w:lang w:val="en-US"/>
              </w:rPr>
              <w:t xml:space="preserve"> </w:t>
            </w:r>
            <w:r w:rsidRPr="006011F2">
              <w:rPr>
                <w:sz w:val="20"/>
                <w:lang w:val="en-US"/>
              </w:rPr>
              <w:t>(</w:t>
            </w:r>
            <w:r w:rsidR="00BC695C" w:rsidRPr="006011F2">
              <w:rPr>
                <w:sz w:val="20"/>
                <w:lang w:val="en-US"/>
              </w:rPr>
              <w:t>+48 22</w:t>
            </w:r>
            <w:r w:rsidRPr="006011F2">
              <w:rPr>
                <w:sz w:val="20"/>
                <w:lang w:val="en-US"/>
              </w:rPr>
              <w:t>)</w:t>
            </w:r>
            <w:r w:rsidR="00BC695C" w:rsidRPr="006011F2">
              <w:rPr>
                <w:sz w:val="20"/>
                <w:lang w:val="en-US"/>
              </w:rPr>
              <w:t xml:space="preserve"> 608 34</w:t>
            </w:r>
            <w:r w:rsidR="0049360F" w:rsidRPr="006011F2">
              <w:rPr>
                <w:sz w:val="20"/>
                <w:lang w:val="en-US"/>
              </w:rPr>
              <w:t xml:space="preserve"> </w:t>
            </w:r>
            <w:r w:rsidR="00FF2C0B" w:rsidRPr="006011F2">
              <w:rPr>
                <w:sz w:val="20"/>
                <w:lang w:val="en-US"/>
              </w:rPr>
              <w:t xml:space="preserve">91, </w:t>
            </w:r>
            <w:r w:rsidR="00BC695C" w:rsidRPr="006011F2">
              <w:rPr>
                <w:sz w:val="20"/>
                <w:lang w:val="en-US"/>
              </w:rPr>
              <w:t>608 38</w:t>
            </w:r>
            <w:r w:rsidR="0049360F" w:rsidRPr="006011F2">
              <w:rPr>
                <w:sz w:val="20"/>
                <w:lang w:val="en-US"/>
              </w:rPr>
              <w:t xml:space="preserve"> </w:t>
            </w:r>
            <w:r w:rsidR="00FF2C0B" w:rsidRPr="006011F2">
              <w:rPr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6011F2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6011F2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6011F2" w:rsidRDefault="00FF2C0B" w:rsidP="00FF2C0B">
            <w:pPr>
              <w:rPr>
                <w:sz w:val="18"/>
                <w:lang w:val="en-US"/>
              </w:rPr>
            </w:pPr>
            <w:r w:rsidRPr="006011F2">
              <w:rPr>
                <w:sz w:val="20"/>
                <w:lang w:val="en-US"/>
              </w:rPr>
              <w:t>www.stat.gov.pl</w:t>
            </w:r>
            <w:r w:rsidR="00BE293C" w:rsidRPr="006011F2">
              <w:rPr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6011F2" w:rsidRDefault="009C4E61" w:rsidP="00FF2C0B">
            <w:pPr>
              <w:rPr>
                <w:sz w:val="18"/>
                <w:lang w:val="en-US"/>
              </w:rPr>
            </w:pPr>
            <w:r w:rsidRPr="006011F2">
              <w:rPr>
                <w:sz w:val="20"/>
                <w:lang w:val="en-US"/>
              </w:rPr>
              <w:t>@</w:t>
            </w:r>
            <w:proofErr w:type="spellStart"/>
            <w:r w:rsidRPr="006011F2">
              <w:rPr>
                <w:sz w:val="20"/>
                <w:lang w:val="en-US"/>
              </w:rPr>
              <w:t>StatPoland</w:t>
            </w:r>
            <w:proofErr w:type="spellEnd"/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6011F2" w:rsidRDefault="00FF2C0B" w:rsidP="00FF2C0B">
            <w:pPr>
              <w:rPr>
                <w:sz w:val="20"/>
                <w:lang w:val="en-US"/>
              </w:rPr>
            </w:pPr>
            <w:r w:rsidRPr="006011F2">
              <w:rPr>
                <w:sz w:val="20"/>
                <w:lang w:val="en-US"/>
              </w:rPr>
              <w:t>@</w:t>
            </w:r>
            <w:proofErr w:type="spellStart"/>
            <w:r w:rsidRPr="006011F2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A11489" w:rsidRPr="008C57A4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"https://stat.gov.pl/en/topics/prices-trade/trade/internal-market-in-2018,7,17.html"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55568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8</w:t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r.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A11489">
                        <w:rPr>
                          <w:color w:val="0000FF"/>
                          <w:sz w:val="18"/>
                          <w:highlight w:val="yellow"/>
                        </w:rPr>
                        <w:instrText>HYPERLINK "https://stat.gov.pl/en/topics/prices-trade/trade/internal-market-in-2018,7,17.html"</w:instrText>
                      </w:r>
                      <w:r w:rsidR="00A11489" w:rsidRPr="00BC695C">
                        <w:rPr>
                          <w:color w:val="0000FF"/>
                          <w:sz w:val="18"/>
                          <w:highlight w:val="yellow"/>
                        </w:rPr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market in 201</w:t>
                      </w:r>
                      <w:r w:rsidR="0055568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8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r.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</w:t>
                      </w:r>
                      <w:bookmarkStart w:id="2" w:name="_GoBack"/>
                      <w:bookmarkEnd w:id="2"/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D36" w:rsidRDefault="00BA5D36" w:rsidP="000662E2">
      <w:pPr>
        <w:spacing w:after="0" w:line="240" w:lineRule="auto"/>
      </w:pPr>
      <w:r>
        <w:separator/>
      </w:r>
    </w:p>
  </w:endnote>
  <w:endnote w:type="continuationSeparator" w:id="0">
    <w:p w:rsidR="00BA5D36" w:rsidRDefault="00BA5D3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011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011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D36" w:rsidRDefault="00BA5D36" w:rsidP="000662E2">
      <w:pPr>
        <w:spacing w:after="0" w:line="240" w:lineRule="auto"/>
      </w:pPr>
      <w:r>
        <w:separator/>
      </w:r>
    </w:p>
  </w:footnote>
  <w:footnote w:type="continuationSeparator" w:id="0">
    <w:p w:rsidR="00BA5D36" w:rsidRDefault="00BA5D36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CB3B4E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8C612B" w:rsidRPr="008C612B" w:rsidRDefault="008C612B">
      <w:pPr>
        <w:pStyle w:val="Tekstprzypisudolneg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8C612B">
        <w:rPr>
          <w:lang w:val="en-US"/>
        </w:rPr>
        <w:t xml:space="preserve"> </w:t>
      </w:r>
      <w:r w:rsidRPr="008C612B">
        <w:rPr>
          <w:sz w:val="16"/>
          <w:szCs w:val="16"/>
          <w:lang w:val="en-US"/>
        </w:rPr>
        <w:t>Preliminary data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1786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C612B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8C612B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1786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C612B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8C612B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47" type="#_x0000_t75" style="width:123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3776"/>
    <w:rsid w:val="00033C72"/>
    <w:rsid w:val="00034108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3993"/>
    <w:rsid w:val="0005785E"/>
    <w:rsid w:val="00057CA1"/>
    <w:rsid w:val="00057EC2"/>
    <w:rsid w:val="0006019C"/>
    <w:rsid w:val="00061FE0"/>
    <w:rsid w:val="000633F9"/>
    <w:rsid w:val="0006357B"/>
    <w:rsid w:val="000662E2"/>
    <w:rsid w:val="00066883"/>
    <w:rsid w:val="00067082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82349"/>
    <w:rsid w:val="000857F2"/>
    <w:rsid w:val="000871E1"/>
    <w:rsid w:val="00090396"/>
    <w:rsid w:val="00093F25"/>
    <w:rsid w:val="00094047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6DA7"/>
    <w:rsid w:val="000B73BD"/>
    <w:rsid w:val="000B7472"/>
    <w:rsid w:val="000B7ED9"/>
    <w:rsid w:val="000C0D4D"/>
    <w:rsid w:val="000C135D"/>
    <w:rsid w:val="000C3D76"/>
    <w:rsid w:val="000C46F0"/>
    <w:rsid w:val="000D15A6"/>
    <w:rsid w:val="000D1D43"/>
    <w:rsid w:val="000D225C"/>
    <w:rsid w:val="000D2A5C"/>
    <w:rsid w:val="000D2DA9"/>
    <w:rsid w:val="000D2DD3"/>
    <w:rsid w:val="000D41A5"/>
    <w:rsid w:val="000D5EE9"/>
    <w:rsid w:val="000D724E"/>
    <w:rsid w:val="000D72E3"/>
    <w:rsid w:val="000D7370"/>
    <w:rsid w:val="000D7994"/>
    <w:rsid w:val="000E0918"/>
    <w:rsid w:val="000E0FFA"/>
    <w:rsid w:val="000E2DD1"/>
    <w:rsid w:val="000E30AD"/>
    <w:rsid w:val="000E65E0"/>
    <w:rsid w:val="000E7B9D"/>
    <w:rsid w:val="000F2FDE"/>
    <w:rsid w:val="000F303C"/>
    <w:rsid w:val="000F4044"/>
    <w:rsid w:val="000F4AAC"/>
    <w:rsid w:val="000F511A"/>
    <w:rsid w:val="001011C3"/>
    <w:rsid w:val="001017E9"/>
    <w:rsid w:val="001035E8"/>
    <w:rsid w:val="00103810"/>
    <w:rsid w:val="001052D2"/>
    <w:rsid w:val="001057A5"/>
    <w:rsid w:val="00105B75"/>
    <w:rsid w:val="0010694A"/>
    <w:rsid w:val="00110D87"/>
    <w:rsid w:val="001119E5"/>
    <w:rsid w:val="001139F5"/>
    <w:rsid w:val="00114DB9"/>
    <w:rsid w:val="00114FBC"/>
    <w:rsid w:val="00116087"/>
    <w:rsid w:val="001176A8"/>
    <w:rsid w:val="00120842"/>
    <w:rsid w:val="0012114B"/>
    <w:rsid w:val="00123990"/>
    <w:rsid w:val="00124574"/>
    <w:rsid w:val="0012679F"/>
    <w:rsid w:val="001267F4"/>
    <w:rsid w:val="00130296"/>
    <w:rsid w:val="001304EC"/>
    <w:rsid w:val="0013057C"/>
    <w:rsid w:val="00130AB2"/>
    <w:rsid w:val="0013237E"/>
    <w:rsid w:val="001329A9"/>
    <w:rsid w:val="00134242"/>
    <w:rsid w:val="00135671"/>
    <w:rsid w:val="00135D92"/>
    <w:rsid w:val="00137A33"/>
    <w:rsid w:val="001409E1"/>
    <w:rsid w:val="001423B6"/>
    <w:rsid w:val="00143C79"/>
    <w:rsid w:val="00144241"/>
    <w:rsid w:val="001448A7"/>
    <w:rsid w:val="0014543F"/>
    <w:rsid w:val="00146621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514E"/>
    <w:rsid w:val="00165563"/>
    <w:rsid w:val="0016751F"/>
    <w:rsid w:val="001677B4"/>
    <w:rsid w:val="00171561"/>
    <w:rsid w:val="001720A2"/>
    <w:rsid w:val="00174612"/>
    <w:rsid w:val="00176FC0"/>
    <w:rsid w:val="001774A2"/>
    <w:rsid w:val="00180490"/>
    <w:rsid w:val="0018378F"/>
    <w:rsid w:val="001844A6"/>
    <w:rsid w:val="0018456B"/>
    <w:rsid w:val="001851A5"/>
    <w:rsid w:val="00186719"/>
    <w:rsid w:val="001905F6"/>
    <w:rsid w:val="00191E3E"/>
    <w:rsid w:val="001951DA"/>
    <w:rsid w:val="00195E9E"/>
    <w:rsid w:val="0019640E"/>
    <w:rsid w:val="00196B8C"/>
    <w:rsid w:val="001A0434"/>
    <w:rsid w:val="001A1119"/>
    <w:rsid w:val="001A2810"/>
    <w:rsid w:val="001A40AB"/>
    <w:rsid w:val="001A41A6"/>
    <w:rsid w:val="001A49FD"/>
    <w:rsid w:val="001A627E"/>
    <w:rsid w:val="001A75DF"/>
    <w:rsid w:val="001B3F52"/>
    <w:rsid w:val="001B48AF"/>
    <w:rsid w:val="001B521F"/>
    <w:rsid w:val="001B532C"/>
    <w:rsid w:val="001B6621"/>
    <w:rsid w:val="001B69A2"/>
    <w:rsid w:val="001C1294"/>
    <w:rsid w:val="001C190A"/>
    <w:rsid w:val="001C2698"/>
    <w:rsid w:val="001C3269"/>
    <w:rsid w:val="001C3D4C"/>
    <w:rsid w:val="001C5C67"/>
    <w:rsid w:val="001C5DE2"/>
    <w:rsid w:val="001C6028"/>
    <w:rsid w:val="001C6976"/>
    <w:rsid w:val="001C70AF"/>
    <w:rsid w:val="001C7489"/>
    <w:rsid w:val="001D1DB4"/>
    <w:rsid w:val="001D4C1B"/>
    <w:rsid w:val="001D6715"/>
    <w:rsid w:val="001E1400"/>
    <w:rsid w:val="001E236B"/>
    <w:rsid w:val="001E5351"/>
    <w:rsid w:val="001E6C4F"/>
    <w:rsid w:val="001F1289"/>
    <w:rsid w:val="001F2800"/>
    <w:rsid w:val="001F340B"/>
    <w:rsid w:val="001F48BB"/>
    <w:rsid w:val="001F5512"/>
    <w:rsid w:val="001F67FE"/>
    <w:rsid w:val="001F7F8B"/>
    <w:rsid w:val="002023E9"/>
    <w:rsid w:val="00203B23"/>
    <w:rsid w:val="00203BEC"/>
    <w:rsid w:val="00207A39"/>
    <w:rsid w:val="00211A7E"/>
    <w:rsid w:val="00211C83"/>
    <w:rsid w:val="00214C41"/>
    <w:rsid w:val="00216030"/>
    <w:rsid w:val="00220C68"/>
    <w:rsid w:val="002220B7"/>
    <w:rsid w:val="0022314B"/>
    <w:rsid w:val="00223EBE"/>
    <w:rsid w:val="00226FE1"/>
    <w:rsid w:val="00230CBA"/>
    <w:rsid w:val="002314F1"/>
    <w:rsid w:val="0023186D"/>
    <w:rsid w:val="0023240E"/>
    <w:rsid w:val="002337B9"/>
    <w:rsid w:val="00234335"/>
    <w:rsid w:val="002347FD"/>
    <w:rsid w:val="00234F14"/>
    <w:rsid w:val="00235EE9"/>
    <w:rsid w:val="00236B7C"/>
    <w:rsid w:val="00237670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2B47"/>
    <w:rsid w:val="0025463B"/>
    <w:rsid w:val="00254D3C"/>
    <w:rsid w:val="00256D58"/>
    <w:rsid w:val="00256FB9"/>
    <w:rsid w:val="002574F9"/>
    <w:rsid w:val="00257509"/>
    <w:rsid w:val="00257C56"/>
    <w:rsid w:val="00260774"/>
    <w:rsid w:val="002617F8"/>
    <w:rsid w:val="0026216E"/>
    <w:rsid w:val="00263D7E"/>
    <w:rsid w:val="0026573E"/>
    <w:rsid w:val="00267029"/>
    <w:rsid w:val="00270DDC"/>
    <w:rsid w:val="00272D53"/>
    <w:rsid w:val="00273988"/>
    <w:rsid w:val="00274C17"/>
    <w:rsid w:val="002763FC"/>
    <w:rsid w:val="00276811"/>
    <w:rsid w:val="00282699"/>
    <w:rsid w:val="00282E90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2C0"/>
    <w:rsid w:val="002A486F"/>
    <w:rsid w:val="002A6115"/>
    <w:rsid w:val="002A6CE2"/>
    <w:rsid w:val="002A7922"/>
    <w:rsid w:val="002A7CB1"/>
    <w:rsid w:val="002B0472"/>
    <w:rsid w:val="002B1E50"/>
    <w:rsid w:val="002B2088"/>
    <w:rsid w:val="002B4664"/>
    <w:rsid w:val="002B5519"/>
    <w:rsid w:val="002B6B12"/>
    <w:rsid w:val="002C11BE"/>
    <w:rsid w:val="002D03EB"/>
    <w:rsid w:val="002D15C6"/>
    <w:rsid w:val="002D1AD2"/>
    <w:rsid w:val="002D20E5"/>
    <w:rsid w:val="002D294F"/>
    <w:rsid w:val="002D3A7B"/>
    <w:rsid w:val="002D675F"/>
    <w:rsid w:val="002D7180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A4"/>
    <w:rsid w:val="00302C83"/>
    <w:rsid w:val="00302E37"/>
    <w:rsid w:val="0030382E"/>
    <w:rsid w:val="00303C59"/>
    <w:rsid w:val="00304F22"/>
    <w:rsid w:val="00305290"/>
    <w:rsid w:val="00306C7C"/>
    <w:rsid w:val="00306D2A"/>
    <w:rsid w:val="003100C8"/>
    <w:rsid w:val="003112E7"/>
    <w:rsid w:val="0031225B"/>
    <w:rsid w:val="00312ADB"/>
    <w:rsid w:val="003131FC"/>
    <w:rsid w:val="003140EB"/>
    <w:rsid w:val="00314D4D"/>
    <w:rsid w:val="0031592A"/>
    <w:rsid w:val="003203F6"/>
    <w:rsid w:val="00320FEE"/>
    <w:rsid w:val="00322EDD"/>
    <w:rsid w:val="0032343F"/>
    <w:rsid w:val="00326E35"/>
    <w:rsid w:val="0033011E"/>
    <w:rsid w:val="0033026E"/>
    <w:rsid w:val="00332320"/>
    <w:rsid w:val="00333012"/>
    <w:rsid w:val="00336650"/>
    <w:rsid w:val="00336951"/>
    <w:rsid w:val="003426AB"/>
    <w:rsid w:val="0034323F"/>
    <w:rsid w:val="0034354B"/>
    <w:rsid w:val="003448B9"/>
    <w:rsid w:val="00346B95"/>
    <w:rsid w:val="00347D72"/>
    <w:rsid w:val="00350F8C"/>
    <w:rsid w:val="003530DA"/>
    <w:rsid w:val="00354B47"/>
    <w:rsid w:val="00354DE7"/>
    <w:rsid w:val="00354FEE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CF9"/>
    <w:rsid w:val="00367237"/>
    <w:rsid w:val="0037077F"/>
    <w:rsid w:val="00371E29"/>
    <w:rsid w:val="003727B2"/>
    <w:rsid w:val="00372956"/>
    <w:rsid w:val="00372EDD"/>
    <w:rsid w:val="00373882"/>
    <w:rsid w:val="00373ED5"/>
    <w:rsid w:val="00374D5D"/>
    <w:rsid w:val="00375B9E"/>
    <w:rsid w:val="00376163"/>
    <w:rsid w:val="00382DAE"/>
    <w:rsid w:val="00383530"/>
    <w:rsid w:val="003843DB"/>
    <w:rsid w:val="00384413"/>
    <w:rsid w:val="00387793"/>
    <w:rsid w:val="003910EE"/>
    <w:rsid w:val="0039111A"/>
    <w:rsid w:val="00393761"/>
    <w:rsid w:val="003939CD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7D5"/>
    <w:rsid w:val="003C038A"/>
    <w:rsid w:val="003C2CAA"/>
    <w:rsid w:val="003C3CE9"/>
    <w:rsid w:val="003C4268"/>
    <w:rsid w:val="003C59E0"/>
    <w:rsid w:val="003C64DF"/>
    <w:rsid w:val="003C6C8D"/>
    <w:rsid w:val="003C723B"/>
    <w:rsid w:val="003D0C16"/>
    <w:rsid w:val="003D0E78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2006"/>
    <w:rsid w:val="003E2D36"/>
    <w:rsid w:val="003E43B9"/>
    <w:rsid w:val="003E6106"/>
    <w:rsid w:val="003E697C"/>
    <w:rsid w:val="003E7F1A"/>
    <w:rsid w:val="003F025A"/>
    <w:rsid w:val="003F0895"/>
    <w:rsid w:val="003F1175"/>
    <w:rsid w:val="003F1527"/>
    <w:rsid w:val="003F30F6"/>
    <w:rsid w:val="003F4942"/>
    <w:rsid w:val="003F4C97"/>
    <w:rsid w:val="003F6B2D"/>
    <w:rsid w:val="003F7B34"/>
    <w:rsid w:val="003F7FE6"/>
    <w:rsid w:val="00400193"/>
    <w:rsid w:val="00401667"/>
    <w:rsid w:val="00402D9F"/>
    <w:rsid w:val="00404B8B"/>
    <w:rsid w:val="004078E9"/>
    <w:rsid w:val="00407D2F"/>
    <w:rsid w:val="004118B4"/>
    <w:rsid w:val="00411C78"/>
    <w:rsid w:val="004125DE"/>
    <w:rsid w:val="00412CCC"/>
    <w:rsid w:val="004130FB"/>
    <w:rsid w:val="0041338A"/>
    <w:rsid w:val="004136AB"/>
    <w:rsid w:val="00413905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446D"/>
    <w:rsid w:val="00425E73"/>
    <w:rsid w:val="00426464"/>
    <w:rsid w:val="00427BF8"/>
    <w:rsid w:val="00431113"/>
    <w:rsid w:val="00431C02"/>
    <w:rsid w:val="00437395"/>
    <w:rsid w:val="004403C3"/>
    <w:rsid w:val="00441551"/>
    <w:rsid w:val="00442D2F"/>
    <w:rsid w:val="00445047"/>
    <w:rsid w:val="00447035"/>
    <w:rsid w:val="00451D2B"/>
    <w:rsid w:val="0045357F"/>
    <w:rsid w:val="00453AF6"/>
    <w:rsid w:val="00454107"/>
    <w:rsid w:val="004565DC"/>
    <w:rsid w:val="00460334"/>
    <w:rsid w:val="00461BD2"/>
    <w:rsid w:val="00463E39"/>
    <w:rsid w:val="004648F3"/>
    <w:rsid w:val="004657FC"/>
    <w:rsid w:val="00467693"/>
    <w:rsid w:val="004733F6"/>
    <w:rsid w:val="00473A17"/>
    <w:rsid w:val="00474E69"/>
    <w:rsid w:val="00476467"/>
    <w:rsid w:val="00477731"/>
    <w:rsid w:val="00481107"/>
    <w:rsid w:val="00482240"/>
    <w:rsid w:val="0048324D"/>
    <w:rsid w:val="00483FCF"/>
    <w:rsid w:val="00485CB8"/>
    <w:rsid w:val="0048696A"/>
    <w:rsid w:val="00487227"/>
    <w:rsid w:val="00487462"/>
    <w:rsid w:val="00490822"/>
    <w:rsid w:val="00491AED"/>
    <w:rsid w:val="0049360F"/>
    <w:rsid w:val="00494F1B"/>
    <w:rsid w:val="004954A5"/>
    <w:rsid w:val="00495553"/>
    <w:rsid w:val="0049621B"/>
    <w:rsid w:val="004A0185"/>
    <w:rsid w:val="004A08CE"/>
    <w:rsid w:val="004B015C"/>
    <w:rsid w:val="004B06B1"/>
    <w:rsid w:val="004B0B9B"/>
    <w:rsid w:val="004B22B0"/>
    <w:rsid w:val="004B3267"/>
    <w:rsid w:val="004B339C"/>
    <w:rsid w:val="004B784E"/>
    <w:rsid w:val="004B7E11"/>
    <w:rsid w:val="004C1895"/>
    <w:rsid w:val="004C1AB5"/>
    <w:rsid w:val="004C43FA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7764"/>
    <w:rsid w:val="004D7A79"/>
    <w:rsid w:val="004E18EB"/>
    <w:rsid w:val="004E2013"/>
    <w:rsid w:val="004E3939"/>
    <w:rsid w:val="004E7C46"/>
    <w:rsid w:val="004F07EA"/>
    <w:rsid w:val="004F0B03"/>
    <w:rsid w:val="004F0C3C"/>
    <w:rsid w:val="004F1D81"/>
    <w:rsid w:val="004F2C3B"/>
    <w:rsid w:val="004F50E3"/>
    <w:rsid w:val="004F62F7"/>
    <w:rsid w:val="004F63FC"/>
    <w:rsid w:val="004F6F05"/>
    <w:rsid w:val="00500AB3"/>
    <w:rsid w:val="00500B1E"/>
    <w:rsid w:val="00501958"/>
    <w:rsid w:val="00502500"/>
    <w:rsid w:val="005037B0"/>
    <w:rsid w:val="00504AEE"/>
    <w:rsid w:val="00505A92"/>
    <w:rsid w:val="0050683B"/>
    <w:rsid w:val="00510AB6"/>
    <w:rsid w:val="005117C2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751"/>
    <w:rsid w:val="0052593D"/>
    <w:rsid w:val="00527DC0"/>
    <w:rsid w:val="00531C2B"/>
    <w:rsid w:val="00532FEB"/>
    <w:rsid w:val="00533632"/>
    <w:rsid w:val="005348D4"/>
    <w:rsid w:val="005355D3"/>
    <w:rsid w:val="00537E68"/>
    <w:rsid w:val="00541B11"/>
    <w:rsid w:val="0054251F"/>
    <w:rsid w:val="00542783"/>
    <w:rsid w:val="00543644"/>
    <w:rsid w:val="00543CA9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5368"/>
    <w:rsid w:val="0055568D"/>
    <w:rsid w:val="0055613F"/>
    <w:rsid w:val="00556CF1"/>
    <w:rsid w:val="00561B17"/>
    <w:rsid w:val="005646A7"/>
    <w:rsid w:val="005657B8"/>
    <w:rsid w:val="0056586A"/>
    <w:rsid w:val="005662A2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303B"/>
    <w:rsid w:val="00583B4A"/>
    <w:rsid w:val="00583BAB"/>
    <w:rsid w:val="00585EF2"/>
    <w:rsid w:val="0058668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BAD"/>
    <w:rsid w:val="00594FB6"/>
    <w:rsid w:val="00596CBA"/>
    <w:rsid w:val="005A1306"/>
    <w:rsid w:val="005A1593"/>
    <w:rsid w:val="005A1B40"/>
    <w:rsid w:val="005A1B7C"/>
    <w:rsid w:val="005A1C45"/>
    <w:rsid w:val="005A289C"/>
    <w:rsid w:val="005A64AF"/>
    <w:rsid w:val="005A698C"/>
    <w:rsid w:val="005A7F24"/>
    <w:rsid w:val="005B07C6"/>
    <w:rsid w:val="005B0AE8"/>
    <w:rsid w:val="005B1744"/>
    <w:rsid w:val="005B23AA"/>
    <w:rsid w:val="005B3C18"/>
    <w:rsid w:val="005B3CB4"/>
    <w:rsid w:val="005B6AAA"/>
    <w:rsid w:val="005B7E62"/>
    <w:rsid w:val="005C08E7"/>
    <w:rsid w:val="005C123C"/>
    <w:rsid w:val="005C16C6"/>
    <w:rsid w:val="005C267A"/>
    <w:rsid w:val="005C57A3"/>
    <w:rsid w:val="005C5F08"/>
    <w:rsid w:val="005C6163"/>
    <w:rsid w:val="005C65AA"/>
    <w:rsid w:val="005D0C5C"/>
    <w:rsid w:val="005D373C"/>
    <w:rsid w:val="005D38AE"/>
    <w:rsid w:val="005D3C4B"/>
    <w:rsid w:val="005D4D1F"/>
    <w:rsid w:val="005D5852"/>
    <w:rsid w:val="005D661C"/>
    <w:rsid w:val="005E0448"/>
    <w:rsid w:val="005E0799"/>
    <w:rsid w:val="005E1BEA"/>
    <w:rsid w:val="005E1E61"/>
    <w:rsid w:val="005E47E1"/>
    <w:rsid w:val="005E5BF4"/>
    <w:rsid w:val="005E6F6D"/>
    <w:rsid w:val="005F271E"/>
    <w:rsid w:val="005F290E"/>
    <w:rsid w:val="005F453F"/>
    <w:rsid w:val="005F5A80"/>
    <w:rsid w:val="005F7959"/>
    <w:rsid w:val="00601025"/>
    <w:rsid w:val="006011F2"/>
    <w:rsid w:val="00601F89"/>
    <w:rsid w:val="006044FF"/>
    <w:rsid w:val="0060458D"/>
    <w:rsid w:val="006060DA"/>
    <w:rsid w:val="00607CC5"/>
    <w:rsid w:val="0061003A"/>
    <w:rsid w:val="00610968"/>
    <w:rsid w:val="00612EB8"/>
    <w:rsid w:val="00615762"/>
    <w:rsid w:val="00615B0C"/>
    <w:rsid w:val="00616B93"/>
    <w:rsid w:val="00620F8B"/>
    <w:rsid w:val="00621AA8"/>
    <w:rsid w:val="00622B03"/>
    <w:rsid w:val="00625251"/>
    <w:rsid w:val="00625C03"/>
    <w:rsid w:val="0063072E"/>
    <w:rsid w:val="006307E7"/>
    <w:rsid w:val="006309AC"/>
    <w:rsid w:val="00633014"/>
    <w:rsid w:val="0063317D"/>
    <w:rsid w:val="00633240"/>
    <w:rsid w:val="00633ED3"/>
    <w:rsid w:val="0063437B"/>
    <w:rsid w:val="0063586B"/>
    <w:rsid w:val="0063668E"/>
    <w:rsid w:val="00640117"/>
    <w:rsid w:val="00641B30"/>
    <w:rsid w:val="00642F04"/>
    <w:rsid w:val="0064353E"/>
    <w:rsid w:val="00643D5E"/>
    <w:rsid w:val="00645152"/>
    <w:rsid w:val="00645483"/>
    <w:rsid w:val="006454C1"/>
    <w:rsid w:val="00647B92"/>
    <w:rsid w:val="00647CCE"/>
    <w:rsid w:val="006534EB"/>
    <w:rsid w:val="006554F9"/>
    <w:rsid w:val="00656373"/>
    <w:rsid w:val="00660CCA"/>
    <w:rsid w:val="0066247D"/>
    <w:rsid w:val="0066300F"/>
    <w:rsid w:val="00665416"/>
    <w:rsid w:val="006673CA"/>
    <w:rsid w:val="00667C48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635"/>
    <w:rsid w:val="006923FB"/>
    <w:rsid w:val="006933E5"/>
    <w:rsid w:val="00693617"/>
    <w:rsid w:val="00694AF0"/>
    <w:rsid w:val="00695639"/>
    <w:rsid w:val="00697828"/>
    <w:rsid w:val="00697B34"/>
    <w:rsid w:val="006A2E6E"/>
    <w:rsid w:val="006A3DA0"/>
    <w:rsid w:val="006A42BE"/>
    <w:rsid w:val="006A45D9"/>
    <w:rsid w:val="006A5E06"/>
    <w:rsid w:val="006B07B7"/>
    <w:rsid w:val="006B0E9E"/>
    <w:rsid w:val="006B3156"/>
    <w:rsid w:val="006B42B4"/>
    <w:rsid w:val="006B5AE4"/>
    <w:rsid w:val="006B61EB"/>
    <w:rsid w:val="006B6B35"/>
    <w:rsid w:val="006B6B87"/>
    <w:rsid w:val="006B723D"/>
    <w:rsid w:val="006C0C68"/>
    <w:rsid w:val="006C1CA4"/>
    <w:rsid w:val="006C2BD1"/>
    <w:rsid w:val="006C52E6"/>
    <w:rsid w:val="006C623C"/>
    <w:rsid w:val="006C6913"/>
    <w:rsid w:val="006D3EEA"/>
    <w:rsid w:val="006D4054"/>
    <w:rsid w:val="006D4F6E"/>
    <w:rsid w:val="006D50ED"/>
    <w:rsid w:val="006D546B"/>
    <w:rsid w:val="006D76DD"/>
    <w:rsid w:val="006E02EC"/>
    <w:rsid w:val="006E04D4"/>
    <w:rsid w:val="006E278A"/>
    <w:rsid w:val="006E309F"/>
    <w:rsid w:val="006E467E"/>
    <w:rsid w:val="006E6AA7"/>
    <w:rsid w:val="006F19BF"/>
    <w:rsid w:val="006F24EA"/>
    <w:rsid w:val="006F2ACE"/>
    <w:rsid w:val="006F4664"/>
    <w:rsid w:val="007014FE"/>
    <w:rsid w:val="00702C77"/>
    <w:rsid w:val="00705847"/>
    <w:rsid w:val="00705927"/>
    <w:rsid w:val="007076D2"/>
    <w:rsid w:val="00707C79"/>
    <w:rsid w:val="00711D2E"/>
    <w:rsid w:val="00715CB8"/>
    <w:rsid w:val="00720176"/>
    <w:rsid w:val="007211B1"/>
    <w:rsid w:val="00721863"/>
    <w:rsid w:val="00721B78"/>
    <w:rsid w:val="00722976"/>
    <w:rsid w:val="00724031"/>
    <w:rsid w:val="00725494"/>
    <w:rsid w:val="00730A13"/>
    <w:rsid w:val="00731F20"/>
    <w:rsid w:val="00732240"/>
    <w:rsid w:val="00732EA2"/>
    <w:rsid w:val="0074044A"/>
    <w:rsid w:val="00741508"/>
    <w:rsid w:val="007427DD"/>
    <w:rsid w:val="00745043"/>
    <w:rsid w:val="00745877"/>
    <w:rsid w:val="00745C66"/>
    <w:rsid w:val="00746187"/>
    <w:rsid w:val="00746CF4"/>
    <w:rsid w:val="00753F1D"/>
    <w:rsid w:val="00754B1C"/>
    <w:rsid w:val="00754D5F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B099F"/>
    <w:rsid w:val="007B0EB1"/>
    <w:rsid w:val="007B1231"/>
    <w:rsid w:val="007B249E"/>
    <w:rsid w:val="007B2FB4"/>
    <w:rsid w:val="007B41C0"/>
    <w:rsid w:val="007B68C0"/>
    <w:rsid w:val="007C15C9"/>
    <w:rsid w:val="007C51B2"/>
    <w:rsid w:val="007C59C8"/>
    <w:rsid w:val="007C5BA5"/>
    <w:rsid w:val="007C6842"/>
    <w:rsid w:val="007C7266"/>
    <w:rsid w:val="007C7794"/>
    <w:rsid w:val="007D3319"/>
    <w:rsid w:val="007D335D"/>
    <w:rsid w:val="007D3DF9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F54"/>
    <w:rsid w:val="007E7787"/>
    <w:rsid w:val="007F0AEA"/>
    <w:rsid w:val="007F29B4"/>
    <w:rsid w:val="007F324B"/>
    <w:rsid w:val="007F42A2"/>
    <w:rsid w:val="007F6C0F"/>
    <w:rsid w:val="007F75D5"/>
    <w:rsid w:val="00803A45"/>
    <w:rsid w:val="00804C09"/>
    <w:rsid w:val="0080553C"/>
    <w:rsid w:val="00805B46"/>
    <w:rsid w:val="00806105"/>
    <w:rsid w:val="008067AB"/>
    <w:rsid w:val="00807304"/>
    <w:rsid w:val="00807778"/>
    <w:rsid w:val="00810B88"/>
    <w:rsid w:val="00812938"/>
    <w:rsid w:val="00812F42"/>
    <w:rsid w:val="00813116"/>
    <w:rsid w:val="00814BE7"/>
    <w:rsid w:val="00815153"/>
    <w:rsid w:val="0081569C"/>
    <w:rsid w:val="00815F4E"/>
    <w:rsid w:val="00817424"/>
    <w:rsid w:val="00817AC7"/>
    <w:rsid w:val="00820164"/>
    <w:rsid w:val="00820BD5"/>
    <w:rsid w:val="00822C1F"/>
    <w:rsid w:val="00824156"/>
    <w:rsid w:val="0082503A"/>
    <w:rsid w:val="0082547B"/>
    <w:rsid w:val="00825DC2"/>
    <w:rsid w:val="008271F3"/>
    <w:rsid w:val="0082768C"/>
    <w:rsid w:val="00830CFF"/>
    <w:rsid w:val="008319E7"/>
    <w:rsid w:val="00834AD3"/>
    <w:rsid w:val="00836456"/>
    <w:rsid w:val="0083678A"/>
    <w:rsid w:val="008378A2"/>
    <w:rsid w:val="008419A3"/>
    <w:rsid w:val="008428D9"/>
    <w:rsid w:val="00842A59"/>
    <w:rsid w:val="00842B88"/>
    <w:rsid w:val="00842BE0"/>
    <w:rsid w:val="008434C0"/>
    <w:rsid w:val="00843795"/>
    <w:rsid w:val="00846527"/>
    <w:rsid w:val="00847F0F"/>
    <w:rsid w:val="00847FBC"/>
    <w:rsid w:val="00850631"/>
    <w:rsid w:val="00850BC2"/>
    <w:rsid w:val="00851C48"/>
    <w:rsid w:val="00852448"/>
    <w:rsid w:val="00853114"/>
    <w:rsid w:val="00853ED4"/>
    <w:rsid w:val="00855B55"/>
    <w:rsid w:val="00856509"/>
    <w:rsid w:val="00861BC5"/>
    <w:rsid w:val="00861D1D"/>
    <w:rsid w:val="00863037"/>
    <w:rsid w:val="00863062"/>
    <w:rsid w:val="0086323C"/>
    <w:rsid w:val="00864E18"/>
    <w:rsid w:val="00865207"/>
    <w:rsid w:val="0087330E"/>
    <w:rsid w:val="00873A3A"/>
    <w:rsid w:val="00874E8F"/>
    <w:rsid w:val="008762CD"/>
    <w:rsid w:val="00876DCE"/>
    <w:rsid w:val="00877CB7"/>
    <w:rsid w:val="0088002E"/>
    <w:rsid w:val="0088258A"/>
    <w:rsid w:val="00884C17"/>
    <w:rsid w:val="00885382"/>
    <w:rsid w:val="00886332"/>
    <w:rsid w:val="00886419"/>
    <w:rsid w:val="008872DA"/>
    <w:rsid w:val="00890A96"/>
    <w:rsid w:val="008911AC"/>
    <w:rsid w:val="00894780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26C2"/>
    <w:rsid w:val="008B5B26"/>
    <w:rsid w:val="008B6D65"/>
    <w:rsid w:val="008B79E9"/>
    <w:rsid w:val="008C0C29"/>
    <w:rsid w:val="008C26F5"/>
    <w:rsid w:val="008C314A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67A0"/>
    <w:rsid w:val="008E7833"/>
    <w:rsid w:val="008F2322"/>
    <w:rsid w:val="008F2D47"/>
    <w:rsid w:val="008F35CA"/>
    <w:rsid w:val="008F3638"/>
    <w:rsid w:val="008F3A69"/>
    <w:rsid w:val="008F3D14"/>
    <w:rsid w:val="008F5EFE"/>
    <w:rsid w:val="008F6816"/>
    <w:rsid w:val="008F6C12"/>
    <w:rsid w:val="008F6F31"/>
    <w:rsid w:val="008F74DF"/>
    <w:rsid w:val="009005CA"/>
    <w:rsid w:val="00902074"/>
    <w:rsid w:val="00902BF9"/>
    <w:rsid w:val="00902E2A"/>
    <w:rsid w:val="00903F55"/>
    <w:rsid w:val="00905508"/>
    <w:rsid w:val="0090676D"/>
    <w:rsid w:val="00906A45"/>
    <w:rsid w:val="00906EC0"/>
    <w:rsid w:val="00907349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3EC1"/>
    <w:rsid w:val="00935ABA"/>
    <w:rsid w:val="00942379"/>
    <w:rsid w:val="00942C04"/>
    <w:rsid w:val="00944824"/>
    <w:rsid w:val="009448E3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5BD"/>
    <w:rsid w:val="0096306A"/>
    <w:rsid w:val="00966BD4"/>
    <w:rsid w:val="00966D22"/>
    <w:rsid w:val="00967EA7"/>
    <w:rsid w:val="009705EE"/>
    <w:rsid w:val="00970ADF"/>
    <w:rsid w:val="00971A76"/>
    <w:rsid w:val="00974694"/>
    <w:rsid w:val="00974EBD"/>
    <w:rsid w:val="00975286"/>
    <w:rsid w:val="009759D1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70C3"/>
    <w:rsid w:val="009902B2"/>
    <w:rsid w:val="009910D3"/>
    <w:rsid w:val="00991BAC"/>
    <w:rsid w:val="00994688"/>
    <w:rsid w:val="00995BE7"/>
    <w:rsid w:val="009961E3"/>
    <w:rsid w:val="009965E9"/>
    <w:rsid w:val="00997A8E"/>
    <w:rsid w:val="009A19F5"/>
    <w:rsid w:val="009A2292"/>
    <w:rsid w:val="009A24EB"/>
    <w:rsid w:val="009A55B6"/>
    <w:rsid w:val="009A6EA0"/>
    <w:rsid w:val="009A71B2"/>
    <w:rsid w:val="009B202F"/>
    <w:rsid w:val="009B247E"/>
    <w:rsid w:val="009B5393"/>
    <w:rsid w:val="009B6DEA"/>
    <w:rsid w:val="009C007C"/>
    <w:rsid w:val="009C0A9C"/>
    <w:rsid w:val="009C1335"/>
    <w:rsid w:val="009C15D8"/>
    <w:rsid w:val="009C1AB2"/>
    <w:rsid w:val="009C302C"/>
    <w:rsid w:val="009C33E7"/>
    <w:rsid w:val="009C33FC"/>
    <w:rsid w:val="009C4E61"/>
    <w:rsid w:val="009C51B2"/>
    <w:rsid w:val="009C5DA1"/>
    <w:rsid w:val="009C6ACB"/>
    <w:rsid w:val="009C7251"/>
    <w:rsid w:val="009D0AFC"/>
    <w:rsid w:val="009D4486"/>
    <w:rsid w:val="009D78C4"/>
    <w:rsid w:val="009E0945"/>
    <w:rsid w:val="009E2303"/>
    <w:rsid w:val="009E2E91"/>
    <w:rsid w:val="009E69D1"/>
    <w:rsid w:val="009E7870"/>
    <w:rsid w:val="009F3FF4"/>
    <w:rsid w:val="009F60B8"/>
    <w:rsid w:val="009F6196"/>
    <w:rsid w:val="009F75A0"/>
    <w:rsid w:val="00A000F6"/>
    <w:rsid w:val="00A00D73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2F2A"/>
    <w:rsid w:val="00A2458F"/>
    <w:rsid w:val="00A24A6A"/>
    <w:rsid w:val="00A24F88"/>
    <w:rsid w:val="00A256B0"/>
    <w:rsid w:val="00A27453"/>
    <w:rsid w:val="00A274DF"/>
    <w:rsid w:val="00A3096D"/>
    <w:rsid w:val="00A31E77"/>
    <w:rsid w:val="00A327D5"/>
    <w:rsid w:val="00A32B77"/>
    <w:rsid w:val="00A33D31"/>
    <w:rsid w:val="00A33EEB"/>
    <w:rsid w:val="00A365F4"/>
    <w:rsid w:val="00A36E5B"/>
    <w:rsid w:val="00A37871"/>
    <w:rsid w:val="00A41DE0"/>
    <w:rsid w:val="00A427F7"/>
    <w:rsid w:val="00A42BED"/>
    <w:rsid w:val="00A44B7F"/>
    <w:rsid w:val="00A472B0"/>
    <w:rsid w:val="00A47D80"/>
    <w:rsid w:val="00A506BA"/>
    <w:rsid w:val="00A51E80"/>
    <w:rsid w:val="00A528C0"/>
    <w:rsid w:val="00A53132"/>
    <w:rsid w:val="00A55519"/>
    <w:rsid w:val="00A563F2"/>
    <w:rsid w:val="00A566E8"/>
    <w:rsid w:val="00A60A1A"/>
    <w:rsid w:val="00A621D6"/>
    <w:rsid w:val="00A64090"/>
    <w:rsid w:val="00A646C8"/>
    <w:rsid w:val="00A65DA4"/>
    <w:rsid w:val="00A66FC5"/>
    <w:rsid w:val="00A70EEE"/>
    <w:rsid w:val="00A72E5A"/>
    <w:rsid w:val="00A732A9"/>
    <w:rsid w:val="00A7333E"/>
    <w:rsid w:val="00A74775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69C9"/>
    <w:rsid w:val="00A86B9F"/>
    <w:rsid w:val="00A86ECC"/>
    <w:rsid w:val="00A86FCC"/>
    <w:rsid w:val="00A90129"/>
    <w:rsid w:val="00A92B98"/>
    <w:rsid w:val="00A93FE5"/>
    <w:rsid w:val="00A94677"/>
    <w:rsid w:val="00A95F26"/>
    <w:rsid w:val="00A97F4D"/>
    <w:rsid w:val="00AA0F25"/>
    <w:rsid w:val="00AA1051"/>
    <w:rsid w:val="00AA17D6"/>
    <w:rsid w:val="00AA2D3A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5B3"/>
    <w:rsid w:val="00AC36C2"/>
    <w:rsid w:val="00AC5132"/>
    <w:rsid w:val="00AC51C1"/>
    <w:rsid w:val="00AC5552"/>
    <w:rsid w:val="00AC5E9B"/>
    <w:rsid w:val="00AC64CB"/>
    <w:rsid w:val="00AC750F"/>
    <w:rsid w:val="00AC75A7"/>
    <w:rsid w:val="00AD1021"/>
    <w:rsid w:val="00AD1D71"/>
    <w:rsid w:val="00AD2499"/>
    <w:rsid w:val="00AD2B0D"/>
    <w:rsid w:val="00AD2D8C"/>
    <w:rsid w:val="00AD662C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5BB"/>
    <w:rsid w:val="00AF04BF"/>
    <w:rsid w:val="00AF11C3"/>
    <w:rsid w:val="00AF14F1"/>
    <w:rsid w:val="00AF2E2D"/>
    <w:rsid w:val="00AF3882"/>
    <w:rsid w:val="00AF411A"/>
    <w:rsid w:val="00AF5980"/>
    <w:rsid w:val="00AF6D09"/>
    <w:rsid w:val="00B00BC3"/>
    <w:rsid w:val="00B0233E"/>
    <w:rsid w:val="00B04BBF"/>
    <w:rsid w:val="00B0574F"/>
    <w:rsid w:val="00B060B5"/>
    <w:rsid w:val="00B077B2"/>
    <w:rsid w:val="00B11333"/>
    <w:rsid w:val="00B14952"/>
    <w:rsid w:val="00B14F68"/>
    <w:rsid w:val="00B157CE"/>
    <w:rsid w:val="00B16A63"/>
    <w:rsid w:val="00B17BA0"/>
    <w:rsid w:val="00B240DC"/>
    <w:rsid w:val="00B25EE8"/>
    <w:rsid w:val="00B2761E"/>
    <w:rsid w:val="00B31CD7"/>
    <w:rsid w:val="00B31E5A"/>
    <w:rsid w:val="00B34829"/>
    <w:rsid w:val="00B42042"/>
    <w:rsid w:val="00B42274"/>
    <w:rsid w:val="00B45617"/>
    <w:rsid w:val="00B46E1C"/>
    <w:rsid w:val="00B46F95"/>
    <w:rsid w:val="00B472A0"/>
    <w:rsid w:val="00B5106E"/>
    <w:rsid w:val="00B51FA5"/>
    <w:rsid w:val="00B527F7"/>
    <w:rsid w:val="00B5309C"/>
    <w:rsid w:val="00B531BA"/>
    <w:rsid w:val="00B55A9D"/>
    <w:rsid w:val="00B55AA0"/>
    <w:rsid w:val="00B56A29"/>
    <w:rsid w:val="00B56ABD"/>
    <w:rsid w:val="00B56EAC"/>
    <w:rsid w:val="00B60212"/>
    <w:rsid w:val="00B60390"/>
    <w:rsid w:val="00B61195"/>
    <w:rsid w:val="00B62F6E"/>
    <w:rsid w:val="00B63610"/>
    <w:rsid w:val="00B6394E"/>
    <w:rsid w:val="00B63CDB"/>
    <w:rsid w:val="00B653AB"/>
    <w:rsid w:val="00B65F9E"/>
    <w:rsid w:val="00B66B19"/>
    <w:rsid w:val="00B67045"/>
    <w:rsid w:val="00B701E8"/>
    <w:rsid w:val="00B70FBB"/>
    <w:rsid w:val="00B71522"/>
    <w:rsid w:val="00B71810"/>
    <w:rsid w:val="00B73F57"/>
    <w:rsid w:val="00B811F7"/>
    <w:rsid w:val="00B8296C"/>
    <w:rsid w:val="00B82AF5"/>
    <w:rsid w:val="00B83883"/>
    <w:rsid w:val="00B86890"/>
    <w:rsid w:val="00B875F2"/>
    <w:rsid w:val="00B90AB8"/>
    <w:rsid w:val="00B914E9"/>
    <w:rsid w:val="00B9173B"/>
    <w:rsid w:val="00B9185A"/>
    <w:rsid w:val="00B94822"/>
    <w:rsid w:val="00B956EE"/>
    <w:rsid w:val="00B95A02"/>
    <w:rsid w:val="00B97CB7"/>
    <w:rsid w:val="00BA1810"/>
    <w:rsid w:val="00BA1D09"/>
    <w:rsid w:val="00BA2BA1"/>
    <w:rsid w:val="00BA3311"/>
    <w:rsid w:val="00BA38B6"/>
    <w:rsid w:val="00BA5243"/>
    <w:rsid w:val="00BA5D36"/>
    <w:rsid w:val="00BA6601"/>
    <w:rsid w:val="00BA6BEF"/>
    <w:rsid w:val="00BB3136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695C"/>
    <w:rsid w:val="00BD363F"/>
    <w:rsid w:val="00BD3C6A"/>
    <w:rsid w:val="00BD407C"/>
    <w:rsid w:val="00BD4E33"/>
    <w:rsid w:val="00BD5FF4"/>
    <w:rsid w:val="00BD7328"/>
    <w:rsid w:val="00BD7D76"/>
    <w:rsid w:val="00BD7EF1"/>
    <w:rsid w:val="00BE293C"/>
    <w:rsid w:val="00BE3051"/>
    <w:rsid w:val="00BE3BE6"/>
    <w:rsid w:val="00BE45DB"/>
    <w:rsid w:val="00BE6C16"/>
    <w:rsid w:val="00BF1A84"/>
    <w:rsid w:val="00BF1BFB"/>
    <w:rsid w:val="00BF2ECA"/>
    <w:rsid w:val="00BF5E45"/>
    <w:rsid w:val="00BF6029"/>
    <w:rsid w:val="00BF6E53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34FB"/>
    <w:rsid w:val="00C13ACF"/>
    <w:rsid w:val="00C15AD6"/>
    <w:rsid w:val="00C17289"/>
    <w:rsid w:val="00C174CC"/>
    <w:rsid w:val="00C17B52"/>
    <w:rsid w:val="00C21E78"/>
    <w:rsid w:val="00C22105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858"/>
    <w:rsid w:val="00C43FF6"/>
    <w:rsid w:val="00C4563B"/>
    <w:rsid w:val="00C45CB2"/>
    <w:rsid w:val="00C472CE"/>
    <w:rsid w:val="00C47A53"/>
    <w:rsid w:val="00C52586"/>
    <w:rsid w:val="00C5455E"/>
    <w:rsid w:val="00C555AC"/>
    <w:rsid w:val="00C62D38"/>
    <w:rsid w:val="00C6472A"/>
    <w:rsid w:val="00C64A37"/>
    <w:rsid w:val="00C64FE6"/>
    <w:rsid w:val="00C652C1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6526"/>
    <w:rsid w:val="00C77C0E"/>
    <w:rsid w:val="00C80CE7"/>
    <w:rsid w:val="00C82B1B"/>
    <w:rsid w:val="00C83C61"/>
    <w:rsid w:val="00C84FE4"/>
    <w:rsid w:val="00C851E2"/>
    <w:rsid w:val="00C87772"/>
    <w:rsid w:val="00C911BB"/>
    <w:rsid w:val="00C91283"/>
    <w:rsid w:val="00C91687"/>
    <w:rsid w:val="00C924A8"/>
    <w:rsid w:val="00C928B7"/>
    <w:rsid w:val="00C93246"/>
    <w:rsid w:val="00C939A7"/>
    <w:rsid w:val="00C945FE"/>
    <w:rsid w:val="00C946C0"/>
    <w:rsid w:val="00C969F2"/>
    <w:rsid w:val="00C96FAA"/>
    <w:rsid w:val="00C97A04"/>
    <w:rsid w:val="00CA107B"/>
    <w:rsid w:val="00CA17BF"/>
    <w:rsid w:val="00CA19A3"/>
    <w:rsid w:val="00CA484D"/>
    <w:rsid w:val="00CA5570"/>
    <w:rsid w:val="00CA59D7"/>
    <w:rsid w:val="00CA5A66"/>
    <w:rsid w:val="00CA5F2D"/>
    <w:rsid w:val="00CA7022"/>
    <w:rsid w:val="00CA7DB3"/>
    <w:rsid w:val="00CB0874"/>
    <w:rsid w:val="00CB26B0"/>
    <w:rsid w:val="00CB3B4E"/>
    <w:rsid w:val="00CB3D59"/>
    <w:rsid w:val="00CB4B5B"/>
    <w:rsid w:val="00CC2703"/>
    <w:rsid w:val="00CC4977"/>
    <w:rsid w:val="00CC4EBF"/>
    <w:rsid w:val="00CC51E9"/>
    <w:rsid w:val="00CC524A"/>
    <w:rsid w:val="00CC739E"/>
    <w:rsid w:val="00CC7BB2"/>
    <w:rsid w:val="00CD19F3"/>
    <w:rsid w:val="00CD1AEB"/>
    <w:rsid w:val="00CD2711"/>
    <w:rsid w:val="00CD37C7"/>
    <w:rsid w:val="00CD3999"/>
    <w:rsid w:val="00CD58B7"/>
    <w:rsid w:val="00CD6073"/>
    <w:rsid w:val="00CD7539"/>
    <w:rsid w:val="00CE00A2"/>
    <w:rsid w:val="00CE11A4"/>
    <w:rsid w:val="00CE196D"/>
    <w:rsid w:val="00CE31BC"/>
    <w:rsid w:val="00CE40E1"/>
    <w:rsid w:val="00CE54FD"/>
    <w:rsid w:val="00CE5BBD"/>
    <w:rsid w:val="00CE6A88"/>
    <w:rsid w:val="00CF4099"/>
    <w:rsid w:val="00CF7D75"/>
    <w:rsid w:val="00D006D0"/>
    <w:rsid w:val="00D00796"/>
    <w:rsid w:val="00D01FB4"/>
    <w:rsid w:val="00D02B78"/>
    <w:rsid w:val="00D04C40"/>
    <w:rsid w:val="00D10DB1"/>
    <w:rsid w:val="00D10F4B"/>
    <w:rsid w:val="00D1161C"/>
    <w:rsid w:val="00D11C75"/>
    <w:rsid w:val="00D1232B"/>
    <w:rsid w:val="00D12456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27CF6"/>
    <w:rsid w:val="00D31A0D"/>
    <w:rsid w:val="00D32B1B"/>
    <w:rsid w:val="00D3472C"/>
    <w:rsid w:val="00D358DF"/>
    <w:rsid w:val="00D358FC"/>
    <w:rsid w:val="00D37A4D"/>
    <w:rsid w:val="00D40D4C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16D2"/>
    <w:rsid w:val="00D63B5F"/>
    <w:rsid w:val="00D63B83"/>
    <w:rsid w:val="00D63D88"/>
    <w:rsid w:val="00D641C9"/>
    <w:rsid w:val="00D64CFB"/>
    <w:rsid w:val="00D66513"/>
    <w:rsid w:val="00D67BFF"/>
    <w:rsid w:val="00D70EF7"/>
    <w:rsid w:val="00D712A6"/>
    <w:rsid w:val="00D730B6"/>
    <w:rsid w:val="00D75496"/>
    <w:rsid w:val="00D76AA4"/>
    <w:rsid w:val="00D77C69"/>
    <w:rsid w:val="00D8007A"/>
    <w:rsid w:val="00D81B83"/>
    <w:rsid w:val="00D83231"/>
    <w:rsid w:val="00D8397C"/>
    <w:rsid w:val="00D86C26"/>
    <w:rsid w:val="00D905A6"/>
    <w:rsid w:val="00D92177"/>
    <w:rsid w:val="00D94EED"/>
    <w:rsid w:val="00D959B3"/>
    <w:rsid w:val="00D96026"/>
    <w:rsid w:val="00D96A97"/>
    <w:rsid w:val="00D96D81"/>
    <w:rsid w:val="00DA07A7"/>
    <w:rsid w:val="00DA3059"/>
    <w:rsid w:val="00DA4BAC"/>
    <w:rsid w:val="00DA4F76"/>
    <w:rsid w:val="00DA5780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6746"/>
    <w:rsid w:val="00DC0069"/>
    <w:rsid w:val="00DC0B7F"/>
    <w:rsid w:val="00DC370F"/>
    <w:rsid w:val="00DC3B40"/>
    <w:rsid w:val="00DC5A13"/>
    <w:rsid w:val="00DC6460"/>
    <w:rsid w:val="00DC6708"/>
    <w:rsid w:val="00DC6731"/>
    <w:rsid w:val="00DD15E4"/>
    <w:rsid w:val="00DD4319"/>
    <w:rsid w:val="00DD4406"/>
    <w:rsid w:val="00DD44DF"/>
    <w:rsid w:val="00DD67FB"/>
    <w:rsid w:val="00DE17D6"/>
    <w:rsid w:val="00DE35DD"/>
    <w:rsid w:val="00DE5572"/>
    <w:rsid w:val="00DE5656"/>
    <w:rsid w:val="00DE5E99"/>
    <w:rsid w:val="00DF19B2"/>
    <w:rsid w:val="00DF60F9"/>
    <w:rsid w:val="00DF6682"/>
    <w:rsid w:val="00E0020E"/>
    <w:rsid w:val="00E0123B"/>
    <w:rsid w:val="00E01436"/>
    <w:rsid w:val="00E01656"/>
    <w:rsid w:val="00E0171F"/>
    <w:rsid w:val="00E01CEC"/>
    <w:rsid w:val="00E033D4"/>
    <w:rsid w:val="00E042B9"/>
    <w:rsid w:val="00E045BD"/>
    <w:rsid w:val="00E04B9B"/>
    <w:rsid w:val="00E13BED"/>
    <w:rsid w:val="00E16D89"/>
    <w:rsid w:val="00E17B77"/>
    <w:rsid w:val="00E21D84"/>
    <w:rsid w:val="00E23337"/>
    <w:rsid w:val="00E24BC3"/>
    <w:rsid w:val="00E24E9E"/>
    <w:rsid w:val="00E24EFD"/>
    <w:rsid w:val="00E259EA"/>
    <w:rsid w:val="00E300C0"/>
    <w:rsid w:val="00E3146A"/>
    <w:rsid w:val="00E31581"/>
    <w:rsid w:val="00E32061"/>
    <w:rsid w:val="00E32920"/>
    <w:rsid w:val="00E332D8"/>
    <w:rsid w:val="00E33885"/>
    <w:rsid w:val="00E34A32"/>
    <w:rsid w:val="00E351A2"/>
    <w:rsid w:val="00E37890"/>
    <w:rsid w:val="00E37D56"/>
    <w:rsid w:val="00E401D2"/>
    <w:rsid w:val="00E40C72"/>
    <w:rsid w:val="00E41E94"/>
    <w:rsid w:val="00E42FF9"/>
    <w:rsid w:val="00E4714C"/>
    <w:rsid w:val="00E5089A"/>
    <w:rsid w:val="00E511E4"/>
    <w:rsid w:val="00E51AEB"/>
    <w:rsid w:val="00E522A7"/>
    <w:rsid w:val="00E5393D"/>
    <w:rsid w:val="00E53A8D"/>
    <w:rsid w:val="00E54452"/>
    <w:rsid w:val="00E5446B"/>
    <w:rsid w:val="00E57382"/>
    <w:rsid w:val="00E608B3"/>
    <w:rsid w:val="00E64FFD"/>
    <w:rsid w:val="00E658E6"/>
    <w:rsid w:val="00E664C5"/>
    <w:rsid w:val="00E671A2"/>
    <w:rsid w:val="00E70CE9"/>
    <w:rsid w:val="00E73BFB"/>
    <w:rsid w:val="00E746E2"/>
    <w:rsid w:val="00E75502"/>
    <w:rsid w:val="00E75939"/>
    <w:rsid w:val="00E76D26"/>
    <w:rsid w:val="00E77E61"/>
    <w:rsid w:val="00E80C30"/>
    <w:rsid w:val="00E82D45"/>
    <w:rsid w:val="00E83D90"/>
    <w:rsid w:val="00E83EF2"/>
    <w:rsid w:val="00E8695A"/>
    <w:rsid w:val="00E878E5"/>
    <w:rsid w:val="00E87E1C"/>
    <w:rsid w:val="00E901EB"/>
    <w:rsid w:val="00E919B9"/>
    <w:rsid w:val="00E92A1D"/>
    <w:rsid w:val="00E92FB0"/>
    <w:rsid w:val="00E960C2"/>
    <w:rsid w:val="00EA349F"/>
    <w:rsid w:val="00EA3916"/>
    <w:rsid w:val="00EA4F91"/>
    <w:rsid w:val="00EA5ED1"/>
    <w:rsid w:val="00EA739E"/>
    <w:rsid w:val="00EB0A5A"/>
    <w:rsid w:val="00EB1390"/>
    <w:rsid w:val="00EB2A51"/>
    <w:rsid w:val="00EB2C71"/>
    <w:rsid w:val="00EB34FA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4173"/>
    <w:rsid w:val="00EC6564"/>
    <w:rsid w:val="00EC7BB1"/>
    <w:rsid w:val="00ED0FE6"/>
    <w:rsid w:val="00ED19CD"/>
    <w:rsid w:val="00ED1B54"/>
    <w:rsid w:val="00ED2115"/>
    <w:rsid w:val="00ED421C"/>
    <w:rsid w:val="00ED42E6"/>
    <w:rsid w:val="00ED4F74"/>
    <w:rsid w:val="00ED55C0"/>
    <w:rsid w:val="00ED682B"/>
    <w:rsid w:val="00ED68C8"/>
    <w:rsid w:val="00ED6F67"/>
    <w:rsid w:val="00ED7B43"/>
    <w:rsid w:val="00EE0D77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F005D6"/>
    <w:rsid w:val="00F01839"/>
    <w:rsid w:val="00F01B33"/>
    <w:rsid w:val="00F0229B"/>
    <w:rsid w:val="00F02C7A"/>
    <w:rsid w:val="00F037A4"/>
    <w:rsid w:val="00F04A2A"/>
    <w:rsid w:val="00F077CC"/>
    <w:rsid w:val="00F10A47"/>
    <w:rsid w:val="00F1392B"/>
    <w:rsid w:val="00F14457"/>
    <w:rsid w:val="00F148BD"/>
    <w:rsid w:val="00F15EA9"/>
    <w:rsid w:val="00F164F5"/>
    <w:rsid w:val="00F16A95"/>
    <w:rsid w:val="00F1786B"/>
    <w:rsid w:val="00F20495"/>
    <w:rsid w:val="00F235F4"/>
    <w:rsid w:val="00F23ABC"/>
    <w:rsid w:val="00F23B32"/>
    <w:rsid w:val="00F24830"/>
    <w:rsid w:val="00F250B7"/>
    <w:rsid w:val="00F251B7"/>
    <w:rsid w:val="00F257C1"/>
    <w:rsid w:val="00F27C8F"/>
    <w:rsid w:val="00F31251"/>
    <w:rsid w:val="00F32749"/>
    <w:rsid w:val="00F34143"/>
    <w:rsid w:val="00F3441A"/>
    <w:rsid w:val="00F3483D"/>
    <w:rsid w:val="00F356A7"/>
    <w:rsid w:val="00F36237"/>
    <w:rsid w:val="00F36A45"/>
    <w:rsid w:val="00F37172"/>
    <w:rsid w:val="00F40D11"/>
    <w:rsid w:val="00F40F30"/>
    <w:rsid w:val="00F429ED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5A9A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418E"/>
    <w:rsid w:val="00F9456C"/>
    <w:rsid w:val="00F958FD"/>
    <w:rsid w:val="00F96B05"/>
    <w:rsid w:val="00FA130D"/>
    <w:rsid w:val="00FA328D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27C1"/>
    <w:rsid w:val="00FC2AED"/>
    <w:rsid w:val="00FC4151"/>
    <w:rsid w:val="00FC61A2"/>
    <w:rsid w:val="00FC6940"/>
    <w:rsid w:val="00FD103C"/>
    <w:rsid w:val="00FD131F"/>
    <w:rsid w:val="00FD2EAD"/>
    <w:rsid w:val="00FD5B26"/>
    <w:rsid w:val="00FD5EA7"/>
    <w:rsid w:val="00FD640D"/>
    <w:rsid w:val="00FD7191"/>
    <w:rsid w:val="00FE163A"/>
    <w:rsid w:val="00FE1C40"/>
    <w:rsid w:val="00FE2AE3"/>
    <w:rsid w:val="00FE2DA3"/>
    <w:rsid w:val="00FE62F5"/>
    <w:rsid w:val="00FF1AF5"/>
    <w:rsid w:val="00FF202F"/>
    <w:rsid w:val="00FF2C0B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415600058174349E-2"/>
          <c:y val="2.0202020202020211E-2"/>
          <c:w val="0.93325015595757954"/>
          <c:h val="0.7579509075450110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Arkusz1!$B$77:$C$113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Arkusz1!$D$77:$D$113</c:f>
              <c:numCache>
                <c:formatCode>General</c:formatCode>
                <c:ptCount val="37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822255456"/>
        <c:axId val="822257632"/>
      </c:barChart>
      <c:catAx>
        <c:axId val="82225545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822257632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822257632"/>
        <c:scaling>
          <c:orientation val="minMax"/>
          <c:max val="112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822255456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556050662150885E-2"/>
          <c:y val="4.7811181695136276E-2"/>
          <c:w val="0.90746450357941544"/>
          <c:h val="0.6619787768668430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3.7164534933628837E-3"/>
                  <c:y val="-1.0338033650471538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103.5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98118508229081E-2"/>
                      <c:h val="6.0705796306454556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3.7165510406342913E-3"/>
                  <c:y val="-1.6201152261086517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102.5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3002973244E-2"/>
                      <c:h val="6.4486312556032002E-2"/>
                    </c:manualLayout>
                  </c15:layout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99.1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102.9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110.5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0847975954156533E-17"/>
                  <c:y val="2.6540228367305789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105.8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052105850498E-2"/>
                      <c:h val="6.88437775816416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0847975954156533E-17"/>
                  <c:y val="-3.2586108668662341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95.2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99.5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rodz_dział_miesiąc!$BQ$4:$BQ$11</c:f>
              <c:numCache>
                <c:formatCode>0.0</c:formatCode>
                <c:ptCount val="8"/>
                <c:pt idx="0">
                  <c:v>103.5</c:v>
                </c:pt>
                <c:pt idx="1">
                  <c:v>102.5</c:v>
                </c:pt>
                <c:pt idx="2">
                  <c:v>99.1</c:v>
                </c:pt>
                <c:pt idx="3">
                  <c:v>102.9</c:v>
                </c:pt>
                <c:pt idx="4">
                  <c:v>110.5</c:v>
                </c:pt>
                <c:pt idx="5">
                  <c:v>105.8</c:v>
                </c:pt>
                <c:pt idx="6">
                  <c:v>95.2</c:v>
                </c:pt>
                <c:pt idx="7">
                  <c:v>99.5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822251104"/>
        <c:axId val="822254368"/>
      </c:barChart>
      <c:catAx>
        <c:axId val="82225110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822254368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822254368"/>
        <c:scaling>
          <c:orientation val="minMax"/>
          <c:max val="115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822251104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01028004634415E-2"/>
          <c:y val="6.7454676273573905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4"/>
              <c:layout>
                <c:manualLayout>
                  <c:x val="-9.916945580761307E-3"/>
                  <c:y val="1.0296010296010343E-2"/>
                </c:manualLayout>
              </c:layout>
              <c:tx>
                <c:rich>
                  <a:bodyPr/>
                  <a:lstStyle/>
                  <a:p>
                    <a:fld id="{F2E33A5E-7DD0-4A33-A461-DCC9DE86CAD6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.0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5"/>
              <c:layout>
                <c:manualLayout>
                  <c:x val="-3.718854592785422E-2"/>
                  <c:y val="1.0296010296010296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148.7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4"/>
              <c:layout>
                <c:manualLayout>
                  <c:x val="-9.916945580761307E-3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 sz="800" strike="noStrike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130.1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5"/>
              <c:layout>
                <c:manualLayout>
                  <c:x val="-2.4792363951902815E-2"/>
                  <c:y val="6.6924066924066924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130.1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22254912"/>
        <c:axId val="822256000"/>
      </c:lineChart>
      <c:catAx>
        <c:axId val="822254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22256000"/>
        <c:crosses val="autoZero"/>
        <c:auto val="1"/>
        <c:lblAlgn val="ctr"/>
        <c:lblOffset val="100"/>
        <c:tickMarkSkip val="12"/>
        <c:noMultiLvlLbl val="0"/>
      </c:catAx>
      <c:valAx>
        <c:axId val="822256000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2225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0.26642</cdr:x>
      <cdr:y>0.2</cdr:y>
    </cdr:from>
    <cdr:to>
      <cdr:x>0.42468</cdr:x>
      <cdr:y>0.28765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365618" y="607326"/>
          <a:ext cx="811197" cy="2661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103.4</a:t>
          </a:r>
        </a:p>
      </cdr:txBody>
    </cdr:sp>
  </cdr:relSizeAnchor>
  <cdr:relSizeAnchor xmlns:cdr="http://schemas.openxmlformats.org/drawingml/2006/chartDrawing">
    <cdr:from>
      <cdr:x>0.28982</cdr:x>
      <cdr:y>0.27934</cdr:y>
    </cdr:from>
    <cdr:to>
      <cdr:x>0.3327</cdr:x>
      <cdr:y>0.35365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485524" y="848235"/>
          <a:ext cx="219791" cy="22564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0.04079</cdr:x>
      <cdr:y>0.36146</cdr:y>
    </cdr:from>
    <cdr:to>
      <cdr:x>0.94771</cdr:x>
      <cdr:y>0.36351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09071" y="1097589"/>
          <a:ext cx="4648618" cy="622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119EF3-7F8E-46B1-8591-239C87C7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sales index - January 2020</dc:title>
  <dc:creator>GUS</dc:creator>
  <cp:lastPrinted>2020-02-20T14:15:00Z</cp:lastPrinted>
  <dcterms:created xsi:type="dcterms:W3CDTF">2020-02-20T14:36:00Z</dcterms:created>
  <dcterms:modified xsi:type="dcterms:W3CDTF">2020-02-21T08:00:00Z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