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355C1F">
        <w:rPr>
          <w:rFonts w:cs="Arial"/>
          <w:lang w:val="en-US"/>
        </w:rPr>
        <w:t>Febru</w:t>
      </w:r>
      <w:r w:rsidR="008C612B">
        <w:rPr>
          <w:rFonts w:cs="Arial"/>
          <w:lang w:val="en-US"/>
        </w:rPr>
        <w:t>ary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E0A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E0A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E0A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E0A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1E0A96">
        <w:rPr>
          <w:rFonts w:cs="Arial"/>
          <w:lang w:val="en-US"/>
        </w:rPr>
        <w:t>Febr</w:t>
      </w:r>
      <w:r w:rsidR="008C612B">
        <w:rPr>
          <w:rFonts w:cs="Arial"/>
          <w:lang w:val="en-US"/>
        </w:rPr>
        <w:t xml:space="preserve">uary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 xml:space="preserve">by </w:t>
      </w:r>
      <w:r w:rsidR="001E0A96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.</w:t>
      </w:r>
      <w:r w:rsidR="001E0A96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1E0A96">
        <w:rPr>
          <w:rFonts w:cs="Arial"/>
          <w:lang w:val="en-US"/>
        </w:rPr>
        <w:t>5.6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1E0A96">
        <w:rPr>
          <w:rFonts w:cs="Arial"/>
          <w:lang w:val="en-US"/>
        </w:rPr>
        <w:t>Febr</w:t>
      </w:r>
      <w:r w:rsidR="001D6715">
        <w:rPr>
          <w:rFonts w:cs="Arial"/>
          <w:lang w:val="en-US"/>
        </w:rPr>
        <w:t>uary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1E0A96">
        <w:rPr>
          <w:lang w:val="en-US"/>
        </w:rPr>
        <w:t>January</w:t>
      </w:r>
      <w:r w:rsidR="008C57A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1E0A96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16751F">
        <w:rPr>
          <w:lang w:val="en-US"/>
        </w:rPr>
        <w:t>0</w:t>
      </w:r>
      <w:r w:rsidR="002B5519">
        <w:rPr>
          <w:lang w:val="en-US"/>
        </w:rPr>
        <w:t>.</w:t>
      </w:r>
      <w:r w:rsidR="001E0A96">
        <w:rPr>
          <w:lang w:val="en-US"/>
        </w:rPr>
        <w:t>4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F2D80" w:rsidRPr="009F2D80">
        <w:rPr>
          <w:lang w:val="en-US"/>
        </w:rPr>
        <w:t>In the period of January-</w:t>
      </w:r>
      <w:r w:rsidR="00237C5C">
        <w:rPr>
          <w:lang w:val="en-US"/>
        </w:rPr>
        <w:t>February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9F2D80" w:rsidRPr="009F2D80">
        <w:rPr>
          <w:lang w:val="en-US"/>
        </w:rPr>
        <w:t xml:space="preserve"> retail sales y/y were by 5.</w:t>
      </w:r>
      <w:r w:rsidR="009F2D80">
        <w:rPr>
          <w:lang w:val="en-US"/>
        </w:rPr>
        <w:t>6</w:t>
      </w:r>
      <w:r w:rsidR="009F2D80" w:rsidRPr="009F2D80">
        <w:rPr>
          <w:lang w:val="en-US"/>
        </w:rPr>
        <w:t xml:space="preserve">% higher (against a growth of </w:t>
      </w:r>
      <w:r w:rsidR="009F2D80">
        <w:rPr>
          <w:lang w:val="en-US"/>
        </w:rPr>
        <w:t>5.4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F2DFF" w:rsidP="00074DD8">
      <w:pPr>
        <w:pStyle w:val="Nagwek1"/>
        <w:rPr>
          <w:lang w:val="en-US"/>
        </w:rPr>
      </w:pPr>
      <w:r w:rsidRPr="00EF2DFF">
        <w:rPr>
          <w:lang w:val="en-US"/>
        </w:rPr>
        <w:t>Retail sales of goods by type of enterprise activity</w:t>
      </w:r>
    </w:p>
    <w:p w:rsidR="00A84CE6" w:rsidRPr="00A84CE6" w:rsidRDefault="00263D0C" w:rsidP="00A84CE6">
      <w:pPr>
        <w:rPr>
          <w:lang w:val="en-US" w:eastAsia="pl-PL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74930</wp:posOffset>
                </wp:positionV>
                <wp:extent cx="1790700" cy="1151255"/>
                <wp:effectExtent l="0" t="0" r="0" b="0"/>
                <wp:wrapTight wrapText="bothSides">
                  <wp:wrapPolygon edited="0">
                    <wp:start x="689" y="0"/>
                    <wp:lineTo x="689" y="21088"/>
                    <wp:lineTo x="20681" y="21088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5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223C48">
                            <w:pPr>
                              <w:pStyle w:val="tekstzboku"/>
                              <w:rPr>
                                <w:rFonts w:cs="Arial"/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D60701">
                              <w:rPr>
                                <w:rFonts w:cs="Arial"/>
                                <w:lang w:val="en-US"/>
                              </w:rPr>
                              <w:t xml:space="preserve">February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F0AEA"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increase in</w:t>
                            </w:r>
                            <w:r w:rsidR="00270D05" w:rsidRPr="00270D0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223C48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270D05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223C48" w:rsidRPr="000F4044" w:rsidRDefault="00223C48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5.9pt;width:141pt;height:90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" filled="f" stroked="f">
                <v:textbox>
                  <w:txbxContent>
                    <w:p w:rsidR="00234F14" w:rsidRDefault="00234F14" w:rsidP="00223C48">
                      <w:pPr>
                        <w:pStyle w:val="tekstzboku"/>
                        <w:rPr>
                          <w:rFonts w:cs="Arial"/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D60701">
                        <w:rPr>
                          <w:rFonts w:cs="Arial"/>
                          <w:lang w:val="en-US"/>
                        </w:rPr>
                        <w:t xml:space="preserve">February </w:t>
                      </w:r>
                      <w:r>
                        <w:rPr>
                          <w:rFonts w:cs="Arial"/>
                          <w:lang w:val="en-US"/>
                        </w:rPr>
                        <w:t>20</w:t>
                      </w:r>
                      <w:r w:rsidR="00082349">
                        <w:rPr>
                          <w:rFonts w:cs="Arial"/>
                          <w:lang w:val="en-US"/>
                        </w:rPr>
                        <w:t>20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F0AEA">
                        <w:rPr>
                          <w:rFonts w:cs="Arial"/>
                          <w:lang w:val="en-US"/>
                        </w:rPr>
                        <w:t>an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increase in</w:t>
                      </w:r>
                      <w:r w:rsidR="00270D05" w:rsidRPr="00270D05">
                        <w:rPr>
                          <w:rFonts w:cs="Arial"/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223C48">
                        <w:rPr>
                          <w:rFonts w:cs="Arial"/>
                          <w:lang w:val="en-US"/>
                        </w:rPr>
                        <w:t>all</w:t>
                      </w:r>
                      <w:r w:rsidR="00270D05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2617F8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:rsidR="00223C48" w:rsidRPr="000F4044" w:rsidRDefault="00223C48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F4AAC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AD36DA">
        <w:rPr>
          <w:rFonts w:cs="Arial"/>
          <w:lang w:val="en-US"/>
        </w:rPr>
        <w:t>the highest</w:t>
      </w:r>
      <w:r w:rsidR="003F1175">
        <w:rPr>
          <w:rFonts w:cs="Arial"/>
          <w:lang w:val="en-US"/>
        </w:rPr>
        <w:t xml:space="preserve"> increase </w:t>
      </w:r>
      <w:r w:rsidRPr="00794E5F">
        <w:rPr>
          <w:rFonts w:cs="Arial"/>
          <w:lang w:val="en-US"/>
        </w:rPr>
        <w:t>in</w:t>
      </w:r>
      <w:r w:rsidR="00DD52DE">
        <w:rPr>
          <w:rFonts w:cs="Arial"/>
          <w:lang w:val="en-US"/>
        </w:rPr>
        <w:t xml:space="preserve"> </w:t>
      </w:r>
      <w:r w:rsidR="00AD36DA">
        <w:rPr>
          <w:rFonts w:cs="Arial"/>
          <w:lang w:val="en-US"/>
        </w:rPr>
        <w:t>Febr</w:t>
      </w:r>
      <w:r w:rsidR="00082349">
        <w:rPr>
          <w:rFonts w:cs="Arial"/>
          <w:lang w:val="en-US"/>
        </w:rPr>
        <w:t xml:space="preserve">uary </w:t>
      </w:r>
      <w:r w:rsidRPr="00794E5F">
        <w:rPr>
          <w:rFonts w:cs="Arial"/>
          <w:lang w:val="en-US"/>
        </w:rPr>
        <w:t>20</w:t>
      </w:r>
      <w:r w:rsidR="00B56EAC">
        <w:rPr>
          <w:rFonts w:cs="Arial"/>
          <w:lang w:val="en-US"/>
        </w:rPr>
        <w:t xml:space="preserve">20 </w:t>
      </w:r>
      <w:r w:rsidRPr="00794E5F">
        <w:rPr>
          <w:rFonts w:cs="Arial"/>
          <w:lang w:val="en-US"/>
        </w:rPr>
        <w:t xml:space="preserve">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B56EAC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034108">
        <w:rPr>
          <w:rFonts w:cs="Arial"/>
          <w:lang w:val="en-US"/>
        </w:rPr>
        <w:t>enterprises</w:t>
      </w:r>
      <w:r w:rsidR="00034108" w:rsidRPr="00426464">
        <w:rPr>
          <w:rFonts w:cs="Arial"/>
          <w:color w:val="000000"/>
          <w:szCs w:val="19"/>
          <w:lang w:val="en-US"/>
        </w:rPr>
        <w:t xml:space="preserve"> </w:t>
      </w:r>
      <w:r w:rsidR="003F1175">
        <w:rPr>
          <w:rFonts w:cs="Arial"/>
          <w:color w:val="000000"/>
          <w:szCs w:val="19"/>
          <w:lang w:val="en-US"/>
        </w:rPr>
        <w:t>trading in motor vehicles, motorcycles, parts</w:t>
      </w:r>
      <w:r w:rsidR="00034108">
        <w:rPr>
          <w:rFonts w:cs="Arial"/>
          <w:lang w:val="en-US"/>
        </w:rPr>
        <w:t xml:space="preserve"> (by </w:t>
      </w:r>
      <w:r w:rsidR="00910AB8">
        <w:rPr>
          <w:rFonts w:cs="Arial"/>
          <w:lang w:val="en-US"/>
        </w:rPr>
        <w:t>6</w:t>
      </w:r>
      <w:r w:rsidR="00BF1BFB">
        <w:rPr>
          <w:rFonts w:cs="Arial"/>
          <w:lang w:val="en-US"/>
        </w:rPr>
        <w:t>.</w:t>
      </w:r>
      <w:r w:rsidR="00910AB8">
        <w:rPr>
          <w:rFonts w:cs="Arial"/>
          <w:lang w:val="en-US"/>
        </w:rPr>
        <w:t>9</w:t>
      </w:r>
      <w:r w:rsidR="00034108">
        <w:rPr>
          <w:rFonts w:cs="Arial"/>
          <w:lang w:val="en-US"/>
        </w:rPr>
        <w:t xml:space="preserve">% against an increase of </w:t>
      </w:r>
      <w:r w:rsidR="00847FBC">
        <w:rPr>
          <w:rFonts w:cs="Arial"/>
          <w:lang w:val="en-US"/>
        </w:rPr>
        <w:t>5</w:t>
      </w:r>
      <w:r w:rsidR="00034108">
        <w:rPr>
          <w:rFonts w:cs="Arial"/>
          <w:lang w:val="en-US"/>
        </w:rPr>
        <w:t>.</w:t>
      </w:r>
      <w:r w:rsidR="00910AB8">
        <w:rPr>
          <w:rFonts w:cs="Arial"/>
          <w:lang w:val="en-US"/>
        </w:rPr>
        <w:t>0</w:t>
      </w:r>
      <w:r w:rsidR="00034108">
        <w:rPr>
          <w:rFonts w:cs="Arial"/>
          <w:lang w:val="en-US"/>
        </w:rPr>
        <w:t>% the year before)</w:t>
      </w:r>
      <w:r w:rsidR="003F1175">
        <w:rPr>
          <w:rFonts w:cs="Arial"/>
          <w:lang w:val="en-US"/>
        </w:rPr>
        <w:t>.</w:t>
      </w:r>
    </w:p>
    <w:p w:rsidR="006E278A" w:rsidRDefault="0095619E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lang w:val="en-US"/>
        </w:rPr>
        <w:t xml:space="preserve">Within </w:t>
      </w:r>
      <w:r w:rsidRPr="00794E5F">
        <w:rPr>
          <w:rFonts w:cs="Arial"/>
          <w:lang w:val="en-US"/>
        </w:rPr>
        <w:t xml:space="preserve">groups with a </w:t>
      </w:r>
      <w:r>
        <w:rPr>
          <w:rFonts w:cs="Arial"/>
          <w:lang w:val="en-US"/>
        </w:rPr>
        <w:t>lower share in total retail sales</w:t>
      </w:r>
      <w:r w:rsidR="0025314E">
        <w:rPr>
          <w:rFonts w:cs="Arial"/>
          <w:lang w:val="en-US"/>
        </w:rPr>
        <w:t xml:space="preserve"> higher</w:t>
      </w:r>
      <w:r w:rsidR="00FF4AAC">
        <w:rPr>
          <w:rFonts w:cs="Arial"/>
          <w:lang w:val="en-US"/>
        </w:rPr>
        <w:t xml:space="preserve"> </w:t>
      </w:r>
      <w:r w:rsidR="001F20A5">
        <w:rPr>
          <w:rFonts w:cs="Arial"/>
          <w:lang w:val="en-US"/>
        </w:rPr>
        <w:t xml:space="preserve">than average </w:t>
      </w:r>
      <w:r w:rsidR="00FF4AAC">
        <w:rPr>
          <w:rFonts w:cs="Arial"/>
          <w:lang w:val="en-US"/>
        </w:rPr>
        <w:t>increase</w:t>
      </w:r>
      <w:r w:rsidR="00BF1BFB" w:rsidRPr="00BF1BF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>
        <w:rPr>
          <w:rFonts w:cs="Arial"/>
          <w:lang w:val="en-US"/>
        </w:rPr>
        <w:t xml:space="preserve">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>
        <w:rPr>
          <w:rFonts w:cs="Arial"/>
          <w:lang w:val="en-US"/>
        </w:rPr>
        <w:t xml:space="preserve"> </w:t>
      </w:r>
      <w:r w:rsidR="00D64CFB">
        <w:rPr>
          <w:rFonts w:cs="Arial"/>
          <w:lang w:val="en-US"/>
        </w:rPr>
        <w:t>classified into</w:t>
      </w:r>
      <w:r w:rsidR="003C723B">
        <w:rPr>
          <w:rFonts w:cs="Arial"/>
          <w:lang w:val="en-US"/>
        </w:rPr>
        <w:t xml:space="preserve"> the</w:t>
      </w:r>
      <w:r w:rsidR="00D64CFB">
        <w:rPr>
          <w:rFonts w:cs="Arial"/>
          <w:lang w:val="en-US"/>
        </w:rPr>
        <w:t xml:space="preserve"> group</w:t>
      </w:r>
      <w:r w:rsidR="00E83E4E">
        <w:rPr>
          <w:rFonts w:cs="Arial"/>
          <w:lang w:val="en-US"/>
        </w:rPr>
        <w:t>s:</w:t>
      </w:r>
      <w:r>
        <w:rPr>
          <w:rFonts w:cs="Arial"/>
          <w:lang w:val="en-US"/>
        </w:rPr>
        <w:t xml:space="preserve"> </w:t>
      </w:r>
      <w:r w:rsidR="00AA4208">
        <w:rPr>
          <w:rFonts w:cs="Arial"/>
          <w:lang w:val="en-US"/>
        </w:rPr>
        <w:t>“</w:t>
      </w:r>
      <w:r w:rsidR="006E278A">
        <w:rPr>
          <w:rFonts w:cs="Arial"/>
          <w:lang w:val="en-US"/>
        </w:rPr>
        <w:t>textiles, clothing, footwear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A503EE">
        <w:rPr>
          <w:rFonts w:cs="Arial"/>
          <w:sz w:val="18"/>
          <w:szCs w:val="18"/>
          <w:lang w:val="en-US"/>
        </w:rPr>
        <w:t xml:space="preserve"> (by 1</w:t>
      </w:r>
      <w:r w:rsidR="00F43188">
        <w:rPr>
          <w:rFonts w:cs="Arial"/>
          <w:sz w:val="18"/>
          <w:szCs w:val="18"/>
          <w:lang w:val="en-US"/>
        </w:rPr>
        <w:t>3</w:t>
      </w:r>
      <w:r w:rsidR="00A503EE">
        <w:rPr>
          <w:rFonts w:cs="Arial"/>
          <w:sz w:val="18"/>
          <w:szCs w:val="18"/>
          <w:lang w:val="en-US"/>
        </w:rPr>
        <w:t>.</w:t>
      </w:r>
      <w:r w:rsidR="00F43188">
        <w:rPr>
          <w:rFonts w:cs="Arial"/>
          <w:sz w:val="18"/>
          <w:szCs w:val="18"/>
          <w:lang w:val="en-US"/>
        </w:rPr>
        <w:t>0</w:t>
      </w:r>
      <w:r w:rsidR="00A503EE">
        <w:rPr>
          <w:rFonts w:cs="Arial"/>
          <w:sz w:val="18"/>
          <w:szCs w:val="18"/>
          <w:lang w:val="en-US"/>
        </w:rPr>
        <w:t>%);</w:t>
      </w:r>
      <w:r w:rsidR="00E81F20">
        <w:rPr>
          <w:rFonts w:cs="Arial"/>
          <w:sz w:val="18"/>
          <w:szCs w:val="18"/>
          <w:lang w:val="en-US"/>
        </w:rPr>
        <w:t xml:space="preserve"> “pharmaceuticals, cosmetics, orthopaedic equipment” (by</w:t>
      </w:r>
      <w:r w:rsidR="00A646C3">
        <w:rPr>
          <w:rFonts w:cs="Arial"/>
          <w:sz w:val="18"/>
          <w:szCs w:val="18"/>
          <w:lang w:val="en-US"/>
        </w:rPr>
        <w:t xml:space="preserve"> 12.</w:t>
      </w:r>
      <w:r w:rsidR="00E81F20">
        <w:rPr>
          <w:rFonts w:cs="Arial"/>
          <w:sz w:val="18"/>
          <w:szCs w:val="18"/>
          <w:lang w:val="en-US"/>
        </w:rPr>
        <w:t>5%)</w:t>
      </w:r>
      <w:r w:rsidR="00933273">
        <w:rPr>
          <w:rFonts w:cs="Arial"/>
          <w:sz w:val="18"/>
          <w:szCs w:val="18"/>
          <w:lang w:val="en-US"/>
        </w:rPr>
        <w:t>;</w:t>
      </w:r>
      <w:r w:rsidR="00E81F20">
        <w:rPr>
          <w:rFonts w:cs="Arial"/>
          <w:sz w:val="18"/>
          <w:szCs w:val="18"/>
          <w:lang w:val="en-US"/>
        </w:rPr>
        <w:t xml:space="preserve"> </w:t>
      </w:r>
      <w:r w:rsidR="00E81F20" w:rsidRPr="00AF2E2D">
        <w:rPr>
          <w:rFonts w:cs="Arial"/>
          <w:sz w:val="18"/>
          <w:szCs w:val="18"/>
          <w:lang w:val="en-US"/>
        </w:rPr>
        <w:t>“</w:t>
      </w:r>
      <w:r w:rsidR="00E81F20">
        <w:rPr>
          <w:rFonts w:cs="Arial"/>
          <w:sz w:val="18"/>
          <w:szCs w:val="18"/>
          <w:lang w:val="en-US"/>
        </w:rPr>
        <w:t>furniture</w:t>
      </w:r>
      <w:r w:rsidR="00E81F20" w:rsidRPr="00AF2E2D">
        <w:rPr>
          <w:rFonts w:cs="Arial"/>
          <w:sz w:val="18"/>
          <w:szCs w:val="18"/>
          <w:lang w:val="en-US"/>
        </w:rPr>
        <w:t xml:space="preserve">, </w:t>
      </w:r>
      <w:r w:rsidR="00E81F20">
        <w:rPr>
          <w:rFonts w:cs="Arial"/>
          <w:sz w:val="18"/>
          <w:szCs w:val="18"/>
          <w:lang w:val="en-US"/>
        </w:rPr>
        <w:t>radio</w:t>
      </w:r>
      <w:r w:rsidR="00E81F20" w:rsidRPr="00AF2E2D">
        <w:rPr>
          <w:rFonts w:cs="Arial"/>
          <w:sz w:val="18"/>
          <w:szCs w:val="18"/>
          <w:lang w:val="en-US"/>
        </w:rPr>
        <w:t>,</w:t>
      </w:r>
      <w:r w:rsidR="00E81F20">
        <w:rPr>
          <w:rFonts w:cs="Arial"/>
          <w:sz w:val="18"/>
          <w:szCs w:val="18"/>
          <w:lang w:val="en-US"/>
        </w:rPr>
        <w:t xml:space="preserve"> TV and household appliances” (by </w:t>
      </w:r>
      <w:r w:rsidR="00A357F5">
        <w:rPr>
          <w:rFonts w:cs="Arial"/>
          <w:sz w:val="18"/>
          <w:szCs w:val="18"/>
          <w:lang w:val="en-US"/>
        </w:rPr>
        <w:t>9</w:t>
      </w:r>
      <w:r w:rsidR="00E81F20">
        <w:rPr>
          <w:rFonts w:cs="Arial"/>
          <w:sz w:val="18"/>
          <w:szCs w:val="18"/>
          <w:lang w:val="en-US"/>
        </w:rPr>
        <w:t>.</w:t>
      </w:r>
      <w:r w:rsidR="00A357F5">
        <w:rPr>
          <w:rFonts w:cs="Arial"/>
          <w:sz w:val="18"/>
          <w:szCs w:val="18"/>
          <w:lang w:val="en-US"/>
        </w:rPr>
        <w:t>2</w:t>
      </w:r>
      <w:r w:rsidR="00E81F20">
        <w:rPr>
          <w:rFonts w:cs="Arial"/>
          <w:sz w:val="18"/>
          <w:szCs w:val="18"/>
          <w:lang w:val="en-US"/>
        </w:rPr>
        <w:t>%)</w:t>
      </w:r>
    </w:p>
    <w:p w:rsidR="002763FC" w:rsidRDefault="002763FC" w:rsidP="001A75DF">
      <w:pPr>
        <w:pStyle w:val="tytuwykresu"/>
        <w:rPr>
          <w:lang w:val="en-US"/>
        </w:rPr>
      </w:pPr>
    </w:p>
    <w:p w:rsidR="009E69D1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760632"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0D25BA1F" wp14:editId="7B61EAE2">
            <wp:simplePos x="0" y="0"/>
            <wp:positionH relativeFrom="margin">
              <wp:posOffset>0</wp:posOffset>
            </wp:positionH>
            <wp:positionV relativeFrom="margin">
              <wp:posOffset>4566920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D97A7C">
        <w:rPr>
          <w:shd w:val="clear" w:color="auto" w:fill="FFFFFF"/>
          <w:lang w:val="en-US"/>
        </w:rPr>
        <w:t>0</w:t>
      </w:r>
    </w:p>
    <w:p w:rsidR="00667CFF" w:rsidRPr="00667CFF" w:rsidRDefault="00A808AA" w:rsidP="00667CFF">
      <w:pPr>
        <w:pStyle w:val="Nagwek1"/>
        <w:rPr>
          <w:rFonts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667CFF">
        <w:rPr>
          <w:rFonts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II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I-II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413C1A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II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I-II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4F341F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F341F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F341F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F341F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F341F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F341F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F341F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4F341F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F341F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F341F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F341F" w:rsidRPr="00554E47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F341F" w:rsidRPr="00413C1A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F156AE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554E47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103.</w:t>
            </w:r>
            <w:r w:rsidR="004F341F" w:rsidRPr="00554E47">
              <w:rPr>
                <w:rFonts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554E47" w:rsidRDefault="00554E47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103.</w:t>
            </w:r>
            <w:r w:rsidR="004F341F" w:rsidRPr="00554E47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Pr="00B73F57">
        <w:rPr>
          <w:rStyle w:val="tlid-translation"/>
          <w:sz w:val="16"/>
          <w:szCs w:val="16"/>
          <w:lang w:val="en"/>
        </w:rPr>
        <w:t>No information or</w:t>
      </w:r>
      <w:r>
        <w:rPr>
          <w:rStyle w:val="tlid-translation"/>
          <w:sz w:val="16"/>
          <w:szCs w:val="16"/>
          <w:lang w:val="en"/>
        </w:rPr>
        <w:t xml:space="preserve"> statistical</w:t>
      </w:r>
      <w:r w:rsidRPr="00B73F57">
        <w:rPr>
          <w:rStyle w:val="tlid-translation"/>
          <w:sz w:val="16"/>
          <w:szCs w:val="16"/>
          <w:lang w:val="en"/>
        </w:rPr>
        <w:t xml:space="preserve"> confidentiality required</w:t>
      </w:r>
    </w:p>
    <w:p w:rsidR="00A84CE6" w:rsidRPr="00024832" w:rsidRDefault="00A84CE6" w:rsidP="00024832">
      <w:pPr>
        <w:rPr>
          <w:sz w:val="16"/>
          <w:szCs w:val="16"/>
          <w:lang w:val="en-US" w:eastAsia="pl-PL"/>
        </w:rPr>
      </w:pPr>
    </w:p>
    <w:p w:rsidR="00413C1A" w:rsidRDefault="00413C1A" w:rsidP="00413C1A">
      <w:pPr>
        <w:keepNext/>
        <w:spacing w:before="240" w:line="240" w:lineRule="auto"/>
        <w:outlineLvl w:val="0"/>
        <w:rPr>
          <w:lang w:val="en-US" w:eastAsia="pl-PL"/>
        </w:rPr>
      </w:pPr>
      <w:r w:rsidRPr="00667CFF">
        <w:rPr>
          <w:rFonts w:ascii="Fira Sans SemiBold" w:eastAsia="Times New Roman" w:hAnsi="Fira Sans SemiBold" w:cs="Arial"/>
          <w:b/>
          <w:bCs/>
          <w:szCs w:val="24"/>
          <w:lang w:val="en-US" w:eastAsia="pl-PL"/>
        </w:rPr>
        <w:t>Table 2. Index numbers of retail sales (current prices)</w:t>
      </w:r>
      <w:r>
        <w:rPr>
          <w:lang w:val="en-US" w:eastAsia="pl-PL"/>
        </w:rPr>
        <w:t xml:space="preserve"> 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667CFF" w:rsidRPr="00667CFF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67CFF" w:rsidRPr="00667CFF" w:rsidRDefault="00667CFF" w:rsidP="00667CFF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667CFF" w:rsidRPr="00667CFF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667CFF" w:rsidRPr="00667CFF" w:rsidRDefault="00667CFF" w:rsidP="00667CFF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67CFF" w:rsidRPr="00667CFF" w:rsidRDefault="00667CFF" w:rsidP="00E235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>II 20</w:t>
            </w:r>
            <w:r w:rsidR="00E235A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67CFF" w:rsidRPr="00667CFF" w:rsidRDefault="00667CFF" w:rsidP="00E235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>I-II 20</w:t>
            </w:r>
            <w:r w:rsidR="00E235A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667CFF" w:rsidRPr="00667CFF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67CFF" w:rsidRPr="00667CFF" w:rsidRDefault="00667CFF" w:rsidP="00667CFF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67CFF" w:rsidRPr="00667CFF" w:rsidRDefault="00667CFF" w:rsidP="00E235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 xml:space="preserve"> I 20</w:t>
            </w:r>
            <w:r w:rsidR="00E235AE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67CFF" w:rsidRPr="00667CFF" w:rsidRDefault="00667CFF" w:rsidP="00E235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>II 201</w:t>
            </w:r>
            <w:r w:rsidR="00E235AE">
              <w:rPr>
                <w:rFonts w:cs="Arial"/>
                <w:color w:val="000000"/>
                <w:sz w:val="16"/>
                <w:szCs w:val="16"/>
              </w:rPr>
              <w:t>9</w:t>
            </w:r>
            <w:r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67CFF" w:rsidRPr="00667CFF" w:rsidRDefault="00667CFF" w:rsidP="00E235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>I-II 201</w:t>
            </w:r>
            <w:r w:rsidR="00E235AE">
              <w:rPr>
                <w:rFonts w:cs="Arial"/>
                <w:color w:val="000000"/>
                <w:sz w:val="16"/>
                <w:szCs w:val="16"/>
              </w:rPr>
              <w:t>9</w:t>
            </w:r>
            <w:r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4F341F" w:rsidRPr="00667CFF" w:rsidTr="000552F4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4F341F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F341F" w:rsidRPr="00667CFF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F341F" w:rsidRPr="00667CFF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F341F" w:rsidRPr="00667CFF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F341F" w:rsidRPr="00667CFF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F341F" w:rsidRPr="00667CFF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4F341F" w:rsidP="004F341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F341F" w:rsidRPr="00667CFF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667CFF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667CFF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F341F" w:rsidRPr="00667CFF" w:rsidTr="000552F4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F341F" w:rsidRPr="00667CFF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F341F" w:rsidRPr="00667CFF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F341F" w:rsidRPr="00667CFF" w:rsidTr="000552F4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F341F" w:rsidRPr="00667CFF" w:rsidRDefault="004F341F" w:rsidP="004F341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F341F" w:rsidRPr="00DF0FFE" w:rsidRDefault="00655596" w:rsidP="004F34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4F341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8C6118" w:rsidRPr="00B73F57" w:rsidRDefault="00B73F57" w:rsidP="00364EBA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Pr="00B73F57">
        <w:rPr>
          <w:rStyle w:val="tlid-translation"/>
          <w:sz w:val="16"/>
          <w:szCs w:val="16"/>
          <w:lang w:val="en"/>
        </w:rPr>
        <w:t>No information or</w:t>
      </w:r>
      <w:r w:rsidR="00395D86">
        <w:rPr>
          <w:rStyle w:val="tlid-translation"/>
          <w:sz w:val="16"/>
          <w:szCs w:val="16"/>
          <w:lang w:val="en"/>
        </w:rPr>
        <w:t xml:space="preserve"> statistical</w:t>
      </w:r>
      <w:r w:rsidRPr="00B73F57">
        <w:rPr>
          <w:rStyle w:val="tlid-translation"/>
          <w:sz w:val="16"/>
          <w:szCs w:val="16"/>
          <w:lang w:val="en"/>
        </w:rPr>
        <w:t xml:space="preserve"> confidentiality required</w:t>
      </w:r>
    </w:p>
    <w:p w:rsidR="008C6118" w:rsidRDefault="008C6118" w:rsidP="00364EBA">
      <w:pPr>
        <w:rPr>
          <w:lang w:val="en-US" w:eastAsia="pl-PL"/>
        </w:rPr>
      </w:pPr>
    </w:p>
    <w:p w:rsidR="008C6118" w:rsidRDefault="008C6118" w:rsidP="00364EBA">
      <w:pPr>
        <w:rPr>
          <w:lang w:val="en-US" w:eastAsia="pl-PL"/>
        </w:rPr>
      </w:pPr>
    </w:p>
    <w:p w:rsidR="00816324" w:rsidRDefault="00816324" w:rsidP="00A274DF">
      <w:pPr>
        <w:pStyle w:val="tytuwykresu"/>
        <w:ind w:left="709" w:hanging="709"/>
        <w:rPr>
          <w:lang w:val="en-US"/>
        </w:rPr>
      </w:pPr>
    </w:p>
    <w:p w:rsidR="00816324" w:rsidRDefault="00816324" w:rsidP="00A274DF">
      <w:pPr>
        <w:pStyle w:val="tytuwykresu"/>
        <w:ind w:left="709" w:hanging="709"/>
        <w:rPr>
          <w:lang w:val="en-US"/>
        </w:rPr>
      </w:pP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F1454C">
        <w:rPr>
          <w:shd w:val="clear" w:color="auto" w:fill="FFFFFF"/>
          <w:lang w:val="en-US"/>
        </w:rPr>
        <w:t>Febr</w:t>
      </w:r>
      <w:r w:rsidR="00D43AF4">
        <w:rPr>
          <w:shd w:val="clear" w:color="auto" w:fill="FFFFFF"/>
          <w:lang w:val="en-US"/>
        </w:rPr>
        <w:t xml:space="preserve">uary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Default="00816324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2144" behindDoc="0" locked="0" layoutInCell="1" allowOverlap="1" wp14:anchorId="317D05BC" wp14:editId="2451CF0C">
            <wp:simplePos x="0" y="0"/>
            <wp:positionH relativeFrom="margin">
              <wp:posOffset>0</wp:posOffset>
            </wp:positionH>
            <wp:positionV relativeFrom="margin">
              <wp:posOffset>605155</wp:posOffset>
            </wp:positionV>
            <wp:extent cx="5125720" cy="303657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Febr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uary 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0.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6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January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 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652A44">
                        <w:rPr>
                          <w:rFonts w:cs="Arial"/>
                          <w:lang w:val="en-US"/>
                        </w:rPr>
                        <w:t>Febr</w:t>
                      </w:r>
                      <w:r>
                        <w:rPr>
                          <w:rFonts w:cs="Arial"/>
                          <w:lang w:val="en-US"/>
                        </w:rPr>
                        <w:t>uary 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>
                        <w:rPr>
                          <w:rFonts w:cs="Arial"/>
                          <w:lang w:val="en-US"/>
                        </w:rPr>
                        <w:t>an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0.</w:t>
                      </w:r>
                      <w:r w:rsidR="00652A44">
                        <w:rPr>
                          <w:rFonts w:cs="Arial"/>
                          <w:lang w:val="en-US"/>
                        </w:rPr>
                        <w:t>6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January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 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652A44">
        <w:rPr>
          <w:szCs w:val="23"/>
          <w:lang w:val="en-US"/>
        </w:rPr>
        <w:t>Febru</w:t>
      </w:r>
      <w:r w:rsidR="00E53A8D">
        <w:rPr>
          <w:szCs w:val="23"/>
          <w:lang w:val="en-US"/>
        </w:rPr>
        <w:t>ary</w:t>
      </w:r>
      <w:r w:rsidR="00E351A2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E351A2">
        <w:rPr>
          <w:szCs w:val="23"/>
          <w:lang w:val="en-US"/>
        </w:rPr>
        <w:t>0</w:t>
      </w:r>
      <w:r>
        <w:rPr>
          <w:szCs w:val="23"/>
          <w:lang w:val="en-US"/>
        </w:rPr>
        <w:t>.</w:t>
      </w:r>
      <w:r w:rsidR="00652A44">
        <w:rPr>
          <w:szCs w:val="23"/>
          <w:lang w:val="en-US"/>
        </w:rPr>
        <w:t>6</w:t>
      </w:r>
      <w:r>
        <w:rPr>
          <w:szCs w:val="23"/>
          <w:lang w:val="en-US"/>
        </w:rPr>
        <w:t xml:space="preserve">% </w:t>
      </w:r>
      <w:r w:rsidR="00E53A8D">
        <w:rPr>
          <w:szCs w:val="23"/>
          <w:lang w:val="en-US"/>
        </w:rPr>
        <w:t>higher</w:t>
      </w:r>
      <w:r>
        <w:rPr>
          <w:szCs w:val="23"/>
          <w:lang w:val="en-US"/>
        </w:rPr>
        <w:t xml:space="preserve"> in comparison to </w:t>
      </w:r>
      <w:r w:rsidR="00652A44">
        <w:rPr>
          <w:szCs w:val="23"/>
          <w:lang w:val="en-US"/>
        </w:rPr>
        <w:t>January</w:t>
      </w:r>
      <w:r>
        <w:rPr>
          <w:szCs w:val="23"/>
          <w:lang w:val="en-US"/>
        </w:rPr>
        <w:t xml:space="preserve"> 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bookmarkStart w:id="0" w:name="_GoBack"/>
      <w:bookmarkEnd w:id="0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263D0C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263D0C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2A" w:rsidRDefault="00D10D2A" w:rsidP="000662E2">
      <w:pPr>
        <w:spacing w:after="0" w:line="240" w:lineRule="auto"/>
      </w:pPr>
      <w:r>
        <w:separator/>
      </w:r>
    </w:p>
  </w:endnote>
  <w:endnote w:type="continuationSeparator" w:id="0">
    <w:p w:rsidR="00D10D2A" w:rsidRDefault="00D10D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4A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3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2A" w:rsidRDefault="00D10D2A" w:rsidP="000662E2">
      <w:pPr>
        <w:spacing w:after="0" w:line="240" w:lineRule="auto"/>
      </w:pPr>
      <w:r>
        <w:separator/>
      </w:r>
    </w:p>
  </w:footnote>
  <w:footnote w:type="continuationSeparator" w:id="0">
    <w:p w:rsidR="00D10D2A" w:rsidRDefault="00D10D2A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55C1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55C1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55C1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55C1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3pt;height:122.3pt;visibility:visible;mso-wrap-style:square" o:bullet="t">
        <v:imagedata r:id="rId1" o:title=""/>
      </v:shape>
    </w:pict>
  </w:numPicBullet>
  <w:numPicBullet w:numPicBulletId="1">
    <w:pict>
      <v:shape id="_x0000_i1043" type="#_x0000_t75" style="width:122.3pt;height:122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85E"/>
    <w:rsid w:val="00057CA1"/>
    <w:rsid w:val="00057EC2"/>
    <w:rsid w:val="0006019C"/>
    <w:rsid w:val="00061FE0"/>
    <w:rsid w:val="000633F9"/>
    <w:rsid w:val="0006357B"/>
    <w:rsid w:val="000662E2"/>
    <w:rsid w:val="00066883"/>
    <w:rsid w:val="00067082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80E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3D76"/>
    <w:rsid w:val="000C46F0"/>
    <w:rsid w:val="000C5585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0FFA"/>
    <w:rsid w:val="000E2DD1"/>
    <w:rsid w:val="000E30AD"/>
    <w:rsid w:val="000E65E0"/>
    <w:rsid w:val="000E7B9D"/>
    <w:rsid w:val="000F2FDE"/>
    <w:rsid w:val="000F303C"/>
    <w:rsid w:val="000F4044"/>
    <w:rsid w:val="000F4AAC"/>
    <w:rsid w:val="000F511A"/>
    <w:rsid w:val="001011C3"/>
    <w:rsid w:val="001017E9"/>
    <w:rsid w:val="001035E8"/>
    <w:rsid w:val="00103810"/>
    <w:rsid w:val="001052D2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4F3B"/>
    <w:rsid w:val="0012679F"/>
    <w:rsid w:val="001267F4"/>
    <w:rsid w:val="00127768"/>
    <w:rsid w:val="00130296"/>
    <w:rsid w:val="001304EC"/>
    <w:rsid w:val="0013057C"/>
    <w:rsid w:val="00130AB2"/>
    <w:rsid w:val="0013237E"/>
    <w:rsid w:val="001329A9"/>
    <w:rsid w:val="00134242"/>
    <w:rsid w:val="00134F38"/>
    <w:rsid w:val="00135671"/>
    <w:rsid w:val="00135D92"/>
    <w:rsid w:val="00137A33"/>
    <w:rsid w:val="001409E1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30FF"/>
    <w:rsid w:val="00214C41"/>
    <w:rsid w:val="00215013"/>
    <w:rsid w:val="00216030"/>
    <w:rsid w:val="00220C68"/>
    <w:rsid w:val="002220B7"/>
    <w:rsid w:val="0022314B"/>
    <w:rsid w:val="00223C48"/>
    <w:rsid w:val="00223EBE"/>
    <w:rsid w:val="00226FE1"/>
    <w:rsid w:val="00230CBA"/>
    <w:rsid w:val="002314F1"/>
    <w:rsid w:val="0023186D"/>
    <w:rsid w:val="0023240E"/>
    <w:rsid w:val="002337B9"/>
    <w:rsid w:val="00234335"/>
    <w:rsid w:val="002347FD"/>
    <w:rsid w:val="00234F14"/>
    <w:rsid w:val="00235EE9"/>
    <w:rsid w:val="00236B7C"/>
    <w:rsid w:val="00236CA5"/>
    <w:rsid w:val="00237670"/>
    <w:rsid w:val="00237C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216E"/>
    <w:rsid w:val="00263D0C"/>
    <w:rsid w:val="00263D7E"/>
    <w:rsid w:val="0026573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5519"/>
    <w:rsid w:val="002B6B12"/>
    <w:rsid w:val="002C11BE"/>
    <w:rsid w:val="002C1CF2"/>
    <w:rsid w:val="002C37C2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2D36"/>
    <w:rsid w:val="003E43B9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2D2F"/>
    <w:rsid w:val="00445047"/>
    <w:rsid w:val="00447035"/>
    <w:rsid w:val="00451D2B"/>
    <w:rsid w:val="0045357F"/>
    <w:rsid w:val="00453AF6"/>
    <w:rsid w:val="00454107"/>
    <w:rsid w:val="004565DC"/>
    <w:rsid w:val="00460334"/>
    <w:rsid w:val="00461BD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09A"/>
    <w:rsid w:val="00487227"/>
    <w:rsid w:val="00487462"/>
    <w:rsid w:val="00490822"/>
    <w:rsid w:val="00491AED"/>
    <w:rsid w:val="0049360F"/>
    <w:rsid w:val="00494F1B"/>
    <w:rsid w:val="00494FF5"/>
    <w:rsid w:val="004954A5"/>
    <w:rsid w:val="00495553"/>
    <w:rsid w:val="0049621B"/>
    <w:rsid w:val="004A0185"/>
    <w:rsid w:val="004A05F6"/>
    <w:rsid w:val="004A08CE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50E3"/>
    <w:rsid w:val="004F62F7"/>
    <w:rsid w:val="004F63FC"/>
    <w:rsid w:val="004F6F05"/>
    <w:rsid w:val="00500AB3"/>
    <w:rsid w:val="00500B1E"/>
    <w:rsid w:val="00501958"/>
    <w:rsid w:val="00502500"/>
    <w:rsid w:val="005037B0"/>
    <w:rsid w:val="00504AEE"/>
    <w:rsid w:val="00505A92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D0C5C"/>
    <w:rsid w:val="005D373C"/>
    <w:rsid w:val="005D38AE"/>
    <w:rsid w:val="005D3C4B"/>
    <w:rsid w:val="005D4D1F"/>
    <w:rsid w:val="005D5852"/>
    <w:rsid w:val="005D661C"/>
    <w:rsid w:val="005E0448"/>
    <w:rsid w:val="005E0799"/>
    <w:rsid w:val="005E1BEA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0968"/>
    <w:rsid w:val="00610E43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5639"/>
    <w:rsid w:val="00697828"/>
    <w:rsid w:val="00697B34"/>
    <w:rsid w:val="006A2E6E"/>
    <w:rsid w:val="006A3DA0"/>
    <w:rsid w:val="006A42BE"/>
    <w:rsid w:val="006A45D9"/>
    <w:rsid w:val="006A5E06"/>
    <w:rsid w:val="006B07B7"/>
    <w:rsid w:val="006B0E9E"/>
    <w:rsid w:val="006B3156"/>
    <w:rsid w:val="006B42B4"/>
    <w:rsid w:val="006B5AE4"/>
    <w:rsid w:val="006B61EB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E02EC"/>
    <w:rsid w:val="006E04D4"/>
    <w:rsid w:val="006E278A"/>
    <w:rsid w:val="006E309F"/>
    <w:rsid w:val="006E467E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76D2"/>
    <w:rsid w:val="00707C79"/>
    <w:rsid w:val="00711D2E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5043"/>
    <w:rsid w:val="00745877"/>
    <w:rsid w:val="00745C66"/>
    <w:rsid w:val="00746187"/>
    <w:rsid w:val="00746CF4"/>
    <w:rsid w:val="00753F1D"/>
    <w:rsid w:val="0075457A"/>
    <w:rsid w:val="00754B1C"/>
    <w:rsid w:val="00754D5F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F54"/>
    <w:rsid w:val="007E7787"/>
    <w:rsid w:val="007F0AEA"/>
    <w:rsid w:val="007F29B4"/>
    <w:rsid w:val="007F324B"/>
    <w:rsid w:val="007F42A2"/>
    <w:rsid w:val="007F6C0F"/>
    <w:rsid w:val="007F75D5"/>
    <w:rsid w:val="00803A45"/>
    <w:rsid w:val="00804C09"/>
    <w:rsid w:val="0080553C"/>
    <w:rsid w:val="00805B46"/>
    <w:rsid w:val="00806105"/>
    <w:rsid w:val="008067AB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456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47FBC"/>
    <w:rsid w:val="00850631"/>
    <w:rsid w:val="00850BC2"/>
    <w:rsid w:val="00851C48"/>
    <w:rsid w:val="00852448"/>
    <w:rsid w:val="00853114"/>
    <w:rsid w:val="00853ED4"/>
    <w:rsid w:val="00855B55"/>
    <w:rsid w:val="00856509"/>
    <w:rsid w:val="00861BC5"/>
    <w:rsid w:val="00861D1D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94780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3273"/>
    <w:rsid w:val="00933EC1"/>
    <w:rsid w:val="00935ABA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6BD4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E7"/>
    <w:rsid w:val="009C33FC"/>
    <w:rsid w:val="009C4E61"/>
    <w:rsid w:val="009C51B2"/>
    <w:rsid w:val="009C5DA1"/>
    <w:rsid w:val="009C6ACB"/>
    <w:rsid w:val="009C7251"/>
    <w:rsid w:val="009D0AFC"/>
    <w:rsid w:val="009D4486"/>
    <w:rsid w:val="009D78C4"/>
    <w:rsid w:val="009E0945"/>
    <w:rsid w:val="009E2303"/>
    <w:rsid w:val="009E2E91"/>
    <w:rsid w:val="009E3C26"/>
    <w:rsid w:val="009E69D1"/>
    <w:rsid w:val="009E7870"/>
    <w:rsid w:val="009F2D8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E80"/>
    <w:rsid w:val="00A528C0"/>
    <w:rsid w:val="00A53132"/>
    <w:rsid w:val="00A55519"/>
    <w:rsid w:val="00A563F2"/>
    <w:rsid w:val="00A566E8"/>
    <w:rsid w:val="00A60A1A"/>
    <w:rsid w:val="00A621D6"/>
    <w:rsid w:val="00A64090"/>
    <w:rsid w:val="00A646C3"/>
    <w:rsid w:val="00A646C8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4CE6"/>
    <w:rsid w:val="00A869C9"/>
    <w:rsid w:val="00A86B9F"/>
    <w:rsid w:val="00A86ECC"/>
    <w:rsid w:val="00A86FCC"/>
    <w:rsid w:val="00A90129"/>
    <w:rsid w:val="00A92B98"/>
    <w:rsid w:val="00A93FE5"/>
    <w:rsid w:val="00A94677"/>
    <w:rsid w:val="00A95F26"/>
    <w:rsid w:val="00A97F4D"/>
    <w:rsid w:val="00AA0F25"/>
    <w:rsid w:val="00AA1051"/>
    <w:rsid w:val="00AA17D6"/>
    <w:rsid w:val="00AA2D3A"/>
    <w:rsid w:val="00AA4208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C75A7"/>
    <w:rsid w:val="00AD1021"/>
    <w:rsid w:val="00AD1D71"/>
    <w:rsid w:val="00AD2499"/>
    <w:rsid w:val="00AD2B0D"/>
    <w:rsid w:val="00AD2D8C"/>
    <w:rsid w:val="00AD36DA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15B5"/>
    <w:rsid w:val="00B0233E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3F07"/>
    <w:rsid w:val="00B240DC"/>
    <w:rsid w:val="00B254E3"/>
    <w:rsid w:val="00B25EE8"/>
    <w:rsid w:val="00B2761E"/>
    <w:rsid w:val="00B31CD7"/>
    <w:rsid w:val="00B31E5A"/>
    <w:rsid w:val="00B34829"/>
    <w:rsid w:val="00B42042"/>
    <w:rsid w:val="00B42274"/>
    <w:rsid w:val="00B45617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652"/>
    <w:rsid w:val="00B66B19"/>
    <w:rsid w:val="00B67045"/>
    <w:rsid w:val="00B701E8"/>
    <w:rsid w:val="00B70FBB"/>
    <w:rsid w:val="00B71522"/>
    <w:rsid w:val="00B71810"/>
    <w:rsid w:val="00B73F57"/>
    <w:rsid w:val="00B758D9"/>
    <w:rsid w:val="00B811F7"/>
    <w:rsid w:val="00B8296C"/>
    <w:rsid w:val="00B82AF5"/>
    <w:rsid w:val="00B83883"/>
    <w:rsid w:val="00B86890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1810"/>
    <w:rsid w:val="00BA1D09"/>
    <w:rsid w:val="00BA2BA1"/>
    <w:rsid w:val="00BA3311"/>
    <w:rsid w:val="00BA38B6"/>
    <w:rsid w:val="00BA5243"/>
    <w:rsid w:val="00BA6601"/>
    <w:rsid w:val="00BA6BEF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2B1B"/>
    <w:rsid w:val="00C83C61"/>
    <w:rsid w:val="00C84FE4"/>
    <w:rsid w:val="00C851E2"/>
    <w:rsid w:val="00C87772"/>
    <w:rsid w:val="00C911BB"/>
    <w:rsid w:val="00C91283"/>
    <w:rsid w:val="00C91687"/>
    <w:rsid w:val="00C924A8"/>
    <w:rsid w:val="00C928B7"/>
    <w:rsid w:val="00C93246"/>
    <w:rsid w:val="00C939A7"/>
    <w:rsid w:val="00C945FE"/>
    <w:rsid w:val="00C946C0"/>
    <w:rsid w:val="00C969F2"/>
    <w:rsid w:val="00C96FAA"/>
    <w:rsid w:val="00C97A04"/>
    <w:rsid w:val="00CA107B"/>
    <w:rsid w:val="00CA17BF"/>
    <w:rsid w:val="00CA19A3"/>
    <w:rsid w:val="00CA2840"/>
    <w:rsid w:val="00CA484D"/>
    <w:rsid w:val="00CA5570"/>
    <w:rsid w:val="00CA59D7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88"/>
    <w:rsid w:val="00CF30BC"/>
    <w:rsid w:val="00CF4099"/>
    <w:rsid w:val="00CF7D75"/>
    <w:rsid w:val="00D006D0"/>
    <w:rsid w:val="00D00796"/>
    <w:rsid w:val="00D01FB4"/>
    <w:rsid w:val="00D02B78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2B1B"/>
    <w:rsid w:val="00D33B5F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31"/>
    <w:rsid w:val="00D8397C"/>
    <w:rsid w:val="00D86C26"/>
    <w:rsid w:val="00D905A6"/>
    <w:rsid w:val="00D92177"/>
    <w:rsid w:val="00D94EED"/>
    <w:rsid w:val="00D95575"/>
    <w:rsid w:val="00D959B3"/>
    <w:rsid w:val="00D96026"/>
    <w:rsid w:val="00D96A97"/>
    <w:rsid w:val="00D96D81"/>
    <w:rsid w:val="00D97A7C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17D6"/>
    <w:rsid w:val="00DE35DD"/>
    <w:rsid w:val="00DE5572"/>
    <w:rsid w:val="00DE5656"/>
    <w:rsid w:val="00DE5E99"/>
    <w:rsid w:val="00DF19B2"/>
    <w:rsid w:val="00DF2DDE"/>
    <w:rsid w:val="00DF60F9"/>
    <w:rsid w:val="00DF6682"/>
    <w:rsid w:val="00E0020E"/>
    <w:rsid w:val="00E0123B"/>
    <w:rsid w:val="00E01436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D84"/>
    <w:rsid w:val="00E23337"/>
    <w:rsid w:val="00E235AE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890"/>
    <w:rsid w:val="00E37D56"/>
    <w:rsid w:val="00E401D2"/>
    <w:rsid w:val="00E40C72"/>
    <w:rsid w:val="00E41E94"/>
    <w:rsid w:val="00E42FF9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1B33"/>
    <w:rsid w:val="00F0229B"/>
    <w:rsid w:val="00F02C7A"/>
    <w:rsid w:val="00F037A4"/>
    <w:rsid w:val="00F04A2A"/>
    <w:rsid w:val="00F077CC"/>
    <w:rsid w:val="00F10A47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35F4"/>
    <w:rsid w:val="00F23ABC"/>
    <w:rsid w:val="00F23B32"/>
    <w:rsid w:val="00F24830"/>
    <w:rsid w:val="00F250B7"/>
    <w:rsid w:val="00F251B7"/>
    <w:rsid w:val="00F257C1"/>
    <w:rsid w:val="00F27C8F"/>
    <w:rsid w:val="00F31251"/>
    <w:rsid w:val="00F32749"/>
    <w:rsid w:val="00F34143"/>
    <w:rsid w:val="00F3441A"/>
    <w:rsid w:val="00F3483D"/>
    <w:rsid w:val="00F356A7"/>
    <w:rsid w:val="00F36237"/>
    <w:rsid w:val="00F36A45"/>
    <w:rsid w:val="00F37172"/>
    <w:rsid w:val="00F40D11"/>
    <w:rsid w:val="00F40F30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418E"/>
    <w:rsid w:val="00F9456C"/>
    <w:rsid w:val="00F958FD"/>
    <w:rsid w:val="00F96B05"/>
    <w:rsid w:val="00FA130D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27C1"/>
    <w:rsid w:val="00FC2AED"/>
    <w:rsid w:val="00FC4151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62F5"/>
    <w:rsid w:val="00FE655C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Arkusz1!$B$77:$C$114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Arkusz1!$D$77:$D$114</c:f>
              <c:numCache>
                <c:formatCode>General</c:formatCode>
                <c:ptCount val="38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634642944"/>
        <c:axId val="634643488"/>
      </c:barChart>
      <c:catAx>
        <c:axId val="6346429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6346434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634643488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63464294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4.781118169513627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777006937561942E-3"/>
                  <c:y val="-4.8271569566978529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5.6296742706408873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103.8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rodz_dział_miesiąc!$BR$4:$BR$11</c:f>
              <c:numCache>
                <c:formatCode>0\.0</c:formatCode>
                <c:ptCount val="8"/>
                <c:pt idx="0">
                  <c:v>106.9</c:v>
                </c:pt>
                <c:pt idx="1">
                  <c:v>105</c:v>
                </c:pt>
                <c:pt idx="2">
                  <c:v>103.5</c:v>
                </c:pt>
                <c:pt idx="3">
                  <c:v>112.5</c:v>
                </c:pt>
                <c:pt idx="4">
                  <c:v>113</c:v>
                </c:pt>
                <c:pt idx="5">
                  <c:v>109.2</c:v>
                </c:pt>
                <c:pt idx="6">
                  <c:v>101.3</c:v>
                </c:pt>
                <c:pt idx="7">
                  <c:v>103.8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34641856"/>
        <c:axId val="634641312"/>
      </c:barChart>
      <c:catAx>
        <c:axId val="634641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63464131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634641312"/>
        <c:scaling>
          <c:orientation val="minMax"/>
          <c:max val="115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6346418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15E-2"/>
          <c:y val="6.7454676273573905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4.9584727903805624E-3"/>
                  <c:y val="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118.3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2396181975951407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130.9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4644032"/>
        <c:axId val="634644576"/>
      </c:lineChart>
      <c:catAx>
        <c:axId val="634644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34644576"/>
        <c:crosses val="autoZero"/>
        <c:auto val="1"/>
        <c:lblAlgn val="ctr"/>
        <c:lblOffset val="100"/>
        <c:tickMarkSkip val="12"/>
        <c:noMultiLvlLbl val="0"/>
      </c:catAx>
      <c:valAx>
        <c:axId val="63464457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3464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0.23688</cdr:x>
      <cdr:y>0.17407</cdr:y>
    </cdr:from>
    <cdr:to>
      <cdr:x>0.39514</cdr:x>
      <cdr:y>0.25925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14196" y="528579"/>
          <a:ext cx="811196" cy="258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107.3</a:t>
          </a:r>
        </a:p>
      </cdr:txBody>
    </cdr:sp>
  </cdr:relSizeAnchor>
  <cdr:relSizeAnchor xmlns:cdr="http://schemas.openxmlformats.org/drawingml/2006/chartDrawing">
    <cdr:from>
      <cdr:x>0.24493</cdr:x>
      <cdr:y>0.25726</cdr:y>
    </cdr:from>
    <cdr:to>
      <cdr:x>0.30126</cdr:x>
      <cdr:y>0.37758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55442" y="781178"/>
          <a:ext cx="288741" cy="36536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0.0467</cdr:x>
      <cdr:y>0.38938</cdr:y>
    </cdr:from>
    <cdr:to>
      <cdr:x>0.95362</cdr:x>
      <cdr:y>0.39143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9364" y="1182383"/>
          <a:ext cx="4648618" cy="62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26493-D4F6-44AA-BD84-6D803726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2020-02-20T14:15:00Z</cp:lastPrinted>
  <dcterms:created xsi:type="dcterms:W3CDTF">2020-03-19T11:32:00Z</dcterms:created>
  <dcterms:modified xsi:type="dcterms:W3CDTF">2020-03-19T11:32:00Z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