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D31A91">
        <w:rPr>
          <w:rFonts w:cs="Arial"/>
          <w:lang w:val="en-US"/>
        </w:rPr>
        <w:t>May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D31A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31A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5A400F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r w:rsidR="00EC3F9B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D31A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31A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5A400F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A </w:t>
                      </w:r>
                      <w:r w:rsidR="00EC3F9B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4E6DBA">
        <w:rPr>
          <w:rFonts w:cs="Arial"/>
          <w:lang w:val="en-US"/>
        </w:rPr>
        <w:t xml:space="preserve">May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 xml:space="preserve">by </w:t>
      </w:r>
      <w:r w:rsidR="004E6DBA">
        <w:rPr>
          <w:rFonts w:cs="Arial"/>
          <w:lang w:val="en-US"/>
        </w:rPr>
        <w:t>7</w:t>
      </w:r>
      <w:r w:rsidR="001A40AB">
        <w:rPr>
          <w:rFonts w:cs="Arial"/>
          <w:lang w:val="en-US"/>
        </w:rPr>
        <w:t>.</w:t>
      </w:r>
      <w:r w:rsidR="004E6DBA">
        <w:rPr>
          <w:rFonts w:cs="Arial"/>
          <w:lang w:val="en-US"/>
        </w:rPr>
        <w:t>7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A94CC0">
        <w:rPr>
          <w:rFonts w:cs="Arial"/>
          <w:lang w:val="en-US"/>
        </w:rPr>
        <w:t xml:space="preserve">lower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4E6DBA">
        <w:rPr>
          <w:rFonts w:cs="Arial"/>
          <w:lang w:val="en-US"/>
        </w:rPr>
        <w:t>5.6</w:t>
      </w:r>
      <w:r w:rsidR="004B784E">
        <w:rPr>
          <w:rFonts w:cs="Arial"/>
          <w:lang w:val="en-US"/>
        </w:rPr>
        <w:t>% in</w:t>
      </w:r>
      <w:r w:rsidR="00E445CF">
        <w:rPr>
          <w:rFonts w:cs="Arial"/>
          <w:lang w:val="en-US"/>
        </w:rPr>
        <w:t xml:space="preserve"> </w:t>
      </w:r>
      <w:r w:rsidR="004E6DBA">
        <w:rPr>
          <w:rFonts w:cs="Arial"/>
          <w:lang w:val="en-US"/>
        </w:rPr>
        <w:t xml:space="preserve">May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4E6DBA">
        <w:rPr>
          <w:lang w:val="en-US"/>
        </w:rPr>
        <w:t>April</w:t>
      </w:r>
      <w:r w:rsidR="008C57A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4E6DBA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4E6DBA">
        <w:rPr>
          <w:lang w:val="en-US"/>
        </w:rPr>
        <w:t>14</w:t>
      </w:r>
      <w:r w:rsidR="002B5519">
        <w:rPr>
          <w:lang w:val="en-US"/>
        </w:rPr>
        <w:t>.</w:t>
      </w:r>
      <w:r w:rsidR="004E6DBA">
        <w:rPr>
          <w:lang w:val="en-US"/>
        </w:rPr>
        <w:t>9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F2D80" w:rsidRPr="009F2D80">
        <w:rPr>
          <w:lang w:val="en-US"/>
        </w:rPr>
        <w:t>In the period of January-</w:t>
      </w:r>
      <w:r w:rsidR="004E6DBA">
        <w:rPr>
          <w:lang w:val="en-US"/>
        </w:rPr>
        <w:t>May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4E6DBA">
        <w:rPr>
          <w:lang w:val="en-US"/>
        </w:rPr>
        <w:t xml:space="preserve"> retail sales y/y were by 6</w:t>
      </w:r>
      <w:r w:rsidR="009F2D80" w:rsidRPr="009F2D80">
        <w:rPr>
          <w:lang w:val="en-US"/>
        </w:rPr>
        <w:t>.</w:t>
      </w:r>
      <w:r w:rsidR="004E6DBA">
        <w:rPr>
          <w:lang w:val="en-US"/>
        </w:rPr>
        <w:t>2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2C0557">
        <w:rPr>
          <w:lang w:val="en-US"/>
        </w:rPr>
        <w:t>6.5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48" w:rsidRPr="000F4044" w:rsidRDefault="00C81D7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EA2A76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082349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B4DD4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234F14"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B4DD4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>crease in</w:t>
                            </w:r>
                            <w:r w:rsidR="00270D05" w:rsidRPr="00270D0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 xml:space="preserve">retail sales per annum was recorded in 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9635A5" w:rsidRPr="004C5CAB">
                              <w:rPr>
                                <w:color w:val="003366"/>
                                <w:lang w:val="en-US"/>
                              </w:rPr>
                              <w:t>presented</w:t>
                            </w:r>
                            <w:r w:rsidR="009635A5" w:rsidRPr="004C5CAB">
                              <w:rPr>
                                <w:rFonts w:cs="Arial"/>
                                <w:color w:val="003366"/>
                                <w:lang w:val="en-US"/>
                              </w:rPr>
                              <w:t xml:space="preserve">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65123F">
                              <w:rPr>
                                <w:rFonts w:cs="Arial"/>
                                <w:lang w:val="en-US"/>
                              </w:rPr>
                              <w:t xml:space="preserve">, 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>with the largest in the group “motor vehicles, motorcycles, parts” – 34.0%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223C48" w:rsidRPr="000F4044" w:rsidRDefault="00C81D7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EA2A76">
                        <w:rPr>
                          <w:rFonts w:cs="Arial"/>
                          <w:lang w:val="en-US"/>
                        </w:rPr>
                        <w:t>May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234F14">
                        <w:rPr>
                          <w:rFonts w:cs="Arial"/>
                          <w:lang w:val="en-US"/>
                        </w:rPr>
                        <w:t>20</w:t>
                      </w:r>
                      <w:r w:rsidR="00082349">
                        <w:rPr>
                          <w:rFonts w:cs="Arial"/>
                          <w:lang w:val="en-US"/>
                        </w:rPr>
                        <w:t>20</w:t>
                      </w:r>
                      <w:r w:rsidR="00234F1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B4DD4">
                        <w:rPr>
                          <w:rFonts w:cs="Arial"/>
                          <w:lang w:val="en-US"/>
                        </w:rPr>
                        <w:t>a</w:t>
                      </w:r>
                      <w:r w:rsidR="00234F14"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B4DD4">
                        <w:rPr>
                          <w:rFonts w:cs="Arial"/>
                          <w:lang w:val="en-US"/>
                        </w:rPr>
                        <w:t>de</w:t>
                      </w:r>
                      <w:r w:rsidR="00234F14">
                        <w:rPr>
                          <w:rFonts w:cs="Arial"/>
                          <w:lang w:val="en-US"/>
                        </w:rPr>
                        <w:t>crease in</w:t>
                      </w:r>
                      <w:r w:rsidR="00270D05" w:rsidRPr="00270D05">
                        <w:rPr>
                          <w:rFonts w:cs="Arial"/>
                          <w:lang w:val="en-US"/>
                        </w:rPr>
                        <w:t> </w:t>
                      </w:r>
                      <w:r w:rsidR="00234F14">
                        <w:rPr>
                          <w:rFonts w:cs="Arial"/>
                          <w:lang w:val="en-US"/>
                        </w:rPr>
                        <w:t xml:space="preserve">retail sales per annum was recorded in </w:t>
                      </w:r>
                      <w:r w:rsidR="00752C66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9635A5" w:rsidRPr="004C5CAB">
                        <w:rPr>
                          <w:color w:val="003366"/>
                          <w:lang w:val="en-US"/>
                        </w:rPr>
                        <w:t>presented</w:t>
                      </w:r>
                      <w:r w:rsidR="009635A5" w:rsidRPr="004C5CAB">
                        <w:rPr>
                          <w:rFonts w:cs="Arial"/>
                          <w:color w:val="003366"/>
                          <w:lang w:val="en-US"/>
                        </w:rPr>
                        <w:t xml:space="preserve">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  <w:r w:rsidR="0065123F">
                        <w:rPr>
                          <w:rFonts w:cs="Arial"/>
                          <w:lang w:val="en-US"/>
                        </w:rPr>
                        <w:t xml:space="preserve">, </w:t>
                      </w:r>
                      <w:r w:rsidR="00752C66">
                        <w:rPr>
                          <w:rFonts w:cs="Arial"/>
                          <w:lang w:val="en-US"/>
                        </w:rPr>
                        <w:t>with the largest in the group “motor vehicles, motorcycles, parts” – 34.0%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1E3201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5248A3">
        <w:rPr>
          <w:lang w:val="en-US" w:eastAsia="pl-PL"/>
        </w:rPr>
        <w:t>May</w:t>
      </w:r>
      <w:r>
        <w:rPr>
          <w:lang w:val="en-US" w:eastAsia="pl-PL"/>
        </w:rPr>
        <w:t xml:space="preserve"> 2020 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>
        <w:rPr>
          <w:lang w:val="en-US" w:eastAsia="pl-PL"/>
        </w:rPr>
        <w:t xml:space="preserve">retail sales (at constant prices) </w:t>
      </w:r>
      <w:r w:rsidRPr="00506EE2">
        <w:rPr>
          <w:lang w:val="en-US" w:eastAsia="pl-PL"/>
        </w:rPr>
        <w:t>decreased</w:t>
      </w:r>
      <w:r w:rsidRPr="00A5192D">
        <w:rPr>
          <w:color w:val="FF0000"/>
          <w:lang w:val="en-US" w:eastAsia="pl-PL"/>
        </w:rPr>
        <w:t xml:space="preserve"> </w:t>
      </w:r>
      <w:r>
        <w:rPr>
          <w:lang w:val="en-US" w:eastAsia="pl-PL"/>
        </w:rPr>
        <w:t xml:space="preserve">in </w:t>
      </w:r>
      <w:r w:rsidR="002961BD">
        <w:rPr>
          <w:lang w:val="en-US" w:eastAsia="pl-PL"/>
        </w:rPr>
        <w:t>most of</w:t>
      </w:r>
      <w:r w:rsidR="008766F7">
        <w:rPr>
          <w:lang w:val="en-US" w:eastAsia="pl-PL"/>
        </w:rPr>
        <w:t xml:space="preserve"> presented</w:t>
      </w:r>
      <w:r w:rsidR="006167C3">
        <w:rPr>
          <w:lang w:val="en-US" w:eastAsia="pl-PL"/>
        </w:rPr>
        <w:t xml:space="preserve"> </w:t>
      </w:r>
      <w:r>
        <w:rPr>
          <w:lang w:val="en-US" w:eastAsia="pl-PL"/>
        </w:rPr>
        <w:t xml:space="preserve">groups. </w:t>
      </w:r>
      <w:r w:rsidR="00794E5F" w:rsidRPr="00794E5F">
        <w:rPr>
          <w:rFonts w:cs="Arial"/>
          <w:lang w:val="en-US"/>
        </w:rPr>
        <w:t>A</w:t>
      </w:r>
      <w:r w:rsidR="000506FD">
        <w:rPr>
          <w:rFonts w:cs="Arial"/>
          <w:lang w:val="en-US"/>
        </w:rPr>
        <w:t xml:space="preserve"> d</w:t>
      </w:r>
      <w:r w:rsidR="00506EE2">
        <w:rPr>
          <w:rFonts w:cs="Arial"/>
          <w:lang w:val="en-US"/>
        </w:rPr>
        <w:t>rop</w:t>
      </w:r>
      <w:r w:rsidR="000506FD">
        <w:rPr>
          <w:rFonts w:cs="Arial"/>
          <w:lang w:val="en-US"/>
        </w:rPr>
        <w:t xml:space="preserve"> in sales was recorded in all groups</w:t>
      </w:r>
      <w:r w:rsidR="00794E5F" w:rsidRPr="00794E5F">
        <w:rPr>
          <w:rFonts w:cs="Arial"/>
          <w:lang w:val="en-US"/>
        </w:rPr>
        <w:t xml:space="preserve"> with a</w:t>
      </w:r>
      <w:r w:rsidR="00902B57">
        <w:rPr>
          <w:rFonts w:cs="Arial"/>
          <w:lang w:val="en-US"/>
        </w:rPr>
        <w:t> </w:t>
      </w:r>
      <w:r w:rsidR="00794E5F" w:rsidRPr="00794E5F">
        <w:rPr>
          <w:rFonts w:cs="Arial"/>
          <w:lang w:val="en-US"/>
        </w:rPr>
        <w:t>significa</w:t>
      </w:r>
      <w:r w:rsidR="009759D1">
        <w:rPr>
          <w:rFonts w:cs="Arial"/>
          <w:lang w:val="en-US"/>
        </w:rPr>
        <w:t>nt share in total retail sales</w:t>
      </w:r>
      <w:r w:rsidR="000506FD">
        <w:rPr>
          <w:rFonts w:cs="Arial"/>
          <w:lang w:val="en-US"/>
        </w:rPr>
        <w:t>: “</w:t>
      </w:r>
      <w:r w:rsidR="00BA01D0">
        <w:rPr>
          <w:rFonts w:cs="Arial"/>
          <w:color w:val="000000"/>
          <w:szCs w:val="19"/>
          <w:lang w:val="en-US"/>
        </w:rPr>
        <w:t>motor vehicles, motorcycles, parts</w:t>
      </w:r>
      <w:r w:rsidR="000506FD">
        <w:rPr>
          <w:rFonts w:cs="Arial"/>
          <w:color w:val="000000"/>
          <w:szCs w:val="19"/>
          <w:lang w:val="en-US"/>
        </w:rPr>
        <w:t>”</w:t>
      </w:r>
      <w:r w:rsidR="00BA01D0">
        <w:rPr>
          <w:rFonts w:cs="Arial"/>
          <w:lang w:val="en-US"/>
        </w:rPr>
        <w:t xml:space="preserve"> (by </w:t>
      </w:r>
      <w:r w:rsidR="00742D99">
        <w:rPr>
          <w:rFonts w:cs="Arial"/>
          <w:lang w:val="en-US"/>
        </w:rPr>
        <w:t>34.0</w:t>
      </w:r>
      <w:r w:rsidR="00BA01D0">
        <w:rPr>
          <w:rFonts w:cs="Arial"/>
          <w:lang w:val="en-US"/>
        </w:rPr>
        <w:t>%)</w:t>
      </w:r>
      <w:r w:rsidR="00EA0EE5">
        <w:rPr>
          <w:rFonts w:cs="Arial"/>
          <w:lang w:val="en-US"/>
        </w:rPr>
        <w:t xml:space="preserve">; </w:t>
      </w:r>
      <w:r w:rsidR="00BA01D0">
        <w:rPr>
          <w:rFonts w:cs="Arial"/>
          <w:lang w:val="en-US"/>
        </w:rPr>
        <w:t xml:space="preserve"> </w:t>
      </w:r>
      <w:r w:rsidR="00153E97">
        <w:rPr>
          <w:rFonts w:cs="Arial"/>
          <w:lang w:val="en-US"/>
        </w:rPr>
        <w:t>“</w:t>
      </w:r>
      <w:r w:rsidR="00BA01D0">
        <w:rPr>
          <w:rFonts w:cs="Arial"/>
          <w:lang w:val="en-US"/>
        </w:rPr>
        <w:t>solid</w:t>
      </w:r>
      <w:r w:rsidR="000E531C">
        <w:rPr>
          <w:rFonts w:cs="Arial"/>
          <w:lang w:val="en-US"/>
        </w:rPr>
        <w:t>, liquid and gaseous fuels</w:t>
      </w:r>
      <w:r w:rsidR="00153E97">
        <w:rPr>
          <w:rFonts w:cs="Arial"/>
          <w:lang w:val="en-US"/>
        </w:rPr>
        <w:t>”</w:t>
      </w:r>
      <w:r w:rsidR="000E531C">
        <w:rPr>
          <w:rFonts w:cs="Arial"/>
          <w:lang w:val="en-US"/>
        </w:rPr>
        <w:t xml:space="preserve"> (by </w:t>
      </w:r>
      <w:r w:rsidR="00153E97">
        <w:rPr>
          <w:rFonts w:cs="Arial"/>
          <w:lang w:val="en-US"/>
        </w:rPr>
        <w:t>17</w:t>
      </w:r>
      <w:r w:rsidR="000E531C">
        <w:rPr>
          <w:rFonts w:cs="Arial"/>
          <w:lang w:val="en-US"/>
        </w:rPr>
        <w:t>.9</w:t>
      </w:r>
      <w:r w:rsidR="00BA01D0">
        <w:rPr>
          <w:rFonts w:cs="Arial"/>
          <w:lang w:val="en-US"/>
        </w:rPr>
        <w:t>%)</w:t>
      </w:r>
      <w:r w:rsidR="00153E97">
        <w:rPr>
          <w:rFonts w:cs="Arial"/>
          <w:lang w:val="en-US"/>
        </w:rPr>
        <w:t xml:space="preserve">; </w:t>
      </w:r>
      <w:r w:rsidR="009E5DCB">
        <w:rPr>
          <w:lang w:val="en-US" w:eastAsia="pl-PL"/>
        </w:rPr>
        <w:t xml:space="preserve">“others” </w:t>
      </w:r>
      <w:r w:rsidR="0060664B">
        <w:rPr>
          <w:lang w:val="en-US" w:eastAsia="pl-PL"/>
        </w:rPr>
        <w:t xml:space="preserve">(by </w:t>
      </w:r>
      <w:r w:rsidR="00153E97">
        <w:rPr>
          <w:lang w:val="en-US" w:eastAsia="pl-PL"/>
        </w:rPr>
        <w:t>14.5</w:t>
      </w:r>
      <w:r w:rsidR="00E373D3">
        <w:rPr>
          <w:lang w:val="en-US" w:eastAsia="pl-PL"/>
        </w:rPr>
        <w:t>%)</w:t>
      </w:r>
      <w:r w:rsidR="00153E97">
        <w:rPr>
          <w:lang w:val="en-US" w:eastAsia="pl-PL"/>
        </w:rPr>
        <w:t>;</w:t>
      </w:r>
      <w:r w:rsidR="00E373D3">
        <w:rPr>
          <w:lang w:val="en-US" w:eastAsia="pl-PL"/>
        </w:rPr>
        <w:t xml:space="preserve"> </w:t>
      </w:r>
      <w:r w:rsidR="00153E97">
        <w:rPr>
          <w:lang w:val="en-US" w:eastAsia="pl-PL"/>
        </w:rPr>
        <w:t>“</w:t>
      </w:r>
      <w:r w:rsidR="00E373D3">
        <w:rPr>
          <w:lang w:val="en-US" w:eastAsia="pl-PL"/>
        </w:rPr>
        <w:t>food, beverages and tobacco products</w:t>
      </w:r>
      <w:r w:rsidR="00153E97">
        <w:rPr>
          <w:lang w:val="en-US" w:eastAsia="pl-PL"/>
        </w:rPr>
        <w:t>”</w:t>
      </w:r>
      <w:r w:rsidR="00F93411">
        <w:rPr>
          <w:lang w:val="en-US" w:eastAsia="pl-PL"/>
        </w:rPr>
        <w:t xml:space="preserve"> </w:t>
      </w:r>
      <w:r w:rsidR="00BB0DD5">
        <w:rPr>
          <w:lang w:val="en-US" w:eastAsia="pl-PL"/>
        </w:rPr>
        <w:t xml:space="preserve">(by  </w:t>
      </w:r>
      <w:r w:rsidR="00153E97">
        <w:rPr>
          <w:lang w:val="en-US" w:eastAsia="pl-PL"/>
        </w:rPr>
        <w:t>7</w:t>
      </w:r>
      <w:r w:rsidR="00BB0DD5">
        <w:rPr>
          <w:lang w:val="en-US" w:eastAsia="pl-PL"/>
        </w:rPr>
        <w:t>.</w:t>
      </w:r>
      <w:r w:rsidR="00153E97">
        <w:rPr>
          <w:lang w:val="en-US" w:eastAsia="pl-PL"/>
        </w:rPr>
        <w:t>6</w:t>
      </w:r>
      <w:r w:rsidR="00E373D3">
        <w:rPr>
          <w:lang w:val="en-US" w:eastAsia="pl-PL"/>
        </w:rPr>
        <w:t xml:space="preserve">%). </w:t>
      </w:r>
      <w:r w:rsidR="0095619E">
        <w:rPr>
          <w:rFonts w:cs="Arial"/>
          <w:lang w:val="en-US"/>
        </w:rPr>
        <w:t xml:space="preserve">Within </w:t>
      </w:r>
      <w:r w:rsidR="0095619E" w:rsidRPr="00794E5F">
        <w:rPr>
          <w:rFonts w:cs="Arial"/>
          <w:lang w:val="en-US"/>
        </w:rPr>
        <w:t>groups with a</w:t>
      </w:r>
      <w:r w:rsidR="000825F3">
        <w:rPr>
          <w:rFonts w:cs="Arial"/>
          <w:lang w:val="en-US"/>
        </w:rPr>
        <w:t> </w:t>
      </w:r>
      <w:r w:rsidR="00E373D3">
        <w:rPr>
          <w:rFonts w:cs="Arial"/>
          <w:lang w:val="en-US"/>
        </w:rPr>
        <w:t>smaller</w:t>
      </w:r>
      <w:r w:rsidR="0095619E">
        <w:rPr>
          <w:rFonts w:cs="Arial"/>
          <w:lang w:val="en-US"/>
        </w:rPr>
        <w:t xml:space="preserve"> share in total retail sales</w:t>
      </w:r>
      <w:r w:rsidR="0025314E">
        <w:rPr>
          <w:rFonts w:cs="Arial"/>
          <w:lang w:val="en-US"/>
        </w:rPr>
        <w:t xml:space="preserve"> </w:t>
      </w:r>
      <w:r w:rsidR="004A2EE1">
        <w:rPr>
          <w:rFonts w:cs="Arial"/>
          <w:lang w:val="en-US"/>
        </w:rPr>
        <w:t xml:space="preserve">the </w:t>
      </w:r>
      <w:r w:rsidR="00A56DC1">
        <w:rPr>
          <w:rFonts w:cs="Arial"/>
          <w:lang w:val="en-US"/>
        </w:rPr>
        <w:t xml:space="preserve">largest </w:t>
      </w:r>
      <w:r w:rsidR="008F5E18">
        <w:rPr>
          <w:rFonts w:cs="Arial"/>
          <w:lang w:val="en-US"/>
        </w:rPr>
        <w:t>d</w:t>
      </w:r>
      <w:r w:rsidR="00896D11">
        <w:rPr>
          <w:rFonts w:cs="Arial"/>
          <w:lang w:val="en-US"/>
        </w:rPr>
        <w:t>ecrease</w:t>
      </w:r>
      <w:r w:rsidR="004A2EE1">
        <w:rPr>
          <w:rFonts w:cs="Arial"/>
          <w:lang w:val="en-US"/>
        </w:rPr>
        <w:t xml:space="preserve"> </w:t>
      </w:r>
      <w:r w:rsidR="0095619E">
        <w:rPr>
          <w:rFonts w:cs="Arial"/>
          <w:lang w:val="en-US"/>
        </w:rPr>
        <w:t xml:space="preserve">was </w:t>
      </w:r>
      <w:r w:rsidR="00FC27C1">
        <w:rPr>
          <w:rFonts w:cs="Arial"/>
          <w:lang w:val="en-US"/>
        </w:rPr>
        <w:t>noted in</w:t>
      </w:r>
      <w:r w:rsidR="0095619E">
        <w:rPr>
          <w:rFonts w:cs="Arial"/>
          <w:lang w:val="en-US"/>
        </w:rPr>
        <w:t xml:space="preserve"> </w:t>
      </w:r>
      <w:r w:rsidR="003C723B">
        <w:rPr>
          <w:rFonts w:cs="Arial"/>
          <w:lang w:val="en-US"/>
        </w:rPr>
        <w:t>the</w:t>
      </w:r>
      <w:r w:rsidR="00D64CFB">
        <w:rPr>
          <w:rFonts w:cs="Arial"/>
          <w:lang w:val="en-US"/>
        </w:rPr>
        <w:t xml:space="preserve"> group</w:t>
      </w:r>
      <w:r w:rsidR="0095619E">
        <w:rPr>
          <w:rFonts w:cs="Arial"/>
          <w:lang w:val="en-US"/>
        </w:rPr>
        <w:t xml:space="preserve"> </w:t>
      </w:r>
      <w:r w:rsidR="00AA4208">
        <w:rPr>
          <w:rFonts w:cs="Arial"/>
          <w:lang w:val="en-US"/>
        </w:rPr>
        <w:t>“</w:t>
      </w:r>
      <w:r w:rsidR="009865B1">
        <w:rPr>
          <w:rFonts w:cs="Arial"/>
          <w:lang w:val="en-US"/>
        </w:rPr>
        <w:t xml:space="preserve">pharmaceuticals, cosmetics, </w:t>
      </w:r>
      <w:proofErr w:type="spellStart"/>
      <w:r w:rsidR="009865B1">
        <w:rPr>
          <w:rFonts w:cs="Arial"/>
          <w:lang w:val="en-US"/>
        </w:rPr>
        <w:t>orthopaedic</w:t>
      </w:r>
      <w:proofErr w:type="spellEnd"/>
      <w:r w:rsidR="009865B1">
        <w:rPr>
          <w:rFonts w:cs="Arial"/>
          <w:lang w:val="en-US"/>
        </w:rPr>
        <w:t xml:space="preserve"> equipment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A503EE">
        <w:rPr>
          <w:rFonts w:cs="Arial"/>
          <w:sz w:val="18"/>
          <w:szCs w:val="18"/>
          <w:lang w:val="en-US"/>
        </w:rPr>
        <w:t xml:space="preserve"> (by </w:t>
      </w:r>
      <w:r w:rsidR="005C2F8B">
        <w:rPr>
          <w:rFonts w:cs="Arial"/>
          <w:sz w:val="18"/>
          <w:szCs w:val="18"/>
          <w:lang w:val="en-US"/>
        </w:rPr>
        <w:t>14</w:t>
      </w:r>
      <w:r w:rsidR="00A503EE">
        <w:rPr>
          <w:rFonts w:cs="Arial"/>
          <w:sz w:val="18"/>
          <w:szCs w:val="18"/>
          <w:lang w:val="en-US"/>
        </w:rPr>
        <w:t>.</w:t>
      </w:r>
      <w:r w:rsidR="005C2F8B">
        <w:rPr>
          <w:rFonts w:cs="Arial"/>
          <w:sz w:val="18"/>
          <w:szCs w:val="18"/>
          <w:lang w:val="en-US"/>
        </w:rPr>
        <w:t>1</w:t>
      </w:r>
      <w:r w:rsidR="004A2EE1" w:rsidRPr="0048343C">
        <w:rPr>
          <w:rFonts w:cs="Arial"/>
          <w:szCs w:val="19"/>
          <w:lang w:val="en-US"/>
        </w:rPr>
        <w:t xml:space="preserve">%). </w:t>
      </w:r>
      <w:r w:rsidR="00CC745B">
        <w:rPr>
          <w:rFonts w:cs="Arial"/>
          <w:szCs w:val="19"/>
          <w:lang w:val="en-US"/>
        </w:rPr>
        <w:t>An increase in sales was reported however by entities trading in furniture, radio, TV and household appliances (</w:t>
      </w:r>
      <w:r w:rsidR="001829CE">
        <w:rPr>
          <w:rFonts w:cs="Arial"/>
          <w:szCs w:val="19"/>
          <w:lang w:val="en-US"/>
        </w:rPr>
        <w:t xml:space="preserve">by </w:t>
      </w:r>
      <w:r w:rsidR="00CC745B">
        <w:rPr>
          <w:rFonts w:cs="Arial"/>
          <w:szCs w:val="19"/>
          <w:lang w:val="en-US"/>
        </w:rPr>
        <w:t>14.4%) and units classified into the group “newspapers, books, other sale in specialized stores”</w:t>
      </w:r>
      <w:r w:rsidR="001829CE">
        <w:rPr>
          <w:rFonts w:cs="Arial"/>
          <w:szCs w:val="19"/>
          <w:lang w:val="en-US"/>
        </w:rPr>
        <w:t xml:space="preserve"> (by 0.8%).</w:t>
      </w:r>
    </w:p>
    <w:p w:rsidR="00EA65C5" w:rsidRPr="003802B7" w:rsidRDefault="003802B7" w:rsidP="003802B7">
      <w:pPr>
        <w:rPr>
          <w:rFonts w:cs="Arial"/>
          <w:szCs w:val="19"/>
          <w:lang w:val="en-US"/>
        </w:rPr>
      </w:pPr>
      <w:r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 xml:space="preserve">n </w:t>
      </w:r>
      <w:r>
        <w:rPr>
          <w:szCs w:val="19"/>
          <w:lang w:val="en-US" w:eastAsia="pl-PL"/>
        </w:rPr>
        <w:t>May</w:t>
      </w:r>
      <w:r w:rsidR="00D9217F">
        <w:rPr>
          <w:szCs w:val="19"/>
          <w:lang w:val="en-US" w:eastAsia="pl-PL"/>
        </w:rPr>
        <w:t xml:space="preserve"> 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 </w:t>
      </w:r>
      <w:r>
        <w:rPr>
          <w:szCs w:val="19"/>
          <w:lang w:val="en-US" w:eastAsia="pl-PL"/>
        </w:rPr>
        <w:t>drop</w:t>
      </w:r>
      <w:r w:rsidR="00EA65C5" w:rsidRPr="0048343C">
        <w:rPr>
          <w:szCs w:val="19"/>
          <w:lang w:val="en-US" w:eastAsia="pl-PL"/>
        </w:rPr>
        <w:t xml:space="preserve"> in retail sales</w:t>
      </w:r>
      <w:r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was recorded</w:t>
      </w:r>
      <w:r w:rsidR="00D9217F">
        <w:rPr>
          <w:szCs w:val="19"/>
          <w:lang w:val="en-US" w:eastAsia="pl-PL"/>
        </w:rPr>
        <w:t xml:space="preserve"> (by </w:t>
      </w:r>
      <w:r w:rsidR="00220A8C">
        <w:rPr>
          <w:szCs w:val="19"/>
          <w:lang w:val="en-US" w:eastAsia="pl-PL"/>
        </w:rPr>
        <w:t>12</w:t>
      </w:r>
      <w:r w:rsidR="00D9217F">
        <w:rPr>
          <w:szCs w:val="19"/>
          <w:lang w:val="en-US" w:eastAsia="pl-PL"/>
        </w:rPr>
        <w:t>.7%)</w:t>
      </w:r>
      <w:r w:rsidR="00AF0A8C">
        <w:rPr>
          <w:szCs w:val="19"/>
          <w:lang w:val="en-US" w:eastAsia="pl-PL"/>
        </w:rPr>
        <w:t>. T</w:t>
      </w:r>
      <w:r w:rsidR="00EA65C5" w:rsidRPr="0048343C">
        <w:rPr>
          <w:szCs w:val="19"/>
          <w:lang w:val="en-US" w:eastAsia="pl-PL"/>
        </w:rPr>
        <w:t xml:space="preserve">he share of such sales (in </w:t>
      </w:r>
      <w:r w:rsidR="0008180C">
        <w:rPr>
          <w:szCs w:val="19"/>
          <w:lang w:val="en-US" w:eastAsia="pl-PL"/>
        </w:rPr>
        <w:t>current prices) decreased from 11.9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08180C">
        <w:rPr>
          <w:szCs w:val="19"/>
          <w:lang w:val="en-US" w:eastAsia="pl-PL"/>
        </w:rPr>
        <w:t>April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08180C">
        <w:rPr>
          <w:szCs w:val="19"/>
          <w:lang w:val="en-US" w:eastAsia="pl-PL"/>
        </w:rPr>
        <w:t>9.1</w:t>
      </w:r>
      <w:r w:rsidR="00CA4A16" w:rsidRPr="0048343C">
        <w:rPr>
          <w:szCs w:val="19"/>
          <w:lang w:val="en-US" w:eastAsia="pl-PL"/>
        </w:rPr>
        <w:t xml:space="preserve">% in </w:t>
      </w:r>
      <w:r w:rsidR="0008180C">
        <w:rPr>
          <w:szCs w:val="19"/>
          <w:lang w:val="en-US" w:eastAsia="pl-PL"/>
        </w:rPr>
        <w:t>May</w:t>
      </w:r>
      <w:r w:rsidR="00AF0A8C">
        <w:rPr>
          <w:szCs w:val="19"/>
          <w:lang w:val="en-US" w:eastAsia="pl-PL"/>
        </w:rPr>
        <w:t xml:space="preserve">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F02FA5">
        <w:rPr>
          <w:szCs w:val="19"/>
          <w:lang w:val="en-US" w:eastAsia="pl-PL"/>
        </w:rPr>
        <w:t xml:space="preserve"> </w:t>
      </w:r>
      <w:r w:rsidR="0008180C">
        <w:rPr>
          <w:szCs w:val="19"/>
          <w:lang w:val="en-US" w:eastAsia="pl-PL"/>
        </w:rPr>
        <w:t>decline</w:t>
      </w:r>
      <w:r w:rsidR="00F02FA5">
        <w:rPr>
          <w:szCs w:val="19"/>
          <w:lang w:val="en-US" w:eastAsia="pl-PL"/>
        </w:rPr>
        <w:t xml:space="preserve"> 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proofErr w:type="spellStart"/>
      <w:r w:rsidR="0037211E" w:rsidRPr="0037211E">
        <w:rPr>
          <w:szCs w:val="19"/>
          <w:lang w:val="en-US" w:eastAsia="pl-PL"/>
        </w:rPr>
        <w:t>i.a</w:t>
      </w:r>
      <w:proofErr w:type="spellEnd"/>
      <w:r w:rsidR="0037211E">
        <w:rPr>
          <w:color w:val="FF0000"/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7439A7" w:rsidRPr="0048343C">
        <w:rPr>
          <w:rFonts w:cs="Arial"/>
          <w:szCs w:val="19"/>
          <w:lang w:val="en-US"/>
        </w:rPr>
        <w:t>“textiles, clothing, footwear“ (</w:t>
      </w:r>
      <w:r w:rsidR="00706630">
        <w:rPr>
          <w:rFonts w:cs="Arial"/>
          <w:szCs w:val="19"/>
          <w:lang w:val="en-US"/>
        </w:rPr>
        <w:t xml:space="preserve">from </w:t>
      </w:r>
      <w:r w:rsidR="007439A7" w:rsidRPr="0048343C">
        <w:rPr>
          <w:rFonts w:cs="Arial"/>
          <w:szCs w:val="19"/>
          <w:lang w:val="en-US"/>
        </w:rPr>
        <w:t xml:space="preserve"> </w:t>
      </w:r>
      <w:r w:rsidR="0008180C">
        <w:rPr>
          <w:rFonts w:cs="Arial"/>
          <w:szCs w:val="19"/>
          <w:lang w:val="en-US"/>
        </w:rPr>
        <w:t>61.3</w:t>
      </w:r>
      <w:r w:rsidR="007439A7" w:rsidRPr="0048343C">
        <w:rPr>
          <w:rFonts w:cs="Arial"/>
          <w:szCs w:val="19"/>
          <w:lang w:val="en-US"/>
        </w:rPr>
        <w:t>%</w:t>
      </w:r>
      <w:r w:rsidR="00706630">
        <w:rPr>
          <w:rFonts w:cs="Arial"/>
          <w:szCs w:val="19"/>
          <w:lang w:val="en-US"/>
        </w:rPr>
        <w:t xml:space="preserve"> a month before to </w:t>
      </w:r>
      <w:r w:rsidR="0008180C">
        <w:rPr>
          <w:rFonts w:cs="Arial"/>
          <w:szCs w:val="19"/>
          <w:lang w:val="en-US"/>
        </w:rPr>
        <w:t>26.8</w:t>
      </w:r>
      <w:r w:rsidR="00706630">
        <w:rPr>
          <w:rFonts w:cs="Arial"/>
          <w:szCs w:val="19"/>
          <w:lang w:val="en-US"/>
        </w:rPr>
        <w:t xml:space="preserve">%)  as well as  </w:t>
      </w:r>
      <w:r w:rsidR="00832DB5">
        <w:rPr>
          <w:rFonts w:cs="Arial"/>
          <w:szCs w:val="19"/>
          <w:lang w:val="en-US"/>
        </w:rPr>
        <w:t xml:space="preserve">by </w:t>
      </w:r>
      <w:r w:rsidR="00706630">
        <w:rPr>
          <w:rFonts w:cs="Arial"/>
          <w:szCs w:val="19"/>
          <w:lang w:val="en-US"/>
        </w:rPr>
        <w:t xml:space="preserve">entities  from groups </w:t>
      </w:r>
      <w:r w:rsidR="007439A7" w:rsidRPr="0048343C">
        <w:rPr>
          <w:szCs w:val="19"/>
          <w:lang w:val="en-US" w:eastAsia="pl-PL"/>
        </w:rPr>
        <w:t>“newspapers, books, other sale in specialized stores” (</w:t>
      </w:r>
      <w:r w:rsidR="00706630">
        <w:rPr>
          <w:szCs w:val="19"/>
          <w:lang w:val="en-US" w:eastAsia="pl-PL"/>
        </w:rPr>
        <w:t xml:space="preserve">from </w:t>
      </w:r>
      <w:r w:rsidR="0008180C">
        <w:rPr>
          <w:szCs w:val="19"/>
          <w:lang w:val="en-US" w:eastAsia="pl-PL"/>
        </w:rPr>
        <w:t>39.9</w:t>
      </w:r>
      <w:r w:rsidR="00706630">
        <w:rPr>
          <w:szCs w:val="19"/>
          <w:lang w:val="en-US" w:eastAsia="pl-PL"/>
        </w:rPr>
        <w:t xml:space="preserve">% to </w:t>
      </w:r>
      <w:r w:rsidR="0008180C">
        <w:rPr>
          <w:szCs w:val="19"/>
          <w:lang w:val="en-US" w:eastAsia="pl-PL"/>
        </w:rPr>
        <w:t>25.2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 xml:space="preserve">ousehold appliances “ (from </w:t>
      </w:r>
      <w:r w:rsidR="0008180C">
        <w:rPr>
          <w:szCs w:val="19"/>
          <w:lang w:val="en-US" w:eastAsia="pl-PL"/>
        </w:rPr>
        <w:t>28.6</w:t>
      </w:r>
      <w:r w:rsidR="00706630">
        <w:rPr>
          <w:szCs w:val="19"/>
          <w:lang w:val="en-US" w:eastAsia="pl-PL"/>
        </w:rPr>
        <w:t xml:space="preserve">% to </w:t>
      </w:r>
      <w:r w:rsidR="0008180C">
        <w:rPr>
          <w:szCs w:val="19"/>
          <w:lang w:val="en-US" w:eastAsia="pl-PL"/>
        </w:rPr>
        <w:t>15</w:t>
      </w:r>
      <w:r w:rsidR="00706630">
        <w:rPr>
          <w:szCs w:val="19"/>
          <w:lang w:val="en-US" w:eastAsia="pl-PL"/>
        </w:rPr>
        <w:t>.6%</w:t>
      </w:r>
      <w:r w:rsidR="00883FE1">
        <w:rPr>
          <w:lang w:val="en-US" w:eastAsia="pl-PL"/>
        </w:rPr>
        <w:t>).</w:t>
      </w:r>
    </w:p>
    <w:p w:rsidR="009E69D1" w:rsidRDefault="004C5861" w:rsidP="004C5861">
      <w:pPr>
        <w:pStyle w:val="tytuwykresu"/>
        <w:spacing w:after="0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338B8C12" wp14:editId="0B896E60">
            <wp:simplePos x="0" y="0"/>
            <wp:positionH relativeFrom="margin">
              <wp:align>right</wp:align>
            </wp:positionH>
            <wp:positionV relativeFrom="margin">
              <wp:posOffset>5273675</wp:posOffset>
            </wp:positionV>
            <wp:extent cx="5118735" cy="2402840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413C1A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506206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V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2C1E07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E674A6" w:rsidRPr="00413C1A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674A6" w:rsidRPr="00F156AE" w:rsidRDefault="0015277D" w:rsidP="00E674A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</w:t>
            </w:r>
            <w:r w:rsidR="00E674A6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</w:t>
            </w:r>
            <w:r w:rsidR="00E674A6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93.</w:t>
            </w:r>
            <w:r w:rsidR="00E674A6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674A6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E674A6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E674A6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E674A6" w:rsidP="00E674A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674A6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E674A6" w:rsidRPr="00884DC7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E674A6" w:rsidRPr="00884DC7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E674A6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E674A6" w:rsidP="00E674A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E674A6" w:rsidP="00E674A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E674A6" w:rsidP="00E674A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E674A6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E674A6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E674A6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E674A6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E674A6" w:rsidRPr="00554E47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674A6" w:rsidRPr="00413C1A" w:rsidRDefault="00E674A6" w:rsidP="00E674A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674A6" w:rsidRPr="00F156AE" w:rsidRDefault="000C1198" w:rsidP="00E674A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E674A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FE408E" w:rsidRDefault="00FE408E" w:rsidP="00024832">
      <w:pPr>
        <w:rPr>
          <w:sz w:val="16"/>
          <w:szCs w:val="16"/>
          <w:lang w:val="en-US" w:eastAsia="pl-PL"/>
        </w:rPr>
      </w:pPr>
    </w:p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4C2B64" w:rsidRDefault="004C2B64" w:rsidP="00024832">
      <w:pPr>
        <w:rPr>
          <w:rStyle w:val="tlid-translation"/>
          <w:sz w:val="16"/>
          <w:szCs w:val="16"/>
          <w:lang w:val="en"/>
        </w:rPr>
      </w:pPr>
    </w:p>
    <w:p w:rsidR="00A84CE6" w:rsidRDefault="00AA5111" w:rsidP="009418A3">
      <w:pPr>
        <w:keepNext/>
        <w:spacing w:before="240" w:line="240" w:lineRule="auto"/>
        <w:outlineLvl w:val="0"/>
        <w:rPr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  <w:r w:rsidRPr="00E014C8">
        <w:rPr>
          <w:lang w:val="en-US" w:eastAsia="pl-PL"/>
        </w:rPr>
        <w:t xml:space="preserve"> 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D6377F" w:rsidRPr="00667CFF" w:rsidTr="001429F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6377F" w:rsidRPr="00667CFF" w:rsidRDefault="00D6377F" w:rsidP="001429F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D6377F" w:rsidRPr="00667CFF" w:rsidTr="001429F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D6377F" w:rsidRPr="00667CFF" w:rsidRDefault="00D6377F" w:rsidP="001429F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6377F" w:rsidRPr="00667CFF" w:rsidRDefault="002B4FEC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6377F" w:rsidRPr="00667CFF" w:rsidRDefault="00AF69C8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2B4FEC">
              <w:rPr>
                <w:rFonts w:cs="Arial"/>
                <w:color w:val="000000"/>
                <w:sz w:val="16"/>
                <w:szCs w:val="16"/>
              </w:rPr>
              <w:t>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D6377F" w:rsidRPr="00667CFF" w:rsidTr="001429F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6377F" w:rsidRPr="00667CFF" w:rsidRDefault="00D6377F" w:rsidP="001429F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6377F" w:rsidRPr="00667CFF" w:rsidRDefault="00AF69C8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2B4FEC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20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6377F" w:rsidRPr="00667CFF" w:rsidRDefault="002B4FEC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9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6377F" w:rsidRPr="00667CFF" w:rsidRDefault="00AF69C8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2B4FEC">
              <w:rPr>
                <w:rFonts w:cs="Arial"/>
                <w:color w:val="000000"/>
                <w:sz w:val="16"/>
                <w:szCs w:val="16"/>
              </w:rPr>
              <w:t>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9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662891" w:rsidRPr="00667CFF" w:rsidTr="001429F0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</w:t>
            </w:r>
            <w:r w:rsidR="00662891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</w:t>
            </w:r>
            <w:r w:rsidR="00662891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662891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62891" w:rsidRPr="00667CFF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662891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662891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662891" w:rsidP="0066289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62891" w:rsidRPr="00AE654E" w:rsidTr="001429F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65.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74.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662891" w:rsidRPr="00AE654E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120.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67.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83.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662891" w:rsidRPr="00AE654E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99.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97.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AE654E" w:rsidRDefault="00AE654E" w:rsidP="006628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102.</w:t>
            </w:r>
            <w:r w:rsidR="00662891" w:rsidRPr="00AE654E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662891" w:rsidRPr="00667CFF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662891" w:rsidP="006628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662891" w:rsidP="006628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662891" w:rsidP="006628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62891" w:rsidRPr="00667CFF" w:rsidTr="001429F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667CFF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667CFF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62891" w:rsidRPr="00667CFF" w:rsidTr="001429F0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229.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62891" w:rsidRPr="00884DC7" w:rsidTr="001429F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62891" w:rsidRPr="00884DC7" w:rsidTr="001429F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62891" w:rsidRPr="00667CFF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662891" w:rsidRPr="005E33D9" w:rsidTr="001429F0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62891" w:rsidRPr="005E33D9" w:rsidRDefault="00662891" w:rsidP="006628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62891" w:rsidRPr="00DF0FFE" w:rsidRDefault="00AE654E" w:rsidP="006628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6628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</w:tbl>
    <w:p w:rsidR="00FE408E" w:rsidRDefault="00FE408E" w:rsidP="00364EBA">
      <w:pPr>
        <w:rPr>
          <w:sz w:val="16"/>
          <w:szCs w:val="16"/>
          <w:lang w:val="en-US" w:eastAsia="pl-PL"/>
        </w:rPr>
      </w:pPr>
    </w:p>
    <w:p w:rsidR="008C6118" w:rsidRPr="00B73F57" w:rsidRDefault="00B73F57" w:rsidP="00364EBA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 w:rsidR="00F638D8">
        <w:rPr>
          <w:sz w:val="16"/>
          <w:szCs w:val="16"/>
          <w:lang w:val="en-US" w:eastAsia="pl-PL"/>
        </w:rPr>
        <w:t xml:space="preserve"> </w:t>
      </w:r>
      <w:r w:rsidR="00884DC7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884DC7" w:rsidRPr="00B73F57">
        <w:rPr>
          <w:rStyle w:val="tlid-translation"/>
          <w:sz w:val="16"/>
          <w:szCs w:val="16"/>
          <w:lang w:val="en"/>
        </w:rPr>
        <w:t>confidentiality</w:t>
      </w:r>
      <w:r w:rsidR="00884DC7">
        <w:rPr>
          <w:rStyle w:val="tlid-translation"/>
          <w:sz w:val="16"/>
          <w:szCs w:val="16"/>
          <w:lang w:val="en"/>
        </w:rPr>
        <w:t>) or providing</w:t>
      </w:r>
      <w:r w:rsidR="00884DC7" w:rsidRPr="00B73F57">
        <w:rPr>
          <w:rStyle w:val="tlid-translation"/>
          <w:sz w:val="16"/>
          <w:szCs w:val="16"/>
          <w:lang w:val="en"/>
        </w:rPr>
        <w:t xml:space="preserve"> </w:t>
      </w:r>
      <w:r w:rsidR="00884DC7"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B0348F">
        <w:rPr>
          <w:shd w:val="clear" w:color="auto" w:fill="FFFFFF"/>
          <w:lang w:val="en-US"/>
        </w:rPr>
        <w:t>May</w:t>
      </w:r>
      <w:r w:rsidR="006963B2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A274DF">
      <w:pPr>
        <w:pStyle w:val="tytuwykresu"/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563880</wp:posOffset>
            </wp:positionV>
            <wp:extent cx="5166360" cy="3078480"/>
            <wp:effectExtent l="0" t="0" r="0" b="762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118" w:rsidRPr="00DD45E0" w:rsidRDefault="008C6118" w:rsidP="008C6118">
      <w:pPr>
        <w:pStyle w:val="tytuwykresu"/>
        <w:spacing w:before="240"/>
        <w:rPr>
          <w:rFonts w:ascii="Fira Sans SemiBold" w:hAnsi="Fira Sans SemiBold"/>
          <w:b w:val="0"/>
          <w:color w:val="001D77"/>
          <w:sz w:val="20"/>
          <w:szCs w:val="23"/>
          <w:lang w:val="en-US"/>
        </w:rPr>
      </w:pPr>
      <w:r w:rsidRPr="00DD45E0">
        <w:rPr>
          <w:rFonts w:ascii="Fira Sans SemiBold" w:hAnsi="Fira Sans SemiBold"/>
          <w:b w:val="0"/>
          <w:color w:val="001D77"/>
          <w:sz w:val="20"/>
          <w:szCs w:val="23"/>
          <w:lang w:val="en-US"/>
        </w:rPr>
        <w:t>Retail sales seasonally adjusted</w:t>
      </w:r>
    </w:p>
    <w:bookmarkStart w:id="0" w:name="_GoBack"/>
    <w:bookmarkEnd w:id="0"/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May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5740E8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>7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April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May</w:t>
                      </w:r>
                      <w:r w:rsidR="00491E1F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5740E8">
                        <w:rPr>
                          <w:rFonts w:cs="Arial"/>
                          <w:lang w:val="en-US"/>
                        </w:rPr>
                        <w:t>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83B47">
                        <w:rPr>
                          <w:rFonts w:cs="Arial"/>
                          <w:lang w:val="en-US"/>
                        </w:rPr>
                        <w:t>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491E1F">
                        <w:rPr>
                          <w:rFonts w:cs="Arial"/>
                          <w:lang w:val="en-US"/>
                        </w:rPr>
                        <w:t>1</w:t>
                      </w:r>
                      <w:r w:rsidR="00E83B47">
                        <w:rPr>
                          <w:rFonts w:cs="Arial"/>
                          <w:lang w:val="en-US"/>
                        </w:rPr>
                        <w:t>7</w:t>
                      </w:r>
                      <w:r w:rsidR="00F8642A">
                        <w:rPr>
                          <w:rFonts w:cs="Arial"/>
                          <w:lang w:val="en-US"/>
                        </w:rPr>
                        <w:t>.</w:t>
                      </w:r>
                      <w:r w:rsidR="00491E1F">
                        <w:rPr>
                          <w:rFonts w:cs="Arial"/>
                          <w:lang w:val="en-US"/>
                        </w:rPr>
                        <w:t>4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April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E83B47">
        <w:rPr>
          <w:szCs w:val="23"/>
          <w:lang w:val="en-US"/>
        </w:rPr>
        <w:t xml:space="preserve">May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491E1F">
        <w:rPr>
          <w:szCs w:val="23"/>
          <w:lang w:val="en-US"/>
        </w:rPr>
        <w:t>1</w:t>
      </w:r>
      <w:r w:rsidR="00E83B47">
        <w:rPr>
          <w:szCs w:val="23"/>
          <w:lang w:val="en-US"/>
        </w:rPr>
        <w:t>7</w:t>
      </w:r>
      <w:r>
        <w:rPr>
          <w:szCs w:val="23"/>
          <w:lang w:val="en-US"/>
        </w:rPr>
        <w:t>.</w:t>
      </w:r>
      <w:r w:rsidR="00491E1F">
        <w:rPr>
          <w:szCs w:val="23"/>
          <w:lang w:val="en-US"/>
        </w:rPr>
        <w:t>4</w:t>
      </w:r>
      <w:r>
        <w:rPr>
          <w:szCs w:val="23"/>
          <w:lang w:val="en-US"/>
        </w:rPr>
        <w:t xml:space="preserve">% </w:t>
      </w:r>
      <w:r w:rsidR="00E83B47">
        <w:rPr>
          <w:szCs w:val="23"/>
          <w:lang w:val="en-US"/>
        </w:rPr>
        <w:t xml:space="preserve">higher </w:t>
      </w:r>
      <w:r>
        <w:rPr>
          <w:szCs w:val="23"/>
          <w:lang w:val="en-US"/>
        </w:rPr>
        <w:t xml:space="preserve">in comparison to </w:t>
      </w:r>
      <w:r w:rsidR="00E83B47">
        <w:rPr>
          <w:szCs w:val="23"/>
          <w:lang w:val="en-US"/>
        </w:rPr>
        <w:t xml:space="preserve">April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60FA4" w:rsidRDefault="00A60FA4" w:rsidP="00B25EE8">
      <w:pPr>
        <w:jc w:val="both"/>
        <w:rPr>
          <w:szCs w:val="19"/>
          <w:lang w:val="en-US"/>
        </w:rPr>
      </w:pP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8A106F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8A106F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7C" w:rsidRDefault="009A197C" w:rsidP="000662E2">
      <w:pPr>
        <w:spacing w:after="0" w:line="240" w:lineRule="auto"/>
      </w:pPr>
      <w:r>
        <w:separator/>
      </w:r>
    </w:p>
  </w:endnote>
  <w:endnote w:type="continuationSeparator" w:id="0">
    <w:p w:rsidR="009A197C" w:rsidRDefault="009A19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45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45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7C" w:rsidRDefault="009A197C" w:rsidP="000662E2">
      <w:pPr>
        <w:spacing w:after="0" w:line="240" w:lineRule="auto"/>
      </w:pPr>
      <w:r>
        <w:separator/>
      </w:r>
    </w:p>
  </w:footnote>
  <w:footnote w:type="continuationSeparator" w:id="0">
    <w:p w:rsidR="009A197C" w:rsidRDefault="009A197C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9138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31A91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9138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31A91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29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06FD"/>
    <w:rsid w:val="0005136D"/>
    <w:rsid w:val="00052608"/>
    <w:rsid w:val="000533D9"/>
    <w:rsid w:val="00053993"/>
    <w:rsid w:val="000557B6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198"/>
    <w:rsid w:val="000C135D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531C"/>
    <w:rsid w:val="000E65E0"/>
    <w:rsid w:val="000E7B9D"/>
    <w:rsid w:val="000F2FDE"/>
    <w:rsid w:val="000F30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E97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29CE"/>
    <w:rsid w:val="0018378F"/>
    <w:rsid w:val="001844A6"/>
    <w:rsid w:val="0018456B"/>
    <w:rsid w:val="001851A5"/>
    <w:rsid w:val="00186719"/>
    <w:rsid w:val="001905F6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A8C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1BD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02B7"/>
    <w:rsid w:val="00382DAE"/>
    <w:rsid w:val="00383530"/>
    <w:rsid w:val="003843DB"/>
    <w:rsid w:val="00384413"/>
    <w:rsid w:val="00384E44"/>
    <w:rsid w:val="00387793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6E2"/>
    <w:rsid w:val="004648F3"/>
    <w:rsid w:val="004657FC"/>
    <w:rsid w:val="00467693"/>
    <w:rsid w:val="004733F6"/>
    <w:rsid w:val="00473A17"/>
    <w:rsid w:val="00474E69"/>
    <w:rsid w:val="00476467"/>
    <w:rsid w:val="00477731"/>
    <w:rsid w:val="00477E8C"/>
    <w:rsid w:val="00481107"/>
    <w:rsid w:val="0048224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3939"/>
    <w:rsid w:val="004E3E42"/>
    <w:rsid w:val="004E6DBA"/>
    <w:rsid w:val="004E7C46"/>
    <w:rsid w:val="004F07EA"/>
    <w:rsid w:val="004F0B03"/>
    <w:rsid w:val="004F0C3C"/>
    <w:rsid w:val="004F1D81"/>
    <w:rsid w:val="004F2C3B"/>
    <w:rsid w:val="004F341F"/>
    <w:rsid w:val="004F50E3"/>
    <w:rsid w:val="004F62F7"/>
    <w:rsid w:val="004F63FC"/>
    <w:rsid w:val="004F6F05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EE2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48A3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0E8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2F8B"/>
    <w:rsid w:val="005C4F29"/>
    <w:rsid w:val="005C57A3"/>
    <w:rsid w:val="005C5F08"/>
    <w:rsid w:val="005C6163"/>
    <w:rsid w:val="005C65AA"/>
    <w:rsid w:val="005D0C5C"/>
    <w:rsid w:val="005D2D6E"/>
    <w:rsid w:val="005D373C"/>
    <w:rsid w:val="005D38AE"/>
    <w:rsid w:val="005D3C4B"/>
    <w:rsid w:val="005D4D1F"/>
    <w:rsid w:val="005D5852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453F"/>
    <w:rsid w:val="005F5A80"/>
    <w:rsid w:val="005F7959"/>
    <w:rsid w:val="00600D70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66"/>
    <w:rsid w:val="00746187"/>
    <w:rsid w:val="00746CF4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B099F"/>
    <w:rsid w:val="007B0EB1"/>
    <w:rsid w:val="007B1231"/>
    <w:rsid w:val="007B249E"/>
    <w:rsid w:val="007B2FB4"/>
    <w:rsid w:val="007B41C0"/>
    <w:rsid w:val="007B4243"/>
    <w:rsid w:val="007B68C0"/>
    <w:rsid w:val="007C016A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29B4"/>
    <w:rsid w:val="007F324B"/>
    <w:rsid w:val="007F42A2"/>
    <w:rsid w:val="007F6C0F"/>
    <w:rsid w:val="007F75D5"/>
    <w:rsid w:val="00800AB3"/>
    <w:rsid w:val="00803A45"/>
    <w:rsid w:val="00804C09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B55"/>
    <w:rsid w:val="00856509"/>
    <w:rsid w:val="00861BC5"/>
    <w:rsid w:val="00861D1D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E67"/>
    <w:rsid w:val="008A106F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65B1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7C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200"/>
    <w:rsid w:val="009E69D1"/>
    <w:rsid w:val="009E7870"/>
    <w:rsid w:val="009F2D80"/>
    <w:rsid w:val="009F3023"/>
    <w:rsid w:val="009F3FF4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D6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F04BF"/>
    <w:rsid w:val="00AF0A8C"/>
    <w:rsid w:val="00AF1180"/>
    <w:rsid w:val="00AF11C3"/>
    <w:rsid w:val="00AF14F1"/>
    <w:rsid w:val="00AF2E2D"/>
    <w:rsid w:val="00AF3882"/>
    <w:rsid w:val="00AF411A"/>
    <w:rsid w:val="00AF5980"/>
    <w:rsid w:val="00AF69C8"/>
    <w:rsid w:val="00AF6D09"/>
    <w:rsid w:val="00B00BC3"/>
    <w:rsid w:val="00B015B5"/>
    <w:rsid w:val="00B0233E"/>
    <w:rsid w:val="00B0348F"/>
    <w:rsid w:val="00B04BBF"/>
    <w:rsid w:val="00B0574F"/>
    <w:rsid w:val="00B060B5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652"/>
    <w:rsid w:val="00B66B19"/>
    <w:rsid w:val="00B67045"/>
    <w:rsid w:val="00B701E8"/>
    <w:rsid w:val="00B70FBB"/>
    <w:rsid w:val="00B71522"/>
    <w:rsid w:val="00B71810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C7724"/>
    <w:rsid w:val="00BD1B2E"/>
    <w:rsid w:val="00BD363F"/>
    <w:rsid w:val="00BD3C6A"/>
    <w:rsid w:val="00BD407C"/>
    <w:rsid w:val="00BD4E33"/>
    <w:rsid w:val="00BD5FF4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88"/>
    <w:rsid w:val="00CE76DC"/>
    <w:rsid w:val="00CF30BC"/>
    <w:rsid w:val="00CF4099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1A91"/>
    <w:rsid w:val="00D31B3F"/>
    <w:rsid w:val="00D32B1B"/>
    <w:rsid w:val="00D33B5F"/>
    <w:rsid w:val="00D3472C"/>
    <w:rsid w:val="00D358DF"/>
    <w:rsid w:val="00D358FC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45E0"/>
    <w:rsid w:val="00DD52DE"/>
    <w:rsid w:val="00DD67FB"/>
    <w:rsid w:val="00DE0077"/>
    <w:rsid w:val="00DE17D6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961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A76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D11"/>
    <w:rsid w:val="00F40F30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31F"/>
    <w:rsid w:val="00FD2EAD"/>
    <w:rsid w:val="00FD5B26"/>
    <w:rsid w:val="00FD5EA7"/>
    <w:rsid w:val="00FD640D"/>
    <w:rsid w:val="00FD7191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742119959279496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Arkusz1!$B$77:$C$117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Arkusz1!$D$77:$D$117</c:f>
              <c:numCache>
                <c:formatCode>General</c:formatCode>
                <c:ptCount val="41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549875488"/>
        <c:axId val="1549870048"/>
      </c:barChart>
      <c:catAx>
        <c:axId val="154987548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54987004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549870048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54987548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8534728328344151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-1.033803365047153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66.0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510406342913E-3"/>
                  <c:y val="-1.620115226108651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82.1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6.44863125560320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92.4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85.9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91.8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85.5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rodz_dział_miesiąc!$BU$4:$BU$11</c:f>
              <c:numCache>
                <c:formatCode>0.0</c:formatCode>
                <c:ptCount val="8"/>
                <c:pt idx="0">
                  <c:v>66</c:v>
                </c:pt>
                <c:pt idx="1">
                  <c:v>82.1</c:v>
                </c:pt>
                <c:pt idx="2">
                  <c:v>92.4</c:v>
                </c:pt>
                <c:pt idx="3">
                  <c:v>85.9</c:v>
                </c:pt>
                <c:pt idx="4">
                  <c:v>91.8</c:v>
                </c:pt>
                <c:pt idx="5">
                  <c:v>114.4</c:v>
                </c:pt>
                <c:pt idx="6">
                  <c:v>100.8</c:v>
                </c:pt>
                <c:pt idx="7">
                  <c:v>85.5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49878752"/>
        <c:axId val="1549876032"/>
      </c:barChart>
      <c:catAx>
        <c:axId val="15498787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54987603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549876032"/>
        <c:scaling>
          <c:orientation val="minMax"/>
          <c:max val="125"/>
          <c:min val="5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54987875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15E-2"/>
          <c:y val="6.2306671125568765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7.4377091855708441E-3"/>
                  <c:y val="-2.0592020592020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115.1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7.4377091855708441E-3"/>
                  <c:y val="1.0296010296010202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114.1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9868960"/>
        <c:axId val="1549876576"/>
      </c:lineChart>
      <c:catAx>
        <c:axId val="154986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49876576"/>
        <c:crosses val="autoZero"/>
        <c:auto val="1"/>
        <c:lblAlgn val="ctr"/>
        <c:lblOffset val="100"/>
        <c:tickMarkSkip val="12"/>
        <c:noMultiLvlLbl val="0"/>
      </c:catAx>
      <c:valAx>
        <c:axId val="154987657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4986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0.27027</cdr:x>
      <cdr:y>0.41248</cdr:y>
    </cdr:from>
    <cdr:to>
      <cdr:x>0.41138</cdr:x>
      <cdr:y>0.56948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96308" y="1269809"/>
          <a:ext cx="729025" cy="4833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92.3</a:t>
          </a:r>
        </a:p>
      </cdr:txBody>
    </cdr:sp>
  </cdr:relSizeAnchor>
  <cdr:relSizeAnchor xmlns:cdr="http://schemas.openxmlformats.org/drawingml/2006/chartDrawing">
    <cdr:from>
      <cdr:x>0.32664</cdr:x>
      <cdr:y>0.34338</cdr:y>
    </cdr:from>
    <cdr:to>
      <cdr:x>0.38559</cdr:x>
      <cdr:y>0.45556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87561" y="1057096"/>
          <a:ext cx="304557" cy="3453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0.04878</cdr:x>
      <cdr:y>0.32287</cdr:y>
    </cdr:from>
    <cdr:to>
      <cdr:x>0.9557</cdr:x>
      <cdr:y>0.32492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52015" y="993955"/>
          <a:ext cx="4685475" cy="631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8F61DC-4445-4DC6-AD19-8D6A0711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2020-06-19T12:42:00Z</dcterms:created>
  <dcterms:modified xsi:type="dcterms:W3CDTF">2020-06-22T07:09:00Z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