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977E20">
        <w:rPr>
          <w:rFonts w:cs="Arial"/>
          <w:lang w:val="en-US"/>
        </w:rPr>
        <w:t>Ju</w:t>
      </w:r>
      <w:r w:rsidR="00693D65">
        <w:rPr>
          <w:rFonts w:cs="Arial"/>
          <w:lang w:val="en-US"/>
        </w:rPr>
        <w:t>ly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3019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019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3019E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An 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3019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019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3019E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An 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A70440">
        <w:rPr>
          <w:rFonts w:cs="Arial"/>
          <w:lang w:val="en-US"/>
        </w:rPr>
        <w:t>Ju</w:t>
      </w:r>
      <w:r w:rsidR="00BD625A">
        <w:rPr>
          <w:rFonts w:cs="Arial"/>
          <w:lang w:val="en-US"/>
        </w:rPr>
        <w:t>ly</w:t>
      </w:r>
      <w:r w:rsidR="004E6DBA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 xml:space="preserve">by </w:t>
      </w:r>
      <w:r w:rsidR="00BD625A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.</w:t>
      </w:r>
      <w:r w:rsidR="00BD625A">
        <w:rPr>
          <w:rFonts w:cs="Arial"/>
          <w:lang w:val="en-US"/>
        </w:rPr>
        <w:t>0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BD625A">
        <w:rPr>
          <w:rFonts w:cs="Arial"/>
          <w:lang w:val="en-US"/>
        </w:rPr>
        <w:t>high</w:t>
      </w:r>
      <w:r w:rsidR="00A94CC0">
        <w:rPr>
          <w:rFonts w:cs="Arial"/>
          <w:lang w:val="en-US"/>
        </w:rPr>
        <w:t xml:space="preserve">er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BD625A">
        <w:rPr>
          <w:rFonts w:cs="Arial"/>
          <w:lang w:val="en-US"/>
        </w:rPr>
        <w:t>5</w:t>
      </w:r>
      <w:r w:rsidR="00A70440">
        <w:rPr>
          <w:rFonts w:cs="Arial"/>
          <w:lang w:val="en-US"/>
        </w:rPr>
        <w:t>.7</w:t>
      </w:r>
      <w:r w:rsidR="004B784E">
        <w:rPr>
          <w:rFonts w:cs="Arial"/>
          <w:lang w:val="en-US"/>
        </w:rPr>
        <w:t>% in</w:t>
      </w:r>
      <w:r w:rsidR="00E445CF">
        <w:rPr>
          <w:rFonts w:cs="Arial"/>
          <w:lang w:val="en-US"/>
        </w:rPr>
        <w:t xml:space="preserve"> </w:t>
      </w:r>
      <w:r w:rsidR="00A70440">
        <w:rPr>
          <w:rFonts w:cs="Arial"/>
          <w:lang w:val="en-US"/>
        </w:rPr>
        <w:t>Ju</w:t>
      </w:r>
      <w:r w:rsidR="00BD625A">
        <w:rPr>
          <w:rFonts w:cs="Arial"/>
          <w:lang w:val="en-US"/>
        </w:rPr>
        <w:t>ly</w:t>
      </w:r>
      <w:r w:rsidR="004E6DBA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BD625A">
        <w:rPr>
          <w:lang w:val="en-US"/>
        </w:rPr>
        <w:t>June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4E6DBA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BD625A">
        <w:rPr>
          <w:lang w:val="en-US"/>
        </w:rPr>
        <w:t>6</w:t>
      </w:r>
      <w:r w:rsidR="002B5519">
        <w:rPr>
          <w:lang w:val="en-US"/>
        </w:rPr>
        <w:t>.</w:t>
      </w:r>
      <w:r w:rsidR="00BD625A">
        <w:rPr>
          <w:lang w:val="en-US"/>
        </w:rPr>
        <w:t>5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EC0A02">
        <w:rPr>
          <w:lang w:val="en-US"/>
        </w:rPr>
        <w:t>In the period of January-July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retail sales y/y were by 3</w:t>
      </w:r>
      <w:r w:rsidR="009F2D80" w:rsidRPr="009F2D80">
        <w:rPr>
          <w:lang w:val="en-US"/>
        </w:rPr>
        <w:t>.</w:t>
      </w:r>
      <w:r w:rsidR="00EC0A02">
        <w:rPr>
          <w:lang w:val="en-US"/>
        </w:rPr>
        <w:t>9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EC0A02">
        <w:rPr>
          <w:lang w:val="en-US"/>
        </w:rPr>
        <w:t>6.0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C48" w:rsidRPr="000F4044" w:rsidRDefault="00C81D7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C72004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9B65FC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B65FC">
                              <w:rPr>
                                <w:rFonts w:cs="Arial"/>
                                <w:lang w:val="en-US"/>
                              </w:rPr>
                              <w:t>2020, after decreases in the previous four months of this year there was an increase in retail sales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223C48" w:rsidRPr="000F4044" w:rsidRDefault="00C81D7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C72004">
                        <w:rPr>
                          <w:rFonts w:cs="Arial"/>
                          <w:lang w:val="en-US"/>
                        </w:rPr>
                        <w:t>Ju</w:t>
                      </w:r>
                      <w:r w:rsidR="009B65FC">
                        <w:rPr>
                          <w:rFonts w:cs="Arial"/>
                          <w:lang w:val="en-US"/>
                        </w:rPr>
                        <w:t>ly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B65FC">
                        <w:rPr>
                          <w:rFonts w:cs="Arial"/>
                          <w:lang w:val="en-US"/>
                        </w:rPr>
                        <w:t>2020, after decreases in the previous four months of this year there was an increase in retail sales y/y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9C0B4D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5A2156">
        <w:rPr>
          <w:lang w:val="en-US" w:eastAsia="pl-PL"/>
        </w:rPr>
        <w:t>Ju</w:t>
      </w:r>
      <w:r w:rsidR="00807667">
        <w:rPr>
          <w:lang w:val="en-US" w:eastAsia="pl-PL"/>
        </w:rPr>
        <w:t>ly</w:t>
      </w:r>
      <w:r w:rsidR="005A2156">
        <w:rPr>
          <w:lang w:val="en-US" w:eastAsia="pl-PL"/>
        </w:rPr>
        <w:t xml:space="preserve">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2E54B9">
        <w:rPr>
          <w:lang w:val="en-US" w:eastAsia="pl-PL"/>
        </w:rPr>
        <w:t xml:space="preserve"> increase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 w:rsidR="002E54B9">
        <w:rPr>
          <w:lang w:val="en-US" w:eastAsia="pl-PL"/>
        </w:rPr>
        <w:t xml:space="preserve">was observed </w:t>
      </w:r>
      <w:r>
        <w:rPr>
          <w:lang w:val="en-US" w:eastAsia="pl-PL"/>
        </w:rPr>
        <w:t xml:space="preserve">in </w:t>
      </w:r>
      <w:r w:rsidR="002E54B9">
        <w:rPr>
          <w:lang w:val="en-US" w:eastAsia="pl-PL"/>
        </w:rPr>
        <w:t xml:space="preserve">enterprises selling </w:t>
      </w:r>
      <w:r w:rsidR="002E54B9">
        <w:rPr>
          <w:rFonts w:cs="Arial"/>
          <w:szCs w:val="19"/>
          <w:lang w:val="en-US"/>
        </w:rPr>
        <w:t>furniture, radio, TV and household appliance</w:t>
      </w:r>
      <w:r w:rsidR="00D66DB9">
        <w:rPr>
          <w:rFonts w:cs="Arial"/>
          <w:szCs w:val="19"/>
          <w:lang w:val="en-US"/>
        </w:rPr>
        <w:t>s</w:t>
      </w:r>
      <w:r w:rsidR="00261301">
        <w:rPr>
          <w:rFonts w:cs="Arial"/>
          <w:szCs w:val="19"/>
          <w:lang w:val="en-US"/>
        </w:rPr>
        <w:t xml:space="preserve"> (by 15.8% against a growth of 15.9%</w:t>
      </w:r>
      <w:r w:rsidR="007A68EE">
        <w:rPr>
          <w:rFonts w:cs="Arial"/>
          <w:szCs w:val="19"/>
          <w:lang w:val="en-US"/>
        </w:rPr>
        <w:t xml:space="preserve"> the year before). Sales</w:t>
      </w:r>
      <w:r w:rsidR="00364197">
        <w:rPr>
          <w:rFonts w:cs="Arial"/>
          <w:szCs w:val="19"/>
          <w:lang w:val="en-US"/>
        </w:rPr>
        <w:t xml:space="preserve"> were also up in the following groups presented:</w:t>
      </w:r>
      <w:r w:rsidR="00A67574" w:rsidRPr="00A67574">
        <w:rPr>
          <w:rFonts w:cs="Arial"/>
          <w:szCs w:val="19"/>
          <w:lang w:val="en-US"/>
        </w:rPr>
        <w:t xml:space="preserve"> </w:t>
      </w:r>
      <w:r w:rsidR="00A67574" w:rsidRPr="0048343C">
        <w:rPr>
          <w:rFonts w:cs="Arial"/>
          <w:szCs w:val="19"/>
          <w:lang w:val="en-US"/>
        </w:rPr>
        <w:t xml:space="preserve">“textiles, clothing, footwear“ </w:t>
      </w:r>
      <w:r w:rsidR="00473C71">
        <w:rPr>
          <w:rFonts w:cs="Arial"/>
          <w:szCs w:val="19"/>
          <w:lang w:val="en-US"/>
        </w:rPr>
        <w:t>(by 5.3</w:t>
      </w:r>
      <w:r w:rsidR="00A67574">
        <w:rPr>
          <w:rFonts w:cs="Arial"/>
          <w:szCs w:val="19"/>
          <w:lang w:val="en-US"/>
        </w:rPr>
        <w:t>%);</w:t>
      </w:r>
      <w:r w:rsidR="00364197">
        <w:rPr>
          <w:rFonts w:cs="Arial"/>
          <w:szCs w:val="19"/>
          <w:lang w:val="en-US"/>
        </w:rPr>
        <w:t xml:space="preserve"> </w:t>
      </w:r>
      <w:r w:rsidR="00A67574" w:rsidRPr="0048343C">
        <w:rPr>
          <w:szCs w:val="19"/>
          <w:lang w:val="en-US" w:eastAsia="pl-PL"/>
        </w:rPr>
        <w:t>“newspapers, books, other sale in specialized stores”</w:t>
      </w:r>
      <w:r w:rsidR="00A67574">
        <w:rPr>
          <w:szCs w:val="19"/>
          <w:lang w:val="en-US" w:eastAsia="pl-PL"/>
        </w:rPr>
        <w:t xml:space="preserve"> (by 2.3%) and </w:t>
      </w:r>
      <w:r w:rsidR="00A67574">
        <w:rPr>
          <w:rFonts w:cs="Arial"/>
          <w:lang w:val="en-US"/>
        </w:rPr>
        <w:t>“</w:t>
      </w:r>
      <w:r w:rsidR="00A67574">
        <w:rPr>
          <w:rFonts w:cs="Arial"/>
          <w:color w:val="000000"/>
          <w:szCs w:val="19"/>
          <w:lang w:val="en-US"/>
        </w:rPr>
        <w:t>motor vehicles, motorcycles, parts”</w:t>
      </w:r>
      <w:r w:rsidR="00A67574">
        <w:rPr>
          <w:rFonts w:cs="Arial"/>
          <w:lang w:val="en-US"/>
        </w:rPr>
        <w:t xml:space="preserve"> (by 0.7%)</w:t>
      </w:r>
      <w:r w:rsidR="009D28FC">
        <w:rPr>
          <w:rFonts w:cs="Arial"/>
          <w:lang w:val="en-US"/>
        </w:rPr>
        <w:t>.</w:t>
      </w:r>
      <w:r w:rsidR="00A67574">
        <w:rPr>
          <w:szCs w:val="19"/>
          <w:lang w:val="en-US" w:eastAsia="pl-PL"/>
        </w:rPr>
        <w:t xml:space="preserve"> </w:t>
      </w:r>
      <w:r w:rsidR="00794E5F" w:rsidRPr="00794E5F">
        <w:rPr>
          <w:rFonts w:cs="Arial"/>
          <w:lang w:val="en-US"/>
        </w:rPr>
        <w:t>A</w:t>
      </w:r>
      <w:r w:rsidR="000506FD">
        <w:rPr>
          <w:rFonts w:cs="Arial"/>
          <w:lang w:val="en-US"/>
        </w:rPr>
        <w:t xml:space="preserve"> d</w:t>
      </w:r>
      <w:r w:rsidR="00506EE2">
        <w:rPr>
          <w:rFonts w:cs="Arial"/>
          <w:lang w:val="en-US"/>
        </w:rPr>
        <w:t>rop</w:t>
      </w:r>
      <w:r w:rsidR="000506FD">
        <w:rPr>
          <w:rFonts w:cs="Arial"/>
          <w:lang w:val="en-US"/>
        </w:rPr>
        <w:t xml:space="preserve"> in sales was </w:t>
      </w:r>
      <w:r w:rsidR="0015313D">
        <w:rPr>
          <w:rFonts w:cs="Arial"/>
          <w:lang w:val="en-US"/>
        </w:rPr>
        <w:t xml:space="preserve">however </w:t>
      </w:r>
      <w:r w:rsidR="000506FD">
        <w:rPr>
          <w:rFonts w:cs="Arial"/>
          <w:lang w:val="en-US"/>
        </w:rPr>
        <w:t>re</w:t>
      </w:r>
      <w:r w:rsidR="00D66DB9">
        <w:rPr>
          <w:rFonts w:cs="Arial"/>
          <w:lang w:val="en-US"/>
        </w:rPr>
        <w:t>ported</w:t>
      </w:r>
      <w:r w:rsidR="00D66DB9" w:rsidRPr="00D66DB9">
        <w:rPr>
          <w:rFonts w:cs="Arial"/>
          <w:szCs w:val="19"/>
          <w:lang w:val="en-US"/>
        </w:rPr>
        <w:t xml:space="preserve"> </w:t>
      </w:r>
      <w:r w:rsidR="00D66DB9">
        <w:rPr>
          <w:rFonts w:cs="Arial"/>
          <w:szCs w:val="19"/>
          <w:lang w:val="en-US"/>
        </w:rPr>
        <w:t xml:space="preserve">by </w:t>
      </w:r>
      <w:r w:rsidR="000119D0">
        <w:rPr>
          <w:rFonts w:cs="Arial"/>
          <w:szCs w:val="19"/>
          <w:lang w:val="en-US"/>
        </w:rPr>
        <w:t>units</w:t>
      </w:r>
      <w:r w:rsidR="00D66DB9">
        <w:rPr>
          <w:rFonts w:cs="Arial"/>
          <w:szCs w:val="19"/>
          <w:lang w:val="en-US"/>
        </w:rPr>
        <w:t xml:space="preserve"> trading in</w:t>
      </w:r>
      <w:r w:rsidR="001D1C23">
        <w:rPr>
          <w:rFonts w:cs="Arial"/>
          <w:lang w:val="en-US"/>
        </w:rPr>
        <w:t xml:space="preserve"> </w:t>
      </w:r>
      <w:r w:rsidR="00023F53">
        <w:rPr>
          <w:rFonts w:cs="Arial"/>
          <w:lang w:val="en-US"/>
        </w:rPr>
        <w:t>solid, liquid and gaseous fuels</w:t>
      </w:r>
      <w:r w:rsidR="001D1C23">
        <w:rPr>
          <w:rFonts w:cs="Arial"/>
          <w:lang w:val="en-US"/>
        </w:rPr>
        <w:t xml:space="preserve"> (by 2.8%)</w:t>
      </w:r>
      <w:r w:rsidR="000D1025">
        <w:rPr>
          <w:rFonts w:cs="Arial"/>
          <w:lang w:val="en-US"/>
        </w:rPr>
        <w:t xml:space="preserve">, in </w:t>
      </w:r>
      <w:r w:rsidR="000D1025">
        <w:rPr>
          <w:lang w:val="en-US" w:eastAsia="pl-PL"/>
        </w:rPr>
        <w:t>food, beverages and tobacco products</w:t>
      </w:r>
      <w:r w:rsidR="0013306B">
        <w:rPr>
          <w:rFonts w:cs="Arial"/>
          <w:lang w:val="en-US"/>
        </w:rPr>
        <w:t xml:space="preserve"> (by </w:t>
      </w:r>
      <w:r w:rsidR="000D1025">
        <w:rPr>
          <w:rFonts w:cs="Arial"/>
          <w:lang w:val="en-US"/>
        </w:rPr>
        <w:t>1.0</w:t>
      </w:r>
      <w:r w:rsidR="0013306B">
        <w:rPr>
          <w:rFonts w:cs="Arial"/>
          <w:lang w:val="en-US"/>
        </w:rPr>
        <w:t>%)</w:t>
      </w:r>
      <w:r w:rsidR="00DC22A9">
        <w:rPr>
          <w:rFonts w:cs="Arial"/>
          <w:lang w:val="en-US"/>
        </w:rPr>
        <w:t xml:space="preserve">, as well as by </w:t>
      </w:r>
      <w:r w:rsidR="00DC22A9">
        <w:rPr>
          <w:rFonts w:cs="Arial"/>
          <w:szCs w:val="19"/>
          <w:lang w:val="en-US"/>
        </w:rPr>
        <w:t>entities</w:t>
      </w:r>
      <w:r w:rsidR="000506FD">
        <w:rPr>
          <w:rFonts w:cs="Arial"/>
          <w:lang w:val="en-US"/>
        </w:rPr>
        <w:t xml:space="preserve"> </w:t>
      </w:r>
      <w:r w:rsidR="00DC22A9">
        <w:rPr>
          <w:rFonts w:cs="Arial"/>
          <w:szCs w:val="19"/>
          <w:lang w:val="en-US"/>
        </w:rPr>
        <w:t>classified into the group</w:t>
      </w:r>
      <w:r w:rsidR="00DC22A9">
        <w:rPr>
          <w:lang w:val="en-US" w:eastAsia="pl-PL"/>
        </w:rPr>
        <w:t xml:space="preserve"> </w:t>
      </w:r>
      <w:r w:rsidR="009E5DCB">
        <w:rPr>
          <w:lang w:val="en-US" w:eastAsia="pl-PL"/>
        </w:rPr>
        <w:t xml:space="preserve">“others” </w:t>
      </w:r>
      <w:r w:rsidR="0060664B">
        <w:rPr>
          <w:lang w:val="en-US" w:eastAsia="pl-PL"/>
        </w:rPr>
        <w:t xml:space="preserve">(by </w:t>
      </w:r>
      <w:r w:rsidR="00DC22A9">
        <w:rPr>
          <w:lang w:val="en-US" w:eastAsia="pl-PL"/>
        </w:rPr>
        <w:t>1.4</w:t>
      </w:r>
      <w:r w:rsidR="00E373D3">
        <w:rPr>
          <w:lang w:val="en-US" w:eastAsia="pl-PL"/>
        </w:rPr>
        <w:t xml:space="preserve">%). </w:t>
      </w:r>
      <w:r w:rsidR="009C0B4D">
        <w:rPr>
          <w:rStyle w:val="tlid-translation"/>
          <w:lang w:val="en"/>
        </w:rPr>
        <w:t>Sales of</w:t>
      </w:r>
      <w:r w:rsidR="0015313D">
        <w:rPr>
          <w:rStyle w:val="tlid-translation"/>
          <w:lang w:val="en"/>
        </w:rPr>
        <w:t xml:space="preserve"> pharmaceuticals, cosmetics, </w:t>
      </w:r>
      <w:r w:rsidR="009C0B4D">
        <w:rPr>
          <w:rStyle w:val="tlid-translation"/>
          <w:lang w:val="en"/>
        </w:rPr>
        <w:t>orthopedic equipment remained unchanged.</w:t>
      </w:r>
    </w:p>
    <w:p w:rsidR="00EA65C5" w:rsidRPr="003802B7" w:rsidRDefault="003802B7" w:rsidP="003802B7">
      <w:pPr>
        <w:rPr>
          <w:rFonts w:cs="Arial"/>
          <w:szCs w:val="19"/>
          <w:lang w:val="en-US"/>
        </w:rPr>
      </w:pPr>
      <w:r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Ju</w:t>
      </w:r>
      <w:r w:rsidR="009C0B4D">
        <w:rPr>
          <w:szCs w:val="19"/>
          <w:lang w:val="en-US" w:eastAsia="pl-PL"/>
        </w:rPr>
        <w:t>ly</w:t>
      </w:r>
      <w:r w:rsidR="00D9217F">
        <w:rPr>
          <w:szCs w:val="19"/>
          <w:lang w:val="en-US" w:eastAsia="pl-PL"/>
        </w:rPr>
        <w:t xml:space="preserve"> 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 </w:t>
      </w:r>
      <w:r>
        <w:rPr>
          <w:szCs w:val="19"/>
          <w:lang w:val="en-US" w:eastAsia="pl-PL"/>
        </w:rPr>
        <w:t>drop</w:t>
      </w:r>
      <w:r w:rsidR="00EA65C5" w:rsidRPr="0048343C">
        <w:rPr>
          <w:szCs w:val="19"/>
          <w:lang w:val="en-US" w:eastAsia="pl-PL"/>
        </w:rPr>
        <w:t xml:space="preserve"> in retail sales</w:t>
      </w:r>
      <w:r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9C0B4D">
        <w:rPr>
          <w:szCs w:val="19"/>
          <w:lang w:val="en-US" w:eastAsia="pl-PL"/>
        </w:rPr>
        <w:t>10.3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08180C">
        <w:rPr>
          <w:szCs w:val="19"/>
          <w:lang w:val="en-US" w:eastAsia="pl-PL"/>
        </w:rPr>
        <w:t xml:space="preserve">decreased from </w:t>
      </w:r>
      <w:r w:rsidR="009B7579">
        <w:rPr>
          <w:szCs w:val="19"/>
          <w:lang w:val="en-US" w:eastAsia="pl-PL"/>
        </w:rPr>
        <w:t>7.7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9B7579">
        <w:rPr>
          <w:szCs w:val="19"/>
          <w:lang w:val="en-US" w:eastAsia="pl-PL"/>
        </w:rPr>
        <w:t>June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9B7579">
        <w:rPr>
          <w:szCs w:val="19"/>
          <w:lang w:val="en-US" w:eastAsia="pl-PL"/>
        </w:rPr>
        <w:t>6.5</w:t>
      </w:r>
      <w:r w:rsidR="00CA4A16" w:rsidRPr="0048343C">
        <w:rPr>
          <w:szCs w:val="19"/>
          <w:lang w:val="en-US" w:eastAsia="pl-PL"/>
        </w:rPr>
        <w:t xml:space="preserve">% in </w:t>
      </w:r>
      <w:r w:rsidR="004E2CD5">
        <w:rPr>
          <w:szCs w:val="19"/>
          <w:lang w:val="en-US" w:eastAsia="pl-PL"/>
        </w:rPr>
        <w:t>Ju</w:t>
      </w:r>
      <w:r w:rsidR="009B7579">
        <w:rPr>
          <w:szCs w:val="19"/>
          <w:lang w:val="en-US" w:eastAsia="pl-PL"/>
        </w:rPr>
        <w:t>ly</w:t>
      </w:r>
      <w:r w:rsidR="004E2CD5">
        <w:rPr>
          <w:szCs w:val="19"/>
          <w:lang w:val="en-US" w:eastAsia="pl-PL"/>
        </w:rPr>
        <w:t xml:space="preserve">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F02FA5">
        <w:rPr>
          <w:szCs w:val="19"/>
          <w:lang w:val="en-US" w:eastAsia="pl-PL"/>
        </w:rPr>
        <w:t xml:space="preserve"> </w:t>
      </w:r>
      <w:r w:rsidR="0008180C">
        <w:rPr>
          <w:szCs w:val="19"/>
          <w:lang w:val="en-US" w:eastAsia="pl-PL"/>
        </w:rPr>
        <w:t>decline</w:t>
      </w:r>
      <w:r w:rsidR="00F02FA5">
        <w:rPr>
          <w:szCs w:val="19"/>
          <w:lang w:val="en-US" w:eastAsia="pl-PL"/>
        </w:rPr>
        <w:t xml:space="preserve"> 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 xml:space="preserve">share of sales via Internet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</w:t>
      </w:r>
      <w:r w:rsidR="0037211E" w:rsidRPr="0037211E">
        <w:rPr>
          <w:szCs w:val="19"/>
          <w:lang w:val="en-US" w:eastAsia="pl-PL"/>
        </w:rPr>
        <w:t>i.a</w:t>
      </w:r>
      <w:r w:rsidR="0037211E">
        <w:rPr>
          <w:color w:val="FF0000"/>
          <w:szCs w:val="19"/>
          <w:lang w:val="en-US" w:eastAsia="pl-PL"/>
        </w:rPr>
        <w:t>.</w:t>
      </w:r>
      <w:r w:rsidR="00B44B55" w:rsidRPr="00B44B55">
        <w:rPr>
          <w:color w:val="FF0000"/>
          <w:szCs w:val="19"/>
          <w:lang w:val="en-US" w:eastAsia="pl-PL"/>
        </w:rPr>
        <w:t xml:space="preserve"> </w:t>
      </w:r>
      <w:r w:rsidR="007439A7" w:rsidRPr="0048343C">
        <w:rPr>
          <w:szCs w:val="19"/>
          <w:lang w:val="en-US" w:eastAsia="pl-PL"/>
        </w:rPr>
        <w:t xml:space="preserve">by enterprises classified into the group </w:t>
      </w:r>
      <w:r w:rsidR="00C81C28" w:rsidRPr="0048343C">
        <w:rPr>
          <w:szCs w:val="19"/>
          <w:lang w:val="en-US" w:eastAsia="pl-PL"/>
        </w:rPr>
        <w:t>“newspapers, books, other sale in specialized stores”</w:t>
      </w:r>
      <w:r w:rsidR="007B1111" w:rsidRPr="007B1111">
        <w:rPr>
          <w:szCs w:val="19"/>
          <w:lang w:val="en-US" w:eastAsia="pl-PL"/>
        </w:rPr>
        <w:t xml:space="preserve"> </w:t>
      </w:r>
      <w:r w:rsidR="007B1111" w:rsidRPr="0048343C">
        <w:rPr>
          <w:szCs w:val="19"/>
          <w:lang w:val="en-US" w:eastAsia="pl-PL"/>
        </w:rPr>
        <w:t>(</w:t>
      </w:r>
      <w:r w:rsidR="007B1111">
        <w:rPr>
          <w:szCs w:val="19"/>
          <w:lang w:val="en-US" w:eastAsia="pl-PL"/>
        </w:rPr>
        <w:t>from 21.8% to 19.4%)</w:t>
      </w:r>
      <w:r w:rsidR="00A21C81">
        <w:rPr>
          <w:szCs w:val="19"/>
          <w:lang w:val="en-US" w:eastAsia="pl-PL"/>
        </w:rPr>
        <w:t>,</w:t>
      </w:r>
      <w:r w:rsidR="00C81C28" w:rsidRPr="0048343C">
        <w:rPr>
          <w:rFonts w:cs="Arial"/>
          <w:szCs w:val="19"/>
          <w:lang w:val="en-US"/>
        </w:rPr>
        <w:t xml:space="preserve">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 </w:t>
      </w:r>
      <w:r w:rsidR="00C81C28">
        <w:rPr>
          <w:rFonts w:cs="Arial"/>
          <w:szCs w:val="19"/>
          <w:lang w:val="en-US"/>
        </w:rPr>
        <w:t>“textiles, clothing, footwear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7B1111">
        <w:rPr>
          <w:szCs w:val="19"/>
          <w:lang w:val="en-US" w:eastAsia="pl-PL"/>
        </w:rPr>
        <w:t>19</w:t>
      </w:r>
      <w:r w:rsidR="000A1862">
        <w:rPr>
          <w:szCs w:val="19"/>
          <w:lang w:val="en-US" w:eastAsia="pl-PL"/>
        </w:rPr>
        <w:t>.</w:t>
      </w:r>
      <w:r w:rsidR="007B1111">
        <w:rPr>
          <w:szCs w:val="19"/>
          <w:lang w:val="en-US" w:eastAsia="pl-PL"/>
        </w:rPr>
        <w:t>5</w:t>
      </w:r>
      <w:r w:rsidR="00706630">
        <w:rPr>
          <w:szCs w:val="19"/>
          <w:lang w:val="en-US" w:eastAsia="pl-PL"/>
        </w:rPr>
        <w:t xml:space="preserve">% to </w:t>
      </w:r>
      <w:r w:rsidR="007B1111">
        <w:rPr>
          <w:szCs w:val="19"/>
          <w:lang w:val="en-US" w:eastAsia="pl-PL"/>
        </w:rPr>
        <w:t>16</w:t>
      </w:r>
      <w:r w:rsidR="00C81C28">
        <w:rPr>
          <w:szCs w:val="19"/>
          <w:lang w:val="en-US" w:eastAsia="pl-PL"/>
        </w:rPr>
        <w:t>.</w:t>
      </w:r>
      <w:r w:rsidR="007B1111">
        <w:rPr>
          <w:szCs w:val="19"/>
          <w:lang w:val="en-US" w:eastAsia="pl-PL"/>
        </w:rPr>
        <w:t>8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C81C28">
        <w:rPr>
          <w:szCs w:val="19"/>
          <w:lang w:val="en-US" w:eastAsia="pl-PL"/>
        </w:rPr>
        <w:t>14.1</w:t>
      </w:r>
      <w:r w:rsidR="00706630">
        <w:rPr>
          <w:szCs w:val="19"/>
          <w:lang w:val="en-US" w:eastAsia="pl-PL"/>
        </w:rPr>
        <w:t xml:space="preserve">% to </w:t>
      </w:r>
      <w:r w:rsidR="00C81C28">
        <w:rPr>
          <w:szCs w:val="19"/>
          <w:lang w:val="en-US" w:eastAsia="pl-PL"/>
        </w:rPr>
        <w:t>11</w:t>
      </w:r>
      <w:r w:rsidR="007D65D7">
        <w:rPr>
          <w:szCs w:val="19"/>
          <w:lang w:val="en-US" w:eastAsia="pl-PL"/>
        </w:rPr>
        <w:t>.1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4C5861" w:rsidP="004C5861">
      <w:pPr>
        <w:pStyle w:val="tytuwykresu"/>
        <w:spacing w:after="0"/>
        <w:rPr>
          <w:shd w:val="clear" w:color="auto" w:fill="FFFFFF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338B8C12" wp14:editId="0B896E60">
            <wp:simplePos x="0" y="0"/>
            <wp:positionH relativeFrom="margin">
              <wp:align>left</wp:align>
            </wp:positionH>
            <wp:positionV relativeFrom="margin">
              <wp:posOffset>5142865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413C1A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2C1E07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506206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2C1E07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506206">
              <w:rPr>
                <w:rFonts w:cs="Arial"/>
                <w:color w:val="000000"/>
                <w:sz w:val="16"/>
                <w:szCs w:val="16"/>
              </w:rPr>
              <w:t>V</w:t>
            </w:r>
            <w:r w:rsidR="008C39BB">
              <w:rPr>
                <w:rFonts w:cs="Arial"/>
                <w:color w:val="000000"/>
                <w:sz w:val="16"/>
                <w:szCs w:val="16"/>
              </w:rPr>
              <w:t>I</w:t>
            </w:r>
            <w:r w:rsidR="00AA6D08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B325D9" w:rsidRPr="00413C1A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B325D9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</w:t>
            </w:r>
            <w:r w:rsidR="00B325D9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B325D9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325D9" w:rsidRPr="00413C1A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325D9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B325D9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325D9" w:rsidRPr="00973E89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325D9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B325D9" w:rsidP="00B325D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B325D9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325D9" w:rsidRPr="00413C1A" w:rsidTr="000552F4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B325D9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325D9" w:rsidRPr="00884DC7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B325D9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325D9" w:rsidRPr="00413C1A" w:rsidRDefault="00B325D9" w:rsidP="00B325D9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325D9" w:rsidRPr="00F156AE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B325D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325D9" w:rsidRPr="009E4A91" w:rsidRDefault="009E4A91" w:rsidP="00B325D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92.</w:t>
            </w:r>
            <w:r w:rsidR="00B325D9" w:rsidRPr="009E4A91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4C2B64" w:rsidRDefault="004C2B64" w:rsidP="00024832">
      <w:pPr>
        <w:rPr>
          <w:rStyle w:val="tlid-translation"/>
          <w:sz w:val="16"/>
          <w:szCs w:val="16"/>
          <w:lang w:val="en"/>
        </w:rPr>
      </w:pPr>
    </w:p>
    <w:p w:rsidR="00421F9E" w:rsidRDefault="00421F9E" w:rsidP="00421F9E">
      <w:pPr>
        <w:keepNext/>
        <w:spacing w:before="240" w:line="240" w:lineRule="auto"/>
        <w:outlineLvl w:val="0"/>
        <w:rPr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  <w:r w:rsidRPr="00E014C8">
        <w:rPr>
          <w:lang w:val="en-US" w:eastAsia="pl-PL"/>
        </w:rPr>
        <w:t xml:space="preserve"> 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36750C" w:rsidRPr="00E21D84" w:rsidTr="00425EEC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6750C" w:rsidRPr="00E21D84" w:rsidRDefault="0036750C" w:rsidP="00425EEC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36750C" w:rsidRPr="00E21D84" w:rsidTr="00425EEC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36750C" w:rsidRPr="00E21D84" w:rsidRDefault="0036750C" w:rsidP="00425EEC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6750C" w:rsidRPr="009E60D9" w:rsidRDefault="0036750C" w:rsidP="009E60D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I-V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6750C" w:rsidRPr="00E21D84" w:rsidTr="00425EEC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6750C" w:rsidRPr="00E21D84" w:rsidRDefault="0036750C" w:rsidP="00425EEC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 2020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750C" w:rsidRPr="009E60D9" w:rsidRDefault="0036750C" w:rsidP="00C1625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201</w:t>
            </w:r>
            <w:r w:rsidR="00C1625C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6750C" w:rsidRPr="009E60D9" w:rsidRDefault="0036750C" w:rsidP="009E60D9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I-V</w:t>
            </w:r>
            <w:r w:rsidR="009E60D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II 2019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FD2FED" w:rsidRPr="00E21D84" w:rsidTr="00425EEC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D2FED" w:rsidRPr="00E21D84" w:rsidRDefault="00FD2FED" w:rsidP="00FD2FED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FD2FED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FD2FED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FD2FED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D2FED" w:rsidRPr="00E21D84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E21D84" w:rsidRDefault="00FD2FED" w:rsidP="00FD2FED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FD2FED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FD2FED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FD2FED" w:rsidP="00FD2FE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D2FED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FD2FED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FD2FED" w:rsidRPr="0095396F" w:rsidTr="00425EEC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FD2FED" w:rsidRPr="0095396F" w:rsidTr="00425EEC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F156AE" w:rsidRDefault="00FD2FED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F156AE" w:rsidRDefault="00FD2FED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F156AE" w:rsidRDefault="00FD2FED" w:rsidP="00FD2FE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FD2FED" w:rsidRPr="0095396F" w:rsidTr="00425EEC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FD2FED" w:rsidRPr="0095396F" w:rsidTr="00425EEC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FD2FED" w:rsidRPr="00E960C2" w:rsidTr="00425EEC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FD2FED" w:rsidRPr="00E960C2" w:rsidTr="00425EEC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FD2FED" w:rsidRPr="00382DAE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FD2FED" w:rsidRPr="00E960C2" w:rsidTr="00425EEC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D2FED" w:rsidRPr="00E960C2" w:rsidRDefault="00FD2FED" w:rsidP="00FD2FE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D2FED" w:rsidRPr="00DF0FFE" w:rsidRDefault="00095C86" w:rsidP="00FD2FE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FD2FE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</w:tbl>
    <w:p w:rsidR="00421F9E" w:rsidRPr="00B73F57" w:rsidRDefault="00421F9E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>(.)</w:t>
      </w:r>
      <w:r>
        <w:rPr>
          <w:sz w:val="16"/>
          <w:szCs w:val="16"/>
          <w:lang w:val="en-US" w:eastAsia="pl-PL"/>
        </w:rPr>
        <w:t xml:space="preserve">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>
        <w:rPr>
          <w:lang w:val="en-US"/>
        </w:rPr>
        <w:t xml:space="preserve"> 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663E54">
        <w:rPr>
          <w:shd w:val="clear" w:color="auto" w:fill="FFFFFF"/>
          <w:lang w:val="en-US"/>
        </w:rPr>
        <w:t>Ju</w:t>
      </w:r>
      <w:r w:rsidR="00AB67F3">
        <w:rPr>
          <w:shd w:val="clear" w:color="auto" w:fill="FFFFFF"/>
          <w:lang w:val="en-US"/>
        </w:rPr>
        <w:t>ly</w:t>
      </w:r>
      <w:r w:rsidR="006963B2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Pr="00C15AD6">
        <w:rPr>
          <w:shd w:val="clear" w:color="auto" w:fill="FFFFFF"/>
          <w:lang w:val="en-US"/>
        </w:rPr>
        <w:t>(constant prices) 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B249E5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9814DA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5740E8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B249E5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B249E5"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B249E5">
                              <w:rPr>
                                <w:rFonts w:cs="Arial"/>
                                <w:lang w:val="en-US"/>
                              </w:rPr>
                              <w:t>June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814DA">
                        <w:rPr>
                          <w:rFonts w:cs="Arial"/>
                          <w:lang w:val="en-US"/>
                        </w:rPr>
                        <w:t>Ju</w:t>
                      </w:r>
                      <w:r w:rsidR="00B249E5">
                        <w:rPr>
                          <w:rFonts w:cs="Arial"/>
                          <w:lang w:val="en-US"/>
                        </w:rPr>
                        <w:t>ly</w:t>
                      </w:r>
                      <w:r w:rsidR="009814DA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5740E8">
                        <w:rPr>
                          <w:rFonts w:cs="Arial"/>
                          <w:lang w:val="en-US"/>
                        </w:rPr>
                        <w:t>n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83B47">
                        <w:rPr>
                          <w:rFonts w:cs="Arial"/>
                          <w:lang w:val="en-US"/>
                        </w:rPr>
                        <w:t>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B249E5">
                        <w:rPr>
                          <w:rFonts w:cs="Arial"/>
                          <w:lang w:val="en-US"/>
                        </w:rPr>
                        <w:t>4</w:t>
                      </w:r>
                      <w:r w:rsidR="00F8642A">
                        <w:rPr>
                          <w:rFonts w:cs="Arial"/>
                          <w:lang w:val="en-US"/>
                        </w:rPr>
                        <w:t>.</w:t>
                      </w:r>
                      <w:r w:rsidR="00B249E5">
                        <w:rPr>
                          <w:rFonts w:cs="Arial"/>
                          <w:lang w:val="en-US"/>
                        </w:rPr>
                        <w:t>8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B249E5">
                        <w:rPr>
                          <w:rFonts w:cs="Arial"/>
                          <w:lang w:val="en-US"/>
                        </w:rPr>
                        <w:t>June</w:t>
                      </w:r>
                      <w:bookmarkStart w:id="1" w:name="_GoBack"/>
                      <w:bookmarkEnd w:id="1"/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DA4500">
        <w:rPr>
          <w:szCs w:val="23"/>
          <w:lang w:val="en-US"/>
        </w:rPr>
        <w:t>Ju</w:t>
      </w:r>
      <w:r w:rsidR="002A27F5">
        <w:rPr>
          <w:szCs w:val="23"/>
          <w:lang w:val="en-US"/>
        </w:rPr>
        <w:t>ly</w:t>
      </w:r>
      <w:r w:rsidR="00E83B47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2A27F5">
        <w:rPr>
          <w:szCs w:val="23"/>
          <w:lang w:val="en-US"/>
        </w:rPr>
        <w:t>4</w:t>
      </w:r>
      <w:r>
        <w:rPr>
          <w:szCs w:val="23"/>
          <w:lang w:val="en-US"/>
        </w:rPr>
        <w:t>.</w:t>
      </w:r>
      <w:r w:rsidR="002A27F5">
        <w:rPr>
          <w:szCs w:val="23"/>
          <w:lang w:val="en-US"/>
        </w:rPr>
        <w:t>8</w:t>
      </w:r>
      <w:r>
        <w:rPr>
          <w:szCs w:val="23"/>
          <w:lang w:val="en-US"/>
        </w:rPr>
        <w:t xml:space="preserve">% </w:t>
      </w:r>
      <w:r w:rsidR="00E83B47">
        <w:rPr>
          <w:szCs w:val="23"/>
          <w:lang w:val="en-US"/>
        </w:rPr>
        <w:t xml:space="preserve">higher </w:t>
      </w:r>
      <w:r>
        <w:rPr>
          <w:szCs w:val="23"/>
          <w:lang w:val="en-US"/>
        </w:rPr>
        <w:t xml:space="preserve">in comparison to </w:t>
      </w:r>
      <w:r w:rsidR="002A27F5">
        <w:rPr>
          <w:szCs w:val="23"/>
          <w:lang w:val="en-US"/>
        </w:rPr>
        <w:t xml:space="preserve">June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bookmarkStart w:id="0" w:name="_GoBack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405107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405107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32" w:rsidRDefault="00A00032" w:rsidP="000662E2">
      <w:pPr>
        <w:spacing w:after="0" w:line="240" w:lineRule="auto"/>
      </w:pPr>
      <w:r>
        <w:separator/>
      </w:r>
    </w:p>
  </w:endnote>
  <w:endnote w:type="continuationSeparator" w:id="0">
    <w:p w:rsidR="00A00032" w:rsidRDefault="00A000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51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5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32" w:rsidRDefault="00A00032" w:rsidP="000662E2">
      <w:pPr>
        <w:spacing w:after="0" w:line="240" w:lineRule="auto"/>
      </w:pPr>
      <w:r>
        <w:separator/>
      </w:r>
    </w:p>
  </w:footnote>
  <w:footnote w:type="continuationSeparator" w:id="0">
    <w:p w:rsidR="00A00032" w:rsidRDefault="00A00032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77E2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93D65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77E2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93D65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5.15pt;height:125.55pt;visibility:visible;mso-wrap-style:square" o:bullet="t">
        <v:imagedata r:id="rId1" o:title=""/>
      </v:shape>
    </w:pict>
  </w:numPicBullet>
  <w:numPicBullet w:numPicBulletId="1">
    <w:pict>
      <v:shape id="_x0000_i1043" type="#_x0000_t75" style="width:125.15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06FD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585"/>
    <w:rsid w:val="000C5DF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531C"/>
    <w:rsid w:val="000E65E0"/>
    <w:rsid w:val="000E7611"/>
    <w:rsid w:val="000E7B9D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FC0"/>
    <w:rsid w:val="001774A2"/>
    <w:rsid w:val="00180490"/>
    <w:rsid w:val="00182993"/>
    <w:rsid w:val="001829CE"/>
    <w:rsid w:val="0018378F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A8C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DE4"/>
    <w:rsid w:val="0029139F"/>
    <w:rsid w:val="002926DF"/>
    <w:rsid w:val="00292C7A"/>
    <w:rsid w:val="002931E3"/>
    <w:rsid w:val="002958BB"/>
    <w:rsid w:val="002961BD"/>
    <w:rsid w:val="00296697"/>
    <w:rsid w:val="002A0B31"/>
    <w:rsid w:val="002A1289"/>
    <w:rsid w:val="002A27F5"/>
    <w:rsid w:val="002A42C0"/>
    <w:rsid w:val="002A486F"/>
    <w:rsid w:val="002A5A06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4C09"/>
    <w:rsid w:val="00345104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197"/>
    <w:rsid w:val="00364D74"/>
    <w:rsid w:val="00364EBA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02B7"/>
    <w:rsid w:val="00382DAE"/>
    <w:rsid w:val="00383530"/>
    <w:rsid w:val="003843DB"/>
    <w:rsid w:val="00384413"/>
    <w:rsid w:val="00384E44"/>
    <w:rsid w:val="00387793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382"/>
    <w:rsid w:val="00463E39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7F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7EA"/>
    <w:rsid w:val="004F0B03"/>
    <w:rsid w:val="004F0C3C"/>
    <w:rsid w:val="004F1D81"/>
    <w:rsid w:val="004F2C3B"/>
    <w:rsid w:val="004F341F"/>
    <w:rsid w:val="004F50E3"/>
    <w:rsid w:val="004F62F7"/>
    <w:rsid w:val="004F63FC"/>
    <w:rsid w:val="004F6F05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DFA"/>
    <w:rsid w:val="00506EE2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48A3"/>
    <w:rsid w:val="0052593D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66F7"/>
    <w:rsid w:val="005B6AAA"/>
    <w:rsid w:val="005B7E62"/>
    <w:rsid w:val="005C08E7"/>
    <w:rsid w:val="005C123C"/>
    <w:rsid w:val="005C16C6"/>
    <w:rsid w:val="005C267A"/>
    <w:rsid w:val="005C2F8B"/>
    <w:rsid w:val="005C4F29"/>
    <w:rsid w:val="005C57A3"/>
    <w:rsid w:val="005C5F08"/>
    <w:rsid w:val="005C6163"/>
    <w:rsid w:val="005C65AA"/>
    <w:rsid w:val="005D0C5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D65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66"/>
    <w:rsid w:val="00746187"/>
    <w:rsid w:val="00746CF4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29B4"/>
    <w:rsid w:val="007F324B"/>
    <w:rsid w:val="007F42A2"/>
    <w:rsid w:val="007F6C0F"/>
    <w:rsid w:val="007F75D5"/>
    <w:rsid w:val="00800AB3"/>
    <w:rsid w:val="00803A45"/>
    <w:rsid w:val="00804C09"/>
    <w:rsid w:val="0080553C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9E9"/>
    <w:rsid w:val="008C0C29"/>
    <w:rsid w:val="008C1998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E068C"/>
    <w:rsid w:val="009E0945"/>
    <w:rsid w:val="009E2303"/>
    <w:rsid w:val="009E2E91"/>
    <w:rsid w:val="009E3C26"/>
    <w:rsid w:val="009E4A91"/>
    <w:rsid w:val="009E5DCB"/>
    <w:rsid w:val="009E60D9"/>
    <w:rsid w:val="009E6200"/>
    <w:rsid w:val="009E69D1"/>
    <w:rsid w:val="009E7870"/>
    <w:rsid w:val="009F2D80"/>
    <w:rsid w:val="009F3023"/>
    <w:rsid w:val="009F3FF4"/>
    <w:rsid w:val="009F5896"/>
    <w:rsid w:val="009F60B8"/>
    <w:rsid w:val="009F6196"/>
    <w:rsid w:val="009F624F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58C3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F04BF"/>
    <w:rsid w:val="00AF0A8C"/>
    <w:rsid w:val="00AF1180"/>
    <w:rsid w:val="00AF11C3"/>
    <w:rsid w:val="00AF14F1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42042"/>
    <w:rsid w:val="00B42274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652"/>
    <w:rsid w:val="00B66B19"/>
    <w:rsid w:val="00B67045"/>
    <w:rsid w:val="00B701E8"/>
    <w:rsid w:val="00B70FBB"/>
    <w:rsid w:val="00B71522"/>
    <w:rsid w:val="00B71810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C7724"/>
    <w:rsid w:val="00BD1B2E"/>
    <w:rsid w:val="00BD363F"/>
    <w:rsid w:val="00BD3C6A"/>
    <w:rsid w:val="00BD407C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1A84"/>
    <w:rsid w:val="00BF1BFB"/>
    <w:rsid w:val="00BF2ECA"/>
    <w:rsid w:val="00BF5E45"/>
    <w:rsid w:val="00BF6029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FF6"/>
    <w:rsid w:val="00C4544F"/>
    <w:rsid w:val="00C4563B"/>
    <w:rsid w:val="00C45CB2"/>
    <w:rsid w:val="00C472CE"/>
    <w:rsid w:val="00C47A53"/>
    <w:rsid w:val="00C52586"/>
    <w:rsid w:val="00C5455E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548B"/>
    <w:rsid w:val="00C969F2"/>
    <w:rsid w:val="00C96FAA"/>
    <w:rsid w:val="00C97A04"/>
    <w:rsid w:val="00CA0B91"/>
    <w:rsid w:val="00CA107B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B0A5A"/>
    <w:rsid w:val="00EB1390"/>
    <w:rsid w:val="00EB2A51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5C0"/>
    <w:rsid w:val="00ED682B"/>
    <w:rsid w:val="00ED68C8"/>
    <w:rsid w:val="00ED6F67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9F0"/>
    <w:rsid w:val="00F8204F"/>
    <w:rsid w:val="00F83ECB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47C4"/>
    <w:rsid w:val="00FF4977"/>
    <w:rsid w:val="00FF49E6"/>
    <w:rsid w:val="00FF4AA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Arkusz1!$B$77:$C$119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Arkusz1!$D$77:$D$119</c:f>
              <c:numCache>
                <c:formatCode>General</c:formatCode>
                <c:ptCount val="43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02610096"/>
        <c:axId val="202611184"/>
      </c:barChart>
      <c:catAx>
        <c:axId val="2026100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0261118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02611184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0261009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596427658932013E-2"/>
          <c:y val="3.501603966170895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3.7164463955279702E-3"/>
                  <c:y val="-5.248534538772722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4.739605530675125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00"/>
                      <a:t>100.0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105.3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98.6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rodz_dział_miesiąc!$BW$4:$BW$11</c:f>
              <c:numCache>
                <c:formatCode>0.0</c:formatCode>
                <c:ptCount val="8"/>
                <c:pt idx="0">
                  <c:v>100.7</c:v>
                </c:pt>
                <c:pt idx="1">
                  <c:v>97.2</c:v>
                </c:pt>
                <c:pt idx="2">
                  <c:v>99</c:v>
                </c:pt>
                <c:pt idx="3">
                  <c:v>100</c:v>
                </c:pt>
                <c:pt idx="4">
                  <c:v>105.3</c:v>
                </c:pt>
                <c:pt idx="5">
                  <c:v>115.8</c:v>
                </c:pt>
                <c:pt idx="6">
                  <c:v>102.3</c:v>
                </c:pt>
                <c:pt idx="7">
                  <c:v>98.6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2611728"/>
        <c:axId val="202612272"/>
      </c:barChart>
      <c:catAx>
        <c:axId val="20261172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202612272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202612272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20261172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1.983389116152225E-2"/>
                  <c:y val="-1.88857412653446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133.8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1.983389116152225E-2"/>
                  <c:y val="2.832861189801699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129.2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612816"/>
        <c:axId val="202613360"/>
      </c:lineChart>
      <c:catAx>
        <c:axId val="202612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613360"/>
        <c:crosses val="autoZero"/>
        <c:auto val="1"/>
        <c:lblAlgn val="ctr"/>
        <c:lblOffset val="100"/>
        <c:tickMarkSkip val="12"/>
        <c:noMultiLvlLbl val="0"/>
      </c:catAx>
      <c:valAx>
        <c:axId val="20261336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261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0.35992</cdr:x>
      <cdr:y>0.21918</cdr:y>
    </cdr:from>
    <cdr:to>
      <cdr:x>0.47978</cdr:x>
      <cdr:y>0.31266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859485" y="627425"/>
          <a:ext cx="619240" cy="2675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103.0</a:t>
          </a:r>
        </a:p>
      </cdr:txBody>
    </cdr:sp>
  </cdr:relSizeAnchor>
  <cdr:relSizeAnchor xmlns:cdr="http://schemas.openxmlformats.org/drawingml/2006/chartDrawing">
    <cdr:from>
      <cdr:x>0.33467</cdr:x>
      <cdr:y>0.30275</cdr:y>
    </cdr:from>
    <cdr:to>
      <cdr:x>0.40549</cdr:x>
      <cdr:y>0.41388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729005" y="866633"/>
          <a:ext cx="365926" cy="31813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0.07222</cdr:x>
      <cdr:y>0.43016</cdr:y>
    </cdr:from>
    <cdr:to>
      <cdr:x>0.97312</cdr:x>
      <cdr:y>0.43606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73119" y="1231361"/>
          <a:ext cx="4654374" cy="168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BBEED-6BE7-458B-9412-DC2476BE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2020-08-20T10:45:00Z</dcterms:created>
  <dcterms:modified xsi:type="dcterms:W3CDTF">2020-08-20T10:45:00Z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