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8474AE">
        <w:rPr>
          <w:rFonts w:cs="Arial"/>
          <w:lang w:val="en-US"/>
        </w:rPr>
        <w:t xml:space="preserve"> </w:t>
      </w:r>
      <w:r w:rsidR="0053206A">
        <w:rPr>
          <w:rFonts w:cs="Arial"/>
          <w:lang w:val="en-US"/>
        </w:rPr>
        <w:t>Febr</w:t>
      </w:r>
      <w:r w:rsidR="006F4002">
        <w:rPr>
          <w:rFonts w:cs="Arial"/>
          <w:lang w:val="en-US"/>
        </w:rPr>
        <w:t>uary</w:t>
      </w:r>
      <w:r w:rsidR="00977E20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6F4002">
        <w:rPr>
          <w:rFonts w:cs="Arial"/>
          <w:szCs w:val="40"/>
          <w:lang w:val="en-US"/>
        </w:rPr>
        <w:t>21</w:t>
      </w:r>
    </w:p>
    <w:p w:rsidR="00393761" w:rsidRPr="00CF541C" w:rsidRDefault="00393761" w:rsidP="00074DD8">
      <w:pPr>
        <w:pStyle w:val="tytuinformacji"/>
        <w:rPr>
          <w:rFonts w:asciiTheme="majorHAnsi" w:hAnsiTheme="majorHAnsi"/>
          <w:sz w:val="18"/>
          <w:szCs w:val="18"/>
          <w:lang w:val="en-US"/>
        </w:rPr>
      </w:pPr>
    </w:p>
    <w:p w:rsidR="00A13753" w:rsidRPr="009F2D80" w:rsidRDefault="00AB3C32" w:rsidP="00A13753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70267" cy="351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2959E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2959E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0E5C9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3019E5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de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70267" cy="351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2959E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2959E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0E5C9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3019E5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de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>In</w:t>
      </w:r>
      <w:r w:rsidR="006F7E74">
        <w:rPr>
          <w:rFonts w:cs="Arial"/>
          <w:lang w:val="en-US"/>
        </w:rPr>
        <w:t xml:space="preserve"> </w:t>
      </w:r>
      <w:r w:rsidR="002959EC">
        <w:rPr>
          <w:rFonts w:cs="Arial"/>
          <w:lang w:val="en-US"/>
        </w:rPr>
        <w:t>Februa</w:t>
      </w:r>
      <w:r w:rsidR="00264323">
        <w:rPr>
          <w:rFonts w:cs="Arial"/>
          <w:lang w:val="en-US"/>
        </w:rPr>
        <w:t xml:space="preserve">ry </w:t>
      </w:r>
      <w:r w:rsidR="003910EE" w:rsidRPr="003910EE">
        <w:rPr>
          <w:rFonts w:cs="Arial"/>
          <w:lang w:val="en-US"/>
        </w:rPr>
        <w:t>20</w:t>
      </w:r>
      <w:r w:rsidR="005358B2">
        <w:rPr>
          <w:rFonts w:cs="Arial"/>
          <w:lang w:val="en-US"/>
        </w:rPr>
        <w:t>21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B62867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</w:t>
      </w:r>
      <w:r w:rsidR="00F02D59">
        <w:rPr>
          <w:rFonts w:cs="Arial"/>
          <w:lang w:val="en-US"/>
        </w:rPr>
        <w:t> </w:t>
      </w:r>
      <w:r w:rsidR="002959EC">
        <w:rPr>
          <w:rFonts w:cs="Arial"/>
          <w:lang w:val="en-US"/>
        </w:rPr>
        <w:t>3</w:t>
      </w:r>
      <w:r w:rsidR="001A40AB">
        <w:rPr>
          <w:rFonts w:cs="Arial"/>
          <w:lang w:val="en-US"/>
        </w:rPr>
        <w:t>.</w:t>
      </w:r>
      <w:r w:rsidR="002959EC">
        <w:rPr>
          <w:rFonts w:cs="Arial"/>
          <w:lang w:val="en-US"/>
        </w:rPr>
        <w:t>1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276977">
        <w:rPr>
          <w:rFonts w:cs="Arial"/>
          <w:lang w:val="en-US"/>
        </w:rPr>
        <w:t>lower</w:t>
      </w:r>
      <w:r w:rsidR="00A94CC0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than the year before (against a growth of</w:t>
      </w:r>
      <w:r w:rsidR="00F02D59">
        <w:rPr>
          <w:rFonts w:cs="Arial"/>
          <w:lang w:val="en-US"/>
        </w:rPr>
        <w:t> </w:t>
      </w:r>
      <w:r w:rsidR="002959EC">
        <w:rPr>
          <w:rFonts w:cs="Arial"/>
          <w:lang w:val="en-US"/>
        </w:rPr>
        <w:t>7</w:t>
      </w:r>
      <w:r w:rsidR="005C50E9">
        <w:rPr>
          <w:rFonts w:cs="Arial"/>
          <w:lang w:val="en-US"/>
        </w:rPr>
        <w:t>.</w:t>
      </w:r>
      <w:r w:rsidR="002959EC">
        <w:rPr>
          <w:rFonts w:cs="Arial"/>
          <w:lang w:val="en-US"/>
        </w:rPr>
        <w:t>3</w:t>
      </w:r>
      <w:r w:rsidR="004B784E">
        <w:rPr>
          <w:rFonts w:cs="Arial"/>
          <w:lang w:val="en-US"/>
        </w:rPr>
        <w:t>% in</w:t>
      </w:r>
      <w:r w:rsidR="00163F89">
        <w:rPr>
          <w:rFonts w:cs="Arial"/>
          <w:lang w:val="en-US"/>
        </w:rPr>
        <w:t xml:space="preserve"> </w:t>
      </w:r>
      <w:r w:rsidR="002959EC">
        <w:rPr>
          <w:rFonts w:cs="Arial"/>
          <w:lang w:val="en-US"/>
        </w:rPr>
        <w:t>Febru</w:t>
      </w:r>
      <w:r w:rsidR="00264323">
        <w:rPr>
          <w:rFonts w:cs="Arial"/>
          <w:lang w:val="en-US"/>
        </w:rPr>
        <w:t>ary</w:t>
      </w:r>
      <w:r w:rsidR="00163F89">
        <w:rPr>
          <w:rFonts w:cs="Arial"/>
          <w:lang w:val="en-US"/>
        </w:rPr>
        <w:t xml:space="preserve"> </w:t>
      </w:r>
      <w:r w:rsidR="00264323">
        <w:rPr>
          <w:rFonts w:cs="Arial"/>
          <w:lang w:val="en-US"/>
        </w:rPr>
        <w:t>2020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263D0C">
        <w:rPr>
          <w:lang w:val="en-US"/>
        </w:rPr>
        <w:t xml:space="preserve"> </w:t>
      </w:r>
      <w:r w:rsidR="002959EC">
        <w:rPr>
          <w:lang w:val="en-US"/>
        </w:rPr>
        <w:t xml:space="preserve">January </w:t>
      </w:r>
      <w:r w:rsidR="00EA5ED1">
        <w:rPr>
          <w:lang w:val="en-US"/>
        </w:rPr>
        <w:t>20</w:t>
      </w:r>
      <w:r w:rsidR="002959EC">
        <w:rPr>
          <w:lang w:val="en-US"/>
        </w:rPr>
        <w:t>21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2959EC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2959EC">
        <w:rPr>
          <w:lang w:val="en-US"/>
        </w:rPr>
        <w:t>3</w:t>
      </w:r>
      <w:r w:rsidR="002B5519">
        <w:rPr>
          <w:lang w:val="en-US"/>
        </w:rPr>
        <w:t>.</w:t>
      </w:r>
      <w:r w:rsidR="002959EC">
        <w:rPr>
          <w:lang w:val="en-US"/>
        </w:rPr>
        <w:t>5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A13753">
        <w:rPr>
          <w:lang w:val="en-US"/>
        </w:rPr>
        <w:t>In the period of January-February</w:t>
      </w:r>
      <w:r w:rsidR="00A13753">
        <w:rPr>
          <w:rStyle w:val="Odwoanieprzypisudolnego"/>
          <w:lang w:val="en-US"/>
        </w:rPr>
        <w:footnoteReference w:id="2"/>
      </w:r>
      <w:r w:rsidR="00A13753" w:rsidRPr="009F2D80">
        <w:rPr>
          <w:lang w:val="en-US"/>
        </w:rPr>
        <w:t xml:space="preserve"> 20</w:t>
      </w:r>
      <w:r w:rsidR="00BC3A0B">
        <w:rPr>
          <w:lang w:val="en-US"/>
        </w:rPr>
        <w:t>21</w:t>
      </w:r>
      <w:r w:rsidR="00A13753">
        <w:rPr>
          <w:lang w:val="en-US"/>
        </w:rPr>
        <w:t xml:space="preserve"> retail </w:t>
      </w:r>
      <w:r w:rsidR="00BC3A0B">
        <w:rPr>
          <w:lang w:val="en-US"/>
        </w:rPr>
        <w:t>sales y/y were by 4</w:t>
      </w:r>
      <w:r w:rsidR="00A13753" w:rsidRPr="009F2D80">
        <w:rPr>
          <w:lang w:val="en-US"/>
        </w:rPr>
        <w:t>.</w:t>
      </w:r>
      <w:r w:rsidR="00BC3A0B">
        <w:rPr>
          <w:lang w:val="en-US"/>
        </w:rPr>
        <w:t>9</w:t>
      </w:r>
      <w:r w:rsidR="00A13753" w:rsidRPr="009F2D80">
        <w:rPr>
          <w:lang w:val="en-US"/>
        </w:rPr>
        <w:t xml:space="preserve">% </w:t>
      </w:r>
      <w:r w:rsidR="00A13753">
        <w:rPr>
          <w:lang w:val="en-US"/>
        </w:rPr>
        <w:t>low</w:t>
      </w:r>
      <w:r w:rsidR="00A13753" w:rsidRPr="009F2D80">
        <w:rPr>
          <w:lang w:val="en-US"/>
        </w:rPr>
        <w:t xml:space="preserve">er (against a growth of </w:t>
      </w:r>
      <w:r w:rsidR="00BC3A0B">
        <w:rPr>
          <w:lang w:val="en-US"/>
        </w:rPr>
        <w:t>5.6</w:t>
      </w:r>
      <w:r w:rsidR="00A13753" w:rsidRPr="009F2D80">
        <w:rPr>
          <w:lang w:val="en-US"/>
        </w:rPr>
        <w:t>% in 20</w:t>
      </w:r>
      <w:r w:rsidR="00BC3A0B">
        <w:rPr>
          <w:lang w:val="en-US"/>
        </w:rPr>
        <w:t>20</w:t>
      </w:r>
      <w:r w:rsidR="00A13753" w:rsidRPr="009F2D80">
        <w:rPr>
          <w:lang w:val="en-US"/>
        </w:rPr>
        <w:t>).</w:t>
      </w:r>
    </w:p>
    <w:p w:rsidR="009F2D80" w:rsidRDefault="009F2D80" w:rsidP="009F2D80">
      <w:pPr>
        <w:pStyle w:val="LID"/>
        <w:rPr>
          <w:lang w:val="en-US"/>
        </w:rPr>
      </w:pPr>
    </w:p>
    <w:p w:rsidR="00C42772" w:rsidRDefault="00C42772" w:rsidP="009F2D80">
      <w:pPr>
        <w:pStyle w:val="LID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163195</wp:posOffset>
                </wp:positionV>
                <wp:extent cx="1790700" cy="1663700"/>
                <wp:effectExtent l="0" t="0" r="0" b="0"/>
                <wp:wrapTight wrapText="bothSides">
                  <wp:wrapPolygon edited="0">
                    <wp:start x="689" y="0"/>
                    <wp:lineTo x="689" y="21270"/>
                    <wp:lineTo x="20681" y="21270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66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1EE" w:rsidRPr="000F4044" w:rsidRDefault="00E750F7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7C74CE">
                              <w:rPr>
                                <w:rFonts w:cs="Arial"/>
                                <w:lang w:val="en-US"/>
                              </w:rPr>
                              <w:t>Februar</w:t>
                            </w:r>
                            <w:r w:rsidR="004F4C33">
                              <w:rPr>
                                <w:rFonts w:cs="Arial"/>
                                <w:lang w:val="en-US"/>
                              </w:rPr>
                              <w:t xml:space="preserve">y </w:t>
                            </w:r>
                            <w:r w:rsidR="004633D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 w:rsidR="004F4C33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a</w:t>
                            </w:r>
                            <w:r w:rsidR="007C74CE">
                              <w:rPr>
                                <w:rFonts w:cs="Arial"/>
                                <w:lang w:val="en-US"/>
                              </w:rPr>
                              <w:t>fter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de</w:t>
                            </w:r>
                            <w:r w:rsidR="002D1E3B">
                              <w:rPr>
                                <w:rFonts w:cs="Arial"/>
                                <w:lang w:val="en-US"/>
                              </w:rPr>
                              <w:t>c</w:t>
                            </w:r>
                            <w:r w:rsidR="007C74CE">
                              <w:rPr>
                                <w:rFonts w:cs="Arial"/>
                                <w:lang w:val="en-US"/>
                              </w:rPr>
                              <w:t>lines</w:t>
                            </w:r>
                            <w:r w:rsidR="002D1E3B">
                              <w:rPr>
                                <w:rFonts w:cs="Arial"/>
                                <w:lang w:val="en-US"/>
                              </w:rPr>
                              <w:t xml:space="preserve"> in</w:t>
                            </w:r>
                            <w:r w:rsidR="007C74CE">
                              <w:rPr>
                                <w:rFonts w:cs="Arial"/>
                                <w:lang w:val="en-US"/>
                              </w:rPr>
                              <w:t xml:space="preserve"> previous months </w:t>
                            </w:r>
                            <w:r w:rsidR="00E5604E">
                              <w:rPr>
                                <w:rFonts w:cs="Arial"/>
                                <w:lang w:val="en-US"/>
                              </w:rPr>
                              <w:t xml:space="preserve">a high sales growth </w:t>
                            </w:r>
                            <w:r w:rsidR="007C74CE">
                              <w:rPr>
                                <w:rFonts w:cs="Arial"/>
                                <w:lang w:val="en-US"/>
                              </w:rPr>
                              <w:t>y/y</w:t>
                            </w:r>
                            <w:r w:rsidR="002D1E3B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7C74CE">
                              <w:rPr>
                                <w:rFonts w:cs="Arial"/>
                                <w:lang w:val="en-US"/>
                              </w:rPr>
                              <w:t>in the group “textiles, clothing and footwear” was recorded</w:t>
                            </w:r>
                            <w:r w:rsidR="005812B8">
                              <w:rPr>
                                <w:rFonts w:cs="Arial"/>
                                <w:lang w:val="en-US"/>
                              </w:rPr>
                              <w:t xml:space="preserve">, which was related </w:t>
                            </w:r>
                            <w:proofErr w:type="spellStart"/>
                            <w:r w:rsidR="005812B8">
                              <w:rPr>
                                <w:rFonts w:cs="Arial"/>
                                <w:lang w:val="en-US"/>
                              </w:rPr>
                              <w:t>i.a</w:t>
                            </w:r>
                            <w:proofErr w:type="spellEnd"/>
                            <w:r w:rsidR="005812B8">
                              <w:rPr>
                                <w:rFonts w:cs="Arial"/>
                                <w:lang w:val="en-US"/>
                              </w:rPr>
                              <w:t xml:space="preserve">. to the lifting of </w:t>
                            </w:r>
                            <w:r w:rsidR="007C74CE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4C01EE">
                              <w:rPr>
                                <w:rStyle w:val="jlqj4b"/>
                                <w:lang w:val="en"/>
                              </w:rPr>
                              <w:t>restrictions on the operation of shopping malls introduced due to the COVID-19 pandemic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.3pt;margin-top:12.85pt;width:141pt;height:13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" filled="f" stroked="f">
                <v:textbox>
                  <w:txbxContent>
                    <w:p w:rsidR="004C01EE" w:rsidRPr="000F4044" w:rsidRDefault="00E750F7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7C74CE">
                        <w:rPr>
                          <w:rFonts w:cs="Arial"/>
                          <w:lang w:val="en-US"/>
                        </w:rPr>
                        <w:t>Februar</w:t>
                      </w:r>
                      <w:r w:rsidR="004F4C33">
                        <w:rPr>
                          <w:rFonts w:cs="Arial"/>
                          <w:lang w:val="en-US"/>
                        </w:rPr>
                        <w:t xml:space="preserve">y </w:t>
                      </w:r>
                      <w:r w:rsidR="004633DD">
                        <w:rPr>
                          <w:rFonts w:cs="Arial"/>
                          <w:lang w:val="en-US"/>
                        </w:rPr>
                        <w:t>202</w:t>
                      </w:r>
                      <w:r w:rsidR="004F4C33">
                        <w:rPr>
                          <w:rFonts w:cs="Arial"/>
                          <w:lang w:val="en-US"/>
                        </w:rPr>
                        <w:t>1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a</w:t>
                      </w:r>
                      <w:r w:rsidR="007C74CE">
                        <w:rPr>
                          <w:rFonts w:cs="Arial"/>
                          <w:lang w:val="en-US"/>
                        </w:rPr>
                        <w:t>fter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de</w:t>
                      </w:r>
                      <w:r w:rsidR="002D1E3B">
                        <w:rPr>
                          <w:rFonts w:cs="Arial"/>
                          <w:lang w:val="en-US"/>
                        </w:rPr>
                        <w:t>c</w:t>
                      </w:r>
                      <w:r w:rsidR="007C74CE">
                        <w:rPr>
                          <w:rFonts w:cs="Arial"/>
                          <w:lang w:val="en-US"/>
                        </w:rPr>
                        <w:t>lines</w:t>
                      </w:r>
                      <w:r w:rsidR="002D1E3B">
                        <w:rPr>
                          <w:rFonts w:cs="Arial"/>
                          <w:lang w:val="en-US"/>
                        </w:rPr>
                        <w:t xml:space="preserve"> in</w:t>
                      </w:r>
                      <w:r w:rsidR="007C74CE">
                        <w:rPr>
                          <w:rFonts w:cs="Arial"/>
                          <w:lang w:val="en-US"/>
                        </w:rPr>
                        <w:t xml:space="preserve"> previous months </w:t>
                      </w:r>
                      <w:r w:rsidR="00E5604E">
                        <w:rPr>
                          <w:rFonts w:cs="Arial"/>
                          <w:lang w:val="en-US"/>
                        </w:rPr>
                        <w:t xml:space="preserve">a high sales growth </w:t>
                      </w:r>
                      <w:r w:rsidR="007C74CE">
                        <w:rPr>
                          <w:rFonts w:cs="Arial"/>
                          <w:lang w:val="en-US"/>
                        </w:rPr>
                        <w:t>y/y</w:t>
                      </w:r>
                      <w:r w:rsidR="002D1E3B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7C74CE">
                        <w:rPr>
                          <w:rFonts w:cs="Arial"/>
                          <w:lang w:val="en-US"/>
                        </w:rPr>
                        <w:t>in the group “textiles, clothing and footwear” was recorded</w:t>
                      </w:r>
                      <w:r w:rsidR="005812B8">
                        <w:rPr>
                          <w:rFonts w:cs="Arial"/>
                          <w:lang w:val="en-US"/>
                        </w:rPr>
                        <w:t xml:space="preserve">, which was related </w:t>
                      </w:r>
                      <w:proofErr w:type="spellStart"/>
                      <w:r w:rsidR="005812B8">
                        <w:rPr>
                          <w:rFonts w:cs="Arial"/>
                          <w:lang w:val="en-US"/>
                        </w:rPr>
                        <w:t>i.a</w:t>
                      </w:r>
                      <w:proofErr w:type="spellEnd"/>
                      <w:r w:rsidR="005812B8">
                        <w:rPr>
                          <w:rFonts w:cs="Arial"/>
                          <w:lang w:val="en-US"/>
                        </w:rPr>
                        <w:t xml:space="preserve">. to the lifting of </w:t>
                      </w:r>
                      <w:r w:rsidR="007C74CE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4C01EE">
                        <w:rPr>
                          <w:rStyle w:val="jlqj4b"/>
                          <w:lang w:val="en"/>
                        </w:rPr>
                        <w:t>restrictions on the operation of shopping malls introduced due to the COVID-19 pandemic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CF541C" w:rsidRDefault="001A468C" w:rsidP="003802B7">
      <w:pPr>
        <w:rPr>
          <w:rFonts w:cs="Arial"/>
          <w:spacing w:val="-4"/>
          <w:szCs w:val="19"/>
          <w:lang w:val="en-US"/>
        </w:rPr>
      </w:pPr>
      <w:r>
        <w:rPr>
          <w:lang w:val="en-US" w:eastAsia="pl-PL"/>
        </w:rPr>
        <w:t xml:space="preserve">In </w:t>
      </w:r>
      <w:r w:rsidR="00AF0E7D">
        <w:rPr>
          <w:lang w:val="en-US" w:eastAsia="pl-PL"/>
        </w:rPr>
        <w:t>Febr</w:t>
      </w:r>
      <w:r w:rsidR="00047EAE">
        <w:rPr>
          <w:lang w:val="en-US" w:eastAsia="pl-PL"/>
        </w:rPr>
        <w:t>uary 2021</w:t>
      </w:r>
      <w:r w:rsidR="00CE6A39">
        <w:rPr>
          <w:lang w:val="en-US" w:eastAsia="pl-PL"/>
        </w:rPr>
        <w:t>,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 xml:space="preserve">the </w:t>
      </w:r>
      <w:r w:rsidR="00023F53" w:rsidRPr="00121BE9">
        <w:rPr>
          <w:lang w:val="en-US" w:eastAsia="pl-PL"/>
        </w:rPr>
        <w:t>largest</w:t>
      </w:r>
      <w:r w:rsidR="00AD3CEA">
        <w:rPr>
          <w:lang w:val="en-US" w:eastAsia="pl-PL"/>
        </w:rPr>
        <w:t xml:space="preserve"> de</w:t>
      </w:r>
      <w:r w:rsidR="002E54B9">
        <w:rPr>
          <w:lang w:val="en-US" w:eastAsia="pl-PL"/>
        </w:rPr>
        <w:t xml:space="preserve">crease in retail sales </w:t>
      </w:r>
      <w:r w:rsidR="00A85C13">
        <w:rPr>
          <w:lang w:val="en-US" w:eastAsia="pl-PL"/>
        </w:rPr>
        <w:t xml:space="preserve">(at constant prices) </w:t>
      </w:r>
      <w:r>
        <w:rPr>
          <w:lang w:val="en-US" w:eastAsia="pl-PL"/>
        </w:rPr>
        <w:t xml:space="preserve">compared </w:t>
      </w:r>
      <w:r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 w:rsidR="00047EAE">
        <w:rPr>
          <w:rFonts w:cs="Arial"/>
          <w:lang w:val="en-US"/>
        </w:rPr>
        <w:t xml:space="preserve"> 2020</w:t>
      </w:r>
      <w:r w:rsidR="00AF0E7D">
        <w:rPr>
          <w:rFonts w:cs="Arial"/>
          <w:lang w:val="en-US"/>
        </w:rPr>
        <w:t xml:space="preserve"> </w:t>
      </w:r>
      <w:r w:rsidR="002E54B9">
        <w:rPr>
          <w:lang w:val="en-US" w:eastAsia="pl-PL"/>
        </w:rPr>
        <w:t xml:space="preserve">was </w:t>
      </w:r>
      <w:r w:rsidR="00AD3CEA">
        <w:rPr>
          <w:lang w:val="en-US" w:eastAsia="pl-PL"/>
        </w:rPr>
        <w:t>noted by</w:t>
      </w:r>
      <w:r>
        <w:rPr>
          <w:lang w:val="en-US" w:eastAsia="pl-PL"/>
        </w:rPr>
        <w:t xml:space="preserve"> </w:t>
      </w:r>
      <w:r w:rsidR="000449A8">
        <w:rPr>
          <w:lang w:val="en-US" w:eastAsia="pl-PL"/>
        </w:rPr>
        <w:t xml:space="preserve">units </w:t>
      </w:r>
      <w:r w:rsidR="00AF0E7D">
        <w:rPr>
          <w:lang w:val="en-US" w:eastAsia="pl-PL"/>
        </w:rPr>
        <w:t>f</w:t>
      </w:r>
      <w:r w:rsidR="008B5BD1">
        <w:rPr>
          <w:lang w:val="en-US" w:eastAsia="pl-PL"/>
        </w:rPr>
        <w:t>r</w:t>
      </w:r>
      <w:r w:rsidR="00AF0E7D">
        <w:rPr>
          <w:lang w:val="en-US" w:eastAsia="pl-PL"/>
        </w:rPr>
        <w:t>o</w:t>
      </w:r>
      <w:r w:rsidR="008B5BD1">
        <w:rPr>
          <w:lang w:val="en-US" w:eastAsia="pl-PL"/>
        </w:rPr>
        <w:t>m</w:t>
      </w:r>
      <w:r w:rsidR="00AF0E7D">
        <w:rPr>
          <w:lang w:val="en-US" w:eastAsia="pl-PL"/>
        </w:rPr>
        <w:t xml:space="preserve"> the group “others”</w:t>
      </w:r>
      <w:r w:rsidR="00EA7C26">
        <w:rPr>
          <w:rFonts w:cs="Arial"/>
          <w:lang w:val="en-US"/>
        </w:rPr>
        <w:t xml:space="preserve"> </w:t>
      </w:r>
      <w:r w:rsidR="00EA7C26">
        <w:rPr>
          <w:rFonts w:cs="Arial"/>
          <w:szCs w:val="19"/>
          <w:lang w:val="en-US"/>
        </w:rPr>
        <w:t xml:space="preserve">(by </w:t>
      </w:r>
      <w:r w:rsidR="00AF0E7D">
        <w:rPr>
          <w:rFonts w:cs="Arial"/>
          <w:szCs w:val="19"/>
          <w:lang w:val="en-US"/>
        </w:rPr>
        <w:t>16.6</w:t>
      </w:r>
      <w:r w:rsidR="00EA7C26">
        <w:rPr>
          <w:rFonts w:cs="Arial"/>
          <w:szCs w:val="19"/>
          <w:lang w:val="en-US"/>
        </w:rPr>
        <w:t>% against a</w:t>
      </w:r>
      <w:r w:rsidR="005F4752">
        <w:rPr>
          <w:rFonts w:cs="Arial"/>
          <w:szCs w:val="19"/>
          <w:lang w:val="en-US"/>
        </w:rPr>
        <w:t> </w:t>
      </w:r>
      <w:r w:rsidR="00EA7C26">
        <w:rPr>
          <w:rFonts w:cs="Arial"/>
          <w:szCs w:val="19"/>
          <w:lang w:val="en-US"/>
        </w:rPr>
        <w:t xml:space="preserve">growth of </w:t>
      </w:r>
      <w:r w:rsidR="00AF0E7D">
        <w:rPr>
          <w:rFonts w:cs="Arial"/>
          <w:szCs w:val="19"/>
          <w:lang w:val="en-US"/>
        </w:rPr>
        <w:t>3.8</w:t>
      </w:r>
      <w:r w:rsidR="00EA7C26">
        <w:rPr>
          <w:rFonts w:cs="Arial"/>
          <w:szCs w:val="19"/>
          <w:lang w:val="en-US"/>
        </w:rPr>
        <w:t xml:space="preserve">% the year before). </w:t>
      </w:r>
      <w:r w:rsidR="00F77E85">
        <w:rPr>
          <w:rFonts w:cs="Arial"/>
          <w:szCs w:val="19"/>
          <w:lang w:val="en-US"/>
        </w:rPr>
        <w:t xml:space="preserve">Significantly lower sales were also </w:t>
      </w:r>
      <w:r w:rsidR="00D12726">
        <w:rPr>
          <w:rFonts w:cs="Arial"/>
          <w:szCs w:val="19"/>
          <w:lang w:val="en-US"/>
        </w:rPr>
        <w:t>observed in groups</w:t>
      </w:r>
      <w:r w:rsidR="00F77E85">
        <w:rPr>
          <w:rFonts w:cs="Arial"/>
          <w:szCs w:val="19"/>
          <w:lang w:val="en-US"/>
        </w:rPr>
        <w:t xml:space="preserve"> “</w:t>
      </w:r>
      <w:r w:rsidR="00AD3CEA">
        <w:rPr>
          <w:rFonts w:cs="Arial"/>
          <w:lang w:val="en-US"/>
        </w:rPr>
        <w:t>solid, liquid and gaseous fuels</w:t>
      </w:r>
      <w:r w:rsidR="00F77E85">
        <w:rPr>
          <w:rFonts w:cs="Arial"/>
          <w:lang w:val="en-US"/>
        </w:rPr>
        <w:t>”</w:t>
      </w:r>
      <w:r w:rsidR="006C2748">
        <w:rPr>
          <w:rFonts w:cs="Arial"/>
          <w:szCs w:val="19"/>
          <w:lang w:val="en-US"/>
        </w:rPr>
        <w:t xml:space="preserve"> </w:t>
      </w:r>
      <w:r w:rsidR="00261301">
        <w:rPr>
          <w:rFonts w:cs="Arial"/>
          <w:szCs w:val="19"/>
          <w:lang w:val="en-US"/>
        </w:rPr>
        <w:t xml:space="preserve">(by </w:t>
      </w:r>
      <w:r w:rsidR="00AD3CEA">
        <w:rPr>
          <w:rFonts w:cs="Arial"/>
          <w:szCs w:val="19"/>
          <w:lang w:val="en-US"/>
        </w:rPr>
        <w:t>1</w:t>
      </w:r>
      <w:r w:rsidR="00AF0E7D">
        <w:rPr>
          <w:rFonts w:cs="Arial"/>
          <w:szCs w:val="19"/>
          <w:lang w:val="en-US"/>
        </w:rPr>
        <w:t>4.8</w:t>
      </w:r>
      <w:r w:rsidR="00AD3CEA">
        <w:rPr>
          <w:rFonts w:cs="Arial"/>
          <w:szCs w:val="19"/>
          <w:lang w:val="en-US"/>
        </w:rPr>
        <w:t>%</w:t>
      </w:r>
      <w:r w:rsidR="005F4752">
        <w:rPr>
          <w:rFonts w:cs="Arial"/>
          <w:szCs w:val="19"/>
          <w:lang w:val="en-US"/>
        </w:rPr>
        <w:t>) and</w:t>
      </w:r>
      <w:r w:rsidR="00AD3CEA">
        <w:rPr>
          <w:rFonts w:cs="Arial"/>
          <w:szCs w:val="19"/>
          <w:lang w:val="en-US"/>
        </w:rPr>
        <w:t xml:space="preserve"> </w:t>
      </w:r>
      <w:r w:rsidR="00D12726">
        <w:rPr>
          <w:rFonts w:cs="Arial"/>
          <w:lang w:val="en-US"/>
        </w:rPr>
        <w:t xml:space="preserve">“pharmaceuticals, cosmetics, </w:t>
      </w:r>
      <w:proofErr w:type="spellStart"/>
      <w:r w:rsidR="00D12726">
        <w:rPr>
          <w:rFonts w:cs="Arial"/>
          <w:lang w:val="en-US"/>
        </w:rPr>
        <w:t>orthopaedic</w:t>
      </w:r>
      <w:proofErr w:type="spellEnd"/>
      <w:r w:rsidR="00D12726">
        <w:rPr>
          <w:rFonts w:cs="Arial"/>
          <w:lang w:val="en-US"/>
        </w:rPr>
        <w:t xml:space="preserve"> equipment” (by 13.5%)</w:t>
      </w:r>
      <w:r w:rsidR="000449A8">
        <w:rPr>
          <w:rFonts w:cs="Arial"/>
          <w:lang w:val="en-US"/>
        </w:rPr>
        <w:t xml:space="preserve">. The largest increased was however </w:t>
      </w:r>
      <w:r w:rsidR="005F4752">
        <w:rPr>
          <w:rFonts w:cs="Arial"/>
          <w:lang w:val="en-US"/>
        </w:rPr>
        <w:t>reported by</w:t>
      </w:r>
      <w:r w:rsidR="0009277B" w:rsidRPr="006527C6">
        <w:rPr>
          <w:rFonts w:cs="Arial"/>
          <w:spacing w:val="-10"/>
          <w:lang w:val="en-US"/>
        </w:rPr>
        <w:t xml:space="preserve"> </w:t>
      </w:r>
      <w:r w:rsidR="000449A8">
        <w:rPr>
          <w:lang w:val="en-US" w:eastAsia="pl-PL"/>
        </w:rPr>
        <w:t xml:space="preserve">entities </w:t>
      </w:r>
      <w:r w:rsidR="005F4752">
        <w:rPr>
          <w:lang w:val="en-US" w:eastAsia="pl-PL"/>
        </w:rPr>
        <w:t xml:space="preserve">trading in </w:t>
      </w:r>
      <w:r w:rsidR="005F4752">
        <w:rPr>
          <w:rFonts w:cs="Arial"/>
          <w:szCs w:val="19"/>
          <w:lang w:val="en-US"/>
        </w:rPr>
        <w:t xml:space="preserve">textiles, clothing and </w:t>
      </w:r>
      <w:r w:rsidR="005F4752" w:rsidRPr="0048343C">
        <w:rPr>
          <w:rFonts w:cs="Arial"/>
          <w:szCs w:val="19"/>
          <w:lang w:val="en-US"/>
        </w:rPr>
        <w:t>footwear</w:t>
      </w:r>
      <w:r w:rsidR="005F4752">
        <w:rPr>
          <w:lang w:val="en-US" w:eastAsia="pl-PL"/>
        </w:rPr>
        <w:t xml:space="preserve"> </w:t>
      </w:r>
      <w:r w:rsidR="004113DD">
        <w:rPr>
          <w:szCs w:val="19"/>
          <w:lang w:val="en-US" w:eastAsia="pl-PL"/>
        </w:rPr>
        <w:t xml:space="preserve">(by </w:t>
      </w:r>
      <w:r w:rsidR="005F4752">
        <w:rPr>
          <w:szCs w:val="19"/>
          <w:lang w:val="en-US" w:eastAsia="pl-PL"/>
        </w:rPr>
        <w:t>12.9</w:t>
      </w:r>
      <w:r w:rsidR="00047EAE">
        <w:rPr>
          <w:szCs w:val="19"/>
          <w:lang w:val="en-US" w:eastAsia="pl-PL"/>
        </w:rPr>
        <w:t>%).</w:t>
      </w:r>
      <w:r w:rsidR="009E2207">
        <w:rPr>
          <w:szCs w:val="19"/>
          <w:lang w:val="en-US" w:eastAsia="pl-PL"/>
        </w:rPr>
        <w:br/>
      </w:r>
      <w:r w:rsidR="003802B7" w:rsidRPr="00CF541C">
        <w:rPr>
          <w:szCs w:val="19"/>
          <w:lang w:val="en-US" w:eastAsia="pl-PL"/>
        </w:rPr>
        <w:t>I</w:t>
      </w:r>
      <w:r w:rsidR="00D9217F" w:rsidRPr="00CF541C">
        <w:rPr>
          <w:szCs w:val="19"/>
          <w:lang w:val="en-US" w:eastAsia="pl-PL"/>
        </w:rPr>
        <w:t>n</w:t>
      </w:r>
      <w:r w:rsidR="0071101A" w:rsidRPr="00CF541C">
        <w:rPr>
          <w:szCs w:val="19"/>
          <w:lang w:val="en-US" w:eastAsia="pl-PL"/>
        </w:rPr>
        <w:t xml:space="preserve"> </w:t>
      </w:r>
      <w:r w:rsidR="00727DE0">
        <w:rPr>
          <w:szCs w:val="19"/>
          <w:lang w:val="en-US" w:eastAsia="pl-PL"/>
        </w:rPr>
        <w:t>Februar</w:t>
      </w:r>
      <w:r w:rsidR="008B4B7B" w:rsidRPr="00CF541C">
        <w:rPr>
          <w:szCs w:val="19"/>
          <w:lang w:val="en-US" w:eastAsia="pl-PL"/>
        </w:rPr>
        <w:t>y</w:t>
      </w:r>
      <w:r w:rsidR="00513591" w:rsidRPr="00CF541C">
        <w:rPr>
          <w:szCs w:val="19"/>
          <w:lang w:val="en-US" w:eastAsia="pl-PL"/>
        </w:rPr>
        <w:t xml:space="preserve"> </w:t>
      </w:r>
      <w:r w:rsidR="008B4B7B" w:rsidRPr="00CF541C">
        <w:rPr>
          <w:szCs w:val="19"/>
          <w:lang w:val="en-US" w:eastAsia="pl-PL"/>
        </w:rPr>
        <w:t>2021</w:t>
      </w:r>
      <w:r w:rsidR="00D9217F" w:rsidRPr="00CF541C">
        <w:rPr>
          <w:szCs w:val="19"/>
          <w:lang w:val="en-US" w:eastAsia="pl-PL"/>
        </w:rPr>
        <w:t xml:space="preserve"> c</w:t>
      </w:r>
      <w:r w:rsidR="00832DB5" w:rsidRPr="00CF541C">
        <w:rPr>
          <w:szCs w:val="19"/>
          <w:lang w:val="en-US" w:eastAsia="pl-PL"/>
        </w:rPr>
        <w:t xml:space="preserve">ompared with </w:t>
      </w:r>
      <w:r w:rsidR="004C61D9">
        <w:rPr>
          <w:szCs w:val="19"/>
          <w:lang w:val="en-US" w:eastAsia="pl-PL"/>
        </w:rPr>
        <w:t>January 2021</w:t>
      </w:r>
      <w:r w:rsidR="00EA65C5" w:rsidRPr="00CF541C">
        <w:rPr>
          <w:szCs w:val="19"/>
          <w:lang w:val="en-US" w:eastAsia="pl-PL"/>
        </w:rPr>
        <w:t>,</w:t>
      </w:r>
      <w:r w:rsidR="00D9217F" w:rsidRPr="00CF541C">
        <w:rPr>
          <w:szCs w:val="19"/>
          <w:lang w:val="en-US" w:eastAsia="pl-PL"/>
        </w:rPr>
        <w:t xml:space="preserve"> a </w:t>
      </w:r>
      <w:r w:rsidR="00656441" w:rsidRPr="00CF541C">
        <w:rPr>
          <w:szCs w:val="19"/>
          <w:lang w:val="en-US" w:eastAsia="pl-PL"/>
        </w:rPr>
        <w:t>de</w:t>
      </w:r>
      <w:r w:rsidR="000D004E" w:rsidRPr="00CF541C">
        <w:rPr>
          <w:szCs w:val="19"/>
          <w:lang w:val="en-US" w:eastAsia="pl-PL"/>
        </w:rPr>
        <w:t>crease</w:t>
      </w:r>
      <w:r w:rsidR="00EA65C5" w:rsidRPr="00CF541C">
        <w:rPr>
          <w:szCs w:val="19"/>
          <w:lang w:val="en-US" w:eastAsia="pl-PL"/>
        </w:rPr>
        <w:t xml:space="preserve"> in retail sales</w:t>
      </w:r>
      <w:r w:rsidR="003802B7" w:rsidRPr="00CF541C">
        <w:rPr>
          <w:szCs w:val="19"/>
          <w:lang w:val="en-US" w:eastAsia="pl-PL"/>
        </w:rPr>
        <w:t xml:space="preserve"> value</w:t>
      </w:r>
      <w:r w:rsidR="00EA65C5" w:rsidRPr="00CF541C">
        <w:rPr>
          <w:szCs w:val="19"/>
          <w:lang w:val="en-US" w:eastAsia="pl-PL"/>
        </w:rPr>
        <w:t xml:space="preserve"> via Internet </w:t>
      </w:r>
      <w:r w:rsidR="004E2CD5" w:rsidRPr="00CF541C">
        <w:rPr>
          <w:szCs w:val="19"/>
          <w:lang w:val="en-US" w:eastAsia="pl-PL"/>
        </w:rPr>
        <w:t xml:space="preserve">at current prices </w:t>
      </w:r>
      <w:r w:rsidR="00EA65C5" w:rsidRPr="00CF541C">
        <w:rPr>
          <w:szCs w:val="19"/>
          <w:lang w:val="en-US" w:eastAsia="pl-PL"/>
        </w:rPr>
        <w:t>was recorded</w:t>
      </w:r>
      <w:r w:rsidR="00D9217F" w:rsidRPr="00CF541C">
        <w:rPr>
          <w:szCs w:val="19"/>
          <w:lang w:val="en-US" w:eastAsia="pl-PL"/>
        </w:rPr>
        <w:t xml:space="preserve"> (by </w:t>
      </w:r>
      <w:r w:rsidR="004C61D9">
        <w:rPr>
          <w:szCs w:val="19"/>
          <w:lang w:val="en-US" w:eastAsia="pl-PL"/>
        </w:rPr>
        <w:t>9.3</w:t>
      </w:r>
      <w:r w:rsidR="00D9217F" w:rsidRPr="00CF541C">
        <w:rPr>
          <w:szCs w:val="19"/>
          <w:lang w:val="en-US" w:eastAsia="pl-PL"/>
        </w:rPr>
        <w:t>%)</w:t>
      </w:r>
      <w:r w:rsidR="00F84171">
        <w:rPr>
          <w:szCs w:val="19"/>
          <w:lang w:val="en-US" w:eastAsia="pl-PL"/>
        </w:rPr>
        <w:t>.T</w:t>
      </w:r>
      <w:r w:rsidR="004E2CD5" w:rsidRPr="00CF541C">
        <w:rPr>
          <w:szCs w:val="19"/>
          <w:lang w:val="en-US" w:eastAsia="pl-PL"/>
        </w:rPr>
        <w:t xml:space="preserve">he share of such sales </w:t>
      </w:r>
      <w:r w:rsidR="00F84171">
        <w:rPr>
          <w:szCs w:val="19"/>
          <w:lang w:val="en-US" w:eastAsia="pl-PL"/>
        </w:rPr>
        <w:t>de</w:t>
      </w:r>
      <w:r w:rsidR="0008180C" w:rsidRPr="00CF541C">
        <w:rPr>
          <w:szCs w:val="19"/>
          <w:lang w:val="en-US" w:eastAsia="pl-PL"/>
        </w:rPr>
        <w:t xml:space="preserve">creased from </w:t>
      </w:r>
      <w:r w:rsidR="000E0826" w:rsidRPr="00CF541C">
        <w:rPr>
          <w:szCs w:val="19"/>
          <w:lang w:val="en-US" w:eastAsia="pl-PL"/>
        </w:rPr>
        <w:t>9</w:t>
      </w:r>
      <w:r w:rsidR="008230C0" w:rsidRPr="00CF541C">
        <w:rPr>
          <w:szCs w:val="19"/>
          <w:lang w:val="en-US" w:eastAsia="pl-PL"/>
        </w:rPr>
        <w:t>.</w:t>
      </w:r>
      <w:r w:rsidR="00F84171">
        <w:rPr>
          <w:szCs w:val="19"/>
          <w:lang w:val="en-US" w:eastAsia="pl-PL"/>
        </w:rPr>
        <w:t>8</w:t>
      </w:r>
      <w:r w:rsidR="00EA65C5" w:rsidRPr="00CF541C">
        <w:rPr>
          <w:szCs w:val="19"/>
          <w:lang w:val="en-US" w:eastAsia="pl-PL"/>
        </w:rPr>
        <w:t>%</w:t>
      </w:r>
      <w:r w:rsidR="00CA4A16" w:rsidRPr="00CF541C">
        <w:rPr>
          <w:szCs w:val="19"/>
          <w:lang w:val="en-US" w:eastAsia="pl-PL"/>
        </w:rPr>
        <w:t xml:space="preserve"> in </w:t>
      </w:r>
      <w:r w:rsidR="00F84171">
        <w:rPr>
          <w:szCs w:val="19"/>
          <w:lang w:val="en-US" w:eastAsia="pl-PL"/>
        </w:rPr>
        <w:t xml:space="preserve">January </w:t>
      </w:r>
      <w:r w:rsidR="00AF0A8C" w:rsidRPr="00CF541C">
        <w:rPr>
          <w:szCs w:val="19"/>
          <w:lang w:val="en-US" w:eastAsia="pl-PL"/>
        </w:rPr>
        <w:t xml:space="preserve">to </w:t>
      </w:r>
      <w:r w:rsidR="00F84171">
        <w:rPr>
          <w:szCs w:val="19"/>
          <w:lang w:val="en-US" w:eastAsia="pl-PL"/>
        </w:rPr>
        <w:t>8.6</w:t>
      </w:r>
      <w:r w:rsidR="00CA4A16" w:rsidRPr="00CF541C">
        <w:rPr>
          <w:szCs w:val="19"/>
          <w:lang w:val="en-US" w:eastAsia="pl-PL"/>
        </w:rPr>
        <w:t>% in</w:t>
      </w:r>
      <w:r w:rsidR="00494FF4" w:rsidRPr="00CF541C">
        <w:rPr>
          <w:szCs w:val="19"/>
          <w:lang w:val="en-US" w:eastAsia="pl-PL"/>
        </w:rPr>
        <w:t xml:space="preserve"> </w:t>
      </w:r>
      <w:r w:rsidR="00F84171">
        <w:rPr>
          <w:szCs w:val="19"/>
          <w:lang w:val="en-US" w:eastAsia="pl-PL"/>
        </w:rPr>
        <w:t>February</w:t>
      </w:r>
      <w:r w:rsidR="000E0826" w:rsidRPr="00CF541C">
        <w:rPr>
          <w:szCs w:val="19"/>
          <w:lang w:val="en-US" w:eastAsia="pl-PL"/>
        </w:rPr>
        <w:t xml:space="preserve"> </w:t>
      </w:r>
      <w:r w:rsidR="004F4C33" w:rsidRPr="00CF541C">
        <w:rPr>
          <w:szCs w:val="19"/>
          <w:lang w:val="en-US" w:eastAsia="pl-PL"/>
        </w:rPr>
        <w:t>this year</w:t>
      </w:r>
      <w:r w:rsidR="000C5DFE" w:rsidRPr="00CF541C">
        <w:rPr>
          <w:szCs w:val="19"/>
          <w:lang w:val="en-US" w:eastAsia="pl-PL"/>
        </w:rPr>
        <w:t>.</w:t>
      </w:r>
      <w:r w:rsidR="007439A7" w:rsidRPr="00CF541C">
        <w:rPr>
          <w:szCs w:val="19"/>
          <w:lang w:val="en-US" w:eastAsia="pl-PL"/>
        </w:rPr>
        <w:t xml:space="preserve"> A</w:t>
      </w:r>
      <w:r w:rsidR="00F84171">
        <w:rPr>
          <w:szCs w:val="19"/>
          <w:lang w:val="en-US" w:eastAsia="pl-PL"/>
        </w:rPr>
        <w:t xml:space="preserve"> de</w:t>
      </w:r>
      <w:r w:rsidR="000E0826" w:rsidRPr="00CF541C">
        <w:rPr>
          <w:szCs w:val="19"/>
          <w:lang w:val="en-US" w:eastAsia="pl-PL"/>
        </w:rPr>
        <w:t xml:space="preserve">crease </w:t>
      </w:r>
      <w:r w:rsidR="00F02FA5" w:rsidRPr="00CF541C">
        <w:rPr>
          <w:szCs w:val="19"/>
          <w:lang w:val="en-US" w:eastAsia="pl-PL"/>
        </w:rPr>
        <w:t>in</w:t>
      </w:r>
      <w:r w:rsidR="007439A7" w:rsidRPr="00CF541C">
        <w:rPr>
          <w:szCs w:val="19"/>
          <w:lang w:val="en-US" w:eastAsia="pl-PL"/>
        </w:rPr>
        <w:t xml:space="preserve"> </w:t>
      </w:r>
      <w:r w:rsidR="00F02FA5" w:rsidRPr="00CF541C">
        <w:rPr>
          <w:szCs w:val="19"/>
          <w:lang w:val="en-US" w:eastAsia="pl-PL"/>
        </w:rPr>
        <w:t xml:space="preserve">the </w:t>
      </w:r>
      <w:r w:rsidR="007439A7" w:rsidRPr="00CF541C">
        <w:rPr>
          <w:szCs w:val="19"/>
          <w:lang w:val="en-US" w:eastAsia="pl-PL"/>
        </w:rPr>
        <w:t>share of sales via Internet was</w:t>
      </w:r>
      <w:r w:rsidR="002578AC" w:rsidRPr="00CF541C">
        <w:rPr>
          <w:szCs w:val="19"/>
          <w:lang w:val="en-US" w:eastAsia="pl-PL"/>
        </w:rPr>
        <w:t xml:space="preserve"> noted in </w:t>
      </w:r>
      <w:r w:rsidR="000E0826" w:rsidRPr="00CF541C">
        <w:rPr>
          <w:szCs w:val="19"/>
          <w:lang w:val="en-US" w:eastAsia="pl-PL"/>
        </w:rPr>
        <w:t>most of the</w:t>
      </w:r>
      <w:r w:rsidR="002578AC" w:rsidRPr="00CF541C">
        <w:rPr>
          <w:szCs w:val="19"/>
          <w:lang w:val="en-US" w:eastAsia="pl-PL"/>
        </w:rPr>
        <w:t xml:space="preserve"> groups</w:t>
      </w:r>
      <w:r w:rsidR="003C65DF" w:rsidRPr="00CF541C">
        <w:rPr>
          <w:szCs w:val="19"/>
          <w:lang w:val="en-US" w:eastAsia="pl-PL"/>
        </w:rPr>
        <w:t xml:space="preserve">. A significant </w:t>
      </w:r>
      <w:r w:rsidR="00F84171">
        <w:rPr>
          <w:szCs w:val="19"/>
          <w:lang w:val="en-US" w:eastAsia="pl-PL"/>
        </w:rPr>
        <w:t>de</w:t>
      </w:r>
      <w:r w:rsidR="003C65DF" w:rsidRPr="00CF541C">
        <w:rPr>
          <w:szCs w:val="19"/>
          <w:lang w:val="en-US" w:eastAsia="pl-PL"/>
        </w:rPr>
        <w:t xml:space="preserve">crease was </w:t>
      </w:r>
      <w:r w:rsidR="00F02FA5" w:rsidRPr="00CF541C">
        <w:rPr>
          <w:szCs w:val="19"/>
          <w:lang w:val="en-US" w:eastAsia="pl-PL"/>
        </w:rPr>
        <w:t>reported</w:t>
      </w:r>
      <w:r w:rsidR="007439A7" w:rsidRPr="00CF541C">
        <w:rPr>
          <w:szCs w:val="19"/>
          <w:lang w:val="en-US" w:eastAsia="pl-PL"/>
        </w:rPr>
        <w:t xml:space="preserve"> by enterprises classified into the group </w:t>
      </w:r>
      <w:r w:rsidR="00C4368B" w:rsidRPr="00CF541C">
        <w:rPr>
          <w:rFonts w:cs="Arial"/>
          <w:szCs w:val="19"/>
          <w:lang w:val="en-US"/>
        </w:rPr>
        <w:t>“textiles, clothing, footwear”</w:t>
      </w:r>
      <w:r w:rsidR="00C4368B" w:rsidRPr="00CF541C">
        <w:rPr>
          <w:szCs w:val="19"/>
          <w:lang w:val="en-US" w:eastAsia="pl-PL"/>
        </w:rPr>
        <w:t xml:space="preserve"> (from</w:t>
      </w:r>
      <w:r w:rsidR="0058750F" w:rsidRPr="00CF541C">
        <w:rPr>
          <w:szCs w:val="19"/>
          <w:lang w:val="en-US" w:eastAsia="pl-PL"/>
        </w:rPr>
        <w:t xml:space="preserve"> </w:t>
      </w:r>
      <w:r w:rsidR="00F84171">
        <w:rPr>
          <w:szCs w:val="19"/>
          <w:lang w:val="en-US" w:eastAsia="pl-PL"/>
        </w:rPr>
        <w:t>44.0</w:t>
      </w:r>
      <w:r w:rsidR="00C4368B" w:rsidRPr="00CF541C">
        <w:rPr>
          <w:szCs w:val="19"/>
          <w:lang w:val="en-US" w:eastAsia="pl-PL"/>
        </w:rPr>
        <w:t xml:space="preserve">% </w:t>
      </w:r>
      <w:r w:rsidR="00B5714B" w:rsidRPr="00CF541C">
        <w:rPr>
          <w:szCs w:val="19"/>
          <w:lang w:val="en-US" w:eastAsia="pl-PL"/>
        </w:rPr>
        <w:t xml:space="preserve">a month ago </w:t>
      </w:r>
      <w:r w:rsidR="00C4368B" w:rsidRPr="00CF541C">
        <w:rPr>
          <w:szCs w:val="19"/>
          <w:lang w:val="en-US" w:eastAsia="pl-PL"/>
        </w:rPr>
        <w:t xml:space="preserve">to </w:t>
      </w:r>
      <w:r w:rsidR="00F84171">
        <w:rPr>
          <w:szCs w:val="19"/>
          <w:lang w:val="en-US" w:eastAsia="pl-PL"/>
        </w:rPr>
        <w:t>23.8</w:t>
      </w:r>
      <w:r w:rsidR="00C4368B" w:rsidRPr="00CF541C">
        <w:rPr>
          <w:szCs w:val="19"/>
          <w:lang w:val="en-US" w:eastAsia="pl-PL"/>
        </w:rPr>
        <w:t xml:space="preserve">%) </w:t>
      </w:r>
      <w:r w:rsidR="00C72004" w:rsidRPr="00CF541C">
        <w:rPr>
          <w:rFonts w:cs="Arial"/>
          <w:szCs w:val="19"/>
          <w:lang w:val="en-US"/>
        </w:rPr>
        <w:t>as well as</w:t>
      </w:r>
      <w:r w:rsidR="00706630" w:rsidRPr="00CF541C">
        <w:rPr>
          <w:rFonts w:cs="Arial"/>
          <w:szCs w:val="19"/>
          <w:lang w:val="en-US"/>
        </w:rPr>
        <w:t xml:space="preserve"> </w:t>
      </w:r>
      <w:r w:rsidR="00832DB5" w:rsidRPr="00CF541C">
        <w:rPr>
          <w:rFonts w:cs="Arial"/>
          <w:szCs w:val="19"/>
          <w:lang w:val="en-US"/>
        </w:rPr>
        <w:t xml:space="preserve">by </w:t>
      </w:r>
      <w:r w:rsidR="00C72004" w:rsidRPr="00CF541C">
        <w:rPr>
          <w:rFonts w:cs="Arial"/>
          <w:szCs w:val="19"/>
          <w:lang w:val="en-US"/>
        </w:rPr>
        <w:t>entities</w:t>
      </w:r>
      <w:r w:rsidR="00706630" w:rsidRPr="00CF541C">
        <w:rPr>
          <w:rFonts w:cs="Arial"/>
          <w:szCs w:val="19"/>
          <w:lang w:val="en-US"/>
        </w:rPr>
        <w:t xml:space="preserve"> from groups</w:t>
      </w:r>
      <w:r w:rsidR="00C4368B" w:rsidRPr="00CF541C">
        <w:rPr>
          <w:rFonts w:cs="Arial"/>
          <w:szCs w:val="19"/>
          <w:lang w:val="en-US"/>
        </w:rPr>
        <w:t xml:space="preserve"> </w:t>
      </w:r>
      <w:r w:rsidR="00C4368B" w:rsidRPr="00CF541C">
        <w:rPr>
          <w:szCs w:val="19"/>
          <w:lang w:val="en-US" w:eastAsia="pl-PL"/>
        </w:rPr>
        <w:t>“newspapers, books, other sale in specialized stores”</w:t>
      </w:r>
      <w:r w:rsidR="007439A7" w:rsidRPr="00CF541C">
        <w:rPr>
          <w:szCs w:val="19"/>
          <w:lang w:val="en-US" w:eastAsia="pl-PL"/>
        </w:rPr>
        <w:t xml:space="preserve"> (</w:t>
      </w:r>
      <w:r w:rsidR="00706630" w:rsidRPr="00CF541C">
        <w:rPr>
          <w:szCs w:val="19"/>
          <w:lang w:val="en-US" w:eastAsia="pl-PL"/>
        </w:rPr>
        <w:t xml:space="preserve">from </w:t>
      </w:r>
      <w:r w:rsidR="00F84171">
        <w:rPr>
          <w:szCs w:val="19"/>
          <w:lang w:val="en-US" w:eastAsia="pl-PL"/>
        </w:rPr>
        <w:t>34</w:t>
      </w:r>
      <w:r w:rsidR="000A1862" w:rsidRPr="00CF541C">
        <w:rPr>
          <w:szCs w:val="19"/>
          <w:lang w:val="en-US" w:eastAsia="pl-PL"/>
        </w:rPr>
        <w:t>.</w:t>
      </w:r>
      <w:r w:rsidR="00F84171">
        <w:rPr>
          <w:szCs w:val="19"/>
          <w:lang w:val="en-US" w:eastAsia="pl-PL"/>
        </w:rPr>
        <w:t>1</w:t>
      </w:r>
      <w:r w:rsidR="00706630" w:rsidRPr="00CF541C">
        <w:rPr>
          <w:szCs w:val="19"/>
          <w:lang w:val="en-US" w:eastAsia="pl-PL"/>
        </w:rPr>
        <w:t xml:space="preserve">% </w:t>
      </w:r>
      <w:r w:rsidR="00706630" w:rsidRPr="00CF541C">
        <w:rPr>
          <w:spacing w:val="-4"/>
          <w:szCs w:val="19"/>
          <w:lang w:val="en-US" w:eastAsia="pl-PL"/>
        </w:rPr>
        <w:t xml:space="preserve">to </w:t>
      </w:r>
      <w:r w:rsidR="00F84171">
        <w:rPr>
          <w:spacing w:val="-4"/>
          <w:szCs w:val="19"/>
          <w:lang w:val="en-US" w:eastAsia="pl-PL"/>
        </w:rPr>
        <w:t>22</w:t>
      </w:r>
      <w:r w:rsidR="00C81C28" w:rsidRPr="00CF541C">
        <w:rPr>
          <w:spacing w:val="-4"/>
          <w:szCs w:val="19"/>
          <w:lang w:val="en-US" w:eastAsia="pl-PL"/>
        </w:rPr>
        <w:t>.</w:t>
      </w:r>
      <w:r w:rsidR="00F84171">
        <w:rPr>
          <w:spacing w:val="-4"/>
          <w:szCs w:val="19"/>
          <w:lang w:val="en-US" w:eastAsia="pl-PL"/>
        </w:rPr>
        <w:t>8</w:t>
      </w:r>
      <w:r w:rsidR="00706630" w:rsidRPr="00CF541C">
        <w:rPr>
          <w:spacing w:val="-4"/>
          <w:szCs w:val="19"/>
          <w:lang w:val="en-US" w:eastAsia="pl-PL"/>
        </w:rPr>
        <w:t xml:space="preserve">% respectively) </w:t>
      </w:r>
      <w:r w:rsidR="00883FE1" w:rsidRPr="00CF541C">
        <w:rPr>
          <w:spacing w:val="-4"/>
          <w:szCs w:val="19"/>
          <w:lang w:val="en-US" w:eastAsia="pl-PL"/>
        </w:rPr>
        <w:t>and “furniture, radio, TV and h</w:t>
      </w:r>
      <w:r w:rsidR="00706630" w:rsidRPr="00CF541C">
        <w:rPr>
          <w:spacing w:val="-4"/>
          <w:szCs w:val="19"/>
          <w:lang w:val="en-US" w:eastAsia="pl-PL"/>
        </w:rPr>
        <w:t>ousehold</w:t>
      </w:r>
      <w:r w:rsidR="00580DD5" w:rsidRPr="00CF541C">
        <w:rPr>
          <w:spacing w:val="-4"/>
          <w:szCs w:val="19"/>
          <w:lang w:val="en-US" w:eastAsia="pl-PL"/>
        </w:rPr>
        <w:t xml:space="preserve"> appliances</w:t>
      </w:r>
      <w:r w:rsidR="00706630" w:rsidRPr="00CF541C">
        <w:rPr>
          <w:spacing w:val="-4"/>
          <w:szCs w:val="19"/>
          <w:lang w:val="en-US" w:eastAsia="pl-PL"/>
        </w:rPr>
        <w:t>“ (from</w:t>
      </w:r>
      <w:r w:rsidR="007105A1" w:rsidRPr="00CF541C">
        <w:rPr>
          <w:spacing w:val="-4"/>
          <w:szCs w:val="19"/>
          <w:lang w:val="en-US" w:eastAsia="pl-PL"/>
        </w:rPr>
        <w:t xml:space="preserve"> </w:t>
      </w:r>
      <w:r w:rsidR="00F84171">
        <w:rPr>
          <w:spacing w:val="-4"/>
          <w:szCs w:val="19"/>
          <w:lang w:val="en-US" w:eastAsia="pl-PL"/>
        </w:rPr>
        <w:t>19.3</w:t>
      </w:r>
      <w:r w:rsidR="00706630" w:rsidRPr="00CF541C">
        <w:rPr>
          <w:spacing w:val="-4"/>
          <w:szCs w:val="19"/>
          <w:lang w:val="en-US" w:eastAsia="pl-PL"/>
        </w:rPr>
        <w:t xml:space="preserve">% to </w:t>
      </w:r>
      <w:r w:rsidR="00F84171">
        <w:rPr>
          <w:spacing w:val="-4"/>
          <w:szCs w:val="19"/>
          <w:lang w:val="en-US" w:eastAsia="pl-PL"/>
        </w:rPr>
        <w:t>15.9</w:t>
      </w:r>
      <w:r w:rsidR="00706630" w:rsidRPr="00CF541C">
        <w:rPr>
          <w:spacing w:val="-4"/>
          <w:szCs w:val="19"/>
          <w:lang w:val="en-US" w:eastAsia="pl-PL"/>
        </w:rPr>
        <w:t>%</w:t>
      </w:r>
      <w:r w:rsidR="00883FE1" w:rsidRPr="00CF541C">
        <w:rPr>
          <w:spacing w:val="-4"/>
          <w:lang w:val="en-US" w:eastAsia="pl-PL"/>
        </w:rPr>
        <w:t>).</w:t>
      </w:r>
    </w:p>
    <w:p w:rsidR="009E69D1" w:rsidRDefault="008C6D41" w:rsidP="004C5861">
      <w:pPr>
        <w:pStyle w:val="tytuwykresu"/>
        <w:spacing w:after="0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5259CA" w:rsidRDefault="005259CA" w:rsidP="004C5861">
      <w:pPr>
        <w:pStyle w:val="tytuwykresu"/>
        <w:spacing w:after="0"/>
        <w:rPr>
          <w:shd w:val="clear" w:color="auto" w:fill="FFFFFF"/>
          <w:lang w:val="en-US"/>
        </w:rPr>
      </w:pPr>
      <w:r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88288" behindDoc="0" locked="0" layoutInCell="1" allowOverlap="1" wp14:anchorId="2ED7F78B" wp14:editId="2E4060CB">
            <wp:simplePos x="0" y="0"/>
            <wp:positionH relativeFrom="margin">
              <wp:posOffset>0</wp:posOffset>
            </wp:positionH>
            <wp:positionV relativeFrom="margin">
              <wp:posOffset>4876800</wp:posOffset>
            </wp:positionV>
            <wp:extent cx="5118735" cy="2532380"/>
            <wp:effectExtent l="0" t="0" r="5715" b="127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667CFF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1A005A" w:rsidRPr="00413C1A" w:rsidTr="008076D0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1A005A" w:rsidRPr="00413C1A" w:rsidTr="008076D0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21491E" w:rsidP="008076D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1A005A">
              <w:rPr>
                <w:rFonts w:cs="Arial"/>
                <w:color w:val="000000"/>
                <w:sz w:val="16"/>
                <w:szCs w:val="16"/>
              </w:rPr>
              <w:t xml:space="preserve">I 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1A005A" w:rsidP="008076D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I 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1A005A" w:rsidRPr="009925A3" w:rsidTr="008076D0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A005A" w:rsidRPr="00413C1A" w:rsidRDefault="001A005A" w:rsidP="008076D0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A005A" w:rsidRPr="00413C1A" w:rsidRDefault="00723956" w:rsidP="008076D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413C1A" w:rsidRDefault="00723956" w:rsidP="008076D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1A005A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2020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8B5BD1" w:rsidRDefault="001A005A" w:rsidP="0072395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B5BD1">
              <w:rPr>
                <w:rFonts w:cs="Arial"/>
                <w:color w:val="000000"/>
                <w:sz w:val="16"/>
                <w:szCs w:val="16"/>
              </w:rPr>
              <w:t>I-</w:t>
            </w:r>
            <w:r w:rsidR="00723956" w:rsidRPr="008B5BD1">
              <w:rPr>
                <w:rFonts w:cs="Arial"/>
                <w:color w:val="000000"/>
                <w:sz w:val="16"/>
                <w:szCs w:val="16"/>
              </w:rPr>
              <w:t>I</w:t>
            </w:r>
            <w:r w:rsidRPr="008B5BD1">
              <w:rPr>
                <w:rFonts w:cs="Arial"/>
                <w:color w:val="000000"/>
                <w:sz w:val="16"/>
                <w:szCs w:val="16"/>
              </w:rPr>
              <w:t>I 20</w:t>
            </w:r>
            <w:r w:rsidR="00723956" w:rsidRPr="008B5BD1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8B5BD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8D514F" w:rsidRPr="00F2453E" w:rsidTr="008076D0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D514F" w:rsidRPr="00413C1A" w:rsidRDefault="008D514F" w:rsidP="008D514F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103.</w:t>
            </w:r>
            <w:r w:rsidR="008D514F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</w:t>
            </w:r>
            <w:r w:rsidR="008D514F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95.</w:t>
            </w:r>
            <w:r w:rsidR="008D514F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D514F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8D514F" w:rsidRPr="00F2453E" w:rsidRDefault="008D514F" w:rsidP="008D514F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8D514F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8D514F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8D514F" w:rsidP="008D514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D514F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8D514F" w:rsidRPr="00F2453E" w:rsidRDefault="008D514F" w:rsidP="008D514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8D514F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8D514F" w:rsidRPr="00413C1A" w:rsidRDefault="008D514F" w:rsidP="008D514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8D514F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8D514F" w:rsidRPr="00413C1A" w:rsidRDefault="008D514F" w:rsidP="008D514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8D514F" w:rsidRPr="00413C1A" w:rsidTr="008076D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8D514F" w:rsidRPr="00413C1A" w:rsidRDefault="008D514F" w:rsidP="008D514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8D514F" w:rsidP="008D514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8D514F" w:rsidP="008D514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8D514F" w:rsidP="008D514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8D514F" w:rsidRPr="00413C1A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8D514F" w:rsidRPr="00413C1A" w:rsidRDefault="008D514F" w:rsidP="008D514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8D514F" w:rsidRPr="00413C1A" w:rsidTr="008076D0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8D514F" w:rsidRPr="00413C1A" w:rsidRDefault="008D514F" w:rsidP="008D514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172.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8D514F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8D514F" w:rsidRPr="00413C1A" w:rsidRDefault="008D514F" w:rsidP="008D514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8D514F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8D514F" w:rsidRPr="00413C1A" w:rsidRDefault="008D514F" w:rsidP="008D514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8D514F" w:rsidRPr="009E4A91" w:rsidTr="008076D0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D514F" w:rsidRPr="00413C1A" w:rsidRDefault="008D514F" w:rsidP="008D514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D514F" w:rsidRPr="00F156AE" w:rsidRDefault="00D10DDC" w:rsidP="008D514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</w:t>
            </w:r>
            <w:r w:rsidR="008D514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1A005A" w:rsidRDefault="001A005A" w:rsidP="001A005A">
      <w:pPr>
        <w:rPr>
          <w:lang w:val="en" w:eastAsia="pl-PL"/>
        </w:rPr>
      </w:pPr>
    </w:p>
    <w:p w:rsidR="00B67AB9" w:rsidRDefault="00B67AB9" w:rsidP="00B67AB9">
      <w:pPr>
        <w:rPr>
          <w:rFonts w:eastAsia="Times New Roman" w:cs="Arial"/>
          <w:b/>
          <w:bCs/>
          <w:szCs w:val="24"/>
          <w:lang w:val="en-US" w:eastAsia="pl-PL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1A005A" w:rsidRPr="00E21D84" w:rsidTr="008076D0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A005A" w:rsidRPr="00E21D84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1A005A" w:rsidRPr="00E21D84" w:rsidTr="008076D0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1A005A" w:rsidRPr="00E21D84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A005A" w:rsidRPr="009E60D9" w:rsidRDefault="00826EEC" w:rsidP="008076D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 w:rsidR="001A005A"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A005A" w:rsidRPr="009E60D9" w:rsidRDefault="001A005A" w:rsidP="008076D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I-</w:t>
            </w:r>
            <w:r w:rsidR="00826EEC"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I </w:t>
            </w:r>
            <w:r w:rsidR="00826EEC">
              <w:rPr>
                <w:rFonts w:cs="Arial"/>
                <w:color w:val="000000"/>
                <w:sz w:val="16"/>
                <w:szCs w:val="16"/>
                <w:lang w:val="en-US"/>
              </w:rPr>
              <w:t>2021</w:t>
            </w:r>
          </w:p>
        </w:tc>
      </w:tr>
      <w:tr w:rsidR="001A005A" w:rsidRPr="00E21D84" w:rsidTr="008076D0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A005A" w:rsidRPr="00E21D84" w:rsidRDefault="001A005A" w:rsidP="008076D0">
            <w:pPr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A005A" w:rsidRPr="009E60D9" w:rsidRDefault="00826EEC" w:rsidP="008076D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I 2021</w:t>
            </w:r>
            <w:r w:rsidR="001A005A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9E60D9" w:rsidRDefault="00826EEC" w:rsidP="00826E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 w:rsidR="001A005A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I </w:t>
            </w:r>
            <w:r w:rsidR="001A005A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20</w:t>
            </w:r>
            <w:r w:rsidR="001A005A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8B5BD1" w:rsidRDefault="001A005A" w:rsidP="00826EEC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8B5BD1">
              <w:rPr>
                <w:rFonts w:cs="Arial"/>
                <w:color w:val="000000"/>
                <w:sz w:val="16"/>
                <w:szCs w:val="16"/>
                <w:lang w:val="en-US"/>
              </w:rPr>
              <w:t>I-</w:t>
            </w:r>
            <w:r w:rsidR="005B7AE3" w:rsidRPr="008B5BD1"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 w:rsidRPr="008B5BD1">
              <w:rPr>
                <w:rFonts w:cs="Arial"/>
                <w:color w:val="000000"/>
                <w:sz w:val="16"/>
                <w:szCs w:val="16"/>
                <w:lang w:val="en-US"/>
              </w:rPr>
              <w:t>I 20</w:t>
            </w:r>
            <w:r w:rsidR="00826EEC" w:rsidRPr="008B5BD1">
              <w:rPr>
                <w:rFonts w:cs="Arial"/>
                <w:color w:val="000000"/>
                <w:sz w:val="16"/>
                <w:szCs w:val="16"/>
                <w:lang w:val="en-US"/>
              </w:rPr>
              <w:t>20</w:t>
            </w:r>
            <w:r w:rsidRPr="008B5BD1">
              <w:rPr>
                <w:rFonts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</w:tr>
      <w:tr w:rsidR="00200080" w:rsidRPr="00E21D84" w:rsidTr="008076D0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200080" w:rsidRPr="00E21D84" w:rsidRDefault="00200080" w:rsidP="00200080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</w:t>
            </w:r>
            <w:r w:rsidR="00200080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</w:t>
            </w:r>
            <w:r w:rsidR="00200080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95.</w:t>
            </w:r>
            <w:r w:rsidR="00200080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200080" w:rsidRPr="00E21D84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00080" w:rsidRPr="00E21D84" w:rsidRDefault="00200080" w:rsidP="00200080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20008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20008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200080" w:rsidP="002000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00080" w:rsidRPr="0095396F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00080" w:rsidRPr="00382DAE" w:rsidRDefault="00200080" w:rsidP="002000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200080" w:rsidRPr="0095396F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00080" w:rsidRPr="00382DAE" w:rsidRDefault="00200080" w:rsidP="002000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Sol</w:t>
            </w:r>
            <w:r>
              <w:rPr>
                <w:rFonts w:cs="Arial"/>
                <w:sz w:val="16"/>
                <w:szCs w:val="16"/>
                <w:lang w:val="en-US"/>
              </w:rPr>
              <w:t>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200080" w:rsidRPr="0095396F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00080" w:rsidRPr="00382DAE" w:rsidRDefault="00200080" w:rsidP="002000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200080" w:rsidRPr="0095396F" w:rsidTr="008076D0">
        <w:trPr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200080" w:rsidRPr="00382DAE" w:rsidRDefault="00200080" w:rsidP="002000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Other </w:t>
            </w:r>
            <w:r>
              <w:rPr>
                <w:rFonts w:cs="Arial"/>
                <w:sz w:val="16"/>
                <w:szCs w:val="16"/>
                <w:lang w:val="en-US"/>
              </w:rPr>
              <w:t>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F156AE" w:rsidRDefault="00200080" w:rsidP="002000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F156AE" w:rsidRDefault="00200080" w:rsidP="002000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F156AE" w:rsidRDefault="00200080" w:rsidP="002000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200080" w:rsidRPr="0095396F" w:rsidTr="008076D0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200080" w:rsidRPr="00382DAE" w:rsidRDefault="00200080" w:rsidP="002000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200080" w:rsidRPr="0095396F" w:rsidTr="008076D0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200080" w:rsidRPr="00382DAE" w:rsidRDefault="00200080" w:rsidP="002000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172.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200080" w:rsidRPr="00E960C2" w:rsidTr="008076D0">
        <w:trPr>
          <w:cantSplit/>
          <w:trHeight w:val="370"/>
        </w:trPr>
        <w:tc>
          <w:tcPr>
            <w:tcW w:w="3474" w:type="dxa"/>
            <w:shd w:val="clear" w:color="auto" w:fill="auto"/>
            <w:vAlign w:val="center"/>
            <w:hideMark/>
          </w:tcPr>
          <w:p w:rsidR="00200080" w:rsidRPr="00382DAE" w:rsidRDefault="00200080" w:rsidP="002000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200080" w:rsidRPr="00E960C2" w:rsidTr="008076D0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200080" w:rsidRPr="00382DAE" w:rsidRDefault="00200080" w:rsidP="002000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200080" w:rsidRPr="00E960C2" w:rsidTr="008076D0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200080" w:rsidRPr="00E960C2" w:rsidRDefault="00200080" w:rsidP="002000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00080" w:rsidRPr="00DF0FFE" w:rsidRDefault="00940840" w:rsidP="002000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</w:t>
            </w:r>
            <w:r w:rsidR="0020008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1A005A" w:rsidRPr="001A005A" w:rsidRDefault="001A005A" w:rsidP="001A005A">
      <w:pPr>
        <w:rPr>
          <w:lang w:val="en" w:eastAsia="pl-PL"/>
        </w:rPr>
      </w:pPr>
    </w:p>
    <w:p w:rsidR="001A005A" w:rsidRDefault="001A005A" w:rsidP="001A005A">
      <w:pPr>
        <w:rPr>
          <w:lang w:val="en-US" w:eastAsia="pl-PL"/>
        </w:rPr>
      </w:pPr>
    </w:p>
    <w:p w:rsidR="00F51AF7" w:rsidRDefault="00F51AF7" w:rsidP="00F51AF7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Pr="008C6D41">
        <w:rPr>
          <w:lang w:val="en-US"/>
        </w:rPr>
        <w:t xml:space="preserve"> 2.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 w:rsidR="00CB396B">
        <w:rPr>
          <w:shd w:val="clear" w:color="auto" w:fill="FFFFFF"/>
          <w:lang w:val="en-US"/>
        </w:rPr>
        <w:t>February</w:t>
      </w:r>
      <w:r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>20</w:t>
      </w:r>
      <w:r>
        <w:rPr>
          <w:shd w:val="clear" w:color="auto" w:fill="FFFFFF"/>
          <w:lang w:val="en-US"/>
        </w:rPr>
        <w:t>21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>
        <w:rPr>
          <w:shd w:val="clear" w:color="auto" w:fill="FFFFFF"/>
          <w:lang w:val="en-US"/>
        </w:rPr>
        <w:t>(constant prices)</w:t>
      </w:r>
      <w:r w:rsidRPr="00C15AD6">
        <w:rPr>
          <w:shd w:val="clear" w:color="auto" w:fill="FFFFFF"/>
          <w:lang w:val="en-US"/>
        </w:rPr>
        <w:t xml:space="preserve"> – corresponding period of previous year=100</w:t>
      </w:r>
    </w:p>
    <w:p w:rsidR="005056BC" w:rsidRDefault="00F02D59">
      <w:pPr>
        <w:spacing w:before="0" w:after="160" w:line="259" w:lineRule="auto"/>
        <w:rPr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90336" behindDoc="0" locked="0" layoutInCell="1" allowOverlap="1" wp14:anchorId="7A13D7CF" wp14:editId="664B20C6">
            <wp:simplePos x="0" y="0"/>
            <wp:positionH relativeFrom="margin">
              <wp:align>left</wp:align>
            </wp:positionH>
            <wp:positionV relativeFrom="margin">
              <wp:posOffset>637540</wp:posOffset>
            </wp:positionV>
            <wp:extent cx="5166360" cy="2813050"/>
            <wp:effectExtent l="0" t="0" r="0" b="635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6118" w:rsidRDefault="00F02D59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5685155</wp:posOffset>
                </wp:positionH>
                <wp:positionV relativeFrom="paragraph">
                  <wp:posOffset>2941320</wp:posOffset>
                </wp:positionV>
                <wp:extent cx="1835150" cy="878840"/>
                <wp:effectExtent l="0" t="0" r="0" b="0"/>
                <wp:wrapTight wrapText="bothSides">
                  <wp:wrapPolygon edited="0">
                    <wp:start x="673" y="0"/>
                    <wp:lineTo x="673" y="21069"/>
                    <wp:lineTo x="20853" y="21069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878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3D0EDA" w:rsidRDefault="00F72DC8" w:rsidP="003D0ED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6513B3">
                              <w:rPr>
                                <w:rFonts w:cs="Arial"/>
                                <w:lang w:val="en-US"/>
                              </w:rPr>
                              <w:t>February</w:t>
                            </w:r>
                            <w:r w:rsidR="00393E3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949E6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2E208F">
                              <w:rPr>
                                <w:rFonts w:cs="Arial"/>
                                <w:lang w:val="en-US"/>
                              </w:rPr>
                              <w:t>n</w:t>
                            </w:r>
                            <w:r w:rsidR="00F51AF7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6513B3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6513B3">
                              <w:rPr>
                                <w:rFonts w:cs="Arial"/>
                                <w:lang w:val="en-US"/>
                              </w:rPr>
                              <w:t>5.3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6513B3">
                              <w:rPr>
                                <w:rFonts w:cs="Arial"/>
                                <w:lang w:val="en-US"/>
                              </w:rPr>
                              <w:t>January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FC67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7.65pt;margin-top:231.6pt;width:144.5pt;height:69.2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" filled="f" stroked="f">
                <v:textbox>
                  <w:txbxContent>
                    <w:p w:rsidR="00F72DC8" w:rsidRPr="003D0EDA" w:rsidRDefault="00F72DC8" w:rsidP="003D0EDA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6513B3">
                        <w:rPr>
                          <w:rFonts w:cs="Arial"/>
                          <w:lang w:val="en-US"/>
                        </w:rPr>
                        <w:t>February</w:t>
                      </w:r>
                      <w:r w:rsidR="00393E3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949E6">
                        <w:rPr>
                          <w:rFonts w:cs="Arial"/>
                          <w:lang w:val="en-US"/>
                        </w:rPr>
                        <w:t>2021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2E208F">
                        <w:rPr>
                          <w:rFonts w:cs="Arial"/>
                          <w:lang w:val="en-US"/>
                        </w:rPr>
                        <w:t>n</w:t>
                      </w:r>
                      <w:bookmarkStart w:id="1" w:name="_GoBack"/>
                      <w:bookmarkEnd w:id="1"/>
                      <w:r w:rsidR="00F51AF7">
                        <w:rPr>
                          <w:rFonts w:cs="Arial"/>
                          <w:lang w:val="en-US"/>
                        </w:rPr>
                        <w:t> </w:t>
                      </w:r>
                      <w:r w:rsidR="006513B3">
                        <w:rPr>
                          <w:rFonts w:cs="Arial"/>
                          <w:lang w:val="en-US"/>
                        </w:rPr>
                        <w:t>in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6513B3">
                        <w:rPr>
                          <w:rFonts w:cs="Arial"/>
                          <w:lang w:val="en-US"/>
                        </w:rPr>
                        <w:t>5.3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6513B3">
                        <w:rPr>
                          <w:rFonts w:cs="Arial"/>
                          <w:lang w:val="en-US"/>
                        </w:rPr>
                        <w:t>January 2021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C6118" w:rsidRPr="008C6118">
        <w:rPr>
          <w:rFonts w:ascii="Fira Sans SemiBold" w:hAnsi="Fira Sans SemiBold"/>
          <w:color w:val="001D77"/>
          <w:szCs w:val="23"/>
          <w:lang w:val="en-US"/>
        </w:rPr>
        <w:t>Reta</w:t>
      </w:r>
      <w:r w:rsidR="008C6118"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6513B3">
        <w:rPr>
          <w:szCs w:val="23"/>
          <w:lang w:val="en-US"/>
        </w:rPr>
        <w:t>February</w:t>
      </w:r>
      <w:r w:rsidR="0029086F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</w:t>
      </w:r>
      <w:r w:rsidR="00AE62CB">
        <w:rPr>
          <w:szCs w:val="23"/>
          <w:lang w:val="en-US"/>
        </w:rPr>
        <w:t>21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6513B3">
        <w:rPr>
          <w:szCs w:val="23"/>
          <w:lang w:val="en-US"/>
        </w:rPr>
        <w:t>5.3</w:t>
      </w:r>
      <w:r>
        <w:rPr>
          <w:szCs w:val="23"/>
          <w:lang w:val="en-US"/>
        </w:rPr>
        <w:t xml:space="preserve">% </w:t>
      </w:r>
      <w:r w:rsidR="006513B3">
        <w:rPr>
          <w:szCs w:val="23"/>
          <w:lang w:val="en-US"/>
        </w:rPr>
        <w:t>higher</w:t>
      </w:r>
      <w:r w:rsidR="00561B4A">
        <w:rPr>
          <w:szCs w:val="23"/>
          <w:lang w:val="en-US"/>
        </w:rPr>
        <w:t xml:space="preserve">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</w:t>
      </w:r>
      <w:r w:rsidR="006513B3">
        <w:rPr>
          <w:szCs w:val="23"/>
          <w:lang w:val="en-US"/>
        </w:rPr>
        <w:t>January</w:t>
      </w:r>
      <w:r w:rsidR="00B85794">
        <w:rPr>
          <w:szCs w:val="23"/>
          <w:lang w:val="en-US"/>
        </w:rPr>
        <w:t xml:space="preserve"> </w:t>
      </w:r>
      <w:r>
        <w:rPr>
          <w:szCs w:val="23"/>
          <w:lang w:val="en-US"/>
        </w:rPr>
        <w:t>20</w:t>
      </w:r>
      <w:r w:rsidR="006513B3">
        <w:rPr>
          <w:szCs w:val="23"/>
          <w:lang w:val="en-US"/>
        </w:rPr>
        <w:t>21</w:t>
      </w:r>
      <w:r w:rsidRPr="00EC1228">
        <w:rPr>
          <w:szCs w:val="23"/>
          <w:lang w:val="en-US"/>
        </w:rPr>
        <w:t>.</w:t>
      </w:r>
    </w:p>
    <w:p w:rsidR="00A274DF" w:rsidRDefault="00A274DF" w:rsidP="00B04BBF">
      <w:pPr>
        <w:rPr>
          <w:noProof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F02D59" w:rsidRDefault="00F02D59" w:rsidP="00B25EE8">
      <w:pPr>
        <w:jc w:val="both"/>
        <w:rPr>
          <w:rStyle w:val="tlid-translation"/>
          <w:lang w:val="en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</w:t>
      </w:r>
      <w:r w:rsidR="00A47825">
        <w:rPr>
          <w:szCs w:val="19"/>
          <w:lang w:val="en-US"/>
        </w:rPr>
        <w:t>figures from Statistics Poland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8B5BD1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8B5BD1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2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@StatPoland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@GlownyUrzadStatystyczny</w:t>
            </w:r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9F10BD" w:rsidRPr="005C50E9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"https://stat.gov.pl/en/topics/prices-trade/trade/internal-market-in-2019,7,18.html" \o "Internal marketin 2019"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9F10B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6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9F10BD" w:rsidRPr="005C50E9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"https://stat.gov.pl/en/topics/prices-trade/trade/internal-market-in-2019,7,18.html" \o "Internal marketin 2019"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9F10B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9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7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1AD" w:rsidRDefault="001751AD" w:rsidP="000662E2">
      <w:pPr>
        <w:spacing w:after="0" w:line="240" w:lineRule="auto"/>
      </w:pPr>
      <w:r>
        <w:separator/>
      </w:r>
    </w:p>
  </w:endnote>
  <w:endnote w:type="continuationSeparator" w:id="0">
    <w:p w:rsidR="001751AD" w:rsidRDefault="001751A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BA" w:rsidRDefault="007B5F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561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561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1AD" w:rsidRDefault="001751AD" w:rsidP="000662E2">
      <w:pPr>
        <w:spacing w:after="0" w:line="240" w:lineRule="auto"/>
      </w:pPr>
      <w:r>
        <w:separator/>
      </w:r>
    </w:p>
  </w:footnote>
  <w:footnote w:type="continuationSeparator" w:id="0">
    <w:p w:rsidR="001751AD" w:rsidRDefault="001751AD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256119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</w:t>
      </w:r>
      <w:bookmarkStart w:id="0" w:name="_GoBack"/>
      <w:bookmarkEnd w:id="0"/>
      <w:r w:rsidRPr="00760B21">
        <w:rPr>
          <w:rFonts w:cs="Arial"/>
          <w:sz w:val="16"/>
          <w:szCs w:val="16"/>
          <w:lang w:val="en-US"/>
        </w:rPr>
        <w:t>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A13753" w:rsidRPr="00237C5C" w:rsidRDefault="00A13753" w:rsidP="00A13753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BA" w:rsidRDefault="007B5F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6F400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B5FB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E52E82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8474AE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6F400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B5FB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E52E82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8474AE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4DB1"/>
    <w:rsid w:val="000253FE"/>
    <w:rsid w:val="00026363"/>
    <w:rsid w:val="0002661D"/>
    <w:rsid w:val="00027020"/>
    <w:rsid w:val="0002736E"/>
    <w:rsid w:val="00027951"/>
    <w:rsid w:val="00027A74"/>
    <w:rsid w:val="00027E78"/>
    <w:rsid w:val="00030374"/>
    <w:rsid w:val="00030A9C"/>
    <w:rsid w:val="00031BDC"/>
    <w:rsid w:val="00033776"/>
    <w:rsid w:val="00033B09"/>
    <w:rsid w:val="00033BCC"/>
    <w:rsid w:val="00033C72"/>
    <w:rsid w:val="00034108"/>
    <w:rsid w:val="00035365"/>
    <w:rsid w:val="00035768"/>
    <w:rsid w:val="00036905"/>
    <w:rsid w:val="00036CEE"/>
    <w:rsid w:val="00037E75"/>
    <w:rsid w:val="000402D6"/>
    <w:rsid w:val="00040525"/>
    <w:rsid w:val="0004186E"/>
    <w:rsid w:val="000419AC"/>
    <w:rsid w:val="00041DFA"/>
    <w:rsid w:val="00042386"/>
    <w:rsid w:val="00042D2F"/>
    <w:rsid w:val="00043B9A"/>
    <w:rsid w:val="00043D31"/>
    <w:rsid w:val="00044232"/>
    <w:rsid w:val="000449A8"/>
    <w:rsid w:val="0004582E"/>
    <w:rsid w:val="000470AA"/>
    <w:rsid w:val="00047453"/>
    <w:rsid w:val="00047EAE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FE0"/>
    <w:rsid w:val="0006323B"/>
    <w:rsid w:val="000632B6"/>
    <w:rsid w:val="000633F9"/>
    <w:rsid w:val="0006357B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180C"/>
    <w:rsid w:val="000822E2"/>
    <w:rsid w:val="00082349"/>
    <w:rsid w:val="000825F3"/>
    <w:rsid w:val="0008280E"/>
    <w:rsid w:val="00083D37"/>
    <w:rsid w:val="000857F2"/>
    <w:rsid w:val="000871E1"/>
    <w:rsid w:val="00090396"/>
    <w:rsid w:val="000915F5"/>
    <w:rsid w:val="0009277B"/>
    <w:rsid w:val="00092F70"/>
    <w:rsid w:val="00093F25"/>
    <w:rsid w:val="00094047"/>
    <w:rsid w:val="00095C86"/>
    <w:rsid w:val="000972B0"/>
    <w:rsid w:val="000A1862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5BC4"/>
    <w:rsid w:val="000B6DA7"/>
    <w:rsid w:val="000B73BD"/>
    <w:rsid w:val="000B7472"/>
    <w:rsid w:val="000B7ED9"/>
    <w:rsid w:val="000C0B03"/>
    <w:rsid w:val="000C0D4D"/>
    <w:rsid w:val="000C1198"/>
    <w:rsid w:val="000C135D"/>
    <w:rsid w:val="000C1CEE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5EE9"/>
    <w:rsid w:val="000D6E15"/>
    <w:rsid w:val="000D71FA"/>
    <w:rsid w:val="000D724E"/>
    <w:rsid w:val="000D72E3"/>
    <w:rsid w:val="000D7370"/>
    <w:rsid w:val="000D7994"/>
    <w:rsid w:val="000E0826"/>
    <w:rsid w:val="000E0918"/>
    <w:rsid w:val="000E0FFA"/>
    <w:rsid w:val="000E2DD1"/>
    <w:rsid w:val="000E30AD"/>
    <w:rsid w:val="000E39B0"/>
    <w:rsid w:val="000E3F24"/>
    <w:rsid w:val="000E531C"/>
    <w:rsid w:val="000E5C95"/>
    <w:rsid w:val="000E60B8"/>
    <w:rsid w:val="000E65E0"/>
    <w:rsid w:val="000E7611"/>
    <w:rsid w:val="000E7B9D"/>
    <w:rsid w:val="000F0BA8"/>
    <w:rsid w:val="000F26B1"/>
    <w:rsid w:val="000F2FDE"/>
    <w:rsid w:val="000F303C"/>
    <w:rsid w:val="000F3D3B"/>
    <w:rsid w:val="000F4044"/>
    <w:rsid w:val="000F4AAC"/>
    <w:rsid w:val="000F511A"/>
    <w:rsid w:val="001000CD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07602"/>
    <w:rsid w:val="00110D87"/>
    <w:rsid w:val="001119E5"/>
    <w:rsid w:val="001139F5"/>
    <w:rsid w:val="00114438"/>
    <w:rsid w:val="00114DB9"/>
    <w:rsid w:val="00114FBC"/>
    <w:rsid w:val="00116087"/>
    <w:rsid w:val="001176A8"/>
    <w:rsid w:val="00120842"/>
    <w:rsid w:val="00120D84"/>
    <w:rsid w:val="00120F49"/>
    <w:rsid w:val="0012114B"/>
    <w:rsid w:val="00121BE9"/>
    <w:rsid w:val="00123990"/>
    <w:rsid w:val="00124574"/>
    <w:rsid w:val="001246D1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9A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4CF"/>
    <w:rsid w:val="00154726"/>
    <w:rsid w:val="00154EC0"/>
    <w:rsid w:val="00160E26"/>
    <w:rsid w:val="00161DA5"/>
    <w:rsid w:val="00161F52"/>
    <w:rsid w:val="00162325"/>
    <w:rsid w:val="0016312E"/>
    <w:rsid w:val="00163F89"/>
    <w:rsid w:val="0016514E"/>
    <w:rsid w:val="00165383"/>
    <w:rsid w:val="00165563"/>
    <w:rsid w:val="0016751F"/>
    <w:rsid w:val="001677B4"/>
    <w:rsid w:val="00171561"/>
    <w:rsid w:val="001720A2"/>
    <w:rsid w:val="00173D53"/>
    <w:rsid w:val="00174612"/>
    <w:rsid w:val="001751AD"/>
    <w:rsid w:val="00176FC0"/>
    <w:rsid w:val="001774A2"/>
    <w:rsid w:val="00180490"/>
    <w:rsid w:val="00182993"/>
    <w:rsid w:val="001829CE"/>
    <w:rsid w:val="0018378F"/>
    <w:rsid w:val="00183CB1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05A"/>
    <w:rsid w:val="001A0434"/>
    <w:rsid w:val="001A0D79"/>
    <w:rsid w:val="001A1119"/>
    <w:rsid w:val="001A17C2"/>
    <w:rsid w:val="001A2810"/>
    <w:rsid w:val="001A40AB"/>
    <w:rsid w:val="001A41A6"/>
    <w:rsid w:val="001A468C"/>
    <w:rsid w:val="001A49FD"/>
    <w:rsid w:val="001A627E"/>
    <w:rsid w:val="001A75DF"/>
    <w:rsid w:val="001B38CF"/>
    <w:rsid w:val="001B3F52"/>
    <w:rsid w:val="001B48AF"/>
    <w:rsid w:val="001B521F"/>
    <w:rsid w:val="001B532C"/>
    <w:rsid w:val="001B53BA"/>
    <w:rsid w:val="001B6621"/>
    <w:rsid w:val="001B69A2"/>
    <w:rsid w:val="001C0057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C23"/>
    <w:rsid w:val="001D1DB4"/>
    <w:rsid w:val="001D27BD"/>
    <w:rsid w:val="001D30F4"/>
    <w:rsid w:val="001D4C1B"/>
    <w:rsid w:val="001D6715"/>
    <w:rsid w:val="001E01A7"/>
    <w:rsid w:val="001E0A96"/>
    <w:rsid w:val="001E1400"/>
    <w:rsid w:val="001E236B"/>
    <w:rsid w:val="001E3201"/>
    <w:rsid w:val="001E5351"/>
    <w:rsid w:val="001E6C4F"/>
    <w:rsid w:val="001E6D2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080"/>
    <w:rsid w:val="0020034B"/>
    <w:rsid w:val="002003B9"/>
    <w:rsid w:val="002019C6"/>
    <w:rsid w:val="002023E9"/>
    <w:rsid w:val="00203B23"/>
    <w:rsid w:val="00203BEC"/>
    <w:rsid w:val="002043FC"/>
    <w:rsid w:val="0020721A"/>
    <w:rsid w:val="00207A39"/>
    <w:rsid w:val="00211A7E"/>
    <w:rsid w:val="00211C83"/>
    <w:rsid w:val="002130FF"/>
    <w:rsid w:val="0021363F"/>
    <w:rsid w:val="002141A1"/>
    <w:rsid w:val="0021491E"/>
    <w:rsid w:val="00214C41"/>
    <w:rsid w:val="00215013"/>
    <w:rsid w:val="00216030"/>
    <w:rsid w:val="00220250"/>
    <w:rsid w:val="00220A8C"/>
    <w:rsid w:val="00220C68"/>
    <w:rsid w:val="002220B7"/>
    <w:rsid w:val="0022314B"/>
    <w:rsid w:val="0022350C"/>
    <w:rsid w:val="00223C48"/>
    <w:rsid w:val="00223EBE"/>
    <w:rsid w:val="002248FB"/>
    <w:rsid w:val="00225602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670"/>
    <w:rsid w:val="00237C5C"/>
    <w:rsid w:val="0024033E"/>
    <w:rsid w:val="00240FAB"/>
    <w:rsid w:val="00241406"/>
    <w:rsid w:val="0024278E"/>
    <w:rsid w:val="00244456"/>
    <w:rsid w:val="00244DBF"/>
    <w:rsid w:val="00244E7F"/>
    <w:rsid w:val="00246B7F"/>
    <w:rsid w:val="00247E0C"/>
    <w:rsid w:val="0025169D"/>
    <w:rsid w:val="00251F38"/>
    <w:rsid w:val="00252B47"/>
    <w:rsid w:val="0025314E"/>
    <w:rsid w:val="0025392F"/>
    <w:rsid w:val="002545E4"/>
    <w:rsid w:val="0025463B"/>
    <w:rsid w:val="00254D3C"/>
    <w:rsid w:val="00256119"/>
    <w:rsid w:val="00256D58"/>
    <w:rsid w:val="00256FB9"/>
    <w:rsid w:val="002574F9"/>
    <w:rsid w:val="00257509"/>
    <w:rsid w:val="002578AC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4323"/>
    <w:rsid w:val="00264409"/>
    <w:rsid w:val="0026573E"/>
    <w:rsid w:val="0026623B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76977"/>
    <w:rsid w:val="00280BD4"/>
    <w:rsid w:val="00281289"/>
    <w:rsid w:val="00282699"/>
    <w:rsid w:val="00282E90"/>
    <w:rsid w:val="00287DE4"/>
    <w:rsid w:val="0029086F"/>
    <w:rsid w:val="0029139F"/>
    <w:rsid w:val="00291537"/>
    <w:rsid w:val="002926DF"/>
    <w:rsid w:val="00292C7A"/>
    <w:rsid w:val="002931E3"/>
    <w:rsid w:val="002958BB"/>
    <w:rsid w:val="002959EC"/>
    <w:rsid w:val="002961BD"/>
    <w:rsid w:val="00296697"/>
    <w:rsid w:val="0029683A"/>
    <w:rsid w:val="002A0B31"/>
    <w:rsid w:val="002A0EAF"/>
    <w:rsid w:val="002A1289"/>
    <w:rsid w:val="002A27F5"/>
    <w:rsid w:val="002A373A"/>
    <w:rsid w:val="002A42C0"/>
    <w:rsid w:val="002A486F"/>
    <w:rsid w:val="002A5A06"/>
    <w:rsid w:val="002A6115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06E4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A7B"/>
    <w:rsid w:val="002D675F"/>
    <w:rsid w:val="002D6C95"/>
    <w:rsid w:val="002D6D97"/>
    <w:rsid w:val="002D7180"/>
    <w:rsid w:val="002E208F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088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6DE"/>
    <w:rsid w:val="0030382E"/>
    <w:rsid w:val="00303C59"/>
    <w:rsid w:val="00304F22"/>
    <w:rsid w:val="00305290"/>
    <w:rsid w:val="003059CE"/>
    <w:rsid w:val="003062B5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1623C"/>
    <w:rsid w:val="003203F6"/>
    <w:rsid w:val="00320FEE"/>
    <w:rsid w:val="003225E7"/>
    <w:rsid w:val="00322EDD"/>
    <w:rsid w:val="0032343F"/>
    <w:rsid w:val="00324F87"/>
    <w:rsid w:val="00326E35"/>
    <w:rsid w:val="00327EE8"/>
    <w:rsid w:val="0033011E"/>
    <w:rsid w:val="0033026E"/>
    <w:rsid w:val="00331F1E"/>
    <w:rsid w:val="00332320"/>
    <w:rsid w:val="00333012"/>
    <w:rsid w:val="003330FD"/>
    <w:rsid w:val="00336650"/>
    <w:rsid w:val="00336951"/>
    <w:rsid w:val="003426AB"/>
    <w:rsid w:val="0034323F"/>
    <w:rsid w:val="0034354B"/>
    <w:rsid w:val="003448B9"/>
    <w:rsid w:val="00344C09"/>
    <w:rsid w:val="00345104"/>
    <w:rsid w:val="00345F0C"/>
    <w:rsid w:val="00346B95"/>
    <w:rsid w:val="00347D72"/>
    <w:rsid w:val="00347F5C"/>
    <w:rsid w:val="00350F8C"/>
    <w:rsid w:val="003513CD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1417"/>
    <w:rsid w:val="00363527"/>
    <w:rsid w:val="00363F3B"/>
    <w:rsid w:val="00364197"/>
    <w:rsid w:val="00364D74"/>
    <w:rsid w:val="00364EBA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B3E"/>
    <w:rsid w:val="00374D5D"/>
    <w:rsid w:val="00375B9E"/>
    <w:rsid w:val="00376163"/>
    <w:rsid w:val="003802B7"/>
    <w:rsid w:val="00382BE1"/>
    <w:rsid w:val="00382DAE"/>
    <w:rsid w:val="00383530"/>
    <w:rsid w:val="003843DB"/>
    <w:rsid w:val="00384413"/>
    <w:rsid w:val="00384E44"/>
    <w:rsid w:val="00387793"/>
    <w:rsid w:val="0039024E"/>
    <w:rsid w:val="003910EE"/>
    <w:rsid w:val="0039111A"/>
    <w:rsid w:val="00391FF3"/>
    <w:rsid w:val="00393761"/>
    <w:rsid w:val="003939CD"/>
    <w:rsid w:val="00393E34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ABD"/>
    <w:rsid w:val="003B4DDA"/>
    <w:rsid w:val="003B4F36"/>
    <w:rsid w:val="003B58A4"/>
    <w:rsid w:val="003B6358"/>
    <w:rsid w:val="003B77D5"/>
    <w:rsid w:val="003B7E27"/>
    <w:rsid w:val="003C038A"/>
    <w:rsid w:val="003C2CAA"/>
    <w:rsid w:val="003C2EDB"/>
    <w:rsid w:val="003C3CE9"/>
    <w:rsid w:val="003C4268"/>
    <w:rsid w:val="003C59E0"/>
    <w:rsid w:val="003C64DF"/>
    <w:rsid w:val="003C65DF"/>
    <w:rsid w:val="003C6C8D"/>
    <w:rsid w:val="003C723B"/>
    <w:rsid w:val="003D0C16"/>
    <w:rsid w:val="003D0E78"/>
    <w:rsid w:val="003D0EDA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6FCB"/>
    <w:rsid w:val="003E7F1A"/>
    <w:rsid w:val="003F025A"/>
    <w:rsid w:val="003F0895"/>
    <w:rsid w:val="003F0C5E"/>
    <w:rsid w:val="003F1175"/>
    <w:rsid w:val="003F1527"/>
    <w:rsid w:val="003F2FE3"/>
    <w:rsid w:val="003F30F6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3C6F"/>
    <w:rsid w:val="004046D6"/>
    <w:rsid w:val="00404B8B"/>
    <w:rsid w:val="00405107"/>
    <w:rsid w:val="004078E9"/>
    <w:rsid w:val="00407D2F"/>
    <w:rsid w:val="00410F4C"/>
    <w:rsid w:val="004113DD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E73"/>
    <w:rsid w:val="00426464"/>
    <w:rsid w:val="00427BF8"/>
    <w:rsid w:val="00430722"/>
    <w:rsid w:val="00431113"/>
    <w:rsid w:val="00431C02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056"/>
    <w:rsid w:val="0045357F"/>
    <w:rsid w:val="0045369B"/>
    <w:rsid w:val="00453AF6"/>
    <w:rsid w:val="00453C02"/>
    <w:rsid w:val="00454107"/>
    <w:rsid w:val="004565DC"/>
    <w:rsid w:val="00457686"/>
    <w:rsid w:val="00460334"/>
    <w:rsid w:val="00461BD2"/>
    <w:rsid w:val="00463382"/>
    <w:rsid w:val="004633DD"/>
    <w:rsid w:val="00463E39"/>
    <w:rsid w:val="004641BE"/>
    <w:rsid w:val="004646E2"/>
    <w:rsid w:val="004648F3"/>
    <w:rsid w:val="004657FC"/>
    <w:rsid w:val="00467693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4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A3B58"/>
    <w:rsid w:val="004B015C"/>
    <w:rsid w:val="004B06B1"/>
    <w:rsid w:val="004B0B9B"/>
    <w:rsid w:val="004B22B0"/>
    <w:rsid w:val="004B3267"/>
    <w:rsid w:val="004B339C"/>
    <w:rsid w:val="004B5381"/>
    <w:rsid w:val="004B637F"/>
    <w:rsid w:val="004B784E"/>
    <w:rsid w:val="004B7E11"/>
    <w:rsid w:val="004C01EE"/>
    <w:rsid w:val="004C1842"/>
    <w:rsid w:val="004C1895"/>
    <w:rsid w:val="004C1AB5"/>
    <w:rsid w:val="004C2B64"/>
    <w:rsid w:val="004C43FA"/>
    <w:rsid w:val="004C4F2B"/>
    <w:rsid w:val="004C5861"/>
    <w:rsid w:val="004C5CAB"/>
    <w:rsid w:val="004C61D9"/>
    <w:rsid w:val="004C63C2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02D3"/>
    <w:rsid w:val="004E18EB"/>
    <w:rsid w:val="004E2013"/>
    <w:rsid w:val="004E2CD5"/>
    <w:rsid w:val="004E3939"/>
    <w:rsid w:val="004E3E42"/>
    <w:rsid w:val="004E6DBA"/>
    <w:rsid w:val="004E7C46"/>
    <w:rsid w:val="004F03F8"/>
    <w:rsid w:val="004F07EA"/>
    <w:rsid w:val="004F0B03"/>
    <w:rsid w:val="004F0C3C"/>
    <w:rsid w:val="004F1D81"/>
    <w:rsid w:val="004F2C3B"/>
    <w:rsid w:val="004F341F"/>
    <w:rsid w:val="004F3D29"/>
    <w:rsid w:val="004F4C33"/>
    <w:rsid w:val="004F50E3"/>
    <w:rsid w:val="004F50F0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4AEE"/>
    <w:rsid w:val="005056BC"/>
    <w:rsid w:val="00505A92"/>
    <w:rsid w:val="00506206"/>
    <w:rsid w:val="0050683B"/>
    <w:rsid w:val="00506A67"/>
    <w:rsid w:val="00506DFA"/>
    <w:rsid w:val="00506EE2"/>
    <w:rsid w:val="00510AB6"/>
    <w:rsid w:val="005117C2"/>
    <w:rsid w:val="00513591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48A3"/>
    <w:rsid w:val="0052593D"/>
    <w:rsid w:val="005259CA"/>
    <w:rsid w:val="0052789F"/>
    <w:rsid w:val="00527DC0"/>
    <w:rsid w:val="00531BAF"/>
    <w:rsid w:val="00531C2B"/>
    <w:rsid w:val="0053206A"/>
    <w:rsid w:val="00532FEB"/>
    <w:rsid w:val="00533632"/>
    <w:rsid w:val="005348D4"/>
    <w:rsid w:val="005355D3"/>
    <w:rsid w:val="005358B2"/>
    <w:rsid w:val="00536167"/>
    <w:rsid w:val="00537E68"/>
    <w:rsid w:val="00541B11"/>
    <w:rsid w:val="0054251F"/>
    <w:rsid w:val="00542783"/>
    <w:rsid w:val="00543644"/>
    <w:rsid w:val="00543CA9"/>
    <w:rsid w:val="00543EE8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1B4A"/>
    <w:rsid w:val="00564259"/>
    <w:rsid w:val="005646A7"/>
    <w:rsid w:val="00564E45"/>
    <w:rsid w:val="005657B8"/>
    <w:rsid w:val="0056586A"/>
    <w:rsid w:val="005662A2"/>
    <w:rsid w:val="0056673F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12B8"/>
    <w:rsid w:val="0058303B"/>
    <w:rsid w:val="00583B4A"/>
    <w:rsid w:val="00583BAB"/>
    <w:rsid w:val="00585EF2"/>
    <w:rsid w:val="00586006"/>
    <w:rsid w:val="0058668F"/>
    <w:rsid w:val="00587268"/>
    <w:rsid w:val="0058750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156"/>
    <w:rsid w:val="005A289C"/>
    <w:rsid w:val="005A400F"/>
    <w:rsid w:val="005A64AF"/>
    <w:rsid w:val="005A698C"/>
    <w:rsid w:val="005A7F24"/>
    <w:rsid w:val="005B07C6"/>
    <w:rsid w:val="005B0AE8"/>
    <w:rsid w:val="005B1744"/>
    <w:rsid w:val="005B1908"/>
    <w:rsid w:val="005B23AA"/>
    <w:rsid w:val="005B3C18"/>
    <w:rsid w:val="005B3CB4"/>
    <w:rsid w:val="005B66F7"/>
    <w:rsid w:val="005B69FE"/>
    <w:rsid w:val="005B6AAA"/>
    <w:rsid w:val="005B7AE3"/>
    <w:rsid w:val="005B7E62"/>
    <w:rsid w:val="005C08E7"/>
    <w:rsid w:val="005C123C"/>
    <w:rsid w:val="005C16C6"/>
    <w:rsid w:val="005C267A"/>
    <w:rsid w:val="005C2F8B"/>
    <w:rsid w:val="005C4F29"/>
    <w:rsid w:val="005C50E9"/>
    <w:rsid w:val="005C57A3"/>
    <w:rsid w:val="005C5F08"/>
    <w:rsid w:val="005C6163"/>
    <w:rsid w:val="005C65AA"/>
    <w:rsid w:val="005D09B7"/>
    <w:rsid w:val="005D0C5C"/>
    <w:rsid w:val="005D14FE"/>
    <w:rsid w:val="005D178C"/>
    <w:rsid w:val="005D2D6E"/>
    <w:rsid w:val="005D373C"/>
    <w:rsid w:val="005D38AE"/>
    <w:rsid w:val="005D3C4B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271E"/>
    <w:rsid w:val="005F290E"/>
    <w:rsid w:val="005F2A67"/>
    <w:rsid w:val="005F453F"/>
    <w:rsid w:val="005F4752"/>
    <w:rsid w:val="005F5A80"/>
    <w:rsid w:val="005F7959"/>
    <w:rsid w:val="00600D70"/>
    <w:rsid w:val="00601025"/>
    <w:rsid w:val="00601F89"/>
    <w:rsid w:val="006033F0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171B0"/>
    <w:rsid w:val="00617FAA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1EE7"/>
    <w:rsid w:val="00633014"/>
    <w:rsid w:val="0063317D"/>
    <w:rsid w:val="00633240"/>
    <w:rsid w:val="00633752"/>
    <w:rsid w:val="00633ED3"/>
    <w:rsid w:val="0063437B"/>
    <w:rsid w:val="0063586B"/>
    <w:rsid w:val="006363DE"/>
    <w:rsid w:val="0063668E"/>
    <w:rsid w:val="00640117"/>
    <w:rsid w:val="00641B30"/>
    <w:rsid w:val="00642161"/>
    <w:rsid w:val="00642F04"/>
    <w:rsid w:val="0064353E"/>
    <w:rsid w:val="00643D5E"/>
    <w:rsid w:val="00645152"/>
    <w:rsid w:val="00645483"/>
    <w:rsid w:val="006454C1"/>
    <w:rsid w:val="00645A24"/>
    <w:rsid w:val="00647855"/>
    <w:rsid w:val="00647B92"/>
    <w:rsid w:val="00647CCE"/>
    <w:rsid w:val="0065123F"/>
    <w:rsid w:val="006513B3"/>
    <w:rsid w:val="006527C6"/>
    <w:rsid w:val="00652A44"/>
    <w:rsid w:val="006534EB"/>
    <w:rsid w:val="006554F9"/>
    <w:rsid w:val="00655596"/>
    <w:rsid w:val="00656373"/>
    <w:rsid w:val="00656441"/>
    <w:rsid w:val="00660CCA"/>
    <w:rsid w:val="0066247D"/>
    <w:rsid w:val="00662891"/>
    <w:rsid w:val="0066300F"/>
    <w:rsid w:val="0066397F"/>
    <w:rsid w:val="00663E54"/>
    <w:rsid w:val="00663E92"/>
    <w:rsid w:val="00664A08"/>
    <w:rsid w:val="00665416"/>
    <w:rsid w:val="006673CA"/>
    <w:rsid w:val="00667C48"/>
    <w:rsid w:val="00667CFF"/>
    <w:rsid w:val="00670AB4"/>
    <w:rsid w:val="00670CC3"/>
    <w:rsid w:val="00670E58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CD"/>
    <w:rsid w:val="006867D1"/>
    <w:rsid w:val="0069010F"/>
    <w:rsid w:val="00690AB6"/>
    <w:rsid w:val="00690C99"/>
    <w:rsid w:val="00691381"/>
    <w:rsid w:val="0069149E"/>
    <w:rsid w:val="00691635"/>
    <w:rsid w:val="006923FB"/>
    <w:rsid w:val="006933E5"/>
    <w:rsid w:val="00693617"/>
    <w:rsid w:val="00693D65"/>
    <w:rsid w:val="00694381"/>
    <w:rsid w:val="00694AF0"/>
    <w:rsid w:val="00695639"/>
    <w:rsid w:val="006963B2"/>
    <w:rsid w:val="00697828"/>
    <w:rsid w:val="00697B34"/>
    <w:rsid w:val="006A0F50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A79"/>
    <w:rsid w:val="006B6B35"/>
    <w:rsid w:val="006B6B87"/>
    <w:rsid w:val="006B723D"/>
    <w:rsid w:val="006C0C68"/>
    <w:rsid w:val="006C1CA4"/>
    <w:rsid w:val="006C2748"/>
    <w:rsid w:val="006C2BD1"/>
    <w:rsid w:val="006C311A"/>
    <w:rsid w:val="006C3998"/>
    <w:rsid w:val="006C52E6"/>
    <w:rsid w:val="006C5725"/>
    <w:rsid w:val="006C623C"/>
    <w:rsid w:val="006C6913"/>
    <w:rsid w:val="006C7654"/>
    <w:rsid w:val="006D0525"/>
    <w:rsid w:val="006D19EA"/>
    <w:rsid w:val="006D3EEA"/>
    <w:rsid w:val="006D4054"/>
    <w:rsid w:val="006D4F6E"/>
    <w:rsid w:val="006D4FA0"/>
    <w:rsid w:val="006D50ED"/>
    <w:rsid w:val="006D546B"/>
    <w:rsid w:val="006D5A5D"/>
    <w:rsid w:val="006D76DD"/>
    <w:rsid w:val="006D7DBD"/>
    <w:rsid w:val="006E02EC"/>
    <w:rsid w:val="006E04D4"/>
    <w:rsid w:val="006E1D58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002"/>
    <w:rsid w:val="006F4664"/>
    <w:rsid w:val="006F580C"/>
    <w:rsid w:val="006F7E74"/>
    <w:rsid w:val="007014FE"/>
    <w:rsid w:val="00702C77"/>
    <w:rsid w:val="00705847"/>
    <w:rsid w:val="00705927"/>
    <w:rsid w:val="00706630"/>
    <w:rsid w:val="00706729"/>
    <w:rsid w:val="007076D2"/>
    <w:rsid w:val="00707C79"/>
    <w:rsid w:val="007105A1"/>
    <w:rsid w:val="0071101A"/>
    <w:rsid w:val="00711D2E"/>
    <w:rsid w:val="00712EFA"/>
    <w:rsid w:val="0071413A"/>
    <w:rsid w:val="00714A14"/>
    <w:rsid w:val="00715CB8"/>
    <w:rsid w:val="00716593"/>
    <w:rsid w:val="00720176"/>
    <w:rsid w:val="007211B1"/>
    <w:rsid w:val="00721863"/>
    <w:rsid w:val="00721B78"/>
    <w:rsid w:val="00722976"/>
    <w:rsid w:val="00723956"/>
    <w:rsid w:val="00724031"/>
    <w:rsid w:val="00725494"/>
    <w:rsid w:val="00726892"/>
    <w:rsid w:val="00727DE0"/>
    <w:rsid w:val="00730A13"/>
    <w:rsid w:val="00731F20"/>
    <w:rsid w:val="00732240"/>
    <w:rsid w:val="00732EA2"/>
    <w:rsid w:val="00733BC2"/>
    <w:rsid w:val="00736F6A"/>
    <w:rsid w:val="0074044A"/>
    <w:rsid w:val="00740FDB"/>
    <w:rsid w:val="00741508"/>
    <w:rsid w:val="007427DD"/>
    <w:rsid w:val="00742D99"/>
    <w:rsid w:val="007439A7"/>
    <w:rsid w:val="00745043"/>
    <w:rsid w:val="00745877"/>
    <w:rsid w:val="00745C58"/>
    <w:rsid w:val="00745C66"/>
    <w:rsid w:val="00746187"/>
    <w:rsid w:val="00746CF4"/>
    <w:rsid w:val="00747104"/>
    <w:rsid w:val="007479FD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9EF"/>
    <w:rsid w:val="00772DC4"/>
    <w:rsid w:val="00773313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A2FC3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5FBA"/>
    <w:rsid w:val="007B68C0"/>
    <w:rsid w:val="007C016A"/>
    <w:rsid w:val="007C15C9"/>
    <w:rsid w:val="007C5077"/>
    <w:rsid w:val="007C51B2"/>
    <w:rsid w:val="007C59C8"/>
    <w:rsid w:val="007C5BA5"/>
    <w:rsid w:val="007C6842"/>
    <w:rsid w:val="007C7266"/>
    <w:rsid w:val="007C74CE"/>
    <w:rsid w:val="007C7794"/>
    <w:rsid w:val="007C7E2F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1D0B"/>
    <w:rsid w:val="007E2657"/>
    <w:rsid w:val="007E2842"/>
    <w:rsid w:val="007E2AD9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1F99"/>
    <w:rsid w:val="007F29B4"/>
    <w:rsid w:val="007F324B"/>
    <w:rsid w:val="007F42A2"/>
    <w:rsid w:val="007F52BE"/>
    <w:rsid w:val="007F6C0F"/>
    <w:rsid w:val="007F75D5"/>
    <w:rsid w:val="00800AB3"/>
    <w:rsid w:val="00803A45"/>
    <w:rsid w:val="00803B71"/>
    <w:rsid w:val="00804C09"/>
    <w:rsid w:val="00805457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20164"/>
    <w:rsid w:val="00820BD5"/>
    <w:rsid w:val="00822C1F"/>
    <w:rsid w:val="008230C0"/>
    <w:rsid w:val="00824156"/>
    <w:rsid w:val="0082503A"/>
    <w:rsid w:val="0082547B"/>
    <w:rsid w:val="0082556F"/>
    <w:rsid w:val="00825B31"/>
    <w:rsid w:val="00825DC2"/>
    <w:rsid w:val="00826EEC"/>
    <w:rsid w:val="008271F3"/>
    <w:rsid w:val="0082768C"/>
    <w:rsid w:val="00830CFF"/>
    <w:rsid w:val="008319E7"/>
    <w:rsid w:val="00832DB5"/>
    <w:rsid w:val="00834AD3"/>
    <w:rsid w:val="008359FC"/>
    <w:rsid w:val="00836456"/>
    <w:rsid w:val="0083678A"/>
    <w:rsid w:val="0083739B"/>
    <w:rsid w:val="008378A2"/>
    <w:rsid w:val="008403D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4AE"/>
    <w:rsid w:val="00847F0F"/>
    <w:rsid w:val="00847FBC"/>
    <w:rsid w:val="00850631"/>
    <w:rsid w:val="00850ABB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7AC"/>
    <w:rsid w:val="00864AF8"/>
    <w:rsid w:val="00864E18"/>
    <w:rsid w:val="00865207"/>
    <w:rsid w:val="008702BA"/>
    <w:rsid w:val="0087330E"/>
    <w:rsid w:val="00873A3A"/>
    <w:rsid w:val="00874E8F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90A96"/>
    <w:rsid w:val="008911AC"/>
    <w:rsid w:val="00892E74"/>
    <w:rsid w:val="00893865"/>
    <w:rsid w:val="00894780"/>
    <w:rsid w:val="008955CE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988"/>
    <w:rsid w:val="008A4EF4"/>
    <w:rsid w:val="008A6013"/>
    <w:rsid w:val="008A7C92"/>
    <w:rsid w:val="008B12C7"/>
    <w:rsid w:val="008B26C2"/>
    <w:rsid w:val="008B4B7B"/>
    <w:rsid w:val="008B5B26"/>
    <w:rsid w:val="008B5BD1"/>
    <w:rsid w:val="008B6D65"/>
    <w:rsid w:val="008B79E9"/>
    <w:rsid w:val="008C0C29"/>
    <w:rsid w:val="008C1998"/>
    <w:rsid w:val="008C1A07"/>
    <w:rsid w:val="008C26F5"/>
    <w:rsid w:val="008C314A"/>
    <w:rsid w:val="008C39BB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4105"/>
    <w:rsid w:val="008D514F"/>
    <w:rsid w:val="008D5F91"/>
    <w:rsid w:val="008D63C7"/>
    <w:rsid w:val="008E08E6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1204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E34"/>
    <w:rsid w:val="009227A6"/>
    <w:rsid w:val="009229A1"/>
    <w:rsid w:val="00923FD5"/>
    <w:rsid w:val="00924D90"/>
    <w:rsid w:val="00924EE4"/>
    <w:rsid w:val="00926C25"/>
    <w:rsid w:val="00927D8B"/>
    <w:rsid w:val="00930BF7"/>
    <w:rsid w:val="00933273"/>
    <w:rsid w:val="00933EC1"/>
    <w:rsid w:val="00935ABA"/>
    <w:rsid w:val="00940840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431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4C98"/>
    <w:rsid w:val="00984EF2"/>
    <w:rsid w:val="009865B1"/>
    <w:rsid w:val="009870C3"/>
    <w:rsid w:val="00987C48"/>
    <w:rsid w:val="009902B2"/>
    <w:rsid w:val="00990BD9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14C5"/>
    <w:rsid w:val="009A19F5"/>
    <w:rsid w:val="009A2292"/>
    <w:rsid w:val="009A24EB"/>
    <w:rsid w:val="009A48EB"/>
    <w:rsid w:val="009A55B6"/>
    <w:rsid w:val="009A6EA0"/>
    <w:rsid w:val="009A71B2"/>
    <w:rsid w:val="009B202F"/>
    <w:rsid w:val="009B247E"/>
    <w:rsid w:val="009B26F8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28FC"/>
    <w:rsid w:val="009D4486"/>
    <w:rsid w:val="009D78C4"/>
    <w:rsid w:val="009D7D62"/>
    <w:rsid w:val="009E068C"/>
    <w:rsid w:val="009E0945"/>
    <w:rsid w:val="009E2207"/>
    <w:rsid w:val="009E2303"/>
    <w:rsid w:val="009E2E91"/>
    <w:rsid w:val="009E3C26"/>
    <w:rsid w:val="009E4A91"/>
    <w:rsid w:val="009E592B"/>
    <w:rsid w:val="009E5DCB"/>
    <w:rsid w:val="009E60D9"/>
    <w:rsid w:val="009E6200"/>
    <w:rsid w:val="009E69D1"/>
    <w:rsid w:val="009E7870"/>
    <w:rsid w:val="009F10BD"/>
    <w:rsid w:val="009F2D80"/>
    <w:rsid w:val="009F3023"/>
    <w:rsid w:val="009F3FF4"/>
    <w:rsid w:val="009F5896"/>
    <w:rsid w:val="009F60B8"/>
    <w:rsid w:val="009F6196"/>
    <w:rsid w:val="009F624F"/>
    <w:rsid w:val="009F7371"/>
    <w:rsid w:val="009F75A0"/>
    <w:rsid w:val="009F76BC"/>
    <w:rsid w:val="00A00032"/>
    <w:rsid w:val="00A000F6"/>
    <w:rsid w:val="00A00D73"/>
    <w:rsid w:val="00A026C5"/>
    <w:rsid w:val="00A03287"/>
    <w:rsid w:val="00A032BF"/>
    <w:rsid w:val="00A05E54"/>
    <w:rsid w:val="00A11489"/>
    <w:rsid w:val="00A11FCE"/>
    <w:rsid w:val="00A126D5"/>
    <w:rsid w:val="00A13753"/>
    <w:rsid w:val="00A139F5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340"/>
    <w:rsid w:val="00A45779"/>
    <w:rsid w:val="00A472B0"/>
    <w:rsid w:val="00A47825"/>
    <w:rsid w:val="00A47D80"/>
    <w:rsid w:val="00A503EE"/>
    <w:rsid w:val="00A506BA"/>
    <w:rsid w:val="00A5124E"/>
    <w:rsid w:val="00A5192D"/>
    <w:rsid w:val="00A51E80"/>
    <w:rsid w:val="00A528C0"/>
    <w:rsid w:val="00A52E7C"/>
    <w:rsid w:val="00A53132"/>
    <w:rsid w:val="00A55519"/>
    <w:rsid w:val="00A563F2"/>
    <w:rsid w:val="00A566E8"/>
    <w:rsid w:val="00A56DC1"/>
    <w:rsid w:val="00A60A1A"/>
    <w:rsid w:val="00A60FA4"/>
    <w:rsid w:val="00A621D6"/>
    <w:rsid w:val="00A64090"/>
    <w:rsid w:val="00A646C3"/>
    <w:rsid w:val="00A646C8"/>
    <w:rsid w:val="00A6505B"/>
    <w:rsid w:val="00A65DA4"/>
    <w:rsid w:val="00A66FC5"/>
    <w:rsid w:val="00A67574"/>
    <w:rsid w:val="00A70440"/>
    <w:rsid w:val="00A70EEE"/>
    <w:rsid w:val="00A72E5A"/>
    <w:rsid w:val="00A732A9"/>
    <w:rsid w:val="00A7333E"/>
    <w:rsid w:val="00A74775"/>
    <w:rsid w:val="00A748EA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3FCC"/>
    <w:rsid w:val="00A84CE6"/>
    <w:rsid w:val="00A85C13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2D3A"/>
    <w:rsid w:val="00AA4208"/>
    <w:rsid w:val="00AA5111"/>
    <w:rsid w:val="00AA5DDE"/>
    <w:rsid w:val="00AA6D08"/>
    <w:rsid w:val="00AA710D"/>
    <w:rsid w:val="00AA7665"/>
    <w:rsid w:val="00AA7F86"/>
    <w:rsid w:val="00AB1115"/>
    <w:rsid w:val="00AB112D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B1E"/>
    <w:rsid w:val="00AC5E9B"/>
    <w:rsid w:val="00AC64CB"/>
    <w:rsid w:val="00AC6CC3"/>
    <w:rsid w:val="00AC750F"/>
    <w:rsid w:val="00AC75A7"/>
    <w:rsid w:val="00AC7878"/>
    <w:rsid w:val="00AD0D11"/>
    <w:rsid w:val="00AD1021"/>
    <w:rsid w:val="00AD1D71"/>
    <w:rsid w:val="00AD2499"/>
    <w:rsid w:val="00AD2B0D"/>
    <w:rsid w:val="00AD2D8C"/>
    <w:rsid w:val="00AD36DA"/>
    <w:rsid w:val="00AD3CEA"/>
    <w:rsid w:val="00AD58C3"/>
    <w:rsid w:val="00AD662C"/>
    <w:rsid w:val="00AD6F6D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2CB"/>
    <w:rsid w:val="00AE654E"/>
    <w:rsid w:val="00AE65BB"/>
    <w:rsid w:val="00AE6A66"/>
    <w:rsid w:val="00AF04BF"/>
    <w:rsid w:val="00AF0A8C"/>
    <w:rsid w:val="00AF0E7D"/>
    <w:rsid w:val="00AF1180"/>
    <w:rsid w:val="00AF11C3"/>
    <w:rsid w:val="00AF14F1"/>
    <w:rsid w:val="00AF2ADA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9EB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6A36"/>
    <w:rsid w:val="00B2761E"/>
    <w:rsid w:val="00B31CD7"/>
    <w:rsid w:val="00B31E5A"/>
    <w:rsid w:val="00B325D9"/>
    <w:rsid w:val="00B34829"/>
    <w:rsid w:val="00B353B6"/>
    <w:rsid w:val="00B37CCF"/>
    <w:rsid w:val="00B42042"/>
    <w:rsid w:val="00B42274"/>
    <w:rsid w:val="00B43C7B"/>
    <w:rsid w:val="00B44B55"/>
    <w:rsid w:val="00B45617"/>
    <w:rsid w:val="00B45F36"/>
    <w:rsid w:val="00B46E1C"/>
    <w:rsid w:val="00B46F49"/>
    <w:rsid w:val="00B46F95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56EAC"/>
    <w:rsid w:val="00B5714B"/>
    <w:rsid w:val="00B60212"/>
    <w:rsid w:val="00B60390"/>
    <w:rsid w:val="00B60F26"/>
    <w:rsid w:val="00B61195"/>
    <w:rsid w:val="00B624CF"/>
    <w:rsid w:val="00B62867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67AB9"/>
    <w:rsid w:val="00B701E8"/>
    <w:rsid w:val="00B70FBB"/>
    <w:rsid w:val="00B71522"/>
    <w:rsid w:val="00B71810"/>
    <w:rsid w:val="00B73BDC"/>
    <w:rsid w:val="00B73F57"/>
    <w:rsid w:val="00B758D9"/>
    <w:rsid w:val="00B76286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AB8"/>
    <w:rsid w:val="00B914E9"/>
    <w:rsid w:val="00B9173B"/>
    <w:rsid w:val="00B9185A"/>
    <w:rsid w:val="00B91AA8"/>
    <w:rsid w:val="00B924BC"/>
    <w:rsid w:val="00B93638"/>
    <w:rsid w:val="00B94822"/>
    <w:rsid w:val="00B956EE"/>
    <w:rsid w:val="00B95A02"/>
    <w:rsid w:val="00B9618F"/>
    <w:rsid w:val="00B977D4"/>
    <w:rsid w:val="00B97CB7"/>
    <w:rsid w:val="00BA01D0"/>
    <w:rsid w:val="00BA1810"/>
    <w:rsid w:val="00BA1B9E"/>
    <w:rsid w:val="00BA1D09"/>
    <w:rsid w:val="00BA2BA1"/>
    <w:rsid w:val="00BA3311"/>
    <w:rsid w:val="00BA38B6"/>
    <w:rsid w:val="00BA5243"/>
    <w:rsid w:val="00BA5AB9"/>
    <w:rsid w:val="00BA6601"/>
    <w:rsid w:val="00BA6BEF"/>
    <w:rsid w:val="00BA7C89"/>
    <w:rsid w:val="00BB0DD5"/>
    <w:rsid w:val="00BB3136"/>
    <w:rsid w:val="00BB3A0A"/>
    <w:rsid w:val="00BB4DD6"/>
    <w:rsid w:val="00BB4F09"/>
    <w:rsid w:val="00BB7338"/>
    <w:rsid w:val="00BB77C3"/>
    <w:rsid w:val="00BC0F74"/>
    <w:rsid w:val="00BC16A0"/>
    <w:rsid w:val="00BC2C96"/>
    <w:rsid w:val="00BC3A0B"/>
    <w:rsid w:val="00BC530B"/>
    <w:rsid w:val="00BC5419"/>
    <w:rsid w:val="00BC571C"/>
    <w:rsid w:val="00BC58A0"/>
    <w:rsid w:val="00BC5D40"/>
    <w:rsid w:val="00BC695C"/>
    <w:rsid w:val="00BC7724"/>
    <w:rsid w:val="00BD1B2E"/>
    <w:rsid w:val="00BD363F"/>
    <w:rsid w:val="00BD3C6A"/>
    <w:rsid w:val="00BD407C"/>
    <w:rsid w:val="00BD43CF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C16"/>
    <w:rsid w:val="00BE75E9"/>
    <w:rsid w:val="00BF0329"/>
    <w:rsid w:val="00BF0817"/>
    <w:rsid w:val="00BF1A84"/>
    <w:rsid w:val="00BF1BFB"/>
    <w:rsid w:val="00BF2ECA"/>
    <w:rsid w:val="00BF33B9"/>
    <w:rsid w:val="00BF5E45"/>
    <w:rsid w:val="00BF6029"/>
    <w:rsid w:val="00BF6D5E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474"/>
    <w:rsid w:val="00C41858"/>
    <w:rsid w:val="00C42772"/>
    <w:rsid w:val="00C4368B"/>
    <w:rsid w:val="00C43FF6"/>
    <w:rsid w:val="00C4544F"/>
    <w:rsid w:val="00C4563B"/>
    <w:rsid w:val="00C45CB2"/>
    <w:rsid w:val="00C472CE"/>
    <w:rsid w:val="00C47A53"/>
    <w:rsid w:val="00C52586"/>
    <w:rsid w:val="00C5455E"/>
    <w:rsid w:val="00C54FB7"/>
    <w:rsid w:val="00C554D7"/>
    <w:rsid w:val="00C555AC"/>
    <w:rsid w:val="00C627F2"/>
    <w:rsid w:val="00C62D38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41"/>
    <w:rsid w:val="00C742AC"/>
    <w:rsid w:val="00C74C2E"/>
    <w:rsid w:val="00C75A34"/>
    <w:rsid w:val="00C75A8C"/>
    <w:rsid w:val="00C76526"/>
    <w:rsid w:val="00C77C0E"/>
    <w:rsid w:val="00C80CE7"/>
    <w:rsid w:val="00C81C28"/>
    <w:rsid w:val="00C81D77"/>
    <w:rsid w:val="00C82B1B"/>
    <w:rsid w:val="00C82BCD"/>
    <w:rsid w:val="00C83C61"/>
    <w:rsid w:val="00C84FE4"/>
    <w:rsid w:val="00C851E2"/>
    <w:rsid w:val="00C87772"/>
    <w:rsid w:val="00C87A2A"/>
    <w:rsid w:val="00C90BA0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9A7"/>
    <w:rsid w:val="00C945FE"/>
    <w:rsid w:val="00C946C0"/>
    <w:rsid w:val="00C949E6"/>
    <w:rsid w:val="00C94B4E"/>
    <w:rsid w:val="00C94DF0"/>
    <w:rsid w:val="00C9548B"/>
    <w:rsid w:val="00C96813"/>
    <w:rsid w:val="00C969F2"/>
    <w:rsid w:val="00C96FAA"/>
    <w:rsid w:val="00C97A04"/>
    <w:rsid w:val="00CA05A9"/>
    <w:rsid w:val="00CA0B91"/>
    <w:rsid w:val="00CA107B"/>
    <w:rsid w:val="00CA17BF"/>
    <w:rsid w:val="00CA19A3"/>
    <w:rsid w:val="00CA2840"/>
    <w:rsid w:val="00CA349D"/>
    <w:rsid w:val="00CA484D"/>
    <w:rsid w:val="00CA4A16"/>
    <w:rsid w:val="00CA5570"/>
    <w:rsid w:val="00CA59D7"/>
    <w:rsid w:val="00CA5A66"/>
    <w:rsid w:val="00CA5F2D"/>
    <w:rsid w:val="00CA7022"/>
    <w:rsid w:val="00CA7586"/>
    <w:rsid w:val="00CA7DB3"/>
    <w:rsid w:val="00CB0874"/>
    <w:rsid w:val="00CB1DCB"/>
    <w:rsid w:val="00CB26B0"/>
    <w:rsid w:val="00CB31A2"/>
    <w:rsid w:val="00CB396B"/>
    <w:rsid w:val="00CB3B4E"/>
    <w:rsid w:val="00CB3D59"/>
    <w:rsid w:val="00CB4547"/>
    <w:rsid w:val="00CB4B5B"/>
    <w:rsid w:val="00CB4DD4"/>
    <w:rsid w:val="00CB6FB5"/>
    <w:rsid w:val="00CB7C26"/>
    <w:rsid w:val="00CC2703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6AED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6A94"/>
    <w:rsid w:val="00CE76DC"/>
    <w:rsid w:val="00CF30BC"/>
    <w:rsid w:val="00CF4099"/>
    <w:rsid w:val="00CF541C"/>
    <w:rsid w:val="00CF79E3"/>
    <w:rsid w:val="00CF7D75"/>
    <w:rsid w:val="00D006D0"/>
    <w:rsid w:val="00D00796"/>
    <w:rsid w:val="00D01FB4"/>
    <w:rsid w:val="00D02B78"/>
    <w:rsid w:val="00D04337"/>
    <w:rsid w:val="00D04C40"/>
    <w:rsid w:val="00D10D2A"/>
    <w:rsid w:val="00D10DB1"/>
    <w:rsid w:val="00D10DDC"/>
    <w:rsid w:val="00D10F4B"/>
    <w:rsid w:val="00D1161C"/>
    <w:rsid w:val="00D11C75"/>
    <w:rsid w:val="00D1232B"/>
    <w:rsid w:val="00D12456"/>
    <w:rsid w:val="00D124F4"/>
    <w:rsid w:val="00D12726"/>
    <w:rsid w:val="00D12A8C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65F3"/>
    <w:rsid w:val="00D27CF6"/>
    <w:rsid w:val="00D31143"/>
    <w:rsid w:val="00D31A0D"/>
    <w:rsid w:val="00D31A91"/>
    <w:rsid w:val="00D31B3F"/>
    <w:rsid w:val="00D32B1B"/>
    <w:rsid w:val="00D33B5F"/>
    <w:rsid w:val="00D3472C"/>
    <w:rsid w:val="00D358DF"/>
    <w:rsid w:val="00D358FC"/>
    <w:rsid w:val="00D37651"/>
    <w:rsid w:val="00D37A4D"/>
    <w:rsid w:val="00D37D7B"/>
    <w:rsid w:val="00D40D4C"/>
    <w:rsid w:val="00D42D11"/>
    <w:rsid w:val="00D43AF4"/>
    <w:rsid w:val="00D44934"/>
    <w:rsid w:val="00D457AD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24AE"/>
    <w:rsid w:val="00D6377F"/>
    <w:rsid w:val="00D63B5F"/>
    <w:rsid w:val="00D63B83"/>
    <w:rsid w:val="00D63D88"/>
    <w:rsid w:val="00D641C9"/>
    <w:rsid w:val="00D64CFB"/>
    <w:rsid w:val="00D66513"/>
    <w:rsid w:val="00D66DB9"/>
    <w:rsid w:val="00D67BFF"/>
    <w:rsid w:val="00D70EF7"/>
    <w:rsid w:val="00D712A6"/>
    <w:rsid w:val="00D730B6"/>
    <w:rsid w:val="00D75496"/>
    <w:rsid w:val="00D76051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BAC"/>
    <w:rsid w:val="00DA4F76"/>
    <w:rsid w:val="00DA5780"/>
    <w:rsid w:val="00DA60DA"/>
    <w:rsid w:val="00DA7C1C"/>
    <w:rsid w:val="00DB098D"/>
    <w:rsid w:val="00DB147A"/>
    <w:rsid w:val="00DB19A4"/>
    <w:rsid w:val="00DB1B7A"/>
    <w:rsid w:val="00DB2744"/>
    <w:rsid w:val="00DB39C2"/>
    <w:rsid w:val="00DB472B"/>
    <w:rsid w:val="00DB5172"/>
    <w:rsid w:val="00DB562E"/>
    <w:rsid w:val="00DB57BA"/>
    <w:rsid w:val="00DB6746"/>
    <w:rsid w:val="00DC0069"/>
    <w:rsid w:val="00DC0B7F"/>
    <w:rsid w:val="00DC22A9"/>
    <w:rsid w:val="00DC370F"/>
    <w:rsid w:val="00DC3B40"/>
    <w:rsid w:val="00DC5A13"/>
    <w:rsid w:val="00DC6460"/>
    <w:rsid w:val="00DC6708"/>
    <w:rsid w:val="00DC6731"/>
    <w:rsid w:val="00DC7B17"/>
    <w:rsid w:val="00DD15E4"/>
    <w:rsid w:val="00DD4130"/>
    <w:rsid w:val="00DD4319"/>
    <w:rsid w:val="00DD4406"/>
    <w:rsid w:val="00DD44DF"/>
    <w:rsid w:val="00DD52DE"/>
    <w:rsid w:val="00DD65F0"/>
    <w:rsid w:val="00DD663D"/>
    <w:rsid w:val="00DD67FB"/>
    <w:rsid w:val="00DE0077"/>
    <w:rsid w:val="00DE17D6"/>
    <w:rsid w:val="00DE35DD"/>
    <w:rsid w:val="00DE5572"/>
    <w:rsid w:val="00DE5656"/>
    <w:rsid w:val="00DE5E99"/>
    <w:rsid w:val="00DE646C"/>
    <w:rsid w:val="00DE6781"/>
    <w:rsid w:val="00DE7939"/>
    <w:rsid w:val="00DF01E8"/>
    <w:rsid w:val="00DF19B2"/>
    <w:rsid w:val="00DF21E3"/>
    <w:rsid w:val="00DF2DDE"/>
    <w:rsid w:val="00DF4DFD"/>
    <w:rsid w:val="00DF57F6"/>
    <w:rsid w:val="00DF60F9"/>
    <w:rsid w:val="00DF6682"/>
    <w:rsid w:val="00E0020E"/>
    <w:rsid w:val="00E009F3"/>
    <w:rsid w:val="00E0123B"/>
    <w:rsid w:val="00E01436"/>
    <w:rsid w:val="00E014C8"/>
    <w:rsid w:val="00E01656"/>
    <w:rsid w:val="00E0171F"/>
    <w:rsid w:val="00E01CEC"/>
    <w:rsid w:val="00E0211C"/>
    <w:rsid w:val="00E033D4"/>
    <w:rsid w:val="00E042B9"/>
    <w:rsid w:val="00E045BD"/>
    <w:rsid w:val="00E04615"/>
    <w:rsid w:val="00E04B9B"/>
    <w:rsid w:val="00E12EFA"/>
    <w:rsid w:val="00E13BED"/>
    <w:rsid w:val="00E149E0"/>
    <w:rsid w:val="00E16D89"/>
    <w:rsid w:val="00E17B77"/>
    <w:rsid w:val="00E21961"/>
    <w:rsid w:val="00E21D84"/>
    <w:rsid w:val="00E22FA2"/>
    <w:rsid w:val="00E231BD"/>
    <w:rsid w:val="00E23337"/>
    <w:rsid w:val="00E235AE"/>
    <w:rsid w:val="00E237FE"/>
    <w:rsid w:val="00E24BC3"/>
    <w:rsid w:val="00E24E9E"/>
    <w:rsid w:val="00E24EFD"/>
    <w:rsid w:val="00E259EA"/>
    <w:rsid w:val="00E264DF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557"/>
    <w:rsid w:val="00E36C5C"/>
    <w:rsid w:val="00E373D3"/>
    <w:rsid w:val="00E37890"/>
    <w:rsid w:val="00E37B14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89A"/>
    <w:rsid w:val="00E511E4"/>
    <w:rsid w:val="00E51AEB"/>
    <w:rsid w:val="00E522A7"/>
    <w:rsid w:val="00E52E82"/>
    <w:rsid w:val="00E5393D"/>
    <w:rsid w:val="00E53A8D"/>
    <w:rsid w:val="00E53DAC"/>
    <w:rsid w:val="00E54452"/>
    <w:rsid w:val="00E5446B"/>
    <w:rsid w:val="00E5496E"/>
    <w:rsid w:val="00E5604E"/>
    <w:rsid w:val="00E57382"/>
    <w:rsid w:val="00E576DA"/>
    <w:rsid w:val="00E577EA"/>
    <w:rsid w:val="00E57B5F"/>
    <w:rsid w:val="00E608B3"/>
    <w:rsid w:val="00E63C1B"/>
    <w:rsid w:val="00E64FFD"/>
    <w:rsid w:val="00E658E6"/>
    <w:rsid w:val="00E664C5"/>
    <w:rsid w:val="00E671A2"/>
    <w:rsid w:val="00E674A6"/>
    <w:rsid w:val="00E70CE9"/>
    <w:rsid w:val="00E73BFB"/>
    <w:rsid w:val="00E746E2"/>
    <w:rsid w:val="00E750F7"/>
    <w:rsid w:val="00E75502"/>
    <w:rsid w:val="00E75939"/>
    <w:rsid w:val="00E76D26"/>
    <w:rsid w:val="00E77E61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96F49"/>
    <w:rsid w:val="00EA0DF3"/>
    <w:rsid w:val="00EA0EE5"/>
    <w:rsid w:val="00EA266D"/>
    <w:rsid w:val="00EA26E7"/>
    <w:rsid w:val="00EA2A76"/>
    <w:rsid w:val="00EA349F"/>
    <w:rsid w:val="00EA3916"/>
    <w:rsid w:val="00EA4F91"/>
    <w:rsid w:val="00EA5ED1"/>
    <w:rsid w:val="00EA65C5"/>
    <w:rsid w:val="00EA6C83"/>
    <w:rsid w:val="00EA739E"/>
    <w:rsid w:val="00EA7C26"/>
    <w:rsid w:val="00EB0A5A"/>
    <w:rsid w:val="00EB1390"/>
    <w:rsid w:val="00EB2A51"/>
    <w:rsid w:val="00EB2C71"/>
    <w:rsid w:val="00EB34FA"/>
    <w:rsid w:val="00EB34FB"/>
    <w:rsid w:val="00EB387F"/>
    <w:rsid w:val="00EB4340"/>
    <w:rsid w:val="00EB556D"/>
    <w:rsid w:val="00EB5A7D"/>
    <w:rsid w:val="00EB711C"/>
    <w:rsid w:val="00EB7899"/>
    <w:rsid w:val="00EB7EBE"/>
    <w:rsid w:val="00EC0552"/>
    <w:rsid w:val="00EC0A02"/>
    <w:rsid w:val="00EC0FD5"/>
    <w:rsid w:val="00EC1228"/>
    <w:rsid w:val="00EC25EA"/>
    <w:rsid w:val="00EC2A8F"/>
    <w:rsid w:val="00EC363D"/>
    <w:rsid w:val="00EC3F9B"/>
    <w:rsid w:val="00EC4023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808"/>
    <w:rsid w:val="00ED4F74"/>
    <w:rsid w:val="00ED5203"/>
    <w:rsid w:val="00ED55C0"/>
    <w:rsid w:val="00ED682B"/>
    <w:rsid w:val="00ED68C8"/>
    <w:rsid w:val="00ED6F67"/>
    <w:rsid w:val="00ED799A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B39"/>
    <w:rsid w:val="00EF6DD1"/>
    <w:rsid w:val="00EF7090"/>
    <w:rsid w:val="00EF7BA5"/>
    <w:rsid w:val="00F005D6"/>
    <w:rsid w:val="00F01839"/>
    <w:rsid w:val="00F01B33"/>
    <w:rsid w:val="00F0229B"/>
    <w:rsid w:val="00F02C7A"/>
    <w:rsid w:val="00F02D59"/>
    <w:rsid w:val="00F02FA5"/>
    <w:rsid w:val="00F037A4"/>
    <w:rsid w:val="00F04A2A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6237"/>
    <w:rsid w:val="00F36A45"/>
    <w:rsid w:val="00F37172"/>
    <w:rsid w:val="00F40BC8"/>
    <w:rsid w:val="00F40D11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1AF7"/>
    <w:rsid w:val="00F53FB1"/>
    <w:rsid w:val="00F54002"/>
    <w:rsid w:val="00F54238"/>
    <w:rsid w:val="00F542B0"/>
    <w:rsid w:val="00F55A9A"/>
    <w:rsid w:val="00F60216"/>
    <w:rsid w:val="00F6091E"/>
    <w:rsid w:val="00F638D8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77E85"/>
    <w:rsid w:val="00F802BE"/>
    <w:rsid w:val="00F816DD"/>
    <w:rsid w:val="00F819F0"/>
    <w:rsid w:val="00F8204F"/>
    <w:rsid w:val="00F83B3F"/>
    <w:rsid w:val="00F83ECB"/>
    <w:rsid w:val="00F84171"/>
    <w:rsid w:val="00F84509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97DEF"/>
    <w:rsid w:val="00FA0DB9"/>
    <w:rsid w:val="00FA130D"/>
    <w:rsid w:val="00FA1DA1"/>
    <w:rsid w:val="00FA328D"/>
    <w:rsid w:val="00FA426E"/>
    <w:rsid w:val="00FA4325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1A8D"/>
    <w:rsid w:val="00FC27C1"/>
    <w:rsid w:val="00FC2AED"/>
    <w:rsid w:val="00FC4151"/>
    <w:rsid w:val="00FC4E70"/>
    <w:rsid w:val="00FC4E72"/>
    <w:rsid w:val="00FC61A2"/>
    <w:rsid w:val="00FC6940"/>
    <w:rsid w:val="00FD0CE6"/>
    <w:rsid w:val="00FD103C"/>
    <w:rsid w:val="00FD131F"/>
    <w:rsid w:val="00FD2EAD"/>
    <w:rsid w:val="00FD2FED"/>
    <w:rsid w:val="00FD5B26"/>
    <w:rsid w:val="00FD5EA7"/>
    <w:rsid w:val="00FD640D"/>
    <w:rsid w:val="00FD7191"/>
    <w:rsid w:val="00FD7E0D"/>
    <w:rsid w:val="00FE163A"/>
    <w:rsid w:val="00FE1C40"/>
    <w:rsid w:val="00FE29F5"/>
    <w:rsid w:val="00FE2AE3"/>
    <w:rsid w:val="00FE2DA3"/>
    <w:rsid w:val="00FE408E"/>
    <w:rsid w:val="00FE4EC5"/>
    <w:rsid w:val="00FE62F5"/>
    <w:rsid w:val="00FE655C"/>
    <w:rsid w:val="00FE6A1E"/>
    <w:rsid w:val="00FE6D40"/>
    <w:rsid w:val="00FE7F6E"/>
    <w:rsid w:val="00FF0FEE"/>
    <w:rsid w:val="00FF14BE"/>
    <w:rsid w:val="00FF1AF5"/>
    <w:rsid w:val="00FF1BF9"/>
    <w:rsid w:val="00FF202F"/>
    <w:rsid w:val="00FF2C0B"/>
    <w:rsid w:val="00FF33C2"/>
    <w:rsid w:val="00FF47C4"/>
    <w:rsid w:val="00FF4977"/>
    <w:rsid w:val="00FF49E6"/>
    <w:rsid w:val="00FF4AAC"/>
    <w:rsid w:val="00FF51CF"/>
    <w:rsid w:val="00FF655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character" w:customStyle="1" w:styleId="viiyi">
    <w:name w:val="viiyi"/>
    <w:basedOn w:val="Domylnaczcionkaakapitu"/>
    <w:rsid w:val="004C01EE"/>
  </w:style>
  <w:style w:type="character" w:customStyle="1" w:styleId="jlqj4b">
    <w:name w:val="jlqj4b"/>
    <w:basedOn w:val="Domylnaczcionkaakapitu"/>
    <w:rsid w:val="004C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Arkusz1!$B$89:$C$126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Arkusz1!$D$89:$D$126</c:f>
              <c:numCache>
                <c:formatCode>General</c:formatCode>
                <c:ptCount val="38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553216768"/>
        <c:axId val="1553220032"/>
      </c:barChart>
      <c:catAx>
        <c:axId val="155321676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553220032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553220032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55321676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097902585185694E-2"/>
          <c:y val="6.1635308008859142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4.9455516069340996E-3"/>
                  <c:y val="-1.477373558118892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101.0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07273980133015E-2"/>
                      <c:h val="6.07057270015161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1998779579085537E-3"/>
                  <c:y val="-9.5459740158608843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85.2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5.1176561004408608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2.4582104228121925E-3"/>
                  <c:y val="-4.8801430877040954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94.8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665094960475075E-2"/>
                      <c:h val="6.4773735581188999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"/>
                  <c:y val="-8.8724157927464031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86.5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112.9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7.720882443019591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109.0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052105850498E-2"/>
                      <c:h val="4.793204174446826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0847975954156533E-17"/>
                  <c:y val="-3.2586108668662341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109.4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83.4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rodz_dział_miesiąc!$CD$4:$CD$11</c:f>
              <c:numCache>
                <c:formatCode>0.0</c:formatCode>
                <c:ptCount val="8"/>
                <c:pt idx="0">
                  <c:v>101</c:v>
                </c:pt>
                <c:pt idx="1">
                  <c:v>85.2</c:v>
                </c:pt>
                <c:pt idx="2">
                  <c:v>94.8</c:v>
                </c:pt>
                <c:pt idx="3">
                  <c:v>86.5</c:v>
                </c:pt>
                <c:pt idx="4">
                  <c:v>112.9</c:v>
                </c:pt>
                <c:pt idx="5">
                  <c:v>109</c:v>
                </c:pt>
                <c:pt idx="6">
                  <c:v>109.4</c:v>
                </c:pt>
                <c:pt idx="7">
                  <c:v>83.4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53220576"/>
        <c:axId val="1439452784"/>
      </c:barChart>
      <c:catAx>
        <c:axId val="155322057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439452784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1439452784"/>
        <c:scaling>
          <c:orientation val="minMax"/>
          <c:max val="120"/>
          <c:min val="7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55322057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7.2602681421579066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5"/>
              <c:layout>
                <c:manualLayout>
                  <c:x val="-1.4875418371141688E-2"/>
                  <c:y val="-4.721435316336166E-3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115.4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5"/>
              <c:layout>
                <c:manualLayout>
                  <c:x val="-9.9169455807611249E-3"/>
                  <c:y val="-2.360717658168087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131.9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55455328"/>
        <c:axId val="1555460768"/>
      </c:lineChart>
      <c:catAx>
        <c:axId val="1555455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55460768"/>
        <c:crosses val="autoZero"/>
        <c:auto val="1"/>
        <c:lblAlgn val="ctr"/>
        <c:lblOffset val="100"/>
        <c:tickMarkSkip val="12"/>
        <c:noMultiLvlLbl val="0"/>
      </c:catAx>
      <c:valAx>
        <c:axId val="1555460768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55455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0.37674</cdr:x>
      <cdr:y>0.20232</cdr:y>
    </cdr:from>
    <cdr:to>
      <cdr:x>0.4841</cdr:x>
      <cdr:y>0.30689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946371" y="579154"/>
          <a:ext cx="554660" cy="29934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96.9</a:t>
          </a:r>
        </a:p>
      </cdr:txBody>
    </cdr:sp>
  </cdr:relSizeAnchor>
  <cdr:relSizeAnchor xmlns:cdr="http://schemas.openxmlformats.org/drawingml/2006/chartDrawing">
    <cdr:from>
      <cdr:x>0.37068</cdr:x>
      <cdr:y>0.29168</cdr:y>
    </cdr:from>
    <cdr:to>
      <cdr:x>0.42019</cdr:x>
      <cdr:y>0.40879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915083" y="834955"/>
          <a:ext cx="255786" cy="33523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0.04514</cdr:x>
      <cdr:y>0.41934</cdr:y>
    </cdr:from>
    <cdr:to>
      <cdr:x>0.95226</cdr:x>
      <cdr:y>0.42056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33192" y="1200387"/>
          <a:ext cx="4686509" cy="349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0B314F-65E0-4E1E-A559-6D40806C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Printed>2020-05-21T12:54:00Z</cp:lastPrinted>
  <dcterms:created xsi:type="dcterms:W3CDTF">2021-03-18T15:22:00Z</dcterms:created>
  <dcterms:modified xsi:type="dcterms:W3CDTF">2021-03-19T07:17:00Z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