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AA619C">
        <w:rPr>
          <w:rFonts w:cs="Arial"/>
          <w:lang w:val="en-US"/>
        </w:rPr>
        <w:t>March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A13753" w:rsidRPr="009F2D80" w:rsidRDefault="00AB3C32" w:rsidP="00A13753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42900" cy="325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179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15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179D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F233D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42900" cy="325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179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15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179D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F233D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DC7EC5">
        <w:rPr>
          <w:rFonts w:cs="Arial"/>
          <w:lang w:val="en-US"/>
        </w:rPr>
        <w:t xml:space="preserve"> </w:t>
      </w:r>
      <w:r w:rsidR="004F233D">
        <w:rPr>
          <w:rFonts w:cs="Arial"/>
          <w:lang w:val="en-US"/>
        </w:rPr>
        <w:t>March</w:t>
      </w:r>
      <w:r w:rsidR="00264323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B62867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by</w:t>
      </w:r>
      <w:r w:rsidR="00F02D59">
        <w:rPr>
          <w:rFonts w:cs="Arial"/>
          <w:lang w:val="en-US"/>
        </w:rPr>
        <w:t> </w:t>
      </w:r>
      <w:r w:rsidR="00DC7EC5">
        <w:rPr>
          <w:rFonts w:cs="Arial"/>
          <w:lang w:val="en-US"/>
        </w:rPr>
        <w:t>15</w:t>
      </w:r>
      <w:r w:rsidR="001A40AB">
        <w:rPr>
          <w:rFonts w:cs="Arial"/>
          <w:lang w:val="en-US"/>
        </w:rPr>
        <w:t>.</w:t>
      </w:r>
      <w:r w:rsidR="00DC7EC5">
        <w:rPr>
          <w:rFonts w:cs="Arial"/>
          <w:lang w:val="en-US"/>
        </w:rPr>
        <w:t>2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DC7EC5">
        <w:rPr>
          <w:rFonts w:cs="Arial"/>
          <w:lang w:val="en-US"/>
        </w:rPr>
        <w:t>higher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</w:t>
      </w:r>
      <w:r w:rsidR="00DC7EC5">
        <w:rPr>
          <w:rFonts w:cs="Arial"/>
          <w:lang w:val="en-US"/>
        </w:rPr>
        <w:t xml:space="preserve">decrease </w:t>
      </w:r>
      <w:r w:rsidR="00517462">
        <w:rPr>
          <w:rFonts w:cs="Arial"/>
          <w:lang w:val="en-US"/>
        </w:rPr>
        <w:t>of</w:t>
      </w:r>
      <w:r w:rsidR="00F02D59">
        <w:rPr>
          <w:rFonts w:cs="Arial"/>
          <w:lang w:val="en-US"/>
        </w:rPr>
        <w:t> </w:t>
      </w:r>
      <w:r w:rsidR="00DC7EC5">
        <w:rPr>
          <w:rFonts w:cs="Arial"/>
          <w:lang w:val="en-US"/>
        </w:rPr>
        <w:t>8</w:t>
      </w:r>
      <w:r w:rsidR="005C50E9">
        <w:rPr>
          <w:rFonts w:cs="Arial"/>
          <w:lang w:val="en-US"/>
        </w:rPr>
        <w:t>.</w:t>
      </w:r>
      <w:r w:rsidR="00DC7EC5">
        <w:rPr>
          <w:rFonts w:cs="Arial"/>
          <w:lang w:val="en-US"/>
        </w:rPr>
        <w:t>9</w:t>
      </w:r>
      <w:r w:rsidR="004B784E">
        <w:rPr>
          <w:rFonts w:cs="Arial"/>
          <w:lang w:val="en-US"/>
        </w:rPr>
        <w:t>% in</w:t>
      </w:r>
      <w:r w:rsidR="00DC7EC5">
        <w:rPr>
          <w:rFonts w:cs="Arial"/>
          <w:lang w:val="en-US"/>
        </w:rPr>
        <w:t xml:space="preserve"> March</w:t>
      </w:r>
      <w:r w:rsidR="00163F89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0734BD">
        <w:rPr>
          <w:lang w:val="en-US"/>
        </w:rPr>
        <w:t>February</w:t>
      </w:r>
      <w:r w:rsidR="002959EC">
        <w:rPr>
          <w:lang w:val="en-US"/>
        </w:rPr>
        <w:t xml:space="preserve"> </w:t>
      </w:r>
      <w:r w:rsidR="00EA5ED1">
        <w:rPr>
          <w:lang w:val="en-US"/>
        </w:rPr>
        <w:t>20</w:t>
      </w:r>
      <w:r w:rsidR="002959EC">
        <w:rPr>
          <w:lang w:val="en-US"/>
        </w:rPr>
        <w:t>21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959EC">
        <w:rPr>
          <w:lang w:val="en-US"/>
        </w:rPr>
        <w:t>in</w:t>
      </w:r>
      <w:r w:rsidR="002B5519">
        <w:rPr>
          <w:lang w:val="en-US"/>
        </w:rPr>
        <w:t xml:space="preserve">creased by </w:t>
      </w:r>
      <w:r w:rsidR="000734BD">
        <w:rPr>
          <w:lang w:val="en-US"/>
        </w:rPr>
        <w:t>15</w:t>
      </w:r>
      <w:r w:rsidR="002B5519">
        <w:rPr>
          <w:lang w:val="en-US"/>
        </w:rPr>
        <w:t>.</w:t>
      </w:r>
      <w:r w:rsidR="000734BD">
        <w:rPr>
          <w:lang w:val="en-US"/>
        </w:rPr>
        <w:t>0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  <w:r w:rsidR="00A13753">
        <w:rPr>
          <w:lang w:val="en-US"/>
        </w:rPr>
        <w:t>I</w:t>
      </w:r>
      <w:r w:rsidR="000734BD">
        <w:rPr>
          <w:lang w:val="en-US"/>
        </w:rPr>
        <w:t>n the period of January-March</w:t>
      </w:r>
      <w:r w:rsidR="00A13753">
        <w:rPr>
          <w:rStyle w:val="Odwoanieprzypisudolnego"/>
          <w:lang w:val="en-US"/>
        </w:rPr>
        <w:footnoteReference w:id="2"/>
      </w:r>
      <w:r w:rsidR="00A13753" w:rsidRPr="009F2D80">
        <w:rPr>
          <w:lang w:val="en-US"/>
        </w:rPr>
        <w:t xml:space="preserve"> 20</w:t>
      </w:r>
      <w:r w:rsidR="00BC3A0B">
        <w:rPr>
          <w:lang w:val="en-US"/>
        </w:rPr>
        <w:t>21</w:t>
      </w:r>
      <w:r w:rsidR="00A13753">
        <w:rPr>
          <w:lang w:val="en-US"/>
        </w:rPr>
        <w:t xml:space="preserve"> retail </w:t>
      </w:r>
      <w:r w:rsidR="000734BD">
        <w:rPr>
          <w:lang w:val="en-US"/>
        </w:rPr>
        <w:t>sales y/y were by 1</w:t>
      </w:r>
      <w:r w:rsidR="00A13753" w:rsidRPr="009F2D80">
        <w:rPr>
          <w:lang w:val="en-US"/>
        </w:rPr>
        <w:t>.</w:t>
      </w:r>
      <w:r w:rsidR="000734BD">
        <w:rPr>
          <w:lang w:val="en-US"/>
        </w:rPr>
        <w:t>2</w:t>
      </w:r>
      <w:r w:rsidR="00A13753" w:rsidRPr="009F2D80">
        <w:rPr>
          <w:lang w:val="en-US"/>
        </w:rPr>
        <w:t xml:space="preserve">% </w:t>
      </w:r>
      <w:r w:rsidR="000734BD">
        <w:rPr>
          <w:lang w:val="en-US"/>
        </w:rPr>
        <w:t>higher</w:t>
      </w:r>
      <w:r w:rsidR="00A13753" w:rsidRPr="009F2D80">
        <w:rPr>
          <w:lang w:val="en-US"/>
        </w:rPr>
        <w:t xml:space="preserve"> (against a growth of </w:t>
      </w:r>
      <w:r w:rsidR="007C38CF">
        <w:rPr>
          <w:lang w:val="en-US"/>
        </w:rPr>
        <w:t>0.8</w:t>
      </w:r>
      <w:r w:rsidR="00A13753" w:rsidRPr="009F2D80">
        <w:rPr>
          <w:lang w:val="en-US"/>
        </w:rPr>
        <w:t>% in 20</w:t>
      </w:r>
      <w:r w:rsidR="00BC3A0B">
        <w:rPr>
          <w:lang w:val="en-US"/>
        </w:rPr>
        <w:t>20</w:t>
      </w:r>
      <w:r w:rsidR="00A13753" w:rsidRPr="009F2D80">
        <w:rPr>
          <w:lang w:val="en-US"/>
        </w:rPr>
        <w:t>).</w:t>
      </w:r>
    </w:p>
    <w:p w:rsidR="009F2D80" w:rsidRDefault="009F2D80" w:rsidP="009F2D80">
      <w:pPr>
        <w:pStyle w:val="LID"/>
        <w:rPr>
          <w:lang w:val="en-US"/>
        </w:rPr>
      </w:pPr>
    </w:p>
    <w:p w:rsidR="00C42772" w:rsidRDefault="00C42772" w:rsidP="009F2D80">
      <w:pPr>
        <w:pStyle w:val="LID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167005</wp:posOffset>
                </wp:positionV>
                <wp:extent cx="1821180" cy="1470660"/>
                <wp:effectExtent l="0" t="0" r="0" b="0"/>
                <wp:wrapTight wrapText="bothSides">
                  <wp:wrapPolygon edited="0">
                    <wp:start x="678" y="0"/>
                    <wp:lineTo x="678" y="21264"/>
                    <wp:lineTo x="20787" y="21264"/>
                    <wp:lineTo x="20787" y="0"/>
                    <wp:lineTo x="678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7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March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, annual growth in retail sales was recorded in most groups, the largest in those groups of goods, that were subject to </w:t>
                            </w:r>
                            <w:r w:rsidR="00FD72C7">
                              <w:rPr>
                                <w:rFonts w:cs="Arial"/>
                                <w:lang w:val="en-US"/>
                              </w:rPr>
                              <w:t xml:space="preserve">strict 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 xml:space="preserve">restrictions </w:t>
                            </w:r>
                            <w:r w:rsidR="00FD72C7">
                              <w:rPr>
                                <w:rFonts w:cs="Arial"/>
                                <w:lang w:val="en-US"/>
                              </w:rPr>
                              <w:t xml:space="preserve">of </w:t>
                            </w:r>
                            <w:r w:rsidR="00220502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FD72C7">
                              <w:rPr>
                                <w:rFonts w:cs="Arial"/>
                                <w:lang w:val="en-US"/>
                              </w:rPr>
                              <w:t>sales i</w:t>
                            </w:r>
                            <w:r w:rsidR="004F4664">
                              <w:rPr>
                                <w:rFonts w:cs="Arial"/>
                                <w:lang w:val="en-US"/>
                              </w:rPr>
                              <w:t>n March last year due to the COVID-19 pandemic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pt;margin-top:13.15pt;width:143.4pt;height:1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" filled="f" stroked="f">
                <v:textbox>
                  <w:txbxContent>
                    <w:p w:rsidR="004C01EE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March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, annual growth in retail sales was recorded in most groups, the largest in those groups of goods, that were subject to </w:t>
                      </w:r>
                      <w:r w:rsidR="00FD72C7">
                        <w:rPr>
                          <w:rFonts w:cs="Arial"/>
                          <w:lang w:val="en-US"/>
                        </w:rPr>
                        <w:t xml:space="preserve">strict </w:t>
                      </w:r>
                      <w:r w:rsidR="004F4664">
                        <w:rPr>
                          <w:rFonts w:cs="Arial"/>
                          <w:lang w:val="en-US"/>
                        </w:rPr>
                        <w:t xml:space="preserve">restrictions </w:t>
                      </w:r>
                      <w:r w:rsidR="00FD72C7">
                        <w:rPr>
                          <w:rFonts w:cs="Arial"/>
                          <w:lang w:val="en-US"/>
                        </w:rPr>
                        <w:t xml:space="preserve">of </w:t>
                      </w:r>
                      <w:r w:rsidR="00220502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FD72C7">
                        <w:rPr>
                          <w:rFonts w:cs="Arial"/>
                          <w:lang w:val="en-US"/>
                        </w:rPr>
                        <w:t xml:space="preserve">sales </w:t>
                      </w:r>
                      <w:r w:rsidR="00FD72C7">
                        <w:rPr>
                          <w:rFonts w:cs="Arial"/>
                          <w:lang w:val="en-US"/>
                        </w:rPr>
                        <w:t>i</w:t>
                      </w:r>
                      <w:r w:rsidR="004F4664">
                        <w:rPr>
                          <w:rFonts w:cs="Arial"/>
                          <w:lang w:val="en-US"/>
                        </w:rPr>
                        <w:t>n March last year due to the COVID-19 pandemic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CF541C" w:rsidRDefault="001A468C" w:rsidP="003802B7">
      <w:pPr>
        <w:rPr>
          <w:rFonts w:cs="Arial"/>
          <w:spacing w:val="-4"/>
          <w:szCs w:val="19"/>
          <w:lang w:val="en-US"/>
        </w:rPr>
      </w:pPr>
      <w:r>
        <w:rPr>
          <w:lang w:val="en-US" w:eastAsia="pl-PL"/>
        </w:rPr>
        <w:t xml:space="preserve">In </w:t>
      </w:r>
      <w:r w:rsidR="00D52391">
        <w:rPr>
          <w:lang w:val="en-US" w:eastAsia="pl-PL"/>
        </w:rPr>
        <w:t>March</w:t>
      </w:r>
      <w:r w:rsidR="00047EAE">
        <w:rPr>
          <w:lang w:val="en-US" w:eastAsia="pl-PL"/>
        </w:rPr>
        <w:t xml:space="preserve">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</w:t>
      </w:r>
      <w:r w:rsidR="00D52391">
        <w:rPr>
          <w:lang w:val="en-US" w:eastAsia="pl-PL"/>
        </w:rPr>
        <w:t>in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AF0E7D"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0449A8">
        <w:rPr>
          <w:lang w:val="en-US" w:eastAsia="pl-PL"/>
        </w:rPr>
        <w:t xml:space="preserve">units </w:t>
      </w:r>
      <w:r w:rsidR="00D52391">
        <w:rPr>
          <w:lang w:val="en-US" w:eastAsia="pl-PL"/>
        </w:rPr>
        <w:t xml:space="preserve">trading in </w:t>
      </w:r>
      <w:r w:rsidR="00D52391">
        <w:rPr>
          <w:rFonts w:cs="Arial"/>
          <w:szCs w:val="19"/>
          <w:lang w:val="en-US"/>
        </w:rPr>
        <w:t xml:space="preserve">textiles, clothing, </w:t>
      </w:r>
      <w:r w:rsidR="00D52391" w:rsidRPr="0048343C">
        <w:rPr>
          <w:rFonts w:cs="Arial"/>
          <w:szCs w:val="19"/>
          <w:lang w:val="en-US"/>
        </w:rPr>
        <w:t>footwear</w:t>
      </w:r>
      <w:r w:rsidR="00D52391">
        <w:rPr>
          <w:lang w:val="en-US" w:eastAsia="pl-PL"/>
        </w:rPr>
        <w:t xml:space="preserve"> </w:t>
      </w:r>
      <w:r w:rsidR="00EA7C26">
        <w:rPr>
          <w:rFonts w:cs="Arial"/>
          <w:szCs w:val="19"/>
          <w:lang w:val="en-US"/>
        </w:rPr>
        <w:t xml:space="preserve">(by </w:t>
      </w:r>
      <w:r w:rsidR="00D52391">
        <w:rPr>
          <w:rFonts w:cs="Arial"/>
          <w:szCs w:val="19"/>
          <w:lang w:val="en-US"/>
        </w:rPr>
        <w:t>93.0</w:t>
      </w:r>
      <w:r w:rsidR="00EA7C26">
        <w:rPr>
          <w:rFonts w:cs="Arial"/>
          <w:szCs w:val="19"/>
          <w:lang w:val="en-US"/>
        </w:rPr>
        <w:t>% against a</w:t>
      </w:r>
      <w:r w:rsidR="005F4752">
        <w:rPr>
          <w:rFonts w:cs="Arial"/>
          <w:szCs w:val="19"/>
          <w:lang w:val="en-US"/>
        </w:rPr>
        <w:t> </w:t>
      </w:r>
      <w:r w:rsidR="00D52391">
        <w:rPr>
          <w:rFonts w:cs="Arial"/>
          <w:szCs w:val="19"/>
          <w:lang w:val="en-US"/>
        </w:rPr>
        <w:t>decrease</w:t>
      </w:r>
      <w:r w:rsidR="00EA7C26">
        <w:rPr>
          <w:rFonts w:cs="Arial"/>
          <w:szCs w:val="19"/>
          <w:lang w:val="en-US"/>
        </w:rPr>
        <w:t xml:space="preserve"> of </w:t>
      </w:r>
      <w:r w:rsidR="00D52391">
        <w:rPr>
          <w:rFonts w:cs="Arial"/>
          <w:szCs w:val="19"/>
          <w:lang w:val="en-US"/>
        </w:rPr>
        <w:t>49.6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F77E85">
        <w:rPr>
          <w:rFonts w:cs="Arial"/>
          <w:szCs w:val="19"/>
          <w:lang w:val="en-US"/>
        </w:rPr>
        <w:t xml:space="preserve">Significantly </w:t>
      </w:r>
      <w:r w:rsidR="007B777A">
        <w:rPr>
          <w:rFonts w:cs="Arial"/>
          <w:szCs w:val="19"/>
          <w:lang w:val="en-US"/>
        </w:rPr>
        <w:t xml:space="preserve">higher </w:t>
      </w:r>
      <w:r w:rsidR="00F77E85">
        <w:rPr>
          <w:rFonts w:cs="Arial"/>
          <w:szCs w:val="19"/>
          <w:lang w:val="en-US"/>
        </w:rPr>
        <w:t xml:space="preserve">sales were also </w:t>
      </w:r>
      <w:r w:rsidR="00D12726">
        <w:rPr>
          <w:rFonts w:cs="Arial"/>
          <w:szCs w:val="19"/>
          <w:lang w:val="en-US"/>
        </w:rPr>
        <w:t>observed in groups</w:t>
      </w:r>
      <w:r w:rsidR="007B777A">
        <w:rPr>
          <w:rFonts w:cs="Arial"/>
          <w:szCs w:val="19"/>
          <w:lang w:val="en-US"/>
        </w:rPr>
        <w:t>:</w:t>
      </w:r>
      <w:r w:rsidR="00F77E85">
        <w:rPr>
          <w:rFonts w:cs="Arial"/>
          <w:szCs w:val="19"/>
          <w:lang w:val="en-US"/>
        </w:rPr>
        <w:t xml:space="preserve"> </w:t>
      </w:r>
      <w:r w:rsidR="007B777A">
        <w:rPr>
          <w:rFonts w:cs="Arial"/>
          <w:szCs w:val="19"/>
          <w:lang w:val="en-US"/>
        </w:rPr>
        <w:t>“motor vehicles, motorcycles, parts</w:t>
      </w:r>
      <w:r w:rsidR="00F77E85">
        <w:rPr>
          <w:rFonts w:cs="Arial"/>
          <w:szCs w:val="19"/>
          <w:lang w:val="en-US"/>
        </w:rPr>
        <w:t>“</w:t>
      </w:r>
      <w:r w:rsidR="007B777A">
        <w:rPr>
          <w:rFonts w:cs="Arial"/>
          <w:szCs w:val="19"/>
          <w:lang w:val="en-US"/>
        </w:rPr>
        <w:t xml:space="preserve"> (</w:t>
      </w:r>
      <w:r w:rsidR="009E5A84">
        <w:rPr>
          <w:rFonts w:cs="Arial"/>
          <w:szCs w:val="19"/>
          <w:lang w:val="en-US"/>
        </w:rPr>
        <w:t>by 50.5%)</w:t>
      </w:r>
      <w:r w:rsidR="006C060C">
        <w:rPr>
          <w:rFonts w:cs="Arial"/>
          <w:szCs w:val="19"/>
          <w:lang w:val="en-US"/>
        </w:rPr>
        <w:t>; “</w:t>
      </w:r>
      <w:r w:rsidR="006C060C" w:rsidRPr="00CF541C">
        <w:rPr>
          <w:spacing w:val="-4"/>
          <w:szCs w:val="19"/>
          <w:lang w:val="en-US" w:eastAsia="pl-PL"/>
        </w:rPr>
        <w:t>furniture, radio, TV and household appliances</w:t>
      </w:r>
      <w:r w:rsidR="006C060C">
        <w:rPr>
          <w:spacing w:val="-4"/>
          <w:szCs w:val="19"/>
          <w:lang w:val="en-US" w:eastAsia="pl-PL"/>
        </w:rPr>
        <w:t>” (by 39</w:t>
      </w:r>
      <w:r w:rsidR="007E0044">
        <w:rPr>
          <w:spacing w:val="-4"/>
          <w:szCs w:val="19"/>
          <w:lang w:val="en-US" w:eastAsia="pl-PL"/>
        </w:rPr>
        <w:t>.0</w:t>
      </w:r>
      <w:r w:rsidR="006C060C">
        <w:rPr>
          <w:spacing w:val="-4"/>
          <w:szCs w:val="19"/>
          <w:lang w:val="en-US" w:eastAsia="pl-PL"/>
        </w:rPr>
        <w:t>%)</w:t>
      </w:r>
      <w:r w:rsidR="00BC2E31">
        <w:rPr>
          <w:spacing w:val="-4"/>
          <w:szCs w:val="19"/>
          <w:lang w:val="en-US" w:eastAsia="pl-PL"/>
        </w:rPr>
        <w:t xml:space="preserve">; </w:t>
      </w:r>
      <w:r w:rsidR="00BC2E31" w:rsidRPr="00CF541C">
        <w:rPr>
          <w:szCs w:val="19"/>
          <w:lang w:val="en-US" w:eastAsia="pl-PL"/>
        </w:rPr>
        <w:t xml:space="preserve">“newspapers, books, other sale in specialized stores” </w:t>
      </w:r>
      <w:r w:rsidR="00BC2E31">
        <w:rPr>
          <w:szCs w:val="19"/>
          <w:lang w:val="en-US" w:eastAsia="pl-PL"/>
        </w:rPr>
        <w:t>(by 28.2%)</w:t>
      </w:r>
      <w:r w:rsidR="0057343D">
        <w:rPr>
          <w:szCs w:val="19"/>
          <w:lang w:val="en-US" w:eastAsia="pl-PL"/>
        </w:rPr>
        <w:t>.</w:t>
      </w:r>
      <w:r w:rsidR="00D12726">
        <w:rPr>
          <w:rFonts w:cs="Arial"/>
          <w:lang w:val="en-US"/>
        </w:rPr>
        <w:t xml:space="preserve"> </w:t>
      </w:r>
      <w:r w:rsidR="00B93EF4">
        <w:rPr>
          <w:rFonts w:cs="Arial"/>
          <w:lang w:val="en-US"/>
        </w:rPr>
        <w:br/>
      </w:r>
      <w:r w:rsidR="000449A8">
        <w:rPr>
          <w:rFonts w:cs="Arial"/>
          <w:lang w:val="en-US"/>
        </w:rPr>
        <w:t>The</w:t>
      </w:r>
      <w:r w:rsidR="00BC2E31">
        <w:rPr>
          <w:rFonts w:cs="Arial"/>
          <w:lang w:val="en-US"/>
        </w:rPr>
        <w:t xml:space="preserve"> drop in sales</w:t>
      </w:r>
      <w:r w:rsidR="000449A8">
        <w:rPr>
          <w:rFonts w:cs="Arial"/>
          <w:lang w:val="en-US"/>
        </w:rPr>
        <w:t xml:space="preserve"> was however </w:t>
      </w:r>
      <w:r w:rsidR="005F4752">
        <w:rPr>
          <w:rFonts w:cs="Arial"/>
          <w:lang w:val="en-US"/>
        </w:rPr>
        <w:t>reported by</w:t>
      </w:r>
      <w:r w:rsidR="0009277B" w:rsidRPr="006527C6">
        <w:rPr>
          <w:rFonts w:cs="Arial"/>
          <w:spacing w:val="-10"/>
          <w:lang w:val="en-US"/>
        </w:rPr>
        <w:t xml:space="preserve"> </w:t>
      </w:r>
      <w:r w:rsidR="000449A8">
        <w:rPr>
          <w:lang w:val="en-US" w:eastAsia="pl-PL"/>
        </w:rPr>
        <w:t xml:space="preserve">entities </w:t>
      </w:r>
      <w:r w:rsidR="00BC2E31">
        <w:rPr>
          <w:lang w:val="en-US" w:eastAsia="pl-PL"/>
        </w:rPr>
        <w:t xml:space="preserve">from groups </w:t>
      </w:r>
      <w:r w:rsidR="00BC2E31">
        <w:rPr>
          <w:rFonts w:cs="Arial"/>
          <w:lang w:val="en-US"/>
        </w:rPr>
        <w:t xml:space="preserve">“pharmaceuticals, cosmetics, </w:t>
      </w:r>
      <w:proofErr w:type="spellStart"/>
      <w:r w:rsidR="00BC2E31">
        <w:rPr>
          <w:rFonts w:cs="Arial"/>
          <w:lang w:val="en-US"/>
        </w:rPr>
        <w:t>orthopaedic</w:t>
      </w:r>
      <w:proofErr w:type="spellEnd"/>
      <w:r w:rsidR="00BC2E31">
        <w:rPr>
          <w:rFonts w:cs="Arial"/>
          <w:lang w:val="en-US"/>
        </w:rPr>
        <w:t xml:space="preserve"> equipment” (by 2.6%)</w:t>
      </w:r>
      <w:r w:rsidR="004C7631">
        <w:rPr>
          <w:rFonts w:cs="Arial"/>
          <w:lang w:val="en-US"/>
        </w:rPr>
        <w:t xml:space="preserve"> and </w:t>
      </w:r>
      <w:r w:rsidR="006F2C08">
        <w:rPr>
          <w:rFonts w:cs="Arial"/>
          <w:lang w:val="en-US"/>
        </w:rPr>
        <w:t>“</w:t>
      </w:r>
      <w:r w:rsidR="004C7631">
        <w:rPr>
          <w:rFonts w:cs="Arial"/>
          <w:lang w:val="en-US"/>
        </w:rPr>
        <w:t>solid, liquid and gaseous fuels”</w:t>
      </w:r>
      <w:r w:rsidR="004C7631">
        <w:rPr>
          <w:rFonts w:cs="Arial"/>
          <w:szCs w:val="19"/>
          <w:lang w:val="en-US"/>
        </w:rPr>
        <w:t xml:space="preserve"> (by 0.6%).</w:t>
      </w:r>
      <w:r w:rsidR="009E2207">
        <w:rPr>
          <w:szCs w:val="19"/>
          <w:lang w:val="en-US" w:eastAsia="pl-PL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A73098">
        <w:rPr>
          <w:szCs w:val="19"/>
          <w:lang w:val="en-US" w:eastAsia="pl-PL"/>
        </w:rPr>
        <w:t xml:space="preserve">March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A73098">
        <w:rPr>
          <w:szCs w:val="19"/>
          <w:lang w:val="en-US" w:eastAsia="pl-PL"/>
        </w:rPr>
        <w:t>February</w:t>
      </w:r>
      <w:r w:rsidR="004C61D9">
        <w:rPr>
          <w:szCs w:val="19"/>
          <w:lang w:val="en-US" w:eastAsia="pl-PL"/>
        </w:rPr>
        <w:t xml:space="preserve"> 2021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</w:t>
      </w:r>
      <w:r w:rsidR="00A73098">
        <w:rPr>
          <w:szCs w:val="19"/>
          <w:lang w:val="en-US" w:eastAsia="pl-PL"/>
        </w:rPr>
        <w:t>n</w:t>
      </w:r>
      <w:r w:rsidR="00D9217F" w:rsidRPr="00CF541C">
        <w:rPr>
          <w:szCs w:val="19"/>
          <w:lang w:val="en-US" w:eastAsia="pl-PL"/>
        </w:rPr>
        <w:t xml:space="preserve"> </w:t>
      </w:r>
      <w:r w:rsidR="00A73098">
        <w:rPr>
          <w:szCs w:val="19"/>
          <w:lang w:val="en-US" w:eastAsia="pl-PL"/>
        </w:rPr>
        <w:t>in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A73098">
        <w:rPr>
          <w:szCs w:val="19"/>
          <w:lang w:val="en-US" w:eastAsia="pl-PL"/>
        </w:rPr>
        <w:t>28.8</w:t>
      </w:r>
      <w:r w:rsidR="00D9217F" w:rsidRPr="00CF541C">
        <w:rPr>
          <w:szCs w:val="19"/>
          <w:lang w:val="en-US" w:eastAsia="pl-PL"/>
        </w:rPr>
        <w:t>%)</w:t>
      </w:r>
      <w:r w:rsidR="00F84171">
        <w:rPr>
          <w:szCs w:val="19"/>
          <w:lang w:val="en-US" w:eastAsia="pl-PL"/>
        </w:rPr>
        <w:t>.T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7B6AFD">
        <w:rPr>
          <w:szCs w:val="19"/>
          <w:lang w:val="en-US" w:eastAsia="pl-PL"/>
        </w:rPr>
        <w:t>in</w:t>
      </w:r>
      <w:r w:rsidR="0008180C" w:rsidRPr="00CF541C">
        <w:rPr>
          <w:szCs w:val="19"/>
          <w:lang w:val="en-US" w:eastAsia="pl-PL"/>
        </w:rPr>
        <w:t xml:space="preserve">creased from </w:t>
      </w:r>
      <w:r w:rsidR="00D00752">
        <w:rPr>
          <w:szCs w:val="19"/>
          <w:lang w:val="en-US" w:eastAsia="pl-PL"/>
        </w:rPr>
        <w:t>8</w:t>
      </w:r>
      <w:r w:rsidR="008230C0" w:rsidRPr="00CF541C">
        <w:rPr>
          <w:szCs w:val="19"/>
          <w:lang w:val="en-US" w:eastAsia="pl-PL"/>
        </w:rPr>
        <w:t>.</w:t>
      </w:r>
      <w:r w:rsidR="00403ADE">
        <w:rPr>
          <w:szCs w:val="19"/>
          <w:lang w:val="en-US" w:eastAsia="pl-PL"/>
        </w:rPr>
        <w:t>6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D00752">
        <w:rPr>
          <w:szCs w:val="19"/>
          <w:lang w:val="en-US" w:eastAsia="pl-PL"/>
        </w:rPr>
        <w:t>February</w:t>
      </w:r>
      <w:r w:rsidR="00F84171">
        <w:rPr>
          <w:szCs w:val="19"/>
          <w:lang w:val="en-US" w:eastAsia="pl-PL"/>
        </w:rPr>
        <w:t xml:space="preserve"> </w:t>
      </w:r>
      <w:r w:rsidR="00AF0A8C" w:rsidRPr="00CF541C">
        <w:rPr>
          <w:szCs w:val="19"/>
          <w:lang w:val="en-US" w:eastAsia="pl-PL"/>
        </w:rPr>
        <w:t xml:space="preserve">to </w:t>
      </w:r>
      <w:r w:rsidR="00290F0D">
        <w:rPr>
          <w:szCs w:val="19"/>
          <w:lang w:val="en-US" w:eastAsia="pl-PL"/>
        </w:rPr>
        <w:t>9.5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D00752">
        <w:rPr>
          <w:szCs w:val="19"/>
          <w:lang w:val="en-US" w:eastAsia="pl-PL"/>
        </w:rPr>
        <w:t>March</w:t>
      </w:r>
      <w:r w:rsidR="000E0826" w:rsidRPr="00CF541C">
        <w:rPr>
          <w:szCs w:val="19"/>
          <w:lang w:val="en-US" w:eastAsia="pl-PL"/>
        </w:rPr>
        <w:t xml:space="preserve">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064736">
        <w:rPr>
          <w:szCs w:val="19"/>
          <w:lang w:val="en-US" w:eastAsia="pl-PL"/>
        </w:rPr>
        <w:t>n</w:t>
      </w:r>
      <w:r w:rsidR="00F84171">
        <w:rPr>
          <w:szCs w:val="19"/>
          <w:lang w:val="en-US" w:eastAsia="pl-PL"/>
        </w:rPr>
        <w:t xml:space="preserve"> </w:t>
      </w:r>
      <w:r w:rsidR="00064736">
        <w:rPr>
          <w:szCs w:val="19"/>
          <w:lang w:val="en-US" w:eastAsia="pl-PL"/>
        </w:rPr>
        <w:t>in</w:t>
      </w:r>
      <w:r w:rsidR="000E0826" w:rsidRPr="00CF541C">
        <w:rPr>
          <w:szCs w:val="19"/>
          <w:lang w:val="en-US" w:eastAsia="pl-PL"/>
        </w:rPr>
        <w:t xml:space="preserve">crease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significant </w:t>
      </w:r>
      <w:r w:rsidR="00064736">
        <w:rPr>
          <w:szCs w:val="19"/>
          <w:lang w:val="en-US" w:eastAsia="pl-PL"/>
        </w:rPr>
        <w:t>in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 </w:t>
      </w:r>
      <w:r w:rsidR="00C4368B" w:rsidRPr="00CF541C">
        <w:rPr>
          <w:rFonts w:cs="Arial"/>
          <w:szCs w:val="19"/>
          <w:lang w:val="en-US"/>
        </w:rPr>
        <w:t>“textiles, clothing, footwear”</w:t>
      </w:r>
      <w:r w:rsidR="00C4368B" w:rsidRPr="00CF541C">
        <w:rPr>
          <w:szCs w:val="19"/>
          <w:lang w:val="en-US" w:eastAsia="pl-PL"/>
        </w:rPr>
        <w:t xml:space="preserve"> (from</w:t>
      </w:r>
      <w:r w:rsidR="0058750F" w:rsidRPr="00CF541C">
        <w:rPr>
          <w:szCs w:val="19"/>
          <w:lang w:val="en-US" w:eastAsia="pl-PL"/>
        </w:rPr>
        <w:t xml:space="preserve"> </w:t>
      </w:r>
      <w:r w:rsidR="00064736">
        <w:rPr>
          <w:szCs w:val="19"/>
          <w:lang w:val="en-US" w:eastAsia="pl-PL"/>
        </w:rPr>
        <w:t>23.8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>to</w:t>
      </w:r>
      <w:r w:rsidR="00064736">
        <w:rPr>
          <w:szCs w:val="19"/>
          <w:lang w:val="en-US" w:eastAsia="pl-PL"/>
        </w:rPr>
        <w:t xml:space="preserve"> 32.0</w:t>
      </w:r>
      <w:r w:rsidR="00C4368B" w:rsidRPr="00CF541C">
        <w:rPr>
          <w:szCs w:val="19"/>
          <w:lang w:val="en-US" w:eastAsia="pl-PL"/>
        </w:rPr>
        <w:t xml:space="preserve">%) </w:t>
      </w:r>
      <w:r w:rsidR="00C72004" w:rsidRPr="00CF541C">
        <w:rPr>
          <w:rFonts w:cs="Arial"/>
          <w:szCs w:val="19"/>
          <w:lang w:val="en-US"/>
        </w:rPr>
        <w:t>as well as</w:t>
      </w:r>
      <w:r w:rsidR="00706630" w:rsidRPr="00CF541C">
        <w:rPr>
          <w:rFonts w:cs="Arial"/>
          <w:szCs w:val="19"/>
          <w:lang w:val="en-US"/>
        </w:rPr>
        <w:t xml:space="preserve"> </w:t>
      </w:r>
      <w:r w:rsidR="00832DB5" w:rsidRPr="00CF541C">
        <w:rPr>
          <w:rFonts w:cs="Arial"/>
          <w:szCs w:val="19"/>
          <w:lang w:val="en-US"/>
        </w:rPr>
        <w:t xml:space="preserve">by </w:t>
      </w:r>
      <w:r w:rsidR="00C72004" w:rsidRPr="00CF541C">
        <w:rPr>
          <w:rFonts w:cs="Arial"/>
          <w:szCs w:val="19"/>
          <w:lang w:val="en-US"/>
        </w:rPr>
        <w:t>entities</w:t>
      </w:r>
      <w:r w:rsidR="00706630" w:rsidRPr="00CF541C">
        <w:rPr>
          <w:rFonts w:cs="Arial"/>
          <w:szCs w:val="19"/>
          <w:lang w:val="en-US"/>
        </w:rPr>
        <w:t xml:space="preserve"> from groups</w:t>
      </w:r>
      <w:r w:rsidR="00C4368B" w:rsidRPr="00CF541C">
        <w:rPr>
          <w:rFonts w:cs="Arial"/>
          <w:szCs w:val="19"/>
          <w:lang w:val="en-US"/>
        </w:rPr>
        <w:t xml:space="preserve"> </w:t>
      </w:r>
      <w:r w:rsidR="00C4368B" w:rsidRPr="00CF541C">
        <w:rPr>
          <w:szCs w:val="19"/>
          <w:lang w:val="en-US" w:eastAsia="pl-PL"/>
        </w:rPr>
        <w:t>“newspapers, books, other sale in specialized stores”</w:t>
      </w:r>
      <w:r w:rsidR="007439A7" w:rsidRPr="00CF541C">
        <w:rPr>
          <w:szCs w:val="19"/>
          <w:lang w:val="en-US" w:eastAsia="pl-PL"/>
        </w:rPr>
        <w:t xml:space="preserve"> (</w:t>
      </w:r>
      <w:r w:rsidR="00706630" w:rsidRPr="00CF541C">
        <w:rPr>
          <w:szCs w:val="19"/>
          <w:lang w:val="en-US" w:eastAsia="pl-PL"/>
        </w:rPr>
        <w:t xml:space="preserve">from </w:t>
      </w:r>
      <w:r w:rsidR="00064736">
        <w:rPr>
          <w:szCs w:val="19"/>
          <w:lang w:val="en-US" w:eastAsia="pl-PL"/>
        </w:rPr>
        <w:t>22</w:t>
      </w:r>
      <w:r w:rsidR="000A1862" w:rsidRPr="00CF541C">
        <w:rPr>
          <w:szCs w:val="19"/>
          <w:lang w:val="en-US" w:eastAsia="pl-PL"/>
        </w:rPr>
        <w:t>.</w:t>
      </w:r>
      <w:r w:rsidR="00064736">
        <w:rPr>
          <w:szCs w:val="19"/>
          <w:lang w:val="en-US" w:eastAsia="pl-PL"/>
        </w:rPr>
        <w:t>8</w:t>
      </w:r>
      <w:r w:rsidR="00706630" w:rsidRPr="00CF541C">
        <w:rPr>
          <w:szCs w:val="19"/>
          <w:lang w:val="en-US" w:eastAsia="pl-PL"/>
        </w:rPr>
        <w:t xml:space="preserve">% </w:t>
      </w:r>
      <w:r w:rsidR="00706630" w:rsidRPr="00CF541C">
        <w:rPr>
          <w:spacing w:val="-4"/>
          <w:szCs w:val="19"/>
          <w:lang w:val="en-US" w:eastAsia="pl-PL"/>
        </w:rPr>
        <w:t xml:space="preserve">to </w:t>
      </w:r>
      <w:r w:rsidR="00064736">
        <w:rPr>
          <w:spacing w:val="-4"/>
          <w:szCs w:val="19"/>
          <w:lang w:val="en-US" w:eastAsia="pl-PL"/>
        </w:rPr>
        <w:t>26</w:t>
      </w:r>
      <w:r w:rsidR="00C81C28" w:rsidRPr="00CF541C">
        <w:rPr>
          <w:spacing w:val="-4"/>
          <w:szCs w:val="19"/>
          <w:lang w:val="en-US" w:eastAsia="pl-PL"/>
        </w:rPr>
        <w:t>.</w:t>
      </w:r>
      <w:r w:rsidR="00064736">
        <w:rPr>
          <w:spacing w:val="-4"/>
          <w:szCs w:val="19"/>
          <w:lang w:val="en-US" w:eastAsia="pl-PL"/>
        </w:rPr>
        <w:t>4</w:t>
      </w:r>
      <w:r w:rsidR="00706630" w:rsidRPr="00CF541C">
        <w:rPr>
          <w:spacing w:val="-4"/>
          <w:szCs w:val="19"/>
          <w:lang w:val="en-US" w:eastAsia="pl-PL"/>
        </w:rPr>
        <w:t xml:space="preserve">% respectively) </w:t>
      </w:r>
      <w:r w:rsidR="00883FE1" w:rsidRPr="00CF541C">
        <w:rPr>
          <w:spacing w:val="-4"/>
          <w:szCs w:val="19"/>
          <w:lang w:val="en-US" w:eastAsia="pl-PL"/>
        </w:rPr>
        <w:t>and “furniture, radio, TV and h</w:t>
      </w:r>
      <w:r w:rsidR="00706630" w:rsidRPr="00CF541C">
        <w:rPr>
          <w:spacing w:val="-4"/>
          <w:szCs w:val="19"/>
          <w:lang w:val="en-US" w:eastAsia="pl-PL"/>
        </w:rPr>
        <w:t>ousehold</w:t>
      </w:r>
      <w:r w:rsidR="00580DD5" w:rsidRPr="00CF541C">
        <w:rPr>
          <w:spacing w:val="-4"/>
          <w:szCs w:val="19"/>
          <w:lang w:val="en-US" w:eastAsia="pl-PL"/>
        </w:rPr>
        <w:t xml:space="preserve"> appliances</w:t>
      </w:r>
      <w:r w:rsidR="00706630" w:rsidRPr="00CF541C">
        <w:rPr>
          <w:spacing w:val="-4"/>
          <w:szCs w:val="19"/>
          <w:lang w:val="en-US" w:eastAsia="pl-PL"/>
        </w:rPr>
        <w:t>“ (from</w:t>
      </w:r>
      <w:r w:rsidR="007105A1" w:rsidRPr="00CF541C">
        <w:rPr>
          <w:spacing w:val="-4"/>
          <w:szCs w:val="19"/>
          <w:lang w:val="en-US" w:eastAsia="pl-PL"/>
        </w:rPr>
        <w:t xml:space="preserve"> </w:t>
      </w:r>
      <w:r w:rsidR="00064736">
        <w:rPr>
          <w:spacing w:val="-4"/>
          <w:szCs w:val="19"/>
          <w:lang w:val="en-US" w:eastAsia="pl-PL"/>
        </w:rPr>
        <w:t>15.9</w:t>
      </w:r>
      <w:r w:rsidR="00706630" w:rsidRPr="00CF541C">
        <w:rPr>
          <w:spacing w:val="-4"/>
          <w:szCs w:val="19"/>
          <w:lang w:val="en-US" w:eastAsia="pl-PL"/>
        </w:rPr>
        <w:t xml:space="preserve">% to </w:t>
      </w:r>
      <w:r w:rsidR="00064736">
        <w:rPr>
          <w:spacing w:val="-4"/>
          <w:szCs w:val="19"/>
          <w:lang w:val="en-US" w:eastAsia="pl-PL"/>
        </w:rPr>
        <w:t>18</w:t>
      </w:r>
      <w:r w:rsidR="00F84171">
        <w:rPr>
          <w:spacing w:val="-4"/>
          <w:szCs w:val="19"/>
          <w:lang w:val="en-US" w:eastAsia="pl-PL"/>
        </w:rPr>
        <w:t>.9</w:t>
      </w:r>
      <w:r w:rsidR="00706630" w:rsidRPr="00CF541C">
        <w:rPr>
          <w:spacing w:val="-4"/>
          <w:szCs w:val="19"/>
          <w:lang w:val="en-US" w:eastAsia="pl-PL"/>
        </w:rPr>
        <w:t>%</w:t>
      </w:r>
      <w:r w:rsidR="00883FE1" w:rsidRPr="00CF541C">
        <w:rPr>
          <w:spacing w:val="-4"/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tbl>
      <w:tblPr>
        <w:tblW w:w="6876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134"/>
        <w:gridCol w:w="1134"/>
        <w:gridCol w:w="1134"/>
      </w:tblGrid>
      <w:tr w:rsidR="001A005A" w:rsidRPr="00413C1A" w:rsidTr="008076D0">
        <w:trPr>
          <w:gridAfter w:val="3"/>
          <w:wAfter w:w="3402" w:type="dxa"/>
          <w:cantSplit/>
          <w:trHeight w:val="360"/>
        </w:trPr>
        <w:tc>
          <w:tcPr>
            <w:tcW w:w="34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1A005A" w:rsidRPr="00413C1A" w:rsidTr="008076D0">
        <w:trPr>
          <w:cantSplit/>
          <w:trHeight w:val="340"/>
        </w:trPr>
        <w:tc>
          <w:tcPr>
            <w:tcW w:w="3474" w:type="dxa"/>
            <w:vMerge/>
            <w:shd w:val="clear" w:color="auto" w:fill="auto"/>
            <w:vAlign w:val="center"/>
          </w:tcPr>
          <w:p w:rsidR="001A005A" w:rsidRPr="00413C1A" w:rsidRDefault="001A005A" w:rsidP="008076D0">
            <w:pPr>
              <w:spacing w:before="240"/>
              <w:jc w:val="center"/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21491E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</w:rPr>
              <w:t>I</w:t>
            </w:r>
            <w:r w:rsidR="005547CB"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1A005A" w:rsidRPr="00413C1A" w:rsidRDefault="001A005A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5547CB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413C1A">
              <w:rPr>
                <w:rFonts w:cs="Arial"/>
                <w:color w:val="000000"/>
                <w:sz w:val="16"/>
                <w:szCs w:val="16"/>
              </w:rPr>
              <w:t>20</w:t>
            </w:r>
            <w:r w:rsidR="00723956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1A005A" w:rsidRPr="009925A3" w:rsidTr="008076D0">
        <w:trPr>
          <w:trHeight w:val="340"/>
        </w:trPr>
        <w:tc>
          <w:tcPr>
            <w:tcW w:w="3474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A005A" w:rsidRPr="00413C1A" w:rsidRDefault="001A005A" w:rsidP="008076D0">
            <w:pPr>
              <w:rPr>
                <w:rFonts w:asciiTheme="majorHAnsi" w:hAnsiTheme="majorHAnsi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A005A" w:rsidRPr="00413C1A" w:rsidRDefault="00723956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5547CB"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413C1A" w:rsidRDefault="00723956" w:rsidP="008076D0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A005A">
              <w:rPr>
                <w:rFonts w:cs="Arial"/>
                <w:color w:val="000000"/>
                <w:sz w:val="16"/>
                <w:szCs w:val="16"/>
              </w:rPr>
              <w:t>I</w:t>
            </w:r>
            <w:r w:rsidR="005547CB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2020</w:t>
            </w:r>
            <w:r w:rsidR="001A005A" w:rsidRPr="00413C1A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A005A" w:rsidRPr="008B5BD1" w:rsidRDefault="001A005A" w:rsidP="00723956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8B5BD1">
              <w:rPr>
                <w:rFonts w:cs="Arial"/>
                <w:color w:val="000000"/>
                <w:sz w:val="16"/>
                <w:szCs w:val="16"/>
              </w:rPr>
              <w:t>I-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I</w:t>
            </w:r>
            <w:r w:rsidR="005547CB">
              <w:rPr>
                <w:rFonts w:cs="Arial"/>
                <w:color w:val="000000"/>
                <w:sz w:val="16"/>
                <w:szCs w:val="16"/>
              </w:rPr>
              <w:t>I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723956" w:rsidRPr="008B5BD1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8B5BD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887CEC" w:rsidRPr="00F2453E" w:rsidTr="008076D0">
        <w:trPr>
          <w:trHeight w:val="369"/>
        </w:trPr>
        <w:tc>
          <w:tcPr>
            <w:tcW w:w="347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115.</w:t>
            </w:r>
            <w:r w:rsidR="00887CE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115.</w:t>
            </w:r>
            <w:r w:rsidR="00887CEC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</w:t>
            </w:r>
            <w:r w:rsidR="00887CEC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887CEC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F2453E" w:rsidRDefault="00887CEC" w:rsidP="00887CEC">
            <w:pPr>
              <w:spacing w:before="0" w:after="0"/>
              <w:ind w:firstLine="181"/>
              <w:rPr>
                <w:rFonts w:asciiTheme="majorHAnsi" w:hAnsiTheme="majorHAnsi"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887CEC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887CEC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887CEC" w:rsidP="00887CEC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87CEC" w:rsidRPr="00F2453E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F2453E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887CEC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887CEC" w:rsidRPr="00C90BA0" w:rsidTr="008076D0">
        <w:trPr>
          <w:trHeight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887CEC" w:rsidRPr="00413C1A" w:rsidTr="008076D0">
        <w:trPr>
          <w:trHeight w:hRule="exact" w:val="369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887CEC" w:rsidP="00887C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887CEC" w:rsidP="00887C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887CEC" w:rsidP="00887CEC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87CEC" w:rsidRPr="00413C1A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413C1A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413C1A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887CEC" w:rsidRPr="00413C1A" w:rsidTr="008076D0">
        <w:trPr>
          <w:cantSplit/>
          <w:trHeight w:val="424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193.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887CEC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887CEC" w:rsidRPr="00C90BA0" w:rsidTr="008076D0">
        <w:trPr>
          <w:cantSplit/>
          <w:trHeight w:hRule="exact" w:val="567"/>
        </w:trPr>
        <w:tc>
          <w:tcPr>
            <w:tcW w:w="3474" w:type="dxa"/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887CEC" w:rsidRPr="009E4A91" w:rsidTr="008076D0">
        <w:trPr>
          <w:cantSplit/>
          <w:trHeight w:val="369"/>
        </w:trPr>
        <w:tc>
          <w:tcPr>
            <w:tcW w:w="34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87CEC" w:rsidRPr="00413C1A" w:rsidRDefault="00887CEC" w:rsidP="00887CEC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413C1A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87CEC" w:rsidRPr="00F156AE" w:rsidRDefault="003F43FB" w:rsidP="00887C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887CE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Default="001A005A" w:rsidP="001A005A">
      <w:pPr>
        <w:rPr>
          <w:lang w:val="en" w:eastAsia="pl-PL"/>
        </w:rPr>
      </w:pPr>
    </w:p>
    <w:p w:rsidR="00B67AB9" w:rsidRDefault="00B67AB9" w:rsidP="00B67AB9">
      <w:pPr>
        <w:rPr>
          <w:rFonts w:eastAsia="Times New Roman" w:cs="Arial"/>
          <w:b/>
          <w:bCs/>
          <w:szCs w:val="24"/>
          <w:lang w:val="en-US" w:eastAsia="pl-PL"/>
        </w:rPr>
      </w:pPr>
      <w:r w:rsidRPr="00E014C8">
        <w:rPr>
          <w:rFonts w:eastAsia="Times New Roman" w:cs="Arial"/>
          <w:b/>
          <w:bCs/>
          <w:szCs w:val="24"/>
          <w:lang w:val="en-US" w:eastAsia="pl-PL"/>
        </w:rPr>
        <w:t>Table 2. Index numbers of retail sales (current prices)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992"/>
      </w:tblGrid>
      <w:tr w:rsidR="00A06BE8" w:rsidRPr="00E01656" w:rsidTr="00F3489C">
        <w:trPr>
          <w:gridAfter w:val="4"/>
          <w:wAfter w:w="4536" w:type="dxa"/>
          <w:cantSplit/>
          <w:trHeight w:val="369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A06BE8" w:rsidRPr="00E01656" w:rsidRDefault="00A06BE8" w:rsidP="00F3489C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</w:tr>
      <w:tr w:rsidR="00A06BE8" w:rsidRPr="00E01656" w:rsidTr="00F3489C">
        <w:trPr>
          <w:cantSplit/>
          <w:trHeight w:val="369"/>
        </w:trPr>
        <w:tc>
          <w:tcPr>
            <w:tcW w:w="3261" w:type="dxa"/>
            <w:vMerge/>
            <w:shd w:val="clear" w:color="auto" w:fill="auto"/>
            <w:vAlign w:val="center"/>
          </w:tcPr>
          <w:p w:rsidR="00A06BE8" w:rsidRPr="00E01656" w:rsidRDefault="00A06BE8" w:rsidP="00F3489C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06BE8" w:rsidRPr="00E01656" w:rsidRDefault="00A06BE8" w:rsidP="000F09B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0F09BB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06BE8" w:rsidRPr="00E01656" w:rsidRDefault="00A06BE8" w:rsidP="000F09B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III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</w:t>
            </w:r>
            <w:r w:rsidR="000F09BB"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A06BE8" w:rsidRPr="00E01656" w:rsidTr="00F3489C">
        <w:trPr>
          <w:trHeight w:val="369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A06BE8" w:rsidRPr="00E01656" w:rsidRDefault="00A06BE8" w:rsidP="00F3489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A06BE8" w:rsidRPr="00E01656" w:rsidRDefault="00A06BE8" w:rsidP="000F09B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0F09BB">
              <w:rPr>
                <w:rFonts w:cs="Arial"/>
                <w:color w:val="000000"/>
                <w:sz w:val="16"/>
                <w:szCs w:val="16"/>
              </w:rPr>
              <w:t>21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06BE8" w:rsidRPr="00E01656" w:rsidRDefault="00A06BE8" w:rsidP="000F09B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III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20</w:t>
            </w:r>
            <w:r w:rsidR="000F09BB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06BE8" w:rsidRPr="00E01656" w:rsidRDefault="00A06BE8" w:rsidP="000F09B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I–III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0F09BB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06BE8" w:rsidRPr="00E01656" w:rsidRDefault="00A06BE8" w:rsidP="00F3489C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E01656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Structure </w:t>
            </w:r>
            <w:r w:rsidRPr="00E01656">
              <w:rPr>
                <w:rFonts w:cs="Arial"/>
                <w:color w:val="000000"/>
                <w:sz w:val="16"/>
                <w:szCs w:val="16"/>
              </w:rPr>
              <w:t xml:space="preserve">       in  %</w:t>
            </w:r>
          </w:p>
        </w:tc>
      </w:tr>
      <w:tr w:rsidR="007B5B59" w:rsidRPr="00E01656" w:rsidTr="00F3489C">
        <w:trPr>
          <w:trHeight w:hRule="exact"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hideMark/>
          </w:tcPr>
          <w:p w:rsidR="007B5B59" w:rsidRPr="00E01656" w:rsidRDefault="007B5B59" w:rsidP="007B5B59">
            <w:pPr>
              <w:spacing w:before="60" w:after="0"/>
              <w:rPr>
                <w:b/>
                <w:sz w:val="16"/>
                <w:szCs w:val="16"/>
              </w:rPr>
            </w:pPr>
            <w:r w:rsidRPr="00E01656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</w:t>
            </w:r>
            <w:r w:rsidR="007B5B59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117.</w:t>
            </w:r>
            <w:r w:rsidR="007B5B59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</w:t>
            </w:r>
            <w:r w:rsidR="007B5B59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</w:t>
            </w:r>
            <w:r w:rsidR="007B5B59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B5B59" w:rsidRPr="00E01656" w:rsidTr="00F3489C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ind w:firstLine="144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7B5B5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7B5B5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7B5B59" w:rsidP="007B5B5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7B5B5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B5B59" w:rsidRPr="00E01656" w:rsidTr="00F3489C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151.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7B5B59" w:rsidRPr="00E70355" w:rsidTr="00F3489C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Solid, liquid and gaseous fuels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7B5B59" w:rsidRPr="00E70355" w:rsidTr="00F3489C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B5B59" w:rsidRPr="00E70355" w:rsidTr="00F3489C">
        <w:trPr>
          <w:trHeight w:hRule="exact" w:val="338"/>
        </w:trPr>
        <w:tc>
          <w:tcPr>
            <w:tcW w:w="3261" w:type="dxa"/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Other retail sale in non-specialized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7B5B59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7B5B59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7B5B59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7B5B59" w:rsidP="007B5B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B5B59" w:rsidRPr="00E01656" w:rsidTr="00F3489C">
        <w:trPr>
          <w:trHeight w:hRule="exact" w:val="556"/>
        </w:trPr>
        <w:tc>
          <w:tcPr>
            <w:tcW w:w="3261" w:type="dxa"/>
            <w:shd w:val="clear" w:color="auto" w:fill="auto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 xml:space="preserve">Pharmaceuticals, cosmetics, </w:t>
            </w:r>
            <w:r w:rsidRPr="00E01656">
              <w:rPr>
                <w:sz w:val="16"/>
                <w:szCs w:val="16"/>
                <w:lang w:val="en-GB"/>
              </w:rPr>
              <w:t>orthopaedic equipment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7B5B59" w:rsidRPr="00E01656" w:rsidTr="00F3489C">
        <w:trPr>
          <w:trHeight w:hRule="exact"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7B5B59" w:rsidRPr="00E70355" w:rsidTr="00F3489C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B5B59" w:rsidRPr="00E70355" w:rsidTr="00C77E6E">
        <w:trPr>
          <w:trHeight w:hRule="exact" w:val="567"/>
        </w:trPr>
        <w:tc>
          <w:tcPr>
            <w:tcW w:w="3261" w:type="dxa"/>
            <w:shd w:val="clear" w:color="auto" w:fill="auto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US"/>
              </w:rPr>
            </w:pPr>
            <w:r w:rsidRPr="00E01656">
              <w:rPr>
                <w:sz w:val="16"/>
                <w:szCs w:val="16"/>
                <w:lang w:val="en-US"/>
              </w:rPr>
              <w:t>Newspapers, books, other sale in specialized stores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B5B59" w:rsidRPr="00E01656" w:rsidTr="00F3489C">
        <w:trPr>
          <w:trHeight w:hRule="exact"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B5B59" w:rsidRPr="00E01656" w:rsidRDefault="007B5B59" w:rsidP="007B5B59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E01656">
              <w:rPr>
                <w:sz w:val="16"/>
                <w:szCs w:val="16"/>
                <w:lang w:val="en-GB"/>
              </w:rPr>
              <w:t>Others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B59" w:rsidRPr="00F156AE" w:rsidRDefault="00027FE2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7B5B59" w:rsidRPr="00F156AE" w:rsidRDefault="002A6AF6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7B5B59" w:rsidRPr="00F156AE" w:rsidRDefault="00471479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7B5B59" w:rsidRPr="001F551D" w:rsidRDefault="00103221" w:rsidP="007B5B5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</w:t>
            </w:r>
            <w:r w:rsidR="007B5B5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</w:tbl>
    <w:p w:rsidR="001A005A" w:rsidRDefault="001A005A" w:rsidP="001A005A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(.) </w:t>
      </w:r>
      <w:r>
        <w:rPr>
          <w:rStyle w:val="tlid-translation"/>
          <w:sz w:val="16"/>
          <w:szCs w:val="16"/>
          <w:lang w:val="en"/>
        </w:rPr>
        <w:t xml:space="preserve">Data not available, classified data (statistical </w:t>
      </w:r>
      <w:r w:rsidRPr="00B73F57">
        <w:rPr>
          <w:rStyle w:val="tlid-translation"/>
          <w:sz w:val="16"/>
          <w:szCs w:val="16"/>
          <w:lang w:val="en"/>
        </w:rPr>
        <w:t>confidentiality</w:t>
      </w:r>
      <w:r>
        <w:rPr>
          <w:rStyle w:val="tlid-translation"/>
          <w:sz w:val="16"/>
          <w:szCs w:val="16"/>
          <w:lang w:val="en"/>
        </w:rPr>
        <w:t>) or providing</w:t>
      </w:r>
      <w:r w:rsidRPr="00B73F57">
        <w:rPr>
          <w:rStyle w:val="tlid-translation"/>
          <w:sz w:val="16"/>
          <w:szCs w:val="16"/>
          <w:lang w:val="en"/>
        </w:rPr>
        <w:t xml:space="preserve"> </w:t>
      </w:r>
      <w:r>
        <w:rPr>
          <w:rStyle w:val="tlid-translation"/>
          <w:sz w:val="16"/>
          <w:szCs w:val="16"/>
          <w:lang w:val="en"/>
        </w:rPr>
        <w:t>data impossible or purposeless</w:t>
      </w:r>
    </w:p>
    <w:p w:rsidR="001A005A" w:rsidRPr="001A005A" w:rsidRDefault="001A005A" w:rsidP="001A005A">
      <w:pPr>
        <w:rPr>
          <w:lang w:val="en" w:eastAsia="pl-PL"/>
        </w:rPr>
      </w:pPr>
    </w:p>
    <w:p w:rsidR="001A005A" w:rsidRDefault="001A005A" w:rsidP="001A005A">
      <w:pPr>
        <w:rPr>
          <w:lang w:val="en-US" w:eastAsia="pl-PL"/>
        </w:rPr>
      </w:pPr>
    </w:p>
    <w:p w:rsidR="00F51AF7" w:rsidRDefault="00F51AF7" w:rsidP="00F51AF7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lastRenderedPageBreak/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 w:rsidR="007C7657">
        <w:rPr>
          <w:shd w:val="clear" w:color="auto" w:fill="FFFFFF"/>
          <w:lang w:val="en-US"/>
        </w:rPr>
        <w:t>March</w:t>
      </w:r>
      <w:r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>20</w:t>
      </w:r>
      <w:r>
        <w:rPr>
          <w:shd w:val="clear" w:color="auto" w:fill="FFFFFF"/>
          <w:lang w:val="en-US"/>
        </w:rPr>
        <w:t>21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5056BC" w:rsidRDefault="00F02D59">
      <w:pPr>
        <w:spacing w:before="0" w:after="160" w:line="259" w:lineRule="auto"/>
        <w:rPr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90336" behindDoc="0" locked="0" layoutInCell="1" allowOverlap="1" wp14:anchorId="7A13D7CF" wp14:editId="664B20C6">
            <wp:simplePos x="0" y="0"/>
            <wp:positionH relativeFrom="margin">
              <wp:align>left</wp:align>
            </wp:positionH>
            <wp:positionV relativeFrom="margin">
              <wp:posOffset>637540</wp:posOffset>
            </wp:positionV>
            <wp:extent cx="5166360" cy="2813050"/>
            <wp:effectExtent l="0" t="0" r="0" b="635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86C" w:rsidRDefault="0008586C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</w:p>
    <w:p w:rsidR="008C6118" w:rsidRDefault="0008586C" w:rsidP="005056BC">
      <w:pPr>
        <w:spacing w:before="0" w:after="160" w:line="259" w:lineRule="auto"/>
        <w:rPr>
          <w:rFonts w:ascii="Fira Sans SemiBold" w:hAnsi="Fira Sans SemiBold"/>
          <w:color w:val="001D77"/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5684520</wp:posOffset>
                </wp:positionH>
                <wp:positionV relativeFrom="paragraph">
                  <wp:posOffset>97790</wp:posOffset>
                </wp:positionV>
                <wp:extent cx="1835150" cy="863600"/>
                <wp:effectExtent l="0" t="0" r="0" b="0"/>
                <wp:wrapTight wrapText="bothSides">
                  <wp:wrapPolygon edited="0">
                    <wp:start x="673" y="0"/>
                    <wp:lineTo x="673" y="20965"/>
                    <wp:lineTo x="20853" y="20965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A5BF7">
                              <w:rPr>
                                <w:rFonts w:cs="Arial"/>
                                <w:lang w:val="en-US"/>
                              </w:rPr>
                              <w:t>March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F51AF7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7A5BF7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7A5BF7"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="00204D60">
                              <w:rPr>
                                <w:rFonts w:cs="Arial"/>
                                <w:lang w:val="en-US"/>
                              </w:rPr>
                              <w:t>.0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7A5BF7">
                              <w:rPr>
                                <w:rFonts w:cs="Arial"/>
                                <w:lang w:val="en-US"/>
                              </w:rPr>
                              <w:t>Febr</w:t>
                            </w:r>
                            <w:r w:rsidR="006513B3">
                              <w:rPr>
                                <w:rFonts w:cs="Arial"/>
                                <w:lang w:val="en-US"/>
                              </w:rPr>
                              <w:t>uary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6pt;margin-top:7.7pt;width:144.5pt;height:6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A5BF7">
                        <w:rPr>
                          <w:rFonts w:cs="Arial"/>
                          <w:lang w:val="en-US"/>
                        </w:rPr>
                        <w:t>March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F51AF7">
                        <w:rPr>
                          <w:rFonts w:cs="Arial"/>
                          <w:lang w:val="en-US"/>
                        </w:rPr>
                        <w:t> </w:t>
                      </w:r>
                      <w:r w:rsidR="007A5BF7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7A5BF7">
                        <w:rPr>
                          <w:rFonts w:cs="Arial"/>
                          <w:lang w:val="en-US"/>
                        </w:rPr>
                        <w:t>2</w:t>
                      </w:r>
                      <w:r w:rsidR="00204D60">
                        <w:rPr>
                          <w:rFonts w:cs="Arial"/>
                          <w:lang w:val="en-US"/>
                        </w:rPr>
                        <w:t>.0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7A5BF7">
                        <w:rPr>
                          <w:rFonts w:cs="Arial"/>
                          <w:lang w:val="en-US"/>
                        </w:rPr>
                        <w:t>Febr</w:t>
                      </w:r>
                      <w:r w:rsidR="006513B3">
                        <w:rPr>
                          <w:rFonts w:cs="Arial"/>
                          <w:lang w:val="en-US"/>
                        </w:rPr>
                        <w:t>uary 2021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C6118" w:rsidRPr="008C6118">
        <w:rPr>
          <w:rFonts w:ascii="Fira Sans SemiBold" w:hAnsi="Fira Sans SemiBold"/>
          <w:color w:val="001D77"/>
          <w:szCs w:val="23"/>
          <w:lang w:val="en-US"/>
        </w:rPr>
        <w:t>Reta</w:t>
      </w:r>
      <w:r w:rsidR="008C6118"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>After eliminating the seasonal factors, retail sales at constant price</w:t>
      </w:r>
      <w:bookmarkStart w:id="0" w:name="_GoBack"/>
      <w:bookmarkEnd w:id="0"/>
      <w:r w:rsidRPr="00B04BBF">
        <w:rPr>
          <w:szCs w:val="23"/>
          <w:lang w:val="en-US"/>
        </w:rPr>
        <w:t xml:space="preserve">s in </w:t>
      </w:r>
      <w:r w:rsidR="005A3BFB">
        <w:rPr>
          <w:szCs w:val="23"/>
          <w:lang w:val="en-US"/>
        </w:rPr>
        <w:t>March</w:t>
      </w:r>
      <w:r w:rsidR="0029086F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5A3BFB">
        <w:rPr>
          <w:szCs w:val="23"/>
          <w:lang w:val="en-US"/>
        </w:rPr>
        <w:t>2</w:t>
      </w:r>
      <w:r w:rsidR="00204D60">
        <w:rPr>
          <w:szCs w:val="23"/>
          <w:lang w:val="en-US"/>
        </w:rPr>
        <w:t>.0</w:t>
      </w:r>
      <w:r>
        <w:rPr>
          <w:szCs w:val="23"/>
          <w:lang w:val="en-US"/>
        </w:rPr>
        <w:t xml:space="preserve">% </w:t>
      </w:r>
      <w:r w:rsidR="005A3BFB">
        <w:rPr>
          <w:szCs w:val="23"/>
          <w:lang w:val="en-US"/>
        </w:rPr>
        <w:t>low</w:t>
      </w:r>
      <w:r w:rsidR="006513B3">
        <w:rPr>
          <w:szCs w:val="23"/>
          <w:lang w:val="en-US"/>
        </w:rPr>
        <w:t>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5A3BFB">
        <w:rPr>
          <w:szCs w:val="23"/>
          <w:lang w:val="en-US"/>
        </w:rPr>
        <w:t>Febru</w:t>
      </w:r>
      <w:r w:rsidR="006513B3">
        <w:rPr>
          <w:szCs w:val="23"/>
          <w:lang w:val="en-US"/>
        </w:rPr>
        <w:t>ary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13B3">
        <w:rPr>
          <w:szCs w:val="23"/>
          <w:lang w:val="en-US"/>
        </w:rPr>
        <w:t>21</w:t>
      </w:r>
      <w:r w:rsidRPr="00EC1228">
        <w:rPr>
          <w:szCs w:val="23"/>
          <w:lang w:val="en-US"/>
        </w:rPr>
        <w:t>.</w:t>
      </w: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F02D59" w:rsidRDefault="00F02D59" w:rsidP="00B25EE8">
      <w:pPr>
        <w:jc w:val="both"/>
        <w:rPr>
          <w:rStyle w:val="tlid-translation"/>
          <w:lang w:val="en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 w:rsidR="00A47825">
        <w:rPr>
          <w:szCs w:val="19"/>
          <w:lang w:val="en-US"/>
        </w:rPr>
        <w:t>figures from Statistics Poland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204D60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204D60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91,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20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7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79F" w:rsidRDefault="0032379F" w:rsidP="000662E2">
      <w:pPr>
        <w:spacing w:after="0" w:line="240" w:lineRule="auto"/>
      </w:pPr>
      <w:r>
        <w:separator/>
      </w:r>
    </w:p>
  </w:endnote>
  <w:endnote w:type="continuationSeparator" w:id="0">
    <w:p w:rsidR="0032379F" w:rsidRDefault="003237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4D6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4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79F" w:rsidRDefault="0032379F" w:rsidP="000662E2">
      <w:pPr>
        <w:spacing w:after="0" w:line="240" w:lineRule="auto"/>
      </w:pPr>
      <w:r>
        <w:separator/>
      </w:r>
    </w:p>
  </w:footnote>
  <w:footnote w:type="continuationSeparator" w:id="0">
    <w:p w:rsidR="0032379F" w:rsidRDefault="0032379F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A13753" w:rsidRPr="00237C5C" w:rsidRDefault="00A13753" w:rsidP="00A13753">
      <w:pPr>
        <w:pStyle w:val="Tekstprzypisudolnego"/>
        <w:spacing w:before="0"/>
        <w:rPr>
          <w:lang w:val="en-US"/>
        </w:rPr>
      </w:pPr>
      <w:r>
        <w:rPr>
          <w:rStyle w:val="Odwoanieprzypisudolnego"/>
        </w:rPr>
        <w:footnoteRef/>
      </w:r>
      <w:r w:rsidRPr="00237C5C">
        <w:rPr>
          <w:lang w:val="en-US"/>
        </w:rPr>
        <w:t xml:space="preserve"> </w:t>
      </w:r>
      <w:r w:rsidRPr="008E192F">
        <w:rPr>
          <w:sz w:val="16"/>
          <w:szCs w:val="16"/>
          <w:lang w:val="en-US"/>
        </w:rPr>
        <w:t>Corrections made by reporting entities were included in cumulative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425B4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B5FB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425B4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B5FB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4.2pt;visibility:visible;mso-wrap-style:square" o:bullet="t">
        <v:imagedata r:id="rId1" o:title=""/>
      </v:shape>
    </w:pict>
  </w:numPicBullet>
  <w:numPicBullet w:numPicBulletId="1">
    <w:pict>
      <v:shape id="_x0000_i1035" type="#_x0000_t75" style="width:124.2pt;height:124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27FE2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49A8"/>
    <w:rsid w:val="0004582E"/>
    <w:rsid w:val="000470AA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4736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34B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586C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48B8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9BB"/>
    <w:rsid w:val="000F0BA8"/>
    <w:rsid w:val="000F26B1"/>
    <w:rsid w:val="000F2FDE"/>
    <w:rsid w:val="000F303C"/>
    <w:rsid w:val="000F3D3B"/>
    <w:rsid w:val="000F4044"/>
    <w:rsid w:val="000F4AAC"/>
    <w:rsid w:val="000F511A"/>
    <w:rsid w:val="000F7653"/>
    <w:rsid w:val="001000CD"/>
    <w:rsid w:val="001011C3"/>
    <w:rsid w:val="001017E9"/>
    <w:rsid w:val="00103221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20A2"/>
    <w:rsid w:val="00173007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05A"/>
    <w:rsid w:val="001A0434"/>
    <w:rsid w:val="001A0D79"/>
    <w:rsid w:val="001A1119"/>
    <w:rsid w:val="001A17C2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1A7"/>
    <w:rsid w:val="001E0A96"/>
    <w:rsid w:val="001E1400"/>
    <w:rsid w:val="001E236B"/>
    <w:rsid w:val="001E3201"/>
    <w:rsid w:val="001E5351"/>
    <w:rsid w:val="001E6C4F"/>
    <w:rsid w:val="001E6D2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080"/>
    <w:rsid w:val="0020034B"/>
    <w:rsid w:val="002003B9"/>
    <w:rsid w:val="002019C6"/>
    <w:rsid w:val="002023E9"/>
    <w:rsid w:val="00203B23"/>
    <w:rsid w:val="00203BEC"/>
    <w:rsid w:val="002043FC"/>
    <w:rsid w:val="00204D60"/>
    <w:rsid w:val="0020721A"/>
    <w:rsid w:val="00207A39"/>
    <w:rsid w:val="00211A7E"/>
    <w:rsid w:val="00211C83"/>
    <w:rsid w:val="002130FF"/>
    <w:rsid w:val="0021363F"/>
    <w:rsid w:val="002141A1"/>
    <w:rsid w:val="0021491E"/>
    <w:rsid w:val="00214C41"/>
    <w:rsid w:val="00215013"/>
    <w:rsid w:val="00216030"/>
    <w:rsid w:val="00220250"/>
    <w:rsid w:val="00220502"/>
    <w:rsid w:val="00220A8C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0F0D"/>
    <w:rsid w:val="0029139F"/>
    <w:rsid w:val="00291537"/>
    <w:rsid w:val="002926DF"/>
    <w:rsid w:val="00292C7A"/>
    <w:rsid w:val="002931E3"/>
    <w:rsid w:val="00294829"/>
    <w:rsid w:val="002958BB"/>
    <w:rsid w:val="002959EC"/>
    <w:rsid w:val="002961BD"/>
    <w:rsid w:val="00296697"/>
    <w:rsid w:val="0029683A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AF6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C95"/>
    <w:rsid w:val="002D6D97"/>
    <w:rsid w:val="002D7180"/>
    <w:rsid w:val="002E208F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1623C"/>
    <w:rsid w:val="003203F6"/>
    <w:rsid w:val="00320FEE"/>
    <w:rsid w:val="003225E7"/>
    <w:rsid w:val="00322EDD"/>
    <w:rsid w:val="0032343F"/>
    <w:rsid w:val="0032379F"/>
    <w:rsid w:val="00324F87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36F3A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3FB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ADE"/>
    <w:rsid w:val="00403C6F"/>
    <w:rsid w:val="004046D6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B46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1479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A3B58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922"/>
    <w:rsid w:val="004B7E11"/>
    <w:rsid w:val="004C01EE"/>
    <w:rsid w:val="004C165B"/>
    <w:rsid w:val="004C1842"/>
    <w:rsid w:val="004C1895"/>
    <w:rsid w:val="004C1AB5"/>
    <w:rsid w:val="004C2B64"/>
    <w:rsid w:val="004C43FA"/>
    <w:rsid w:val="004C4F2B"/>
    <w:rsid w:val="004C5861"/>
    <w:rsid w:val="004C5CAB"/>
    <w:rsid w:val="004C61D9"/>
    <w:rsid w:val="004C63C2"/>
    <w:rsid w:val="004C641D"/>
    <w:rsid w:val="004C6D40"/>
    <w:rsid w:val="004C7631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33D"/>
    <w:rsid w:val="004F2C3B"/>
    <w:rsid w:val="004F341F"/>
    <w:rsid w:val="004F3D29"/>
    <w:rsid w:val="004F4664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3C85"/>
    <w:rsid w:val="00504AEE"/>
    <w:rsid w:val="005056BC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06A"/>
    <w:rsid w:val="00532FEB"/>
    <w:rsid w:val="00533632"/>
    <w:rsid w:val="005348D4"/>
    <w:rsid w:val="005355D3"/>
    <w:rsid w:val="005358B2"/>
    <w:rsid w:val="00536167"/>
    <w:rsid w:val="00537E68"/>
    <w:rsid w:val="00541B11"/>
    <w:rsid w:val="0054251F"/>
    <w:rsid w:val="00542783"/>
    <w:rsid w:val="00543644"/>
    <w:rsid w:val="00543CA9"/>
    <w:rsid w:val="00543EE8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7CB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343D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12B8"/>
    <w:rsid w:val="0058303B"/>
    <w:rsid w:val="00583B4A"/>
    <w:rsid w:val="00583BAB"/>
    <w:rsid w:val="00585EF2"/>
    <w:rsid w:val="00586006"/>
    <w:rsid w:val="0058668F"/>
    <w:rsid w:val="00587268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3BFB"/>
    <w:rsid w:val="005A400F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AE3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4752"/>
    <w:rsid w:val="005F5A80"/>
    <w:rsid w:val="005F7959"/>
    <w:rsid w:val="00600D70"/>
    <w:rsid w:val="00601025"/>
    <w:rsid w:val="00601F89"/>
    <w:rsid w:val="006033F0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855"/>
    <w:rsid w:val="00647B92"/>
    <w:rsid w:val="00647CCE"/>
    <w:rsid w:val="0065123F"/>
    <w:rsid w:val="006513B3"/>
    <w:rsid w:val="006527C6"/>
    <w:rsid w:val="00652A44"/>
    <w:rsid w:val="006534EB"/>
    <w:rsid w:val="006554F9"/>
    <w:rsid w:val="00655596"/>
    <w:rsid w:val="00656373"/>
    <w:rsid w:val="00656441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60C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0525"/>
    <w:rsid w:val="006D19EA"/>
    <w:rsid w:val="006D3EEA"/>
    <w:rsid w:val="006D4054"/>
    <w:rsid w:val="006D4F6E"/>
    <w:rsid w:val="006D4FA0"/>
    <w:rsid w:val="006D50ED"/>
    <w:rsid w:val="006D546B"/>
    <w:rsid w:val="006D5A5D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2C08"/>
    <w:rsid w:val="006F4002"/>
    <w:rsid w:val="006F4664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2976"/>
    <w:rsid w:val="00723956"/>
    <w:rsid w:val="00724031"/>
    <w:rsid w:val="00725494"/>
    <w:rsid w:val="00726892"/>
    <w:rsid w:val="00727DE0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1453"/>
    <w:rsid w:val="007A2DC1"/>
    <w:rsid w:val="007A2FC3"/>
    <w:rsid w:val="007A5BF7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5B59"/>
    <w:rsid w:val="007B5FBA"/>
    <w:rsid w:val="007B68C0"/>
    <w:rsid w:val="007B6AFD"/>
    <w:rsid w:val="007B777A"/>
    <w:rsid w:val="007C016A"/>
    <w:rsid w:val="007C15C9"/>
    <w:rsid w:val="007C38CF"/>
    <w:rsid w:val="007C5077"/>
    <w:rsid w:val="007C51B2"/>
    <w:rsid w:val="007C59C8"/>
    <w:rsid w:val="007C5BA5"/>
    <w:rsid w:val="007C6842"/>
    <w:rsid w:val="007C7266"/>
    <w:rsid w:val="007C74CE"/>
    <w:rsid w:val="007C7657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0044"/>
    <w:rsid w:val="007E1D0B"/>
    <w:rsid w:val="007E2657"/>
    <w:rsid w:val="007E2842"/>
    <w:rsid w:val="007E2AD9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A45"/>
    <w:rsid w:val="00803B71"/>
    <w:rsid w:val="00804C09"/>
    <w:rsid w:val="00805457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169"/>
    <w:rsid w:val="00820BD5"/>
    <w:rsid w:val="00822C1F"/>
    <w:rsid w:val="008230C0"/>
    <w:rsid w:val="00824156"/>
    <w:rsid w:val="0082503A"/>
    <w:rsid w:val="0082547B"/>
    <w:rsid w:val="0082556F"/>
    <w:rsid w:val="00825B31"/>
    <w:rsid w:val="00825DC2"/>
    <w:rsid w:val="00826EEC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03D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7A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87CEC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4B7B"/>
    <w:rsid w:val="008B5B26"/>
    <w:rsid w:val="008B5BD1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4105"/>
    <w:rsid w:val="008D514F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5824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302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0840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6E55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C7FFE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A84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06BE8"/>
    <w:rsid w:val="00A11489"/>
    <w:rsid w:val="00A11FCE"/>
    <w:rsid w:val="00A126D5"/>
    <w:rsid w:val="00A13753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4A85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825"/>
    <w:rsid w:val="00A47D80"/>
    <w:rsid w:val="00A503EE"/>
    <w:rsid w:val="00A506BA"/>
    <w:rsid w:val="00A5124E"/>
    <w:rsid w:val="00A5192D"/>
    <w:rsid w:val="00A51E80"/>
    <w:rsid w:val="00A528C0"/>
    <w:rsid w:val="00A52E7C"/>
    <w:rsid w:val="00A53132"/>
    <w:rsid w:val="00A54ABC"/>
    <w:rsid w:val="00A55519"/>
    <w:rsid w:val="00A563F2"/>
    <w:rsid w:val="00A566E8"/>
    <w:rsid w:val="00A56DC1"/>
    <w:rsid w:val="00A60792"/>
    <w:rsid w:val="00A60A1A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098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1F5B"/>
    <w:rsid w:val="00AA2D3A"/>
    <w:rsid w:val="00AA4208"/>
    <w:rsid w:val="00AA5111"/>
    <w:rsid w:val="00AA5DDE"/>
    <w:rsid w:val="00AA619C"/>
    <w:rsid w:val="00AA6D08"/>
    <w:rsid w:val="00AA710D"/>
    <w:rsid w:val="00AA7665"/>
    <w:rsid w:val="00AA7F86"/>
    <w:rsid w:val="00AB1115"/>
    <w:rsid w:val="00AB112D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2CB"/>
    <w:rsid w:val="00AE654E"/>
    <w:rsid w:val="00AE65BB"/>
    <w:rsid w:val="00AE6A66"/>
    <w:rsid w:val="00AF04BF"/>
    <w:rsid w:val="00AF0A8C"/>
    <w:rsid w:val="00AF0E7D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9EB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5714B"/>
    <w:rsid w:val="00B60212"/>
    <w:rsid w:val="00B60390"/>
    <w:rsid w:val="00B60F26"/>
    <w:rsid w:val="00B61195"/>
    <w:rsid w:val="00B624CF"/>
    <w:rsid w:val="00B62867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67AB9"/>
    <w:rsid w:val="00B701E8"/>
    <w:rsid w:val="00B70FBB"/>
    <w:rsid w:val="00B71522"/>
    <w:rsid w:val="00B71810"/>
    <w:rsid w:val="00B73BDC"/>
    <w:rsid w:val="00B73F57"/>
    <w:rsid w:val="00B758D9"/>
    <w:rsid w:val="00B76286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3EF4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2E31"/>
    <w:rsid w:val="00BC3A0B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8B6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2772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87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813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96B"/>
    <w:rsid w:val="00CB3B4E"/>
    <w:rsid w:val="00CB3D59"/>
    <w:rsid w:val="00CB4547"/>
    <w:rsid w:val="00CB4B5B"/>
    <w:rsid w:val="00CB4DD4"/>
    <w:rsid w:val="00CB6FB5"/>
    <w:rsid w:val="00CB7C26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30BC"/>
    <w:rsid w:val="00CF4099"/>
    <w:rsid w:val="00CF541C"/>
    <w:rsid w:val="00CF79E3"/>
    <w:rsid w:val="00CF7D75"/>
    <w:rsid w:val="00D006D0"/>
    <w:rsid w:val="00D00752"/>
    <w:rsid w:val="00D00796"/>
    <w:rsid w:val="00D01FB4"/>
    <w:rsid w:val="00D02B78"/>
    <w:rsid w:val="00D04337"/>
    <w:rsid w:val="00D04C40"/>
    <w:rsid w:val="00D10D2A"/>
    <w:rsid w:val="00D10DB1"/>
    <w:rsid w:val="00D10DDC"/>
    <w:rsid w:val="00D10F4B"/>
    <w:rsid w:val="00D1161C"/>
    <w:rsid w:val="00D11C75"/>
    <w:rsid w:val="00D1232B"/>
    <w:rsid w:val="00D12456"/>
    <w:rsid w:val="00D124F4"/>
    <w:rsid w:val="00D12726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37D7B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8D5"/>
    <w:rsid w:val="00D509E1"/>
    <w:rsid w:val="00D51373"/>
    <w:rsid w:val="00D5239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B772C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C7B17"/>
    <w:rsid w:val="00DC7EC5"/>
    <w:rsid w:val="00DD15E4"/>
    <w:rsid w:val="00DD4130"/>
    <w:rsid w:val="00DD4319"/>
    <w:rsid w:val="00DD4406"/>
    <w:rsid w:val="00DD44DF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37D7"/>
    <w:rsid w:val="00E042B9"/>
    <w:rsid w:val="00E045BD"/>
    <w:rsid w:val="00E04615"/>
    <w:rsid w:val="00E04B9B"/>
    <w:rsid w:val="00E12EFA"/>
    <w:rsid w:val="00E1326D"/>
    <w:rsid w:val="00E13BED"/>
    <w:rsid w:val="00E149E0"/>
    <w:rsid w:val="00E16D89"/>
    <w:rsid w:val="00E17B77"/>
    <w:rsid w:val="00E21961"/>
    <w:rsid w:val="00E21D84"/>
    <w:rsid w:val="00E22FA2"/>
    <w:rsid w:val="00E231BD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B14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2E82"/>
    <w:rsid w:val="00E5393D"/>
    <w:rsid w:val="00E53A8D"/>
    <w:rsid w:val="00E53DAC"/>
    <w:rsid w:val="00E54452"/>
    <w:rsid w:val="00E5446B"/>
    <w:rsid w:val="00E5496E"/>
    <w:rsid w:val="00E5604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77EEA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D59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179D6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5B49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60216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CB1"/>
    <w:rsid w:val="00F77E85"/>
    <w:rsid w:val="00F802BE"/>
    <w:rsid w:val="00F816DD"/>
    <w:rsid w:val="00F819F0"/>
    <w:rsid w:val="00F8204F"/>
    <w:rsid w:val="00F83B3F"/>
    <w:rsid w:val="00F83ECB"/>
    <w:rsid w:val="00F84171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A8D"/>
    <w:rsid w:val="00FC27C1"/>
    <w:rsid w:val="00FC2AED"/>
    <w:rsid w:val="00FC4151"/>
    <w:rsid w:val="00FC4E70"/>
    <w:rsid w:val="00FC4E72"/>
    <w:rsid w:val="00FC61A2"/>
    <w:rsid w:val="00FC6940"/>
    <w:rsid w:val="00FD0CE6"/>
    <w:rsid w:val="00FD103C"/>
    <w:rsid w:val="00FD131F"/>
    <w:rsid w:val="00FD2EAD"/>
    <w:rsid w:val="00FD2FED"/>
    <w:rsid w:val="00FD5B26"/>
    <w:rsid w:val="00FD5EA7"/>
    <w:rsid w:val="00FD640D"/>
    <w:rsid w:val="00FD7191"/>
    <w:rsid w:val="00FD72C7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18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Arkusz1!$B$89:$C$127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Arkusz1!$D$89:$D$127</c:f>
              <c:numCache>
                <c:formatCode>General</c:formatCode>
                <c:ptCount val="39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  <c:pt idx="37">
                  <c:v>96.9</c:v>
                </c:pt>
                <c:pt idx="38">
                  <c:v>115.2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328010240"/>
        <c:axId val="328006976"/>
      </c:barChart>
      <c:catAx>
        <c:axId val="3280102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32800697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328006976"/>
        <c:scaling>
          <c:orientation val="minMax"/>
          <c:max val="116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328010240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97902585185694E-2"/>
          <c:y val="6.1635308008859142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4.9455516069340996E-3"/>
                  <c:y val="-1.477373558118892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150.5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7273980133015E-2"/>
                      <c:h val="6.07057270015161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99.4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1455260570305271E-3"/>
                  <c:y val="-5.9117328166937069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102.9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956147074536041E-2"/>
                      <c:h val="3.3171113204528896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-8.872415792746403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97.4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800"/>
                      <a:t>193.0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9355987590211703E-7"/>
                  <c:y val="-8.0805531362755732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139.0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120014865396E-2"/>
                      <c:h val="6.1475978030962837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128.2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sz="800"/>
                      <a:t>102.3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rodz_dział_miesiąc!$CE$4:$CE$11</c:f>
              <c:numCache>
                <c:formatCode>0.0</c:formatCode>
                <c:ptCount val="8"/>
                <c:pt idx="0">
                  <c:v>150.5</c:v>
                </c:pt>
                <c:pt idx="1">
                  <c:v>99.4</c:v>
                </c:pt>
                <c:pt idx="2">
                  <c:v>102.9</c:v>
                </c:pt>
                <c:pt idx="3">
                  <c:v>97.4</c:v>
                </c:pt>
                <c:pt idx="4">
                  <c:v>193</c:v>
                </c:pt>
                <c:pt idx="5">
                  <c:v>139</c:v>
                </c:pt>
                <c:pt idx="6">
                  <c:v>128.19999999999999</c:v>
                </c:pt>
                <c:pt idx="7">
                  <c:v>102.3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28009152"/>
        <c:axId val="328008608"/>
      </c:barChart>
      <c:catAx>
        <c:axId val="328009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328008608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328008608"/>
        <c:scaling>
          <c:orientation val="minMax"/>
          <c:max val="200"/>
          <c:min val="8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328009152"/>
        <c:crosses val="autoZero"/>
        <c:crossBetween val="between"/>
        <c:majorUnit val="1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6.315979270296595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4.9584727903807446E-3"/>
                  <c:y val="-1.4164305949008499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132.1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110.4</c:v>
                </c:pt>
                <c:pt idx="85">
                  <c:v>115.4</c:v>
                </c:pt>
                <c:pt idx="86">
                  <c:v>132.1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-7.4377091855708441E-3"/>
                  <c:y val="1.88857412653446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129.2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125.3</c:v>
                </c:pt>
                <c:pt idx="85">
                  <c:v>131.9</c:v>
                </c:pt>
                <c:pt idx="86">
                  <c:v>129.19999999999999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8009696"/>
        <c:axId val="328003168"/>
      </c:lineChart>
      <c:catAx>
        <c:axId val="328009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28003168"/>
        <c:crosses val="autoZero"/>
        <c:auto val="1"/>
        <c:lblAlgn val="ctr"/>
        <c:lblOffset val="100"/>
        <c:tickMarkSkip val="12"/>
        <c:noMultiLvlLbl val="0"/>
      </c:catAx>
      <c:valAx>
        <c:axId val="32800316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2800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0.3707</cdr:x>
      <cdr:y>0.31422</cdr:y>
    </cdr:from>
    <cdr:to>
      <cdr:x>0.50934</cdr:x>
      <cdr:y>0.42438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915160" y="883920"/>
          <a:ext cx="716280" cy="3098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115.2</a:t>
          </a:r>
        </a:p>
      </cdr:txBody>
    </cdr:sp>
  </cdr:relSizeAnchor>
  <cdr:relSizeAnchor xmlns:cdr="http://schemas.openxmlformats.org/drawingml/2006/chartDrawing">
    <cdr:from>
      <cdr:x>0.38883</cdr:x>
      <cdr:y>0.41948</cdr:y>
    </cdr:from>
    <cdr:to>
      <cdr:x>0.43834</cdr:x>
      <cdr:y>0.53659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008851" y="1180017"/>
          <a:ext cx="255787" cy="32943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0.04665</cdr:x>
      <cdr:y>0.5527</cdr:y>
    </cdr:from>
    <cdr:to>
      <cdr:x>0.95377</cdr:x>
      <cdr:y>0.55392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41025" y="1554761"/>
          <a:ext cx="4686509" cy="343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2FB20C-4A2B-42B3-B2DA-0A2C6E3C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</cp:revision>
  <cp:lastPrinted>2021-04-22T06:51:00Z</cp:lastPrinted>
  <dcterms:created xsi:type="dcterms:W3CDTF">2021-04-21T13:05:00Z</dcterms:created>
  <dcterms:modified xsi:type="dcterms:W3CDTF">2021-04-22T09:17:00Z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