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1F547E">
        <w:rPr>
          <w:rFonts w:cs="Arial"/>
          <w:lang w:val="en-US"/>
        </w:rPr>
        <w:t>April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4290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1F54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21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1F54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4290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1F54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21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1F54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DC7EC5">
        <w:rPr>
          <w:rFonts w:cs="Arial"/>
          <w:lang w:val="en-US"/>
        </w:rPr>
        <w:t xml:space="preserve"> </w:t>
      </w:r>
      <w:r w:rsidR="001F547E">
        <w:rPr>
          <w:rFonts w:cs="Arial"/>
          <w:lang w:val="en-US"/>
        </w:rPr>
        <w:t>April</w:t>
      </w:r>
      <w:r w:rsidR="00264323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F02D59">
        <w:rPr>
          <w:rFonts w:cs="Arial"/>
          <w:lang w:val="en-US"/>
        </w:rPr>
        <w:t> </w:t>
      </w:r>
      <w:r w:rsidR="001F547E">
        <w:rPr>
          <w:rFonts w:cs="Arial"/>
          <w:lang w:val="en-US"/>
        </w:rPr>
        <w:t>21</w:t>
      </w:r>
      <w:r w:rsidR="001A40AB">
        <w:rPr>
          <w:rFonts w:cs="Arial"/>
          <w:lang w:val="en-US"/>
        </w:rPr>
        <w:t>.</w:t>
      </w:r>
      <w:r w:rsidR="001F547E">
        <w:rPr>
          <w:rFonts w:cs="Arial"/>
          <w:lang w:val="en-US"/>
        </w:rPr>
        <w:t>1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DC7EC5">
        <w:rPr>
          <w:rFonts w:cs="Arial"/>
          <w:lang w:val="en-US"/>
        </w:rPr>
        <w:t>higher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</w:t>
      </w:r>
      <w:r w:rsidR="00DC7EC5">
        <w:rPr>
          <w:rFonts w:cs="Arial"/>
          <w:lang w:val="en-US"/>
        </w:rPr>
        <w:t xml:space="preserve">decrease </w:t>
      </w:r>
      <w:r w:rsidR="00517462">
        <w:rPr>
          <w:rFonts w:cs="Arial"/>
          <w:lang w:val="en-US"/>
        </w:rPr>
        <w:t>of</w:t>
      </w:r>
      <w:r w:rsidR="00F02D59">
        <w:rPr>
          <w:rFonts w:cs="Arial"/>
          <w:lang w:val="en-US"/>
        </w:rPr>
        <w:t> </w:t>
      </w:r>
      <w:r w:rsidR="00721CCE">
        <w:rPr>
          <w:rFonts w:cs="Arial"/>
          <w:lang w:val="en-US"/>
        </w:rPr>
        <w:t>22</w:t>
      </w:r>
      <w:r w:rsidR="005C50E9">
        <w:rPr>
          <w:rFonts w:cs="Arial"/>
          <w:lang w:val="en-US"/>
        </w:rPr>
        <w:t>.</w:t>
      </w:r>
      <w:r w:rsidR="00DC7EC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% in</w:t>
      </w:r>
      <w:r w:rsidR="00DC7EC5">
        <w:rPr>
          <w:rFonts w:cs="Arial"/>
          <w:lang w:val="en-US"/>
        </w:rPr>
        <w:t xml:space="preserve"> </w:t>
      </w:r>
      <w:r w:rsidR="00721CCE">
        <w:rPr>
          <w:rFonts w:cs="Arial"/>
          <w:lang w:val="en-US"/>
        </w:rPr>
        <w:t>April</w:t>
      </w:r>
      <w:r w:rsidR="00163F89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721CCE">
        <w:rPr>
          <w:lang w:val="en-US"/>
        </w:rPr>
        <w:t>March</w:t>
      </w:r>
      <w:r w:rsidR="002959EC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721CCE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721CCE">
        <w:rPr>
          <w:lang w:val="en-US"/>
        </w:rPr>
        <w:t>7</w:t>
      </w:r>
      <w:r w:rsidR="002B5519">
        <w:rPr>
          <w:lang w:val="en-US"/>
        </w:rPr>
        <w:t>.</w:t>
      </w:r>
      <w:r w:rsidR="00721CCE">
        <w:rPr>
          <w:lang w:val="en-US"/>
        </w:rPr>
        <w:t>7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</w:t>
      </w:r>
      <w:r w:rsidR="000734BD">
        <w:rPr>
          <w:lang w:val="en-US"/>
        </w:rPr>
        <w:t>n the period of January-</w:t>
      </w:r>
      <w:r w:rsidR="00721CCE">
        <w:rPr>
          <w:lang w:val="en-US"/>
        </w:rPr>
        <w:t>April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721CCE">
        <w:rPr>
          <w:lang w:val="en-US"/>
        </w:rPr>
        <w:t>sales y/y were by 6</w:t>
      </w:r>
      <w:r w:rsidR="00A13753" w:rsidRPr="009F2D80">
        <w:rPr>
          <w:lang w:val="en-US"/>
        </w:rPr>
        <w:t>.</w:t>
      </w:r>
      <w:r w:rsidR="00721CCE">
        <w:rPr>
          <w:lang w:val="en-US"/>
        </w:rPr>
        <w:t>4</w:t>
      </w:r>
      <w:r w:rsidR="00A13753" w:rsidRPr="009F2D80">
        <w:rPr>
          <w:lang w:val="en-US"/>
        </w:rPr>
        <w:t xml:space="preserve">% </w:t>
      </w:r>
      <w:r w:rsidR="000734BD">
        <w:rPr>
          <w:lang w:val="en-US"/>
        </w:rPr>
        <w:t>higher</w:t>
      </w:r>
      <w:r w:rsidR="00A13753" w:rsidRPr="009F2D80">
        <w:rPr>
          <w:lang w:val="en-US"/>
        </w:rPr>
        <w:t xml:space="preserve"> (against a </w:t>
      </w:r>
      <w:r w:rsidR="00721CCE">
        <w:rPr>
          <w:lang w:val="en-US"/>
        </w:rPr>
        <w:t xml:space="preserve">decrease </w:t>
      </w:r>
      <w:r w:rsidR="00A13753" w:rsidRPr="009F2D80">
        <w:rPr>
          <w:lang w:val="en-US"/>
        </w:rPr>
        <w:t xml:space="preserve">of </w:t>
      </w:r>
      <w:r w:rsidR="00721CCE">
        <w:rPr>
          <w:lang w:val="en-US"/>
        </w:rPr>
        <w:t>5</w:t>
      </w:r>
      <w:r w:rsidR="007C38CF">
        <w:rPr>
          <w:lang w:val="en-US"/>
        </w:rPr>
        <w:t>.8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167005</wp:posOffset>
                </wp:positionV>
                <wp:extent cx="1821180" cy="1470660"/>
                <wp:effectExtent l="0" t="0" r="0" b="0"/>
                <wp:wrapTight wrapText="bothSides">
                  <wp:wrapPolygon edited="0">
                    <wp:start x="678" y="0"/>
                    <wp:lineTo x="678" y="21264"/>
                    <wp:lineTo x="20787" y="21264"/>
                    <wp:lineTo x="20787" y="0"/>
                    <wp:lineTo x="678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750F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587436">
                              <w:rPr>
                                <w:rFonts w:cs="Arial"/>
                                <w:lang w:val="en-US"/>
                              </w:rPr>
                              <w:t>April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, annual growth in retail sales was recorded in </w:t>
                            </w:r>
                            <w:r w:rsidR="00FC165F">
                              <w:rPr>
                                <w:rFonts w:cs="Arial"/>
                                <w:lang w:val="en-US"/>
                              </w:rPr>
                              <w:t>all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 groups, the largest in th</w:t>
                            </w:r>
                            <w:r w:rsidR="00FC165F">
                              <w:rPr>
                                <w:rFonts w:cs="Arial"/>
                                <w:lang w:val="en-US"/>
                              </w:rPr>
                              <w:t>e group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FC165F">
                              <w:rPr>
                                <w:rFonts w:cs="Arial"/>
                                <w:lang w:val="en-US"/>
                              </w:rPr>
                              <w:t>“motor vehicles, motorcycles, parts” (by 118.0</w:t>
                            </w:r>
                            <w:r w:rsidR="009F76FD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="00FC165F">
                              <w:rPr>
                                <w:rFonts w:cs="Arial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pt;margin-top:13.15pt;width:143.4pt;height:115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" filled="f" stroked="f">
                <v:textbox>
                  <w:txbxContent>
                    <w:p w:rsidR="004C01EE" w:rsidRPr="000F4044" w:rsidRDefault="00E750F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587436">
                        <w:rPr>
                          <w:rFonts w:cs="Arial"/>
                          <w:lang w:val="en-US"/>
                        </w:rPr>
                        <w:t>April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, annual growth in retail sales was recorded in </w:t>
                      </w:r>
                      <w:r w:rsidR="00FC165F">
                        <w:rPr>
                          <w:rFonts w:cs="Arial"/>
                          <w:lang w:val="en-US"/>
                        </w:rPr>
                        <w:t>all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 groups, the largest in th</w:t>
                      </w:r>
                      <w:r w:rsidR="00FC165F">
                        <w:rPr>
                          <w:rFonts w:cs="Arial"/>
                          <w:lang w:val="en-US"/>
                        </w:rPr>
                        <w:t>e group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FC165F">
                        <w:rPr>
                          <w:rFonts w:cs="Arial"/>
                          <w:lang w:val="en-US"/>
                        </w:rPr>
                        <w:t>“motor vehicles, motorcycles, parts” (by 118.0</w:t>
                      </w:r>
                      <w:r w:rsidR="009F76FD">
                        <w:rPr>
                          <w:rFonts w:cs="Arial"/>
                          <w:lang w:val="en-US"/>
                        </w:rPr>
                        <w:t>%</w:t>
                      </w:r>
                      <w:r w:rsidR="00FC165F">
                        <w:rPr>
                          <w:rFonts w:cs="Arial"/>
                          <w:lang w:val="en-US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CF541C" w:rsidRDefault="001A468C" w:rsidP="003802B7">
      <w:pPr>
        <w:rPr>
          <w:rFonts w:cs="Arial"/>
          <w:spacing w:val="-4"/>
          <w:szCs w:val="19"/>
          <w:lang w:val="en-US"/>
        </w:rPr>
      </w:pPr>
      <w:r>
        <w:rPr>
          <w:lang w:val="en-US" w:eastAsia="pl-PL"/>
        </w:rPr>
        <w:t xml:space="preserve">In </w:t>
      </w:r>
      <w:r w:rsidR="00587436">
        <w:rPr>
          <w:lang w:val="en-US" w:eastAsia="pl-PL"/>
        </w:rPr>
        <w:t>April</w:t>
      </w:r>
      <w:r w:rsidR="00047EAE">
        <w:rPr>
          <w:lang w:val="en-US" w:eastAsia="pl-PL"/>
        </w:rPr>
        <w:t xml:space="preserve"> 2021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 w:rsidRPr="00121BE9">
        <w:rPr>
          <w:lang w:val="en-US" w:eastAsia="pl-PL"/>
        </w:rPr>
        <w:t>largest</w:t>
      </w:r>
      <w:r w:rsidR="00AD3CEA">
        <w:rPr>
          <w:lang w:val="en-US" w:eastAsia="pl-PL"/>
        </w:rPr>
        <w:t xml:space="preserve"> </w:t>
      </w:r>
      <w:r w:rsidR="00D52391">
        <w:rPr>
          <w:lang w:val="en-US" w:eastAsia="pl-PL"/>
        </w:rPr>
        <w:t>in</w:t>
      </w:r>
      <w:r w:rsidR="002E54B9">
        <w:rPr>
          <w:lang w:val="en-US" w:eastAsia="pl-PL"/>
        </w:rPr>
        <w:t xml:space="preserve">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 w:rsidR="00047EAE">
        <w:rPr>
          <w:rFonts w:cs="Arial"/>
          <w:lang w:val="en-US"/>
        </w:rPr>
        <w:t xml:space="preserve"> 2020</w:t>
      </w:r>
      <w:r w:rsidR="00AF0E7D">
        <w:rPr>
          <w:rFonts w:cs="Arial"/>
          <w:lang w:val="en-US"/>
        </w:rPr>
        <w:t xml:space="preserve"> </w:t>
      </w:r>
      <w:r w:rsidR="002E54B9">
        <w:rPr>
          <w:lang w:val="en-US" w:eastAsia="pl-PL"/>
        </w:rPr>
        <w:t xml:space="preserve">was </w:t>
      </w:r>
      <w:r w:rsidR="00AD3CEA">
        <w:rPr>
          <w:lang w:val="en-US" w:eastAsia="pl-PL"/>
        </w:rPr>
        <w:t>noted by</w:t>
      </w:r>
      <w:r>
        <w:rPr>
          <w:lang w:val="en-US" w:eastAsia="pl-PL"/>
        </w:rPr>
        <w:t xml:space="preserve"> </w:t>
      </w:r>
      <w:r w:rsidR="000449A8">
        <w:rPr>
          <w:lang w:val="en-US" w:eastAsia="pl-PL"/>
        </w:rPr>
        <w:t xml:space="preserve">units </w:t>
      </w:r>
      <w:r w:rsidR="00D52391">
        <w:rPr>
          <w:lang w:val="en-US" w:eastAsia="pl-PL"/>
        </w:rPr>
        <w:t xml:space="preserve">trading in </w:t>
      </w:r>
      <w:r w:rsidR="00D662F4">
        <w:rPr>
          <w:rFonts w:cs="Arial"/>
          <w:szCs w:val="19"/>
          <w:lang w:val="en-US"/>
        </w:rPr>
        <w:t xml:space="preserve">motor vehicles, motorcycles, parts </w:t>
      </w:r>
      <w:r w:rsidR="00EA7C26">
        <w:rPr>
          <w:rFonts w:cs="Arial"/>
          <w:szCs w:val="19"/>
          <w:lang w:val="en-US"/>
        </w:rPr>
        <w:t xml:space="preserve">(by </w:t>
      </w:r>
      <w:r w:rsidR="005F70D6">
        <w:rPr>
          <w:rFonts w:cs="Arial"/>
          <w:szCs w:val="19"/>
          <w:lang w:val="en-US"/>
        </w:rPr>
        <w:t>118</w:t>
      </w:r>
      <w:r w:rsidR="00D52391">
        <w:rPr>
          <w:rFonts w:cs="Arial"/>
          <w:szCs w:val="19"/>
          <w:lang w:val="en-US"/>
        </w:rPr>
        <w:t>.0</w:t>
      </w:r>
      <w:r w:rsidR="00EA7C26">
        <w:rPr>
          <w:rFonts w:cs="Arial"/>
          <w:szCs w:val="19"/>
          <w:lang w:val="en-US"/>
        </w:rPr>
        <w:t>% against a</w:t>
      </w:r>
      <w:r w:rsidR="005F4752">
        <w:rPr>
          <w:rFonts w:cs="Arial"/>
          <w:szCs w:val="19"/>
          <w:lang w:val="en-US"/>
        </w:rPr>
        <w:t> </w:t>
      </w:r>
      <w:r w:rsidR="00D52391">
        <w:rPr>
          <w:rFonts w:cs="Arial"/>
          <w:szCs w:val="19"/>
          <w:lang w:val="en-US"/>
        </w:rPr>
        <w:t>decrease</w:t>
      </w:r>
      <w:r w:rsidR="00EA7C26">
        <w:rPr>
          <w:rFonts w:cs="Arial"/>
          <w:szCs w:val="19"/>
          <w:lang w:val="en-US"/>
        </w:rPr>
        <w:t xml:space="preserve"> of </w:t>
      </w:r>
      <w:r w:rsidR="005F70D6">
        <w:rPr>
          <w:rFonts w:cs="Arial"/>
          <w:szCs w:val="19"/>
          <w:lang w:val="en-US"/>
        </w:rPr>
        <w:t>54.4</w:t>
      </w:r>
      <w:r w:rsidR="00EA7C26">
        <w:rPr>
          <w:rFonts w:cs="Arial"/>
          <w:szCs w:val="19"/>
          <w:lang w:val="en-US"/>
        </w:rPr>
        <w:t xml:space="preserve">% the year before). </w:t>
      </w:r>
      <w:r w:rsidR="0036191F">
        <w:rPr>
          <w:rFonts w:cs="Arial"/>
          <w:szCs w:val="19"/>
          <w:lang w:val="en-US"/>
        </w:rPr>
        <w:t xml:space="preserve">Among the presented groups higher sales than “total” sales were also observed </w:t>
      </w:r>
      <w:r w:rsidR="00D12726">
        <w:rPr>
          <w:rFonts w:cs="Arial"/>
          <w:szCs w:val="19"/>
          <w:lang w:val="en-US"/>
        </w:rPr>
        <w:t>in groups</w:t>
      </w:r>
      <w:r w:rsidR="007B777A">
        <w:rPr>
          <w:rFonts w:cs="Arial"/>
          <w:szCs w:val="19"/>
          <w:lang w:val="en-US"/>
        </w:rPr>
        <w:t>:</w:t>
      </w:r>
      <w:r w:rsidR="00F77E85">
        <w:rPr>
          <w:rFonts w:cs="Arial"/>
          <w:szCs w:val="19"/>
          <w:lang w:val="en-US"/>
        </w:rPr>
        <w:t xml:space="preserve"> </w:t>
      </w:r>
      <w:r w:rsidR="005F70D6">
        <w:rPr>
          <w:rFonts w:cs="Arial"/>
          <w:szCs w:val="19"/>
          <w:lang w:val="en-US"/>
        </w:rPr>
        <w:t xml:space="preserve">“textiles, clothing, </w:t>
      </w:r>
      <w:r w:rsidR="005F70D6" w:rsidRPr="0048343C">
        <w:rPr>
          <w:rFonts w:cs="Arial"/>
          <w:szCs w:val="19"/>
          <w:lang w:val="en-US"/>
        </w:rPr>
        <w:t>footwear</w:t>
      </w:r>
      <w:r w:rsidR="005F70D6">
        <w:rPr>
          <w:rFonts w:cs="Arial"/>
          <w:szCs w:val="19"/>
          <w:lang w:val="en-US"/>
        </w:rPr>
        <w:t>”</w:t>
      </w:r>
      <w:r w:rsidR="005F70D6">
        <w:rPr>
          <w:lang w:val="en-US" w:eastAsia="pl-PL"/>
        </w:rPr>
        <w:t xml:space="preserve"> </w:t>
      </w:r>
      <w:r w:rsidR="007B777A">
        <w:rPr>
          <w:rFonts w:cs="Arial"/>
          <w:szCs w:val="19"/>
          <w:lang w:val="en-US"/>
        </w:rPr>
        <w:t>(</w:t>
      </w:r>
      <w:r w:rsidR="009E5A84">
        <w:rPr>
          <w:rFonts w:cs="Arial"/>
          <w:szCs w:val="19"/>
          <w:lang w:val="en-US"/>
        </w:rPr>
        <w:t xml:space="preserve">by </w:t>
      </w:r>
      <w:r w:rsidR="000A0839">
        <w:rPr>
          <w:rFonts w:cs="Arial"/>
          <w:szCs w:val="19"/>
          <w:lang w:val="en-US"/>
        </w:rPr>
        <w:t>75.9</w:t>
      </w:r>
      <w:r w:rsidR="009E5A84">
        <w:rPr>
          <w:rFonts w:cs="Arial"/>
          <w:szCs w:val="19"/>
          <w:lang w:val="en-US"/>
        </w:rPr>
        <w:t>%)</w:t>
      </w:r>
      <w:r w:rsidR="006C060C">
        <w:rPr>
          <w:rFonts w:cs="Arial"/>
          <w:szCs w:val="19"/>
          <w:lang w:val="en-US"/>
        </w:rPr>
        <w:t xml:space="preserve">; </w:t>
      </w:r>
      <w:r w:rsidR="00C62FD4">
        <w:rPr>
          <w:rFonts w:cs="Arial"/>
          <w:lang w:val="en-US"/>
        </w:rPr>
        <w:t>“solid, liquid and gaseous fuels”</w:t>
      </w:r>
      <w:r w:rsidR="00C62FD4">
        <w:rPr>
          <w:rFonts w:cs="Arial"/>
          <w:szCs w:val="19"/>
          <w:lang w:val="en-US"/>
        </w:rPr>
        <w:t xml:space="preserve"> </w:t>
      </w:r>
      <w:r w:rsidR="006C060C">
        <w:rPr>
          <w:spacing w:val="-4"/>
          <w:szCs w:val="19"/>
          <w:lang w:val="en-US" w:eastAsia="pl-PL"/>
        </w:rPr>
        <w:t xml:space="preserve">(by </w:t>
      </w:r>
      <w:r w:rsidR="00C62FD4">
        <w:rPr>
          <w:spacing w:val="-4"/>
          <w:szCs w:val="19"/>
          <w:lang w:val="en-US" w:eastAsia="pl-PL"/>
        </w:rPr>
        <w:t>23.5</w:t>
      </w:r>
      <w:r w:rsidR="006C060C">
        <w:rPr>
          <w:spacing w:val="-4"/>
          <w:szCs w:val="19"/>
          <w:lang w:val="en-US" w:eastAsia="pl-PL"/>
        </w:rPr>
        <w:t>%)</w:t>
      </w:r>
      <w:r w:rsidR="00BC2E31">
        <w:rPr>
          <w:spacing w:val="-4"/>
          <w:szCs w:val="19"/>
          <w:lang w:val="en-US" w:eastAsia="pl-PL"/>
        </w:rPr>
        <w:t xml:space="preserve">; </w:t>
      </w:r>
      <w:r w:rsidR="00BC2E31" w:rsidRPr="00CF541C">
        <w:rPr>
          <w:szCs w:val="19"/>
          <w:lang w:val="en-US" w:eastAsia="pl-PL"/>
        </w:rPr>
        <w:t>“</w:t>
      </w:r>
      <w:r w:rsidR="00803846">
        <w:rPr>
          <w:szCs w:val="19"/>
          <w:lang w:val="en-US" w:eastAsia="pl-PL"/>
        </w:rPr>
        <w:t>others</w:t>
      </w:r>
      <w:r w:rsidR="00BC2E31" w:rsidRPr="00CF541C">
        <w:rPr>
          <w:szCs w:val="19"/>
          <w:lang w:val="en-US" w:eastAsia="pl-PL"/>
        </w:rPr>
        <w:t xml:space="preserve">” </w:t>
      </w:r>
      <w:r w:rsidR="00803846">
        <w:rPr>
          <w:szCs w:val="19"/>
          <w:lang w:val="en-US" w:eastAsia="pl-PL"/>
        </w:rPr>
        <w:t>(by 23.0</w:t>
      </w:r>
      <w:r w:rsidR="00BC2E31">
        <w:rPr>
          <w:szCs w:val="19"/>
          <w:lang w:val="en-US" w:eastAsia="pl-PL"/>
        </w:rPr>
        <w:t>%)</w:t>
      </w:r>
      <w:r w:rsidR="0057343D">
        <w:rPr>
          <w:szCs w:val="19"/>
          <w:lang w:val="en-US" w:eastAsia="pl-PL"/>
        </w:rPr>
        <w:t>.</w:t>
      </w:r>
      <w:r w:rsidR="00D12726">
        <w:rPr>
          <w:rFonts w:cs="Arial"/>
          <w:lang w:val="en-US"/>
        </w:rPr>
        <w:t xml:space="preserve"> </w:t>
      </w:r>
      <w:r w:rsidR="00B93EF4">
        <w:rPr>
          <w:rFonts w:cs="Arial"/>
          <w:lang w:val="en-US"/>
        </w:rPr>
        <w:br/>
      </w:r>
      <w:r w:rsidR="003802B7" w:rsidRPr="00CF541C">
        <w:rPr>
          <w:szCs w:val="19"/>
          <w:lang w:val="en-US" w:eastAsia="pl-PL"/>
        </w:rPr>
        <w:t>I</w:t>
      </w:r>
      <w:r w:rsidR="00D9217F" w:rsidRPr="00CF541C">
        <w:rPr>
          <w:szCs w:val="19"/>
          <w:lang w:val="en-US" w:eastAsia="pl-PL"/>
        </w:rPr>
        <w:t>n</w:t>
      </w:r>
      <w:r w:rsidR="0071101A" w:rsidRPr="00CF541C">
        <w:rPr>
          <w:szCs w:val="19"/>
          <w:lang w:val="en-US" w:eastAsia="pl-PL"/>
        </w:rPr>
        <w:t xml:space="preserve"> </w:t>
      </w:r>
      <w:r w:rsidR="00587436">
        <w:rPr>
          <w:szCs w:val="19"/>
          <w:lang w:val="en-US" w:eastAsia="pl-PL"/>
        </w:rPr>
        <w:t>April</w:t>
      </w:r>
      <w:r w:rsidR="00A73098">
        <w:rPr>
          <w:szCs w:val="19"/>
          <w:lang w:val="en-US" w:eastAsia="pl-PL"/>
        </w:rPr>
        <w:t xml:space="preserve"> </w:t>
      </w:r>
      <w:r w:rsidR="008B4B7B" w:rsidRPr="00CF541C">
        <w:rPr>
          <w:szCs w:val="19"/>
          <w:lang w:val="en-US" w:eastAsia="pl-PL"/>
        </w:rPr>
        <w:t>2021</w:t>
      </w:r>
      <w:r w:rsidR="00D9217F" w:rsidRPr="00CF541C">
        <w:rPr>
          <w:szCs w:val="19"/>
          <w:lang w:val="en-US" w:eastAsia="pl-PL"/>
        </w:rPr>
        <w:t xml:space="preserve"> c</w:t>
      </w:r>
      <w:r w:rsidR="00832DB5" w:rsidRPr="00CF541C">
        <w:rPr>
          <w:szCs w:val="19"/>
          <w:lang w:val="en-US" w:eastAsia="pl-PL"/>
        </w:rPr>
        <w:t xml:space="preserve">ompared with </w:t>
      </w:r>
      <w:r w:rsidR="00587436">
        <w:rPr>
          <w:szCs w:val="19"/>
          <w:lang w:val="en-US" w:eastAsia="pl-PL"/>
        </w:rPr>
        <w:t>March</w:t>
      </w:r>
      <w:r w:rsidR="004C61D9">
        <w:rPr>
          <w:szCs w:val="19"/>
          <w:lang w:val="en-US" w:eastAsia="pl-PL"/>
        </w:rPr>
        <w:t xml:space="preserve"> 2021</w:t>
      </w:r>
      <w:r w:rsidR="00EA65C5" w:rsidRPr="00CF541C">
        <w:rPr>
          <w:szCs w:val="19"/>
          <w:lang w:val="en-US" w:eastAsia="pl-PL"/>
        </w:rPr>
        <w:t>,</w:t>
      </w:r>
      <w:r w:rsidR="00D9217F" w:rsidRPr="00CF541C">
        <w:rPr>
          <w:szCs w:val="19"/>
          <w:lang w:val="en-US" w:eastAsia="pl-PL"/>
        </w:rPr>
        <w:t xml:space="preserve"> a</w:t>
      </w:r>
      <w:r w:rsidR="00A73098">
        <w:rPr>
          <w:szCs w:val="19"/>
          <w:lang w:val="en-US" w:eastAsia="pl-PL"/>
        </w:rPr>
        <w:t>n</w:t>
      </w:r>
      <w:r w:rsidR="00D9217F" w:rsidRPr="00CF541C">
        <w:rPr>
          <w:szCs w:val="19"/>
          <w:lang w:val="en-US" w:eastAsia="pl-PL"/>
        </w:rPr>
        <w:t xml:space="preserve"> </w:t>
      </w:r>
      <w:r w:rsidR="00A73098">
        <w:rPr>
          <w:szCs w:val="19"/>
          <w:lang w:val="en-US" w:eastAsia="pl-PL"/>
        </w:rPr>
        <w:t>in</w:t>
      </w:r>
      <w:r w:rsidR="000D004E" w:rsidRPr="00CF541C">
        <w:rPr>
          <w:szCs w:val="19"/>
          <w:lang w:val="en-US" w:eastAsia="pl-PL"/>
        </w:rPr>
        <w:t>crease</w:t>
      </w:r>
      <w:r w:rsidR="00EA65C5" w:rsidRPr="00CF541C">
        <w:rPr>
          <w:szCs w:val="19"/>
          <w:lang w:val="en-US" w:eastAsia="pl-PL"/>
        </w:rPr>
        <w:t xml:space="preserve"> in retail sales</w:t>
      </w:r>
      <w:r w:rsidR="003802B7" w:rsidRPr="00CF541C">
        <w:rPr>
          <w:szCs w:val="19"/>
          <w:lang w:val="en-US" w:eastAsia="pl-PL"/>
        </w:rPr>
        <w:t xml:space="preserve"> value</w:t>
      </w:r>
      <w:r w:rsidR="00EA65C5" w:rsidRPr="00CF541C">
        <w:rPr>
          <w:szCs w:val="19"/>
          <w:lang w:val="en-US" w:eastAsia="pl-PL"/>
        </w:rPr>
        <w:t xml:space="preserve"> via Internet </w:t>
      </w:r>
      <w:r w:rsidR="004E2CD5" w:rsidRPr="00CF541C">
        <w:rPr>
          <w:szCs w:val="19"/>
          <w:lang w:val="en-US" w:eastAsia="pl-PL"/>
        </w:rPr>
        <w:t xml:space="preserve">at current prices </w:t>
      </w:r>
      <w:r w:rsidR="00EA65C5" w:rsidRPr="00CF541C">
        <w:rPr>
          <w:szCs w:val="19"/>
          <w:lang w:val="en-US" w:eastAsia="pl-PL"/>
        </w:rPr>
        <w:t>was recorded</w:t>
      </w:r>
      <w:r w:rsidR="00D9217F" w:rsidRPr="00CF541C">
        <w:rPr>
          <w:szCs w:val="19"/>
          <w:lang w:val="en-US" w:eastAsia="pl-PL"/>
        </w:rPr>
        <w:t xml:space="preserve"> (by </w:t>
      </w:r>
      <w:r w:rsidR="00D86089">
        <w:rPr>
          <w:szCs w:val="19"/>
          <w:lang w:val="en-US" w:eastAsia="pl-PL"/>
        </w:rPr>
        <w:t>6.2</w:t>
      </w:r>
      <w:r w:rsidR="00D9217F" w:rsidRPr="00CF541C">
        <w:rPr>
          <w:szCs w:val="19"/>
          <w:lang w:val="en-US" w:eastAsia="pl-PL"/>
        </w:rPr>
        <w:t>%)</w:t>
      </w:r>
      <w:r w:rsidR="00F84171">
        <w:rPr>
          <w:szCs w:val="19"/>
          <w:lang w:val="en-US" w:eastAsia="pl-PL"/>
        </w:rPr>
        <w:t>.T</w:t>
      </w:r>
      <w:r w:rsidR="004E2CD5" w:rsidRPr="00CF541C">
        <w:rPr>
          <w:szCs w:val="19"/>
          <w:lang w:val="en-US" w:eastAsia="pl-PL"/>
        </w:rPr>
        <w:t xml:space="preserve">he share of such sales </w:t>
      </w:r>
      <w:r w:rsidR="007B6AFD">
        <w:rPr>
          <w:szCs w:val="19"/>
          <w:lang w:val="en-US" w:eastAsia="pl-PL"/>
        </w:rPr>
        <w:t>in</w:t>
      </w:r>
      <w:r w:rsidR="0008180C" w:rsidRPr="00CF541C">
        <w:rPr>
          <w:szCs w:val="19"/>
          <w:lang w:val="en-US" w:eastAsia="pl-PL"/>
        </w:rPr>
        <w:t xml:space="preserve">creased from </w:t>
      </w:r>
      <w:r w:rsidR="004C3B88">
        <w:rPr>
          <w:szCs w:val="19"/>
          <w:lang w:val="en-US" w:eastAsia="pl-PL"/>
        </w:rPr>
        <w:t>9</w:t>
      </w:r>
      <w:r w:rsidR="008230C0" w:rsidRPr="00CF541C">
        <w:rPr>
          <w:szCs w:val="19"/>
          <w:lang w:val="en-US" w:eastAsia="pl-PL"/>
        </w:rPr>
        <w:t>.</w:t>
      </w:r>
      <w:r w:rsidR="004C3B88">
        <w:rPr>
          <w:szCs w:val="19"/>
          <w:lang w:val="en-US" w:eastAsia="pl-PL"/>
        </w:rPr>
        <w:t>5</w:t>
      </w:r>
      <w:r w:rsidR="00EA65C5" w:rsidRPr="00CF541C">
        <w:rPr>
          <w:szCs w:val="19"/>
          <w:lang w:val="en-US" w:eastAsia="pl-PL"/>
        </w:rPr>
        <w:t>%</w:t>
      </w:r>
      <w:r w:rsidR="00CA4A16" w:rsidRPr="00CF541C">
        <w:rPr>
          <w:szCs w:val="19"/>
          <w:lang w:val="en-US" w:eastAsia="pl-PL"/>
        </w:rPr>
        <w:t xml:space="preserve"> in </w:t>
      </w:r>
      <w:r w:rsidR="002A071B">
        <w:rPr>
          <w:szCs w:val="19"/>
          <w:lang w:val="en-US" w:eastAsia="pl-PL"/>
        </w:rPr>
        <w:t>March</w:t>
      </w:r>
      <w:r w:rsidR="00F84171">
        <w:rPr>
          <w:szCs w:val="19"/>
          <w:lang w:val="en-US" w:eastAsia="pl-PL"/>
        </w:rPr>
        <w:t xml:space="preserve"> </w:t>
      </w:r>
      <w:r w:rsidR="00AF0A8C" w:rsidRPr="00CF541C">
        <w:rPr>
          <w:szCs w:val="19"/>
          <w:lang w:val="en-US" w:eastAsia="pl-PL"/>
        </w:rPr>
        <w:t xml:space="preserve">to </w:t>
      </w:r>
      <w:r w:rsidR="00220B53">
        <w:rPr>
          <w:szCs w:val="19"/>
          <w:lang w:val="en-US" w:eastAsia="pl-PL"/>
        </w:rPr>
        <w:t>10.8</w:t>
      </w:r>
      <w:r w:rsidR="00CA4A16" w:rsidRPr="00CF541C">
        <w:rPr>
          <w:szCs w:val="19"/>
          <w:lang w:val="en-US" w:eastAsia="pl-PL"/>
        </w:rPr>
        <w:t>% in</w:t>
      </w:r>
      <w:r w:rsidR="00494FF4" w:rsidRPr="00CF541C">
        <w:rPr>
          <w:szCs w:val="19"/>
          <w:lang w:val="en-US" w:eastAsia="pl-PL"/>
        </w:rPr>
        <w:t xml:space="preserve"> </w:t>
      </w:r>
      <w:r w:rsidR="0035284F">
        <w:rPr>
          <w:szCs w:val="19"/>
          <w:lang w:val="en-US" w:eastAsia="pl-PL"/>
        </w:rPr>
        <w:t>April</w:t>
      </w:r>
      <w:r w:rsidR="000E0826" w:rsidRPr="00CF541C">
        <w:rPr>
          <w:szCs w:val="19"/>
          <w:lang w:val="en-US" w:eastAsia="pl-PL"/>
        </w:rPr>
        <w:t xml:space="preserve"> </w:t>
      </w:r>
      <w:r w:rsidR="004F4C33" w:rsidRPr="00CF541C">
        <w:rPr>
          <w:szCs w:val="19"/>
          <w:lang w:val="en-US" w:eastAsia="pl-PL"/>
        </w:rPr>
        <w:t>this year</w:t>
      </w:r>
      <w:r w:rsidR="000C5DFE" w:rsidRPr="00CF541C">
        <w:rPr>
          <w:szCs w:val="19"/>
          <w:lang w:val="en-US" w:eastAsia="pl-PL"/>
        </w:rPr>
        <w:t>.</w:t>
      </w:r>
      <w:r w:rsidR="007439A7" w:rsidRPr="00CF541C">
        <w:rPr>
          <w:szCs w:val="19"/>
          <w:lang w:val="en-US" w:eastAsia="pl-PL"/>
        </w:rPr>
        <w:t xml:space="preserve"> A</w:t>
      </w:r>
      <w:r w:rsidR="00064736">
        <w:rPr>
          <w:szCs w:val="19"/>
          <w:lang w:val="en-US" w:eastAsia="pl-PL"/>
        </w:rPr>
        <w:t>n</w:t>
      </w:r>
      <w:r w:rsidR="00F84171">
        <w:rPr>
          <w:szCs w:val="19"/>
          <w:lang w:val="en-US" w:eastAsia="pl-PL"/>
        </w:rPr>
        <w:t xml:space="preserve"> </w:t>
      </w:r>
      <w:r w:rsidR="00064736">
        <w:rPr>
          <w:szCs w:val="19"/>
          <w:lang w:val="en-US" w:eastAsia="pl-PL"/>
        </w:rPr>
        <w:t>in</w:t>
      </w:r>
      <w:r w:rsidR="000E0826" w:rsidRPr="00CF541C">
        <w:rPr>
          <w:szCs w:val="19"/>
          <w:lang w:val="en-US" w:eastAsia="pl-PL"/>
        </w:rPr>
        <w:t xml:space="preserve">crease </w:t>
      </w:r>
      <w:r w:rsidR="00F02FA5" w:rsidRPr="00CF541C">
        <w:rPr>
          <w:szCs w:val="19"/>
          <w:lang w:val="en-US" w:eastAsia="pl-PL"/>
        </w:rPr>
        <w:t>in</w:t>
      </w:r>
      <w:r w:rsidR="007439A7" w:rsidRPr="00CF541C">
        <w:rPr>
          <w:szCs w:val="19"/>
          <w:lang w:val="en-US" w:eastAsia="pl-PL"/>
        </w:rPr>
        <w:t xml:space="preserve"> </w:t>
      </w:r>
      <w:r w:rsidR="00F02FA5" w:rsidRPr="00CF541C">
        <w:rPr>
          <w:szCs w:val="19"/>
          <w:lang w:val="en-US" w:eastAsia="pl-PL"/>
        </w:rPr>
        <w:t xml:space="preserve">the </w:t>
      </w:r>
      <w:r w:rsidR="007439A7" w:rsidRPr="00CF541C">
        <w:rPr>
          <w:szCs w:val="19"/>
          <w:lang w:val="en-US" w:eastAsia="pl-PL"/>
        </w:rPr>
        <w:t>share of sales via Internet was</w:t>
      </w:r>
      <w:r w:rsidR="002578AC" w:rsidRPr="00CF541C">
        <w:rPr>
          <w:szCs w:val="19"/>
          <w:lang w:val="en-US" w:eastAsia="pl-PL"/>
        </w:rPr>
        <w:t xml:space="preserve"> noted in </w:t>
      </w:r>
      <w:r w:rsidR="000E0826" w:rsidRPr="00CF541C">
        <w:rPr>
          <w:szCs w:val="19"/>
          <w:lang w:val="en-US" w:eastAsia="pl-PL"/>
        </w:rPr>
        <w:t>most of the</w:t>
      </w:r>
      <w:r w:rsidR="002578AC" w:rsidRPr="00CF541C">
        <w:rPr>
          <w:szCs w:val="19"/>
          <w:lang w:val="en-US" w:eastAsia="pl-PL"/>
        </w:rPr>
        <w:t xml:space="preserve"> groups</w:t>
      </w:r>
      <w:r w:rsidR="003C65DF" w:rsidRPr="00CF541C">
        <w:rPr>
          <w:szCs w:val="19"/>
          <w:lang w:val="en-US" w:eastAsia="pl-PL"/>
        </w:rPr>
        <w:t xml:space="preserve">. A significant </w:t>
      </w:r>
      <w:r w:rsidR="00064736">
        <w:rPr>
          <w:szCs w:val="19"/>
          <w:lang w:val="en-US" w:eastAsia="pl-PL"/>
        </w:rPr>
        <w:t>in</w:t>
      </w:r>
      <w:r w:rsidR="003C65DF" w:rsidRPr="00CF541C">
        <w:rPr>
          <w:szCs w:val="19"/>
          <w:lang w:val="en-US" w:eastAsia="pl-PL"/>
        </w:rPr>
        <w:t xml:space="preserve">crease was </w:t>
      </w:r>
      <w:r w:rsidR="00F02FA5" w:rsidRPr="00CF541C">
        <w:rPr>
          <w:szCs w:val="19"/>
          <w:lang w:val="en-US" w:eastAsia="pl-PL"/>
        </w:rPr>
        <w:t>reported</w:t>
      </w:r>
      <w:r w:rsidR="007439A7" w:rsidRPr="00CF541C">
        <w:rPr>
          <w:szCs w:val="19"/>
          <w:lang w:val="en-US" w:eastAsia="pl-PL"/>
        </w:rPr>
        <w:t xml:space="preserve"> by enterprises classified into the group </w:t>
      </w:r>
      <w:r w:rsidR="00C4368B" w:rsidRPr="00CF541C">
        <w:rPr>
          <w:rFonts w:cs="Arial"/>
          <w:szCs w:val="19"/>
          <w:lang w:val="en-US"/>
        </w:rPr>
        <w:t>“textiles, clothing, footwear”</w:t>
      </w:r>
      <w:r w:rsidR="00C4368B" w:rsidRPr="00CF541C">
        <w:rPr>
          <w:szCs w:val="19"/>
          <w:lang w:val="en-US" w:eastAsia="pl-PL"/>
        </w:rPr>
        <w:t xml:space="preserve"> (from</w:t>
      </w:r>
      <w:r w:rsidR="0058750F" w:rsidRPr="00CF541C">
        <w:rPr>
          <w:szCs w:val="19"/>
          <w:lang w:val="en-US" w:eastAsia="pl-PL"/>
        </w:rPr>
        <w:t xml:space="preserve"> </w:t>
      </w:r>
      <w:r w:rsidR="00293CE7">
        <w:rPr>
          <w:szCs w:val="19"/>
          <w:lang w:val="en-US" w:eastAsia="pl-PL"/>
        </w:rPr>
        <w:t>32.0</w:t>
      </w:r>
      <w:r w:rsidR="00C4368B" w:rsidRPr="00CF541C">
        <w:rPr>
          <w:szCs w:val="19"/>
          <w:lang w:val="en-US" w:eastAsia="pl-PL"/>
        </w:rPr>
        <w:t xml:space="preserve">% </w:t>
      </w:r>
      <w:r w:rsidR="00B5714B" w:rsidRPr="00CF541C">
        <w:rPr>
          <w:szCs w:val="19"/>
          <w:lang w:val="en-US" w:eastAsia="pl-PL"/>
        </w:rPr>
        <w:t xml:space="preserve">a month ago </w:t>
      </w:r>
      <w:r w:rsidR="00C4368B" w:rsidRPr="00CF541C">
        <w:rPr>
          <w:szCs w:val="19"/>
          <w:lang w:val="en-US" w:eastAsia="pl-PL"/>
        </w:rPr>
        <w:t>to</w:t>
      </w:r>
      <w:r w:rsidR="00064736">
        <w:rPr>
          <w:szCs w:val="19"/>
          <w:lang w:val="en-US" w:eastAsia="pl-PL"/>
        </w:rPr>
        <w:t xml:space="preserve"> </w:t>
      </w:r>
      <w:r w:rsidR="00293CE7">
        <w:rPr>
          <w:szCs w:val="19"/>
          <w:lang w:val="en-US" w:eastAsia="pl-PL"/>
        </w:rPr>
        <w:t>47.2</w:t>
      </w:r>
      <w:r w:rsidR="00C4368B" w:rsidRPr="00CF541C">
        <w:rPr>
          <w:szCs w:val="19"/>
          <w:lang w:val="en-US" w:eastAsia="pl-PL"/>
        </w:rPr>
        <w:t xml:space="preserve">%) </w:t>
      </w:r>
      <w:r w:rsidR="00C72004" w:rsidRPr="00CF541C">
        <w:rPr>
          <w:rFonts w:cs="Arial"/>
          <w:szCs w:val="19"/>
          <w:lang w:val="en-US"/>
        </w:rPr>
        <w:t>as well as</w:t>
      </w:r>
      <w:r w:rsidR="00706630" w:rsidRPr="00CF541C">
        <w:rPr>
          <w:rFonts w:cs="Arial"/>
          <w:szCs w:val="19"/>
          <w:lang w:val="en-US"/>
        </w:rPr>
        <w:t xml:space="preserve"> </w:t>
      </w:r>
      <w:r w:rsidR="00832DB5" w:rsidRPr="00CF541C">
        <w:rPr>
          <w:rFonts w:cs="Arial"/>
          <w:szCs w:val="19"/>
          <w:lang w:val="en-US"/>
        </w:rPr>
        <w:t xml:space="preserve">by </w:t>
      </w:r>
      <w:r w:rsidR="00C72004" w:rsidRPr="00CF541C">
        <w:rPr>
          <w:rFonts w:cs="Arial"/>
          <w:szCs w:val="19"/>
          <w:lang w:val="en-US"/>
        </w:rPr>
        <w:t>entities</w:t>
      </w:r>
      <w:r w:rsidR="00706630" w:rsidRPr="00CF541C">
        <w:rPr>
          <w:rFonts w:cs="Arial"/>
          <w:szCs w:val="19"/>
          <w:lang w:val="en-US"/>
        </w:rPr>
        <w:t xml:space="preserve"> from groups</w:t>
      </w:r>
      <w:r w:rsidR="00C4368B" w:rsidRPr="00CF541C">
        <w:rPr>
          <w:rFonts w:cs="Arial"/>
          <w:szCs w:val="19"/>
          <w:lang w:val="en-US"/>
        </w:rPr>
        <w:t xml:space="preserve"> </w:t>
      </w:r>
      <w:r w:rsidR="00C4368B" w:rsidRPr="00CF541C">
        <w:rPr>
          <w:szCs w:val="19"/>
          <w:lang w:val="en-US" w:eastAsia="pl-PL"/>
        </w:rPr>
        <w:t>“newspapers, books, other sale in specialized stores”</w:t>
      </w:r>
      <w:r w:rsidR="007439A7" w:rsidRPr="00CF541C">
        <w:rPr>
          <w:szCs w:val="19"/>
          <w:lang w:val="en-US" w:eastAsia="pl-PL"/>
        </w:rPr>
        <w:t xml:space="preserve"> (</w:t>
      </w:r>
      <w:r w:rsidR="00706630" w:rsidRPr="00CF541C">
        <w:rPr>
          <w:szCs w:val="19"/>
          <w:lang w:val="en-US" w:eastAsia="pl-PL"/>
        </w:rPr>
        <w:t xml:space="preserve">from </w:t>
      </w:r>
      <w:r w:rsidR="00D647E3">
        <w:rPr>
          <w:szCs w:val="19"/>
          <w:lang w:val="en-US" w:eastAsia="pl-PL"/>
        </w:rPr>
        <w:t>26</w:t>
      </w:r>
      <w:r w:rsidR="000A1862" w:rsidRPr="00CF541C">
        <w:rPr>
          <w:szCs w:val="19"/>
          <w:lang w:val="en-US" w:eastAsia="pl-PL"/>
        </w:rPr>
        <w:t>.</w:t>
      </w:r>
      <w:r w:rsidR="00D647E3">
        <w:rPr>
          <w:szCs w:val="19"/>
          <w:lang w:val="en-US" w:eastAsia="pl-PL"/>
        </w:rPr>
        <w:t>4</w:t>
      </w:r>
      <w:r w:rsidR="00706630" w:rsidRPr="00CF541C">
        <w:rPr>
          <w:szCs w:val="19"/>
          <w:lang w:val="en-US" w:eastAsia="pl-PL"/>
        </w:rPr>
        <w:t xml:space="preserve">% </w:t>
      </w:r>
      <w:r w:rsidR="00706630" w:rsidRPr="00CF541C">
        <w:rPr>
          <w:spacing w:val="-4"/>
          <w:szCs w:val="19"/>
          <w:lang w:val="en-US" w:eastAsia="pl-PL"/>
        </w:rPr>
        <w:t xml:space="preserve">to </w:t>
      </w:r>
      <w:r w:rsidR="00D647E3">
        <w:rPr>
          <w:spacing w:val="-4"/>
          <w:szCs w:val="19"/>
          <w:lang w:val="en-US" w:eastAsia="pl-PL"/>
        </w:rPr>
        <w:t>32</w:t>
      </w:r>
      <w:r w:rsidR="00C81C28" w:rsidRPr="00CF541C">
        <w:rPr>
          <w:spacing w:val="-4"/>
          <w:szCs w:val="19"/>
          <w:lang w:val="en-US" w:eastAsia="pl-PL"/>
        </w:rPr>
        <w:t>.</w:t>
      </w:r>
      <w:r w:rsidR="00D647E3">
        <w:rPr>
          <w:spacing w:val="-4"/>
          <w:szCs w:val="19"/>
          <w:lang w:val="en-US" w:eastAsia="pl-PL"/>
        </w:rPr>
        <w:t>6</w:t>
      </w:r>
      <w:r w:rsidR="00706630" w:rsidRPr="00CF541C">
        <w:rPr>
          <w:spacing w:val="-4"/>
          <w:szCs w:val="19"/>
          <w:lang w:val="en-US" w:eastAsia="pl-PL"/>
        </w:rPr>
        <w:t xml:space="preserve">% respectively) </w:t>
      </w:r>
      <w:r w:rsidR="00883FE1" w:rsidRPr="00CF541C">
        <w:rPr>
          <w:spacing w:val="-4"/>
          <w:szCs w:val="19"/>
          <w:lang w:val="en-US" w:eastAsia="pl-PL"/>
        </w:rPr>
        <w:t>and “furniture, radio, TV and h</w:t>
      </w:r>
      <w:r w:rsidR="00706630" w:rsidRPr="00CF541C">
        <w:rPr>
          <w:spacing w:val="-4"/>
          <w:szCs w:val="19"/>
          <w:lang w:val="en-US" w:eastAsia="pl-PL"/>
        </w:rPr>
        <w:t>ousehold</w:t>
      </w:r>
      <w:r w:rsidR="00580DD5" w:rsidRPr="00CF541C">
        <w:rPr>
          <w:spacing w:val="-4"/>
          <w:szCs w:val="19"/>
          <w:lang w:val="en-US" w:eastAsia="pl-PL"/>
        </w:rPr>
        <w:t xml:space="preserve"> appliances</w:t>
      </w:r>
      <w:r w:rsidR="00706630" w:rsidRPr="00CF541C">
        <w:rPr>
          <w:spacing w:val="-4"/>
          <w:szCs w:val="19"/>
          <w:lang w:val="en-US" w:eastAsia="pl-PL"/>
        </w:rPr>
        <w:t>“ (from</w:t>
      </w:r>
      <w:r w:rsidR="007105A1" w:rsidRPr="00CF541C">
        <w:rPr>
          <w:spacing w:val="-4"/>
          <w:szCs w:val="19"/>
          <w:lang w:val="en-US" w:eastAsia="pl-PL"/>
        </w:rPr>
        <w:t xml:space="preserve"> </w:t>
      </w:r>
      <w:r w:rsidR="00D647E3">
        <w:rPr>
          <w:spacing w:val="-4"/>
          <w:szCs w:val="19"/>
          <w:lang w:val="en-US" w:eastAsia="pl-PL"/>
        </w:rPr>
        <w:t>18</w:t>
      </w:r>
      <w:r w:rsidR="00064736">
        <w:rPr>
          <w:spacing w:val="-4"/>
          <w:szCs w:val="19"/>
          <w:lang w:val="en-US" w:eastAsia="pl-PL"/>
        </w:rPr>
        <w:t>.9</w:t>
      </w:r>
      <w:r w:rsidR="00706630" w:rsidRPr="00CF541C">
        <w:rPr>
          <w:spacing w:val="-4"/>
          <w:szCs w:val="19"/>
          <w:lang w:val="en-US" w:eastAsia="pl-PL"/>
        </w:rPr>
        <w:t xml:space="preserve">% to </w:t>
      </w:r>
      <w:r w:rsidR="00D647E3">
        <w:rPr>
          <w:spacing w:val="-4"/>
          <w:szCs w:val="19"/>
          <w:lang w:val="en-US" w:eastAsia="pl-PL"/>
        </w:rPr>
        <w:t>27.5</w:t>
      </w:r>
      <w:r w:rsidR="00706630" w:rsidRPr="00CF541C">
        <w:rPr>
          <w:spacing w:val="-4"/>
          <w:szCs w:val="19"/>
          <w:lang w:val="en-US" w:eastAsia="pl-PL"/>
        </w:rPr>
        <w:t>%</w:t>
      </w:r>
      <w:r w:rsidR="00883FE1" w:rsidRPr="00CF541C">
        <w:rPr>
          <w:spacing w:val="-4"/>
          <w:lang w:val="en-US" w:eastAsia="pl-PL"/>
        </w:rPr>
        <w:t>).</w:t>
      </w: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88288" behindDoc="0" locked="0" layoutInCell="1" allowOverlap="1" wp14:anchorId="2ED7F78B" wp14:editId="2E4060CB">
            <wp:simplePos x="0" y="0"/>
            <wp:positionH relativeFrom="margin">
              <wp:posOffset>0</wp:posOffset>
            </wp:positionH>
            <wp:positionV relativeFrom="margin">
              <wp:posOffset>4876800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21491E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>V</w:t>
            </w:r>
            <w:r w:rsidR="009F76F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A005A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I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 xml:space="preserve">V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9925A3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723956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5547CB">
              <w:rPr>
                <w:rFonts w:cs="Arial"/>
                <w:color w:val="000000"/>
                <w:sz w:val="16"/>
                <w:szCs w:val="16"/>
              </w:rPr>
              <w:t>I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>I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723956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>V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8B5BD1" w:rsidRDefault="001A005A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B5BD1">
              <w:rPr>
                <w:rFonts w:cs="Arial"/>
                <w:color w:val="000000"/>
                <w:sz w:val="16"/>
                <w:szCs w:val="16"/>
              </w:rPr>
              <w:t>I-</w:t>
            </w:r>
            <w:r w:rsidR="00723956" w:rsidRPr="008B5BD1">
              <w:rPr>
                <w:rFonts w:cs="Arial"/>
                <w:color w:val="000000"/>
                <w:sz w:val="16"/>
                <w:szCs w:val="16"/>
              </w:rPr>
              <w:t>I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>V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723956" w:rsidRPr="008B5BD1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6B452A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B452A" w:rsidRPr="00413C1A" w:rsidRDefault="006B452A" w:rsidP="006B452A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B452A" w:rsidRPr="00F156AE" w:rsidRDefault="00875426" w:rsidP="006B452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92.</w:t>
            </w:r>
            <w:r w:rsidR="006B452A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B452A" w:rsidRPr="00F156AE" w:rsidRDefault="00875426" w:rsidP="006B452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121.</w:t>
            </w:r>
            <w:r w:rsidR="006B452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B452A" w:rsidRPr="00F156AE" w:rsidRDefault="00875426" w:rsidP="006B452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6B452A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B452A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B452A" w:rsidRPr="00F2453E" w:rsidRDefault="006B452A" w:rsidP="006B452A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6B452A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6B452A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6B452A" w:rsidP="006B452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B452A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B452A" w:rsidRPr="00F2453E" w:rsidRDefault="006B452A" w:rsidP="006B452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75426" w:rsidP="006B452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75426" w:rsidP="006B452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75426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6B452A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B452A" w:rsidRPr="00413C1A" w:rsidRDefault="006B452A" w:rsidP="006B452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75426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75426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75426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6B452A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B452A" w:rsidRPr="00413C1A" w:rsidRDefault="006B452A" w:rsidP="006B452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75426" w:rsidP="006B452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75426" w:rsidP="006B452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6B452A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B452A" w:rsidRPr="00413C1A" w:rsidRDefault="006B452A" w:rsidP="006B452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6B452A" w:rsidP="006B452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6B452A" w:rsidP="006B452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6B452A" w:rsidP="006B452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B452A" w:rsidRPr="00413C1A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B452A" w:rsidRPr="00413C1A" w:rsidRDefault="006B452A" w:rsidP="006B452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6B452A" w:rsidRPr="00413C1A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6B452A" w:rsidRPr="00413C1A" w:rsidRDefault="006B452A" w:rsidP="006B452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6B452A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B452A" w:rsidRPr="00413C1A" w:rsidRDefault="006B452A" w:rsidP="006B452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6B452A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B452A" w:rsidRPr="00413C1A" w:rsidRDefault="006B452A" w:rsidP="006B452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6B452A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B452A" w:rsidRPr="00413C1A" w:rsidRDefault="006B452A" w:rsidP="006B452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B452A" w:rsidRPr="00F156AE" w:rsidRDefault="008246BE" w:rsidP="006B452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6B452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Default="001A005A" w:rsidP="001A005A">
      <w:pPr>
        <w:rPr>
          <w:lang w:val="en" w:eastAsia="pl-PL"/>
        </w:rPr>
      </w:pPr>
    </w:p>
    <w:p w:rsidR="00B67AB9" w:rsidRDefault="00B67AB9" w:rsidP="00B67AB9">
      <w:pPr>
        <w:rPr>
          <w:rFonts w:eastAsia="Times New Roman" w:cs="Arial"/>
          <w:b/>
          <w:bCs/>
          <w:szCs w:val="24"/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B47457" w:rsidRPr="00E21D84" w:rsidTr="00C15BE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47457" w:rsidRPr="00E21D84" w:rsidRDefault="00B47457" w:rsidP="00C15BE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B47457" w:rsidRPr="00E21D84" w:rsidTr="00C15BE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B47457" w:rsidRPr="00E21D84" w:rsidRDefault="00B47457" w:rsidP="00C15BE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47457" w:rsidRPr="009E60D9" w:rsidRDefault="00B47457" w:rsidP="00C15B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8C5F51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47457" w:rsidRPr="009E60D9" w:rsidRDefault="00B47457" w:rsidP="00C15B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8C5F51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</w:tr>
      <w:tr w:rsidR="00B47457" w:rsidRPr="005F3DF3" w:rsidTr="00C15BE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B47457" w:rsidRPr="00E21D84" w:rsidRDefault="00B47457" w:rsidP="00C15BE2">
            <w:pP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B47457" w:rsidRPr="009E60D9" w:rsidRDefault="008C5F51" w:rsidP="00C15B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II</w:t>
            </w:r>
            <w:r w:rsidR="00B47457">
              <w:rPr>
                <w:rFonts w:cs="Arial"/>
                <w:color w:val="000000"/>
                <w:sz w:val="16"/>
                <w:szCs w:val="16"/>
                <w:lang w:val="en-US"/>
              </w:rPr>
              <w:t>I 2021</w:t>
            </w:r>
            <w:r w:rsidR="00B47457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47457" w:rsidRPr="009E60D9" w:rsidRDefault="00B47457" w:rsidP="00C15B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8C5F51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47457" w:rsidRPr="005F3DF3" w:rsidRDefault="00B47457" w:rsidP="00C15BE2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5F3DF3">
              <w:rPr>
                <w:rFonts w:cs="Arial"/>
                <w:color w:val="000000"/>
                <w:sz w:val="16"/>
                <w:szCs w:val="16"/>
                <w:lang w:val="en-US"/>
              </w:rPr>
              <w:t>I-I</w:t>
            </w:r>
            <w:r w:rsidR="008C5F51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Pr="005F3DF3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2020=100</w:t>
            </w:r>
          </w:p>
        </w:tc>
      </w:tr>
      <w:tr w:rsidR="009B1668" w:rsidRPr="00E21D84" w:rsidTr="00C15BE2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9B1668" w:rsidRPr="00E21D84" w:rsidRDefault="009B1668" w:rsidP="009B1668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93.</w:t>
            </w:r>
            <w:r w:rsidR="009B1668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125.</w:t>
            </w:r>
            <w:r w:rsidR="009B1668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9B1668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B1668" w:rsidRPr="00E21D84" w:rsidTr="00C15BE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B1668" w:rsidRPr="00E21D84" w:rsidRDefault="009B1668" w:rsidP="009B1668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9B1668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9B1668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9B1668" w:rsidP="009B16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B1668" w:rsidRPr="0095396F" w:rsidTr="00C15BE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B1668" w:rsidRPr="00382DAE" w:rsidRDefault="009B1668" w:rsidP="009B1668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219.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9B1668" w:rsidRPr="0095396F" w:rsidTr="00C15BE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B1668" w:rsidRPr="00382DAE" w:rsidRDefault="009B1668" w:rsidP="009B1668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9B1668" w:rsidRPr="0095396F" w:rsidTr="00C15BE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B1668" w:rsidRPr="00382DAE" w:rsidRDefault="009B1668" w:rsidP="009B1668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9B1668" w:rsidRPr="0095396F" w:rsidTr="00C15BE2">
        <w:trPr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9B1668" w:rsidRPr="00382DAE" w:rsidRDefault="009B1668" w:rsidP="009B1668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>
              <w:rPr>
                <w:rFonts w:cs="Arial"/>
                <w:sz w:val="16"/>
                <w:szCs w:val="16"/>
                <w:lang w:val="en-US"/>
              </w:rPr>
              <w:t>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F156AE" w:rsidRDefault="009B1668" w:rsidP="009B16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F156AE" w:rsidRDefault="009B1668" w:rsidP="009B16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F156AE" w:rsidRDefault="009B1668" w:rsidP="009B16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9B1668" w:rsidRPr="0095396F" w:rsidTr="00C15BE2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9B1668" w:rsidRPr="00382DAE" w:rsidRDefault="009B1668" w:rsidP="009B1668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9B1668" w:rsidRPr="008246BE" w:rsidTr="00C15BE2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9B1668" w:rsidRPr="00382DAE" w:rsidRDefault="009B1668" w:rsidP="009B1668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8246BE" w:rsidRDefault="009B1668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</w:t>
            </w:r>
            <w:r w:rsidR="008246BE">
              <w:rPr>
                <w:rFonts w:cs="Arial"/>
                <w:color w:val="000000"/>
                <w:sz w:val="16"/>
                <w:szCs w:val="16"/>
                <w:lang w:val="en-US"/>
              </w:rPr>
              <w:t>.</w:t>
            </w:r>
            <w:r w:rsidRPr="008246BE">
              <w:rPr>
                <w:rFonts w:cs="Arial"/>
                <w:color w:val="000000"/>
                <w:sz w:val="16"/>
                <w:szCs w:val="16"/>
                <w:lang w:val="en-US"/>
              </w:rPr>
              <w:t>9</w:t>
            </w:r>
          </w:p>
        </w:tc>
      </w:tr>
      <w:tr w:rsidR="009B1668" w:rsidRPr="008246BE" w:rsidTr="00C15BE2">
        <w:trPr>
          <w:cantSplit/>
          <w:trHeight w:val="370"/>
        </w:trPr>
        <w:tc>
          <w:tcPr>
            <w:tcW w:w="3474" w:type="dxa"/>
            <w:shd w:val="clear" w:color="auto" w:fill="auto"/>
            <w:vAlign w:val="center"/>
            <w:hideMark/>
          </w:tcPr>
          <w:p w:rsidR="009B1668" w:rsidRPr="00382DAE" w:rsidRDefault="009B1668" w:rsidP="009B1668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8246B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80.</w:t>
            </w:r>
            <w:r w:rsidR="009B1668" w:rsidRPr="008246BE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8246B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112.</w:t>
            </w:r>
            <w:r w:rsidR="009B1668" w:rsidRPr="008246BE">
              <w:rPr>
                <w:rFonts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8246B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114.</w:t>
            </w:r>
            <w:r w:rsidR="009B1668" w:rsidRPr="008246BE">
              <w:rPr>
                <w:rFonts w:cs="Arial"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9B1668" w:rsidRPr="00E960C2" w:rsidTr="00C15BE2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9B1668" w:rsidRPr="00382DAE" w:rsidRDefault="009B1668" w:rsidP="009B1668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8246B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77.</w:t>
            </w:r>
            <w:r w:rsidR="009B1668" w:rsidRPr="008246BE">
              <w:rPr>
                <w:rFonts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9B1668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246BE">
              <w:rPr>
                <w:rFonts w:cs="Arial"/>
                <w:color w:val="000000"/>
                <w:sz w:val="16"/>
                <w:szCs w:val="16"/>
                <w:lang w:val="en-US"/>
              </w:rPr>
              <w:t>109</w:t>
            </w:r>
            <w:r w:rsidR="008246BE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9B1668" w:rsidRPr="00E960C2" w:rsidTr="00C15BE2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B1668" w:rsidRPr="00E960C2" w:rsidRDefault="009B1668" w:rsidP="009B1668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B1668" w:rsidRPr="00DF0FFE" w:rsidRDefault="008246BE" w:rsidP="009B16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9B1668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1A005A" w:rsidRDefault="00B47457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 </w:t>
      </w:r>
      <w:r w:rsidR="001A005A" w:rsidRPr="00B73F57">
        <w:rPr>
          <w:sz w:val="16"/>
          <w:szCs w:val="16"/>
          <w:lang w:val="en-US" w:eastAsia="pl-PL"/>
        </w:rPr>
        <w:t xml:space="preserve">(.) </w:t>
      </w:r>
      <w:r w:rsidR="001A005A"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="001A005A" w:rsidRPr="00B73F57">
        <w:rPr>
          <w:rStyle w:val="tlid-translation"/>
          <w:sz w:val="16"/>
          <w:szCs w:val="16"/>
          <w:lang w:val="en"/>
        </w:rPr>
        <w:t>confidentiality</w:t>
      </w:r>
      <w:r w:rsidR="001A005A">
        <w:rPr>
          <w:rStyle w:val="tlid-translation"/>
          <w:sz w:val="16"/>
          <w:szCs w:val="16"/>
          <w:lang w:val="en"/>
        </w:rPr>
        <w:t>) or providing</w:t>
      </w:r>
      <w:r w:rsidR="001A005A" w:rsidRPr="00B73F57">
        <w:rPr>
          <w:rStyle w:val="tlid-translation"/>
          <w:sz w:val="16"/>
          <w:szCs w:val="16"/>
          <w:lang w:val="en"/>
        </w:rPr>
        <w:t xml:space="preserve"> </w:t>
      </w:r>
      <w:r w:rsidR="001A005A"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Pr="001A005A" w:rsidRDefault="001A005A" w:rsidP="001A005A">
      <w:pPr>
        <w:rPr>
          <w:lang w:val="en" w:eastAsia="pl-PL"/>
        </w:rPr>
      </w:pPr>
    </w:p>
    <w:p w:rsidR="001A005A" w:rsidRDefault="001A005A" w:rsidP="001A005A">
      <w:pPr>
        <w:rPr>
          <w:lang w:val="en-US" w:eastAsia="pl-PL"/>
        </w:rPr>
      </w:pPr>
    </w:p>
    <w:p w:rsidR="00F51AF7" w:rsidRDefault="00F51AF7" w:rsidP="00F51AF7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815C38">
        <w:rPr>
          <w:shd w:val="clear" w:color="auto" w:fill="FFFFFF"/>
          <w:lang w:val="en-US"/>
        </w:rPr>
        <w:t>April</w:t>
      </w:r>
      <w:r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>
        <w:rPr>
          <w:shd w:val="clear" w:color="auto" w:fill="FFFFFF"/>
          <w:lang w:val="en-US"/>
        </w:rPr>
        <w:t>21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>
        <w:rPr>
          <w:shd w:val="clear" w:color="auto" w:fill="FFFFFF"/>
          <w:lang w:val="en-US"/>
        </w:rPr>
        <w:t>(constant prices)</w:t>
      </w:r>
      <w:r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5056BC" w:rsidRDefault="00F02D59">
      <w:pPr>
        <w:spacing w:before="0" w:after="160" w:line="259" w:lineRule="auto"/>
        <w:rPr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637540</wp:posOffset>
            </wp:positionV>
            <wp:extent cx="5166360" cy="2813050"/>
            <wp:effectExtent l="0" t="0" r="0" b="635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118" w:rsidRDefault="005B48F8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5686425</wp:posOffset>
                </wp:positionH>
                <wp:positionV relativeFrom="paragraph">
                  <wp:posOffset>2915285</wp:posOffset>
                </wp:positionV>
                <wp:extent cx="1835150" cy="828675"/>
                <wp:effectExtent l="0" t="0" r="0" b="0"/>
                <wp:wrapTight wrapText="bothSides">
                  <wp:wrapPolygon edited="0">
                    <wp:start x="673" y="0"/>
                    <wp:lineTo x="673" y="20855"/>
                    <wp:lineTo x="20853" y="20855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>April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F51AF7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7A5BF7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>6.8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 xml:space="preserve">March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6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.75pt;margin-top:229.55pt;width:144.5pt;height:65.2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C47BD">
                        <w:rPr>
                          <w:rFonts w:cs="Arial"/>
                          <w:lang w:val="en-US"/>
                        </w:rPr>
                        <w:t>April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F51AF7">
                        <w:rPr>
                          <w:rFonts w:cs="Arial"/>
                          <w:lang w:val="en-US"/>
                        </w:rPr>
                        <w:t> </w:t>
                      </w:r>
                      <w:r w:rsidR="007A5BF7">
                        <w:rPr>
                          <w:rFonts w:cs="Arial"/>
                          <w:lang w:val="en-US"/>
                        </w:rPr>
                        <w:t>de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CC47BD">
                        <w:rPr>
                          <w:rFonts w:cs="Arial"/>
                          <w:lang w:val="en-US"/>
                        </w:rPr>
                        <w:t>6.8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C47BD">
                        <w:rPr>
                          <w:rFonts w:cs="Arial"/>
                          <w:lang w:val="en-US"/>
                        </w:rPr>
                        <w:t xml:space="preserve">March </w:t>
                      </w:r>
                      <w:r w:rsidR="006513B3">
                        <w:rPr>
                          <w:rFonts w:cs="Arial"/>
                          <w:lang w:val="en-US"/>
                        </w:rPr>
                        <w:t>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CC47BD">
        <w:rPr>
          <w:szCs w:val="23"/>
          <w:lang w:val="en-US"/>
        </w:rPr>
        <w:t>April</w:t>
      </w:r>
      <w:r w:rsidR="0029086F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CC47BD">
        <w:rPr>
          <w:szCs w:val="23"/>
          <w:lang w:val="en-US"/>
        </w:rPr>
        <w:t>6.8</w:t>
      </w:r>
      <w:r>
        <w:rPr>
          <w:szCs w:val="23"/>
          <w:lang w:val="en-US"/>
        </w:rPr>
        <w:t xml:space="preserve">% </w:t>
      </w:r>
      <w:r w:rsidR="005A3BFB">
        <w:rPr>
          <w:szCs w:val="23"/>
          <w:lang w:val="en-US"/>
        </w:rPr>
        <w:t>low</w:t>
      </w:r>
      <w:r w:rsidR="006513B3">
        <w:rPr>
          <w:szCs w:val="23"/>
          <w:lang w:val="en-US"/>
        </w:rPr>
        <w:t>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CC47BD">
        <w:rPr>
          <w:szCs w:val="23"/>
          <w:lang w:val="en-US"/>
        </w:rPr>
        <w:t>March</w:t>
      </w:r>
      <w:r w:rsidR="00B85794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5B48F8" w:rsidRDefault="005B48F8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9F76FD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9F76FD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 w:rsidRPr="005C50E9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"https://stat.gov.pl/en/topics/prices-trade/trade/internal-market-in-2019,7,18.html"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0DF" w:rsidRDefault="007D60DF" w:rsidP="000662E2">
      <w:pPr>
        <w:spacing w:after="0" w:line="240" w:lineRule="auto"/>
      </w:pPr>
      <w:r>
        <w:separator/>
      </w:r>
    </w:p>
  </w:endnote>
  <w:endnote w:type="continuationSeparator" w:id="0">
    <w:p w:rsidR="007D60DF" w:rsidRDefault="007D60D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F7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F76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0DF" w:rsidRDefault="007D60DF" w:rsidP="000662E2">
      <w:pPr>
        <w:spacing w:after="0" w:line="240" w:lineRule="auto"/>
      </w:pPr>
      <w:r>
        <w:separator/>
      </w:r>
    </w:p>
  </w:footnote>
  <w:footnote w:type="continuationSeparator" w:id="0">
    <w:p w:rsidR="007D60DF" w:rsidRDefault="007D60DF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1F547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B5FB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1F547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B5FB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4pt;height:123.7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27FE2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70AA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4736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34B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586C"/>
    <w:rsid w:val="000871E1"/>
    <w:rsid w:val="00090396"/>
    <w:rsid w:val="000915F5"/>
    <w:rsid w:val="0009277B"/>
    <w:rsid w:val="00092F70"/>
    <w:rsid w:val="00093F25"/>
    <w:rsid w:val="00094047"/>
    <w:rsid w:val="00095C86"/>
    <w:rsid w:val="000972B0"/>
    <w:rsid w:val="000A0839"/>
    <w:rsid w:val="000A1862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48B8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9BB"/>
    <w:rsid w:val="000F0BA8"/>
    <w:rsid w:val="000F26B1"/>
    <w:rsid w:val="000F2FDE"/>
    <w:rsid w:val="000F303C"/>
    <w:rsid w:val="000F3D3B"/>
    <w:rsid w:val="000F4044"/>
    <w:rsid w:val="000F4AAC"/>
    <w:rsid w:val="000F511A"/>
    <w:rsid w:val="000F7653"/>
    <w:rsid w:val="001000CD"/>
    <w:rsid w:val="001011C3"/>
    <w:rsid w:val="001017E9"/>
    <w:rsid w:val="00103221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842"/>
    <w:rsid w:val="00120D84"/>
    <w:rsid w:val="00120F49"/>
    <w:rsid w:val="0012114B"/>
    <w:rsid w:val="00121BE9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9A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2B9"/>
    <w:rsid w:val="001544CF"/>
    <w:rsid w:val="00154726"/>
    <w:rsid w:val="00154DF8"/>
    <w:rsid w:val="00154EC0"/>
    <w:rsid w:val="00160E26"/>
    <w:rsid w:val="00161DA5"/>
    <w:rsid w:val="00161F52"/>
    <w:rsid w:val="00162325"/>
    <w:rsid w:val="0016312E"/>
    <w:rsid w:val="00163F89"/>
    <w:rsid w:val="0016514E"/>
    <w:rsid w:val="00165383"/>
    <w:rsid w:val="00165563"/>
    <w:rsid w:val="0016751F"/>
    <w:rsid w:val="001677B4"/>
    <w:rsid w:val="00171561"/>
    <w:rsid w:val="001720A2"/>
    <w:rsid w:val="00173007"/>
    <w:rsid w:val="00173D53"/>
    <w:rsid w:val="00174612"/>
    <w:rsid w:val="00176FC0"/>
    <w:rsid w:val="001774A2"/>
    <w:rsid w:val="00180490"/>
    <w:rsid w:val="00182993"/>
    <w:rsid w:val="001829CE"/>
    <w:rsid w:val="0018378F"/>
    <w:rsid w:val="00183CB1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40AB"/>
    <w:rsid w:val="001A41A6"/>
    <w:rsid w:val="001A468C"/>
    <w:rsid w:val="001A49FD"/>
    <w:rsid w:val="001A627E"/>
    <w:rsid w:val="001A75DF"/>
    <w:rsid w:val="001B38CF"/>
    <w:rsid w:val="001B3F52"/>
    <w:rsid w:val="001B48AF"/>
    <w:rsid w:val="001B521F"/>
    <w:rsid w:val="001B532C"/>
    <w:rsid w:val="001B53BA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27BD"/>
    <w:rsid w:val="001D30F4"/>
    <w:rsid w:val="001D4C1B"/>
    <w:rsid w:val="001D6715"/>
    <w:rsid w:val="001E01A7"/>
    <w:rsid w:val="001E0A96"/>
    <w:rsid w:val="001E1400"/>
    <w:rsid w:val="001E236B"/>
    <w:rsid w:val="001E3201"/>
    <w:rsid w:val="001E5351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47E"/>
    <w:rsid w:val="001F5512"/>
    <w:rsid w:val="001F67FE"/>
    <w:rsid w:val="001F7F8B"/>
    <w:rsid w:val="00200080"/>
    <w:rsid w:val="0020034B"/>
    <w:rsid w:val="002003B9"/>
    <w:rsid w:val="002019C6"/>
    <w:rsid w:val="002023E9"/>
    <w:rsid w:val="00203B23"/>
    <w:rsid w:val="00203BEC"/>
    <w:rsid w:val="002043FC"/>
    <w:rsid w:val="00204D60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502"/>
    <w:rsid w:val="00220A8C"/>
    <w:rsid w:val="00220B53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456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623B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76977"/>
    <w:rsid w:val="00280BD4"/>
    <w:rsid w:val="00281289"/>
    <w:rsid w:val="00282699"/>
    <w:rsid w:val="00282E90"/>
    <w:rsid w:val="00287DE4"/>
    <w:rsid w:val="0029086F"/>
    <w:rsid w:val="00290F0D"/>
    <w:rsid w:val="0029139F"/>
    <w:rsid w:val="00291537"/>
    <w:rsid w:val="002926DF"/>
    <w:rsid w:val="00292C7A"/>
    <w:rsid w:val="002931E3"/>
    <w:rsid w:val="00293CE7"/>
    <w:rsid w:val="00294829"/>
    <w:rsid w:val="002958BB"/>
    <w:rsid w:val="002959EC"/>
    <w:rsid w:val="002961BD"/>
    <w:rsid w:val="00296697"/>
    <w:rsid w:val="0029683A"/>
    <w:rsid w:val="002A071B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AF6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1623C"/>
    <w:rsid w:val="00317DE2"/>
    <w:rsid w:val="003203F6"/>
    <w:rsid w:val="00320FEE"/>
    <w:rsid w:val="003225E7"/>
    <w:rsid w:val="00322EDD"/>
    <w:rsid w:val="0032343F"/>
    <w:rsid w:val="0032379F"/>
    <w:rsid w:val="00324F87"/>
    <w:rsid w:val="00326E35"/>
    <w:rsid w:val="00327EE8"/>
    <w:rsid w:val="0033011E"/>
    <w:rsid w:val="0033026E"/>
    <w:rsid w:val="00331F1E"/>
    <w:rsid w:val="00332320"/>
    <w:rsid w:val="00333012"/>
    <w:rsid w:val="003330FD"/>
    <w:rsid w:val="00336650"/>
    <w:rsid w:val="00336951"/>
    <w:rsid w:val="00336F3A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284F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191F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3E34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3FB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3ADE"/>
    <w:rsid w:val="00403C6F"/>
    <w:rsid w:val="004046D6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B46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E39"/>
    <w:rsid w:val="004641BE"/>
    <w:rsid w:val="004646E2"/>
    <w:rsid w:val="004648F3"/>
    <w:rsid w:val="004657FC"/>
    <w:rsid w:val="00467693"/>
    <w:rsid w:val="00471479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A3B58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922"/>
    <w:rsid w:val="004B7E11"/>
    <w:rsid w:val="004C01EE"/>
    <w:rsid w:val="004C165B"/>
    <w:rsid w:val="004C1842"/>
    <w:rsid w:val="004C1895"/>
    <w:rsid w:val="004C1AB5"/>
    <w:rsid w:val="004C2B64"/>
    <w:rsid w:val="004C3B88"/>
    <w:rsid w:val="004C43FA"/>
    <w:rsid w:val="004C4F2B"/>
    <w:rsid w:val="004C5861"/>
    <w:rsid w:val="004C5CAB"/>
    <w:rsid w:val="004C61D9"/>
    <w:rsid w:val="004C63C2"/>
    <w:rsid w:val="004C641D"/>
    <w:rsid w:val="004C6D40"/>
    <w:rsid w:val="004C7631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3F8"/>
    <w:rsid w:val="004F07EA"/>
    <w:rsid w:val="004F0B03"/>
    <w:rsid w:val="004F0C3C"/>
    <w:rsid w:val="004F1D81"/>
    <w:rsid w:val="004F233D"/>
    <w:rsid w:val="004F2C3B"/>
    <w:rsid w:val="004F341F"/>
    <w:rsid w:val="004F3D29"/>
    <w:rsid w:val="004F4664"/>
    <w:rsid w:val="004F4C33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3C85"/>
    <w:rsid w:val="00504AEE"/>
    <w:rsid w:val="005056BC"/>
    <w:rsid w:val="00505A92"/>
    <w:rsid w:val="00506206"/>
    <w:rsid w:val="0050683B"/>
    <w:rsid w:val="00506A67"/>
    <w:rsid w:val="00506DFA"/>
    <w:rsid w:val="00506EE2"/>
    <w:rsid w:val="00510AB6"/>
    <w:rsid w:val="005117C2"/>
    <w:rsid w:val="00513591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7E68"/>
    <w:rsid w:val="00541B11"/>
    <w:rsid w:val="0054251F"/>
    <w:rsid w:val="00542783"/>
    <w:rsid w:val="00543644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7CB"/>
    <w:rsid w:val="00554E47"/>
    <w:rsid w:val="00555368"/>
    <w:rsid w:val="0055568D"/>
    <w:rsid w:val="0055613F"/>
    <w:rsid w:val="00556CF1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01B9"/>
    <w:rsid w:val="0057343D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68F"/>
    <w:rsid w:val="00587268"/>
    <w:rsid w:val="00587436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3BFB"/>
    <w:rsid w:val="005A400F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48F8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2F19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3DF3"/>
    <w:rsid w:val="005F453F"/>
    <w:rsid w:val="005F4752"/>
    <w:rsid w:val="005F5A80"/>
    <w:rsid w:val="005F70D6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366B3"/>
    <w:rsid w:val="00640117"/>
    <w:rsid w:val="00641B30"/>
    <w:rsid w:val="00642161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54F9"/>
    <w:rsid w:val="00655596"/>
    <w:rsid w:val="00656373"/>
    <w:rsid w:val="00656441"/>
    <w:rsid w:val="006574AA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2D70"/>
    <w:rsid w:val="006831C9"/>
    <w:rsid w:val="0068327D"/>
    <w:rsid w:val="006841AE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452A"/>
    <w:rsid w:val="006B517C"/>
    <w:rsid w:val="006B5AE4"/>
    <w:rsid w:val="006B61EB"/>
    <w:rsid w:val="006B6A79"/>
    <w:rsid w:val="006B6B35"/>
    <w:rsid w:val="006B6B87"/>
    <w:rsid w:val="006B723D"/>
    <w:rsid w:val="006C060C"/>
    <w:rsid w:val="006C0C68"/>
    <w:rsid w:val="006C1CA4"/>
    <w:rsid w:val="006C2748"/>
    <w:rsid w:val="006C2BD1"/>
    <w:rsid w:val="006C311A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1D58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2C08"/>
    <w:rsid w:val="006F4002"/>
    <w:rsid w:val="006F4664"/>
    <w:rsid w:val="006F52C8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413A"/>
    <w:rsid w:val="00714A14"/>
    <w:rsid w:val="00715CB8"/>
    <w:rsid w:val="00716593"/>
    <w:rsid w:val="00720176"/>
    <w:rsid w:val="007211B1"/>
    <w:rsid w:val="00721863"/>
    <w:rsid w:val="00721B78"/>
    <w:rsid w:val="00721CCE"/>
    <w:rsid w:val="00722976"/>
    <w:rsid w:val="00723956"/>
    <w:rsid w:val="00724031"/>
    <w:rsid w:val="00725494"/>
    <w:rsid w:val="00726892"/>
    <w:rsid w:val="00727DE0"/>
    <w:rsid w:val="00727E41"/>
    <w:rsid w:val="00730A13"/>
    <w:rsid w:val="00731F20"/>
    <w:rsid w:val="00732240"/>
    <w:rsid w:val="00732EA2"/>
    <w:rsid w:val="00733BC2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9EF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1453"/>
    <w:rsid w:val="007A2DC1"/>
    <w:rsid w:val="007A2FC3"/>
    <w:rsid w:val="007A5BF7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B59"/>
    <w:rsid w:val="007B5FBA"/>
    <w:rsid w:val="007B68C0"/>
    <w:rsid w:val="007B6AFD"/>
    <w:rsid w:val="007B777A"/>
    <w:rsid w:val="007C016A"/>
    <w:rsid w:val="007C15C9"/>
    <w:rsid w:val="007C38CF"/>
    <w:rsid w:val="007C5077"/>
    <w:rsid w:val="007C51B2"/>
    <w:rsid w:val="007C59C8"/>
    <w:rsid w:val="007C5BA5"/>
    <w:rsid w:val="007C6842"/>
    <w:rsid w:val="007C7266"/>
    <w:rsid w:val="007C74CE"/>
    <w:rsid w:val="007C7657"/>
    <w:rsid w:val="007C7794"/>
    <w:rsid w:val="007C7E2F"/>
    <w:rsid w:val="007D2287"/>
    <w:rsid w:val="007D286D"/>
    <w:rsid w:val="007D3319"/>
    <w:rsid w:val="007D335D"/>
    <w:rsid w:val="007D3DF9"/>
    <w:rsid w:val="007D4F20"/>
    <w:rsid w:val="007D60DF"/>
    <w:rsid w:val="007D65D7"/>
    <w:rsid w:val="007D794B"/>
    <w:rsid w:val="007D7DD3"/>
    <w:rsid w:val="007E0044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6C0F"/>
    <w:rsid w:val="007F75D5"/>
    <w:rsid w:val="00800AB3"/>
    <w:rsid w:val="00803846"/>
    <w:rsid w:val="00803A45"/>
    <w:rsid w:val="00803B71"/>
    <w:rsid w:val="00804C09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C38"/>
    <w:rsid w:val="00815F4E"/>
    <w:rsid w:val="00816324"/>
    <w:rsid w:val="00817424"/>
    <w:rsid w:val="00817AC7"/>
    <w:rsid w:val="00820164"/>
    <w:rsid w:val="00820169"/>
    <w:rsid w:val="00820BD5"/>
    <w:rsid w:val="00822C1F"/>
    <w:rsid w:val="008230C0"/>
    <w:rsid w:val="00824156"/>
    <w:rsid w:val="008246BE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7AC"/>
    <w:rsid w:val="00864AF8"/>
    <w:rsid w:val="00864E18"/>
    <w:rsid w:val="00865207"/>
    <w:rsid w:val="008702BA"/>
    <w:rsid w:val="00872BD4"/>
    <w:rsid w:val="0087330E"/>
    <w:rsid w:val="00873A3A"/>
    <w:rsid w:val="00874E8F"/>
    <w:rsid w:val="00875426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87CEC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1998"/>
    <w:rsid w:val="008C1A07"/>
    <w:rsid w:val="008C26F5"/>
    <w:rsid w:val="008C314A"/>
    <w:rsid w:val="008C39BB"/>
    <w:rsid w:val="008C515A"/>
    <w:rsid w:val="008C57A4"/>
    <w:rsid w:val="008C5F51"/>
    <w:rsid w:val="008C605D"/>
    <w:rsid w:val="008C6118"/>
    <w:rsid w:val="008C612B"/>
    <w:rsid w:val="008C62F5"/>
    <w:rsid w:val="008C6710"/>
    <w:rsid w:val="008C6D41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5824"/>
    <w:rsid w:val="008E67A0"/>
    <w:rsid w:val="008E7833"/>
    <w:rsid w:val="008F1204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E1F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302"/>
    <w:rsid w:val="00921E34"/>
    <w:rsid w:val="009227A6"/>
    <w:rsid w:val="009229A1"/>
    <w:rsid w:val="00923FD5"/>
    <w:rsid w:val="00924D90"/>
    <w:rsid w:val="00924EE4"/>
    <w:rsid w:val="00926C25"/>
    <w:rsid w:val="00927D8B"/>
    <w:rsid w:val="00930BF7"/>
    <w:rsid w:val="00933273"/>
    <w:rsid w:val="00933EC1"/>
    <w:rsid w:val="00935ABA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6E55"/>
    <w:rsid w:val="009870C3"/>
    <w:rsid w:val="00987C48"/>
    <w:rsid w:val="009902B2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14C5"/>
    <w:rsid w:val="009A19F5"/>
    <w:rsid w:val="009A2292"/>
    <w:rsid w:val="009A24EB"/>
    <w:rsid w:val="009A48EB"/>
    <w:rsid w:val="009A55B6"/>
    <w:rsid w:val="009A6EA0"/>
    <w:rsid w:val="009A71B2"/>
    <w:rsid w:val="009B1668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1FD9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C7FFE"/>
    <w:rsid w:val="009D0AFC"/>
    <w:rsid w:val="009D28FC"/>
    <w:rsid w:val="009D4486"/>
    <w:rsid w:val="009D78C4"/>
    <w:rsid w:val="009D7D62"/>
    <w:rsid w:val="009E068C"/>
    <w:rsid w:val="009E0945"/>
    <w:rsid w:val="009E2207"/>
    <w:rsid w:val="009E2303"/>
    <w:rsid w:val="009E2E91"/>
    <w:rsid w:val="009E3C26"/>
    <w:rsid w:val="009E4A91"/>
    <w:rsid w:val="009E592B"/>
    <w:rsid w:val="009E5A84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9F76FD"/>
    <w:rsid w:val="00A00032"/>
    <w:rsid w:val="00A000F6"/>
    <w:rsid w:val="00A00D73"/>
    <w:rsid w:val="00A026C5"/>
    <w:rsid w:val="00A03287"/>
    <w:rsid w:val="00A032BF"/>
    <w:rsid w:val="00A05E54"/>
    <w:rsid w:val="00A06BE8"/>
    <w:rsid w:val="00A07453"/>
    <w:rsid w:val="00A11489"/>
    <w:rsid w:val="00A11FCE"/>
    <w:rsid w:val="00A126D5"/>
    <w:rsid w:val="00A13753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4A85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825"/>
    <w:rsid w:val="00A47D80"/>
    <w:rsid w:val="00A503EE"/>
    <w:rsid w:val="00A506BA"/>
    <w:rsid w:val="00A5124E"/>
    <w:rsid w:val="00A518A9"/>
    <w:rsid w:val="00A5192D"/>
    <w:rsid w:val="00A51E80"/>
    <w:rsid w:val="00A528C0"/>
    <w:rsid w:val="00A52E7C"/>
    <w:rsid w:val="00A53132"/>
    <w:rsid w:val="00A54ABC"/>
    <w:rsid w:val="00A55519"/>
    <w:rsid w:val="00A563F2"/>
    <w:rsid w:val="00A566E8"/>
    <w:rsid w:val="00A56DC1"/>
    <w:rsid w:val="00A60792"/>
    <w:rsid w:val="00A60A1A"/>
    <w:rsid w:val="00A60BB1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098"/>
    <w:rsid w:val="00A732A9"/>
    <w:rsid w:val="00A7333E"/>
    <w:rsid w:val="00A74775"/>
    <w:rsid w:val="00A748EA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1F5B"/>
    <w:rsid w:val="00AA2D3A"/>
    <w:rsid w:val="00AA4208"/>
    <w:rsid w:val="00AA5111"/>
    <w:rsid w:val="00AA5DDE"/>
    <w:rsid w:val="00AA619C"/>
    <w:rsid w:val="00AA6D08"/>
    <w:rsid w:val="00AA710D"/>
    <w:rsid w:val="00AA7665"/>
    <w:rsid w:val="00AA7F86"/>
    <w:rsid w:val="00AB1115"/>
    <w:rsid w:val="00AB112D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CC3"/>
    <w:rsid w:val="00AC750F"/>
    <w:rsid w:val="00AC75A7"/>
    <w:rsid w:val="00AC7878"/>
    <w:rsid w:val="00AD0D11"/>
    <w:rsid w:val="00AD1021"/>
    <w:rsid w:val="00AD190B"/>
    <w:rsid w:val="00AD1D71"/>
    <w:rsid w:val="00AD2499"/>
    <w:rsid w:val="00AD2B0D"/>
    <w:rsid w:val="00AD2D8C"/>
    <w:rsid w:val="00AD36DA"/>
    <w:rsid w:val="00AD3CEA"/>
    <w:rsid w:val="00AD58C3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2CB"/>
    <w:rsid w:val="00AE654E"/>
    <w:rsid w:val="00AE65BB"/>
    <w:rsid w:val="00AE6A66"/>
    <w:rsid w:val="00AF04BF"/>
    <w:rsid w:val="00AF0A8C"/>
    <w:rsid w:val="00AF0E7D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47457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5714B"/>
    <w:rsid w:val="00B60212"/>
    <w:rsid w:val="00B60390"/>
    <w:rsid w:val="00B60F26"/>
    <w:rsid w:val="00B61195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1AA8"/>
    <w:rsid w:val="00B924BC"/>
    <w:rsid w:val="00B93638"/>
    <w:rsid w:val="00B93EF4"/>
    <w:rsid w:val="00B94822"/>
    <w:rsid w:val="00B956EE"/>
    <w:rsid w:val="00B95A02"/>
    <w:rsid w:val="00B9618F"/>
    <w:rsid w:val="00B977D4"/>
    <w:rsid w:val="00B97CB7"/>
    <w:rsid w:val="00BA01D0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2E31"/>
    <w:rsid w:val="00BC3A0B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8B6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D5E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2772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4D7"/>
    <w:rsid w:val="00C555AC"/>
    <w:rsid w:val="00C627F2"/>
    <w:rsid w:val="00C62D38"/>
    <w:rsid w:val="00C62FD4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87"/>
    <w:rsid w:val="00C80CE7"/>
    <w:rsid w:val="00C81C28"/>
    <w:rsid w:val="00C81D77"/>
    <w:rsid w:val="00C82B1B"/>
    <w:rsid w:val="00C82BCD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49D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2703"/>
    <w:rsid w:val="00CC47BD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F27F0"/>
    <w:rsid w:val="00CF30BC"/>
    <w:rsid w:val="00CF4099"/>
    <w:rsid w:val="00CF541C"/>
    <w:rsid w:val="00CF79E3"/>
    <w:rsid w:val="00CF7D75"/>
    <w:rsid w:val="00D006D0"/>
    <w:rsid w:val="00D00752"/>
    <w:rsid w:val="00D00796"/>
    <w:rsid w:val="00D01FB4"/>
    <w:rsid w:val="00D02B78"/>
    <w:rsid w:val="00D04337"/>
    <w:rsid w:val="00D04C40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65F3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4934"/>
    <w:rsid w:val="00D457AD"/>
    <w:rsid w:val="00D46101"/>
    <w:rsid w:val="00D47010"/>
    <w:rsid w:val="00D47112"/>
    <w:rsid w:val="00D47ADD"/>
    <w:rsid w:val="00D47B00"/>
    <w:rsid w:val="00D508D5"/>
    <w:rsid w:val="00D509E1"/>
    <w:rsid w:val="00D51373"/>
    <w:rsid w:val="00D5239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7E3"/>
    <w:rsid w:val="00D64CFB"/>
    <w:rsid w:val="00D662F4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089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B772C"/>
    <w:rsid w:val="00DC0069"/>
    <w:rsid w:val="00DC0B7F"/>
    <w:rsid w:val="00DC22A9"/>
    <w:rsid w:val="00DC370F"/>
    <w:rsid w:val="00DC3B40"/>
    <w:rsid w:val="00DC4364"/>
    <w:rsid w:val="00DC5A13"/>
    <w:rsid w:val="00DC6460"/>
    <w:rsid w:val="00DC6708"/>
    <w:rsid w:val="00DC6731"/>
    <w:rsid w:val="00DC7B17"/>
    <w:rsid w:val="00DC7EC5"/>
    <w:rsid w:val="00DD15E4"/>
    <w:rsid w:val="00DD4130"/>
    <w:rsid w:val="00DD4319"/>
    <w:rsid w:val="00DD4406"/>
    <w:rsid w:val="00DD44DF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1E3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37D7"/>
    <w:rsid w:val="00E042B9"/>
    <w:rsid w:val="00E045BD"/>
    <w:rsid w:val="00E04615"/>
    <w:rsid w:val="00E04B9B"/>
    <w:rsid w:val="00E12EFA"/>
    <w:rsid w:val="00E1326D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0F7"/>
    <w:rsid w:val="00E75502"/>
    <w:rsid w:val="00E75939"/>
    <w:rsid w:val="00E76D26"/>
    <w:rsid w:val="00E77E61"/>
    <w:rsid w:val="00E77EEA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5EE"/>
    <w:rsid w:val="00EC0A02"/>
    <w:rsid w:val="00EC0FD5"/>
    <w:rsid w:val="00EC1228"/>
    <w:rsid w:val="00EC25EA"/>
    <w:rsid w:val="00EC2A8F"/>
    <w:rsid w:val="00EC363D"/>
    <w:rsid w:val="00EC3F9B"/>
    <w:rsid w:val="00EC4023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179D6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5B49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3FB1"/>
    <w:rsid w:val="00F54002"/>
    <w:rsid w:val="00F54238"/>
    <w:rsid w:val="00F542B0"/>
    <w:rsid w:val="00F55A9A"/>
    <w:rsid w:val="00F55AA5"/>
    <w:rsid w:val="00F60216"/>
    <w:rsid w:val="00F6091E"/>
    <w:rsid w:val="00F638D8"/>
    <w:rsid w:val="00F64384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77CB1"/>
    <w:rsid w:val="00F77E85"/>
    <w:rsid w:val="00F802BE"/>
    <w:rsid w:val="00F816DD"/>
    <w:rsid w:val="00F819F0"/>
    <w:rsid w:val="00F8204F"/>
    <w:rsid w:val="00F83B3F"/>
    <w:rsid w:val="00F83ECB"/>
    <w:rsid w:val="00F84171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7DEF"/>
    <w:rsid w:val="00FA0DB9"/>
    <w:rsid w:val="00FA130D"/>
    <w:rsid w:val="00FA1DA1"/>
    <w:rsid w:val="00FA328D"/>
    <w:rsid w:val="00FA426E"/>
    <w:rsid w:val="00FA4325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165F"/>
    <w:rsid w:val="00FC1A8D"/>
    <w:rsid w:val="00FC27C1"/>
    <w:rsid w:val="00FC2AED"/>
    <w:rsid w:val="00FC4151"/>
    <w:rsid w:val="00FC4E70"/>
    <w:rsid w:val="00FC4E72"/>
    <w:rsid w:val="00FC61A2"/>
    <w:rsid w:val="00FC6940"/>
    <w:rsid w:val="00FD0CE6"/>
    <w:rsid w:val="00FD103C"/>
    <w:rsid w:val="00FD131F"/>
    <w:rsid w:val="00FD2EAD"/>
    <w:rsid w:val="00FD2FED"/>
    <w:rsid w:val="00FD5B26"/>
    <w:rsid w:val="00FD5EA7"/>
    <w:rsid w:val="00FD640D"/>
    <w:rsid w:val="00FD7191"/>
    <w:rsid w:val="00FD72C7"/>
    <w:rsid w:val="00FD7E0D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18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Arkusz1!$B$89:$C$128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Arkusz1!$D$89:$D$128</c:f>
              <c:numCache>
                <c:formatCode>General</c:formatCode>
                <c:ptCount val="40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623379024"/>
        <c:axId val="638827520"/>
      </c:barChart>
      <c:catAx>
        <c:axId val="6233790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63882752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638827520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62337902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648897870067124E-2"/>
          <c:y val="6.6149908462345156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4.9456483868719949E-3"/>
                  <c:y val="-5.7442988926609904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218.0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7273980133015E-2"/>
                      <c:h val="6.07057270015161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6701584869E-3"/>
                  <c:y val="-5.1656119398013536E-4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123.5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4810437070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2291052114060963E-3"/>
                  <c:y val="-5.7830468708341562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108.8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956147074536041E-2"/>
                      <c:h val="8.283251275306162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3.687315634218289E-3"/>
                  <c:y val="-2.918842537459341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70798008656001E-2"/>
                      <c:h val="6.1399548532731364E-2"/>
                    </c:manualLayout>
                  </c15:layout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800"/>
                      <a:t>175.9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4580168629363807E-3"/>
                  <c:y val="9.978137608645337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110.0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120014865396E-2"/>
                      <c:h val="5.244663265850233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9.0133340941734457E-17"/>
                  <c:y val="5.7706048594940605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105.6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4582104228121925E-3"/>
                  <c:y val="4.5146726862302479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123.0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rodz_dział_miesiąc!$CF$4:$CF$11</c:f>
              <c:numCache>
                <c:formatCode>0.0</c:formatCode>
                <c:ptCount val="8"/>
                <c:pt idx="0">
                  <c:v>218</c:v>
                </c:pt>
                <c:pt idx="1">
                  <c:v>123.5</c:v>
                </c:pt>
                <c:pt idx="2">
                  <c:v>108.8</c:v>
                </c:pt>
                <c:pt idx="3">
                  <c:v>116.9</c:v>
                </c:pt>
                <c:pt idx="4">
                  <c:v>175.9</c:v>
                </c:pt>
                <c:pt idx="5">
                  <c:v>110</c:v>
                </c:pt>
                <c:pt idx="6">
                  <c:v>105.6</c:v>
                </c:pt>
                <c:pt idx="7">
                  <c:v>123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38826976"/>
        <c:axId val="638822080"/>
      </c:barChart>
      <c:catAx>
        <c:axId val="63882697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638822080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638822080"/>
        <c:scaling>
          <c:orientation val="minMax"/>
          <c:max val="24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638826976"/>
        <c:crosses val="autoZero"/>
        <c:crossBetween val="between"/>
        <c:majorUnit val="10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6.315979270296595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7"/>
              <c:layout>
                <c:manualLayout>
                  <c:x val="-4.9584727903805624E-3"/>
                  <c:y val="-2.832861189801695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121.4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7"/>
              <c:layout>
                <c:manualLayout>
                  <c:x val="-4.9584727903805624E-3"/>
                  <c:y val="2.8328611898016998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120.4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8836224"/>
        <c:axId val="638835136"/>
      </c:lineChart>
      <c:catAx>
        <c:axId val="638836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38835136"/>
        <c:crosses val="autoZero"/>
        <c:auto val="1"/>
        <c:lblAlgn val="ctr"/>
        <c:lblOffset val="100"/>
        <c:tickMarkSkip val="12"/>
        <c:noMultiLvlLbl val="0"/>
      </c:catAx>
      <c:valAx>
        <c:axId val="63883513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3883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0.3707</cdr:x>
      <cdr:y>0.43011</cdr:y>
    </cdr:from>
    <cdr:to>
      <cdr:x>0.50934</cdr:x>
      <cdr:y>0.54027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915170" y="1209921"/>
          <a:ext cx="716264" cy="30988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121.1</a:t>
          </a:r>
        </a:p>
      </cdr:txBody>
    </cdr:sp>
  </cdr:relSizeAnchor>
  <cdr:relSizeAnchor xmlns:cdr="http://schemas.openxmlformats.org/drawingml/2006/chartDrawing">
    <cdr:from>
      <cdr:x>0.3719</cdr:x>
      <cdr:y>0.52972</cdr:y>
    </cdr:from>
    <cdr:to>
      <cdr:x>0.42141</cdr:x>
      <cdr:y>0.64683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921371" y="1490119"/>
          <a:ext cx="255786" cy="32943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0.04665</cdr:x>
      <cdr:y>0.66011</cdr:y>
    </cdr:from>
    <cdr:to>
      <cdr:x>0.95377</cdr:x>
      <cdr:y>0.66133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41010" y="1856924"/>
          <a:ext cx="4686508" cy="343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0CCF2-B96E-4F2F-87D9-49389C1F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2021-04-22T06:51:00Z</cp:lastPrinted>
  <dcterms:created xsi:type="dcterms:W3CDTF">2021-05-21T11:09:00Z</dcterms:created>
  <dcterms:modified xsi:type="dcterms:W3CDTF">2021-05-21T11:32:00Z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