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79837E87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3CFBBD07" w14:textId="2707547E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DC01D5">
        <w:rPr>
          <w:shd w:val="clear" w:color="auto" w:fill="FFFFFF"/>
          <w:lang w:val="en-GB"/>
        </w:rPr>
        <w:t>December</w:t>
      </w:r>
      <w:r>
        <w:rPr>
          <w:shd w:val="clear" w:color="auto" w:fill="FFFFFF"/>
          <w:lang w:val="en-GB"/>
        </w:rPr>
        <w:t xml:space="preserve"> 2020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6360FB8B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29C20BF8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25E6236D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5F04DABA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01D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11.2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5DA58435" w:rsidR="00BB33B9" w:rsidRPr="00A84C79" w:rsidRDefault="00F81C4E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in sold production   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>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DC01D5">
                              <w:rPr>
                                <w:sz w:val="20"/>
                                <w:lang w:val="en-US"/>
                              </w:rPr>
                              <w:t>December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2019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5F04DABA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01D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11.2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5DA58435" w:rsidR="00BB33B9" w:rsidRPr="00A84C79" w:rsidRDefault="00F81C4E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in sold production   </w:t>
                      </w:r>
                      <w:r w:rsidR="007B4306">
                        <w:rPr>
                          <w:sz w:val="20"/>
                          <w:lang w:val="en-US"/>
                        </w:rPr>
                        <w:t>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DC01D5">
                        <w:rPr>
                          <w:sz w:val="20"/>
                          <w:lang w:val="en-US"/>
                        </w:rPr>
                        <w:t>December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2019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01D5">
        <w:rPr>
          <w:lang w:val="en-GB"/>
        </w:rPr>
        <w:t>In December</w:t>
      </w:r>
      <w:r>
        <w:rPr>
          <w:lang w:val="en-GB"/>
        </w:rPr>
        <w:t xml:space="preserve"> 2020</w:t>
      </w:r>
      <w:r w:rsidRPr="00C52703">
        <w:rPr>
          <w:lang w:val="en-GB"/>
        </w:rPr>
        <w:t xml:space="preserve">, sold production of industry was by </w:t>
      </w:r>
      <w:r w:rsidR="00DC01D5">
        <w:rPr>
          <w:lang w:val="en-GB"/>
        </w:rPr>
        <w:t>11.2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DC01D5">
        <w:rPr>
          <w:lang w:val="en-GB"/>
        </w:rPr>
        <w:t>December</w:t>
      </w:r>
      <w:r>
        <w:rPr>
          <w:lang w:val="en-GB"/>
        </w:rPr>
        <w:t xml:space="preserve"> 2019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9C547B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DC01D5">
        <w:rPr>
          <w:spacing w:val="-2"/>
          <w:lang w:val="en-GB"/>
        </w:rPr>
        <w:t>3.8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DC01D5">
        <w:rPr>
          <w:spacing w:val="-2"/>
          <w:lang w:val="en-GB"/>
        </w:rPr>
        <w:t>November</w:t>
      </w:r>
      <w:r>
        <w:rPr>
          <w:spacing w:val="-2"/>
          <w:lang w:val="en-GB"/>
        </w:rPr>
        <w:t xml:space="preserve"> 2020,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026847">
        <w:rPr>
          <w:spacing w:val="-2"/>
          <w:lang w:val="en-GB"/>
        </w:rPr>
        <w:t>de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DC01D5">
        <w:rPr>
          <w:spacing w:val="-2"/>
          <w:lang w:val="en-GB"/>
        </w:rPr>
        <w:t>4.4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DC01D5">
        <w:rPr>
          <w:lang w:val="en-GB"/>
        </w:rPr>
        <w:t>December</w:t>
      </w:r>
      <w:r w:rsidR="0019680B">
        <w:rPr>
          <w:lang w:val="en-GB"/>
        </w:rPr>
        <w:t xml:space="preserve"> </w:t>
      </w:r>
      <w:r>
        <w:rPr>
          <w:lang w:val="en-GB"/>
        </w:rPr>
        <w:t>of 2020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DC01D5">
        <w:rPr>
          <w:lang w:val="en-GB"/>
        </w:rPr>
        <w:t>1.0</w:t>
      </w:r>
      <w:r w:rsidRPr="00C52703">
        <w:rPr>
          <w:lang w:val="en-GB"/>
        </w:rPr>
        <w:t xml:space="preserve">% </w:t>
      </w:r>
      <w:r>
        <w:rPr>
          <w:lang w:val="en-GB"/>
        </w:rPr>
        <w:t>lower</w:t>
      </w:r>
      <w:r w:rsidRPr="00C52703">
        <w:rPr>
          <w:lang w:val="en-GB"/>
        </w:rPr>
        <w:t xml:space="preserve"> than in </w:t>
      </w:r>
      <w:r>
        <w:rPr>
          <w:lang w:val="en-GB"/>
        </w:rPr>
        <w:t>the corresponding period of 2019,</w:t>
      </w:r>
      <w:r w:rsidRPr="00C52703">
        <w:rPr>
          <w:lang w:val="en-GB"/>
        </w:rPr>
        <w:t xml:space="preserve"> which saw a </w:t>
      </w:r>
      <w:r w:rsidR="00E90FCB">
        <w:rPr>
          <w:lang w:val="en-GB"/>
        </w:rPr>
        <w:t xml:space="preserve">growth by </w:t>
      </w:r>
      <w:r w:rsidR="00026847">
        <w:rPr>
          <w:lang w:val="en-GB"/>
        </w:rPr>
        <w:t>4.0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0A97B505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6CB4EC45" w14:textId="4956B351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42AEC820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2BAC429F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3BAE92E3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DC01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December 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2020 amounted </w:t>
                            </w:r>
                            <w:r w:rsidR="00DC01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7.1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CDB" id="_x0000_s1028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wqas/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3BAE92E3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DC01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December 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2020 amounted </w:t>
                      </w:r>
                      <w:r w:rsidR="00DC01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7.1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660892" w14:textId="49D16601" w:rsidR="00BB33B9" w:rsidRPr="00AE5BE5" w:rsidRDefault="00BB33B9" w:rsidP="00BB33B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DC01D5">
        <w:rPr>
          <w:noProof/>
          <w:spacing w:val="-2"/>
          <w:szCs w:val="19"/>
          <w:lang w:val="en-GB"/>
        </w:rPr>
        <w:t>December</w:t>
      </w:r>
      <w:r w:rsidR="00405D79">
        <w:rPr>
          <w:noProof/>
          <w:spacing w:val="-2"/>
          <w:szCs w:val="19"/>
          <w:lang w:val="en-GB"/>
        </w:rPr>
        <w:t xml:space="preserve"> </w:t>
      </w:r>
      <w:r w:rsidRPr="00AE5BE5">
        <w:rPr>
          <w:noProof/>
          <w:spacing w:val="-2"/>
          <w:szCs w:val="19"/>
          <w:lang w:val="en-GB"/>
        </w:rPr>
        <w:t xml:space="preserve">2020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DC01D5">
        <w:rPr>
          <w:noProof/>
          <w:spacing w:val="-2"/>
          <w:szCs w:val="19"/>
          <w:lang w:val="en-GB"/>
        </w:rPr>
        <w:t>7.1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19680B">
        <w:rPr>
          <w:noProof/>
          <w:spacing w:val="-2"/>
          <w:szCs w:val="19"/>
          <w:lang w:val="en-GB"/>
        </w:rPr>
        <w:t xml:space="preserve">onding month of 2019 and by </w:t>
      </w:r>
      <w:r w:rsidR="00DC01D5">
        <w:rPr>
          <w:noProof/>
          <w:spacing w:val="-2"/>
          <w:szCs w:val="19"/>
          <w:lang w:val="en-GB"/>
        </w:rPr>
        <w:t>0.5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19680B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 </w:t>
      </w:r>
      <w:r w:rsidR="00DC01D5">
        <w:rPr>
          <w:noProof/>
          <w:spacing w:val="-2"/>
          <w:szCs w:val="19"/>
          <w:lang w:val="en-GB"/>
        </w:rPr>
        <w:t>November</w:t>
      </w:r>
      <w:r>
        <w:rPr>
          <w:noProof/>
          <w:spacing w:val="-2"/>
          <w:szCs w:val="19"/>
          <w:lang w:val="en-GB"/>
        </w:rPr>
        <w:t xml:space="preserve"> 2020</w:t>
      </w:r>
      <w:r w:rsidRPr="00AE5BE5">
        <w:rPr>
          <w:noProof/>
          <w:spacing w:val="-2"/>
          <w:szCs w:val="19"/>
          <w:lang w:val="en-GB"/>
        </w:rPr>
        <w:t>.</w:t>
      </w:r>
    </w:p>
    <w:p w14:paraId="303DE366" w14:textId="5651F096" w:rsidR="003627E7" w:rsidRPr="007B4306" w:rsidRDefault="003627E7" w:rsidP="003627E7">
      <w:pPr>
        <w:jc w:val="both"/>
        <w:rPr>
          <w:b/>
          <w:noProof/>
          <w:szCs w:val="19"/>
          <w:lang w:val="en-US" w:eastAsia="pl-PL"/>
        </w:rPr>
      </w:pPr>
    </w:p>
    <w:p w14:paraId="51497FAB" w14:textId="1812AB6A" w:rsidR="003627E7" w:rsidRPr="007B4306" w:rsidRDefault="00DC01D5" w:rsidP="003627E7">
      <w:pPr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41536" behindDoc="0" locked="0" layoutInCell="1" allowOverlap="1" wp14:anchorId="3D519DEA" wp14:editId="4ADEC669">
            <wp:simplePos x="0" y="0"/>
            <wp:positionH relativeFrom="margin">
              <wp:posOffset>-59055</wp:posOffset>
            </wp:positionH>
            <wp:positionV relativeFrom="paragraph">
              <wp:posOffset>205029</wp:posOffset>
            </wp:positionV>
            <wp:extent cx="5179060" cy="3151505"/>
            <wp:effectExtent l="0" t="0" r="254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05D2ACF2" w14:textId="1D1DB76E" w:rsidR="003627E7" w:rsidRPr="007B4306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  <w:lang w:val="en-US"/>
        </w:rPr>
      </w:pPr>
    </w:p>
    <w:p w14:paraId="755086EE" w14:textId="08B71F7B" w:rsidR="00AD6B92" w:rsidRPr="00D75D28" w:rsidRDefault="00AD6B92" w:rsidP="00AD6B92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DC01D5">
        <w:rPr>
          <w:b w:val="0"/>
          <w:sz w:val="19"/>
          <w:szCs w:val="19"/>
          <w:shd w:val="clear" w:color="auto" w:fill="FFFFFF"/>
          <w:lang w:val="en-GB"/>
        </w:rPr>
        <w:t>December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2020,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>in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026847" w:rsidRPr="00FC4B57">
        <w:rPr>
          <w:b w:val="0"/>
          <w:sz w:val="19"/>
          <w:szCs w:val="19"/>
          <w:shd w:val="clear" w:color="auto" w:fill="FFFFFF"/>
          <w:lang w:val="en-GB"/>
        </w:rPr>
        <w:t xml:space="preserve"> most of the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main industrial groupings.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15DB7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615DB7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C01D5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DC01D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>in</w:t>
      </w:r>
      <w:r w:rsidR="005E5DF4">
        <w:rPr>
          <w:b w:val="0"/>
          <w:sz w:val="19"/>
          <w:szCs w:val="19"/>
          <w:shd w:val="clear" w:color="auto" w:fill="FFFFFF"/>
          <w:lang w:val="en-GB"/>
        </w:rPr>
        <w:t xml:space="preserve">creased by </w:t>
      </w:r>
      <w:r w:rsidR="00DC01D5">
        <w:rPr>
          <w:b w:val="0"/>
          <w:sz w:val="19"/>
          <w:szCs w:val="19"/>
          <w:shd w:val="clear" w:color="auto" w:fill="FFFFFF"/>
          <w:lang w:val="en-GB"/>
        </w:rPr>
        <w:t>30.2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>%,</w:t>
      </w:r>
      <w:r w:rsidR="00DC01D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C01D5" w:rsidRPr="005B587B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DC01D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–by </w:t>
      </w:r>
      <w:r w:rsidR="00DC01D5">
        <w:rPr>
          <w:b w:val="0"/>
          <w:sz w:val="19"/>
          <w:szCs w:val="19"/>
          <w:shd w:val="clear" w:color="auto" w:fill="FFFFFF"/>
          <w:lang w:val="en-GB"/>
        </w:rPr>
        <w:t>17.3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026847" w:rsidRPr="005B587B">
        <w:rPr>
          <w:b w:val="0"/>
          <w:sz w:val="19"/>
          <w:szCs w:val="19"/>
          <w:shd w:val="clear" w:color="auto" w:fill="FFFFFF"/>
          <w:lang w:val="en-GB"/>
        </w:rPr>
        <w:t>capital goods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026847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DC01D5">
        <w:rPr>
          <w:b w:val="0"/>
          <w:sz w:val="19"/>
          <w:szCs w:val="19"/>
          <w:shd w:val="clear" w:color="auto" w:fill="FFFFFF"/>
          <w:lang w:val="en-GB"/>
        </w:rPr>
        <w:t>9.8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026847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026847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DC01D5">
        <w:rPr>
          <w:b w:val="0"/>
          <w:sz w:val="19"/>
          <w:szCs w:val="19"/>
          <w:shd w:val="clear" w:color="auto" w:fill="FFFFFF"/>
          <w:lang w:val="en-GB"/>
        </w:rPr>
        <w:t>5.0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%. </w:t>
      </w:r>
      <w:r w:rsidRPr="00E2764C">
        <w:rPr>
          <w:b w:val="0"/>
          <w:sz w:val="19"/>
          <w:szCs w:val="19"/>
          <w:lang w:val="en-GB"/>
        </w:rPr>
        <w:t>A</w:t>
      </w:r>
      <w:r w:rsidR="00026847">
        <w:rPr>
          <w:b w:val="0"/>
          <w:sz w:val="19"/>
          <w:szCs w:val="19"/>
          <w:lang w:val="en-GB"/>
        </w:rPr>
        <w:t xml:space="preserve"> de</w:t>
      </w:r>
      <w:r w:rsidRPr="00E2764C">
        <w:rPr>
          <w:b w:val="0"/>
          <w:sz w:val="19"/>
          <w:szCs w:val="19"/>
          <w:lang w:val="en-GB"/>
        </w:rPr>
        <w:t xml:space="preserve">crease was </w:t>
      </w:r>
      <w:r w:rsidRPr="004D23D2">
        <w:rPr>
          <w:b w:val="0"/>
          <w:sz w:val="19"/>
          <w:szCs w:val="19"/>
          <w:lang w:val="en-GB"/>
        </w:rPr>
        <w:t>observed in</w:t>
      </w:r>
      <w:r w:rsidRPr="004D23D2">
        <w:rPr>
          <w:sz w:val="19"/>
          <w:szCs w:val="19"/>
          <w:lang w:val="en-GB"/>
        </w:rPr>
        <w:t xml:space="preserve"> </w:t>
      </w:r>
      <w:r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15DB7" w:rsidRPr="005B587B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026847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615DB7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DC01D5">
        <w:rPr>
          <w:b w:val="0"/>
          <w:sz w:val="19"/>
          <w:szCs w:val="19"/>
          <w:shd w:val="clear" w:color="auto" w:fill="FFFFFF"/>
          <w:lang w:val="en-GB"/>
        </w:rPr>
        <w:t>2.7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>%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>.</w:t>
      </w:r>
      <w:r w:rsidR="00026847" w:rsidRPr="000268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1F90A97A" w14:textId="61976C03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0BC26C1D" w14:textId="3C63A35E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3CBA5041" w14:textId="2E367771" w:rsidR="00BB33B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6C4C9841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B33B9" w:rsidRPr="00C52703" w14:paraId="6891EC02" w14:textId="77777777" w:rsidTr="00554A1B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14:paraId="42522CF5" w14:textId="40B974D0" w:rsidR="00BB33B9" w:rsidRPr="00C52703" w:rsidRDefault="00DC01D5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12</w:t>
            </w:r>
            <w:r w:rsidR="001F312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  <w:tc>
          <w:tcPr>
            <w:tcW w:w="1305" w:type="dxa"/>
          </w:tcPr>
          <w:p w14:paraId="65938CEA" w14:textId="65225586" w:rsidR="00BB33B9" w:rsidRPr="00C52703" w:rsidRDefault="001F312B" w:rsidP="00AD6B92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 w:rsidR="00DC01D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12</w:t>
            </w:r>
            <w:r w:rsidR="00AD6B9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554A1B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14:paraId="516C0C05" w14:textId="4D798AAC" w:rsidR="00BB33B9" w:rsidRPr="00C52703" w:rsidRDefault="005E5DF4" w:rsidP="005E5DF4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 w:rsidR="00DC01D5"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14:paraId="39160A69" w14:textId="3A6CED99" w:rsidR="00BB33B9" w:rsidRPr="00C52703" w:rsidRDefault="00AD6B92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 w:rsidR="00DC01D5">
              <w:rPr>
                <w:color w:val="000000" w:themeColor="text1"/>
                <w:sz w:val="16"/>
                <w:szCs w:val="16"/>
                <w:lang w:val="en-GB"/>
              </w:rPr>
              <w:t>2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14:paraId="0691100D" w14:textId="083A4F4C" w:rsidR="00BB33B9" w:rsidRPr="00C43A96" w:rsidRDefault="001F312B" w:rsidP="00AD6B92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</w:t>
            </w:r>
            <w:r w:rsidR="0019680B">
              <w:rPr>
                <w:sz w:val="16"/>
                <w:szCs w:val="16"/>
                <w:lang w:val="en-GB"/>
              </w:rPr>
              <w:t>-</w:t>
            </w:r>
            <w:r w:rsidR="00DC01D5">
              <w:rPr>
                <w:sz w:val="16"/>
                <w:szCs w:val="16"/>
                <w:lang w:val="en-GB"/>
              </w:rPr>
              <w:t>12</w:t>
            </w:r>
            <w:r w:rsidR="00BB33B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554A1B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14:paraId="444C7070" w14:textId="3529A06C" w:rsidR="0019680B" w:rsidRPr="009D4C87" w:rsidRDefault="00DC01D5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95.6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14:paraId="438247E3" w14:textId="1A599B62" w:rsidR="0019680B" w:rsidRPr="009D4C87" w:rsidRDefault="00DC01D5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111.2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14:paraId="780CA913" w14:textId="37EF9D89" w:rsidR="0019680B" w:rsidRPr="00DD58F4" w:rsidRDefault="00DC01D5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126.8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14:paraId="18BF4766" w14:textId="438B4D51" w:rsidR="0019680B" w:rsidRPr="009D4C87" w:rsidRDefault="00DC01D5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99.0</w:t>
            </w:r>
          </w:p>
        </w:tc>
      </w:tr>
      <w:tr w:rsidR="0019680B" w:rsidRPr="001D6A44" w14:paraId="2A38CBFB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14:paraId="35ECCD50" w14:textId="18FC0F87" w:rsidR="0019680B" w:rsidRPr="009D4C87" w:rsidRDefault="00DC01D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102.5</w:t>
            </w:r>
          </w:p>
        </w:tc>
        <w:tc>
          <w:tcPr>
            <w:tcW w:w="1383" w:type="dxa"/>
            <w:vAlign w:val="center"/>
          </w:tcPr>
          <w:p w14:paraId="588D4170" w14:textId="7AAAD07F" w:rsidR="0019680B" w:rsidRPr="009D4C87" w:rsidRDefault="00DC01D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109.7</w:t>
            </w:r>
          </w:p>
        </w:tc>
        <w:tc>
          <w:tcPr>
            <w:tcW w:w="1521" w:type="dxa"/>
            <w:vAlign w:val="center"/>
          </w:tcPr>
          <w:p w14:paraId="3E145B8D" w14:textId="7E7B6AE8" w:rsidR="0019680B" w:rsidRPr="00DD58F4" w:rsidRDefault="00DC01D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93.6</w:t>
            </w:r>
          </w:p>
        </w:tc>
        <w:tc>
          <w:tcPr>
            <w:tcW w:w="1305" w:type="dxa"/>
            <w:vAlign w:val="center"/>
          </w:tcPr>
          <w:p w14:paraId="2E08FF59" w14:textId="5221E388" w:rsidR="0019680B" w:rsidRPr="009D4C87" w:rsidRDefault="00DC01D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93.0</w:t>
            </w:r>
          </w:p>
        </w:tc>
      </w:tr>
      <w:tr w:rsidR="0019680B" w:rsidRPr="001D6A44" w14:paraId="150A389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14:paraId="7FC620EA" w14:textId="18EC5BAD" w:rsidR="0019680B" w:rsidRPr="009D4C87" w:rsidRDefault="00DC01D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94.0</w:t>
            </w:r>
          </w:p>
        </w:tc>
        <w:tc>
          <w:tcPr>
            <w:tcW w:w="1383" w:type="dxa"/>
            <w:vAlign w:val="center"/>
          </w:tcPr>
          <w:p w14:paraId="6EE9A7FE" w14:textId="060D866F" w:rsidR="0019680B" w:rsidRPr="009D4C87" w:rsidRDefault="00DC01D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112.8</w:t>
            </w:r>
          </w:p>
        </w:tc>
        <w:tc>
          <w:tcPr>
            <w:tcW w:w="1521" w:type="dxa"/>
            <w:vAlign w:val="center"/>
          </w:tcPr>
          <w:p w14:paraId="14DEA633" w14:textId="5FC133D3" w:rsidR="0019680B" w:rsidRPr="00DD58F4" w:rsidRDefault="00DC01D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127.7</w:t>
            </w:r>
          </w:p>
        </w:tc>
        <w:tc>
          <w:tcPr>
            <w:tcW w:w="1305" w:type="dxa"/>
            <w:vAlign w:val="center"/>
          </w:tcPr>
          <w:p w14:paraId="3C9AADCC" w14:textId="7922C0B4" w:rsidR="0019680B" w:rsidRPr="009D4C87" w:rsidRDefault="00DC01D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99.0</w:t>
            </w:r>
          </w:p>
        </w:tc>
      </w:tr>
      <w:tr w:rsidR="0019680B" w:rsidRPr="00D22ECE" w14:paraId="42745E0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14:paraId="5D57BAE3" w14:textId="3E85C713" w:rsidR="0019680B" w:rsidRPr="009D4C87" w:rsidRDefault="00DC01D5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110.0</w:t>
            </w:r>
          </w:p>
        </w:tc>
        <w:tc>
          <w:tcPr>
            <w:tcW w:w="1383" w:type="dxa"/>
            <w:vAlign w:val="center"/>
          </w:tcPr>
          <w:p w14:paraId="09A98E34" w14:textId="08258851" w:rsidR="0019680B" w:rsidRPr="009D4C87" w:rsidRDefault="00DC01D5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97.2</w:t>
            </w:r>
          </w:p>
        </w:tc>
        <w:tc>
          <w:tcPr>
            <w:tcW w:w="1521" w:type="dxa"/>
            <w:vAlign w:val="center"/>
          </w:tcPr>
          <w:p w14:paraId="48C11E68" w14:textId="11EE1513" w:rsidR="0019680B" w:rsidRPr="00DD58F4" w:rsidRDefault="00DC01D5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129.0</w:t>
            </w:r>
          </w:p>
        </w:tc>
        <w:tc>
          <w:tcPr>
            <w:tcW w:w="1305" w:type="dxa"/>
            <w:vAlign w:val="center"/>
          </w:tcPr>
          <w:p w14:paraId="33B85A7E" w14:textId="4547B399" w:rsidR="0019680B" w:rsidRPr="009D4C87" w:rsidRDefault="00DC01D5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98.1</w:t>
            </w:r>
          </w:p>
        </w:tc>
      </w:tr>
      <w:tr w:rsidR="0019680B" w:rsidRPr="00A20FD5" w14:paraId="48DD5616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14:paraId="10ECFA20" w14:textId="2D330BD4" w:rsidR="0019680B" w:rsidRPr="009D4C87" w:rsidRDefault="00DC01D5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106.8</w:t>
            </w:r>
          </w:p>
        </w:tc>
        <w:tc>
          <w:tcPr>
            <w:tcW w:w="1383" w:type="dxa"/>
            <w:vAlign w:val="center"/>
          </w:tcPr>
          <w:p w14:paraId="6E445ECF" w14:textId="22EB4CD7" w:rsidR="0019680B" w:rsidRPr="009D4C87" w:rsidRDefault="00DC01D5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111.3</w:t>
            </w:r>
          </w:p>
        </w:tc>
        <w:tc>
          <w:tcPr>
            <w:tcW w:w="1521" w:type="dxa"/>
            <w:vAlign w:val="center"/>
          </w:tcPr>
          <w:p w14:paraId="4FF62C73" w14:textId="75AB3132" w:rsidR="0019680B" w:rsidRPr="00DD58F4" w:rsidRDefault="00DC01D5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141.6</w:t>
            </w:r>
          </w:p>
        </w:tc>
        <w:tc>
          <w:tcPr>
            <w:tcW w:w="1305" w:type="dxa"/>
            <w:vAlign w:val="center"/>
          </w:tcPr>
          <w:p w14:paraId="32141E5B" w14:textId="6AC1D84F" w:rsidR="0019680B" w:rsidRPr="009D4C87" w:rsidRDefault="00DC01D5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106.9</w:t>
            </w:r>
          </w:p>
        </w:tc>
      </w:tr>
    </w:tbl>
    <w:p w14:paraId="6E3C5957" w14:textId="54A1D9C1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54BB3090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DC01D5">
        <w:rPr>
          <w:sz w:val="16"/>
          <w:szCs w:val="16"/>
          <w:lang w:val="en-GB"/>
        </w:rPr>
        <w:t>November and reported data – in December</w:t>
      </w:r>
      <w:r w:rsidR="00BB33B9">
        <w:rPr>
          <w:sz w:val="16"/>
          <w:szCs w:val="16"/>
          <w:lang w:val="en-GB"/>
        </w:rPr>
        <w:t>.</w:t>
      </w:r>
    </w:p>
    <w:p w14:paraId="52E735D6" w14:textId="5BA30B61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DEB3304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35A263DE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DC01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 w:rsidR="006C1B1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DC01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82.3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35A263DE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DC01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 w:rsidR="006C1B1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DC01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82.3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27C01BBC" w14:textId="59E41396" w:rsidR="0061693D" w:rsidRDefault="00BB33B9" w:rsidP="00BB33B9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DC01D5">
        <w:rPr>
          <w:noProof/>
          <w:spacing w:val="-2"/>
          <w:szCs w:val="19"/>
          <w:lang w:val="en-GB"/>
        </w:rPr>
        <w:t>December</w:t>
      </w:r>
      <w:r>
        <w:rPr>
          <w:noProof/>
          <w:spacing w:val="-2"/>
          <w:szCs w:val="19"/>
          <w:lang w:val="en-GB"/>
        </w:rPr>
        <w:t xml:space="preserve"> 2020,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DC01D5">
        <w:rPr>
          <w:noProof/>
          <w:spacing w:val="-2"/>
          <w:szCs w:val="19"/>
          <w:lang w:val="en-GB"/>
        </w:rPr>
        <w:t>December</w:t>
      </w:r>
      <w:r w:rsidR="005E5DF4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 xml:space="preserve">2019,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DC01D5">
        <w:rPr>
          <w:noProof/>
          <w:spacing w:val="-2"/>
          <w:szCs w:val="19"/>
          <w:lang w:val="en-GB"/>
        </w:rPr>
        <w:t>28</w:t>
      </w:r>
      <w:r w:rsidRPr="00D22ECE">
        <w:rPr>
          <w:noProof/>
          <w:spacing w:val="-2"/>
          <w:szCs w:val="19"/>
          <w:lang w:val="en-GB"/>
        </w:rPr>
        <w:t xml:space="preserve"> (out of 34) i</w:t>
      </w:r>
      <w:r w:rsidR="00256334">
        <w:rPr>
          <w:noProof/>
          <w:spacing w:val="-2"/>
          <w:szCs w:val="19"/>
          <w:lang w:val="en-GB"/>
        </w:rPr>
        <w:t>ndustry divisions, among others,</w:t>
      </w:r>
      <w:r w:rsidRPr="00D22E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61693D">
        <w:rPr>
          <w:noProof/>
          <w:spacing w:val="-2"/>
          <w:szCs w:val="19"/>
          <w:lang w:val="en-GB"/>
        </w:rPr>
        <w:t xml:space="preserve">manufacture of computer, electronic and optical products – by 39.3%, </w:t>
      </w:r>
      <w:r w:rsidR="00691E20" w:rsidRPr="009D61BA">
        <w:rPr>
          <w:noProof/>
          <w:szCs w:val="19"/>
          <w:lang w:val="en-GB"/>
        </w:rPr>
        <w:t xml:space="preserve">manufacture of electrical equipment – by </w:t>
      </w:r>
      <w:r w:rsidR="0061693D">
        <w:rPr>
          <w:noProof/>
          <w:szCs w:val="19"/>
          <w:lang w:val="en-GB"/>
        </w:rPr>
        <w:t>39.1</w:t>
      </w:r>
      <w:r w:rsidR="00691E20">
        <w:rPr>
          <w:noProof/>
          <w:szCs w:val="19"/>
          <w:lang w:val="en-GB"/>
        </w:rPr>
        <w:t>%,</w:t>
      </w:r>
      <w:r w:rsidR="00691E20" w:rsidRPr="008C421A">
        <w:rPr>
          <w:noProof/>
          <w:spacing w:val="-2"/>
          <w:szCs w:val="19"/>
          <w:lang w:val="en-GB"/>
        </w:rPr>
        <w:t xml:space="preserve"> </w:t>
      </w:r>
      <w:r w:rsidR="0061693D" w:rsidRPr="00D22ECE">
        <w:rPr>
          <w:noProof/>
          <w:spacing w:val="-2"/>
          <w:szCs w:val="19"/>
          <w:lang w:val="en-GB"/>
        </w:rPr>
        <w:t>manufa</w:t>
      </w:r>
      <w:r w:rsidR="0061693D">
        <w:rPr>
          <w:noProof/>
          <w:spacing w:val="-2"/>
          <w:szCs w:val="19"/>
          <w:lang w:val="en-GB"/>
        </w:rPr>
        <w:t>cture of rubber and plastic products – by 24.8%,</w:t>
      </w:r>
      <w:r w:rsidR="0061693D" w:rsidRPr="0061693D">
        <w:rPr>
          <w:noProof/>
          <w:spacing w:val="-2"/>
          <w:szCs w:val="19"/>
          <w:lang w:val="en-GB"/>
        </w:rPr>
        <w:t xml:space="preserve"> </w:t>
      </w:r>
      <w:r w:rsidR="0061693D">
        <w:rPr>
          <w:noProof/>
          <w:spacing w:val="-2"/>
          <w:szCs w:val="19"/>
          <w:lang w:val="en-GB"/>
        </w:rPr>
        <w:t>m</w:t>
      </w:r>
      <w:r w:rsidR="0061693D" w:rsidRPr="00082002">
        <w:rPr>
          <w:noProof/>
          <w:spacing w:val="-2"/>
          <w:szCs w:val="19"/>
          <w:lang w:val="en-GB"/>
        </w:rPr>
        <w:t>anufacture of products of wood, cork, straw</w:t>
      </w:r>
      <w:r w:rsidR="0061693D" w:rsidRPr="00082002">
        <w:t xml:space="preserve"> </w:t>
      </w:r>
      <w:r w:rsidR="0061693D" w:rsidRPr="00082002">
        <w:rPr>
          <w:noProof/>
          <w:spacing w:val="-2"/>
          <w:szCs w:val="19"/>
          <w:lang w:val="en-GB"/>
        </w:rPr>
        <w:t>and wicker</w:t>
      </w:r>
      <w:r w:rsidR="0061693D">
        <w:rPr>
          <w:noProof/>
          <w:spacing w:val="-2"/>
          <w:szCs w:val="19"/>
          <w:lang w:val="en-GB"/>
        </w:rPr>
        <w:t xml:space="preserve"> – by 22.0%,</w:t>
      </w:r>
    </w:p>
    <w:p w14:paraId="43691329" w14:textId="0589F557" w:rsidR="00615DB7" w:rsidRDefault="000D6E9C" w:rsidP="00BB33B9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pacing w:val="-2"/>
          <w:szCs w:val="19"/>
          <w:lang w:val="en-GB"/>
        </w:rPr>
        <w:t>m</w:t>
      </w:r>
      <w:r w:rsidRPr="0065283F">
        <w:rPr>
          <w:noProof/>
          <w:spacing w:val="-2"/>
          <w:szCs w:val="19"/>
          <w:lang w:val="en-GB"/>
        </w:rPr>
        <w:t xml:space="preserve">anufacture of </w:t>
      </w:r>
      <w:r w:rsidR="0061693D" w:rsidRPr="0061693D">
        <w:rPr>
          <w:noProof/>
          <w:spacing w:val="-2"/>
          <w:szCs w:val="19"/>
          <w:lang w:val="en-GB"/>
        </w:rPr>
        <w:t>furniture</w:t>
      </w:r>
      <w:r w:rsidR="00973F0D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 xml:space="preserve">– by </w:t>
      </w:r>
      <w:r w:rsidR="00973F0D">
        <w:rPr>
          <w:noProof/>
          <w:spacing w:val="-2"/>
          <w:szCs w:val="19"/>
          <w:lang w:val="en-GB"/>
        </w:rPr>
        <w:t>20.4</w:t>
      </w:r>
      <w:r>
        <w:rPr>
          <w:noProof/>
          <w:spacing w:val="-2"/>
          <w:szCs w:val="19"/>
          <w:lang w:val="en-GB"/>
        </w:rPr>
        <w:t>%,</w:t>
      </w:r>
      <w:r w:rsidRPr="00082002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691E20">
        <w:rPr>
          <w:noProof/>
          <w:spacing w:val="-2"/>
          <w:szCs w:val="19"/>
          <w:lang w:val="en-GB"/>
        </w:rPr>
        <w:t xml:space="preserve">anufacture of </w:t>
      </w:r>
      <w:r w:rsidR="00973F0D" w:rsidRPr="00973F0D">
        <w:rPr>
          <w:noProof/>
          <w:spacing w:val="-2"/>
          <w:szCs w:val="19"/>
          <w:lang w:val="en-GB"/>
        </w:rPr>
        <w:t>metal products</w:t>
      </w:r>
      <w:r w:rsidR="00973F0D">
        <w:rPr>
          <w:noProof/>
          <w:spacing w:val="-2"/>
          <w:szCs w:val="19"/>
          <w:lang w:val="en-GB"/>
        </w:rPr>
        <w:t xml:space="preserve"> – by 15.0</w:t>
      </w:r>
      <w:r>
        <w:rPr>
          <w:noProof/>
          <w:spacing w:val="-2"/>
          <w:szCs w:val="19"/>
          <w:lang w:val="en-GB"/>
        </w:rPr>
        <w:t xml:space="preserve">%, </w:t>
      </w:r>
      <w:r w:rsidR="00973F0D">
        <w:rPr>
          <w:noProof/>
          <w:spacing w:val="-2"/>
          <w:szCs w:val="19"/>
          <w:lang w:val="en-GB"/>
        </w:rPr>
        <w:t>m</w:t>
      </w:r>
      <w:r w:rsidR="00973F0D" w:rsidRPr="0065283F">
        <w:rPr>
          <w:noProof/>
          <w:spacing w:val="-2"/>
          <w:szCs w:val="19"/>
          <w:lang w:val="en-GB"/>
        </w:rPr>
        <w:t xml:space="preserve">anufacture of </w:t>
      </w:r>
      <w:r w:rsidR="00973F0D">
        <w:rPr>
          <w:noProof/>
          <w:spacing w:val="-2"/>
          <w:szCs w:val="19"/>
          <w:lang w:val="en-GB"/>
        </w:rPr>
        <w:t>pape</w:t>
      </w:r>
      <w:r w:rsidR="00F33682">
        <w:rPr>
          <w:noProof/>
          <w:spacing w:val="-2"/>
          <w:szCs w:val="19"/>
          <w:lang w:val="en-GB"/>
        </w:rPr>
        <w:t>r and paper products – by 14.0%.</w:t>
      </w:r>
      <w:r w:rsidR="00973F0D">
        <w:rPr>
          <w:noProof/>
          <w:spacing w:val="-2"/>
          <w:szCs w:val="19"/>
          <w:lang w:val="en-GB"/>
        </w:rPr>
        <w:t xml:space="preserve"> </w:t>
      </w:r>
    </w:p>
    <w:p w14:paraId="0803F8F1" w14:textId="6A589593" w:rsidR="00973F0D" w:rsidRPr="00884447" w:rsidRDefault="00DA7D4B" w:rsidP="00615DB7">
      <w:pPr>
        <w:spacing w:before="0" w:after="0"/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973F0D">
        <w:rPr>
          <w:noProof/>
          <w:szCs w:val="19"/>
          <w:lang w:val="en-GB"/>
        </w:rPr>
        <w:t>December</w:t>
      </w:r>
      <w:r w:rsidR="00A50D1A">
        <w:rPr>
          <w:noProof/>
          <w:szCs w:val="19"/>
          <w:lang w:val="en-GB"/>
        </w:rPr>
        <w:t xml:space="preserve"> </w:t>
      </w:r>
      <w:r w:rsidR="00082002">
        <w:rPr>
          <w:noProof/>
          <w:szCs w:val="19"/>
          <w:lang w:val="en-GB"/>
        </w:rPr>
        <w:t xml:space="preserve">2019, was </w:t>
      </w:r>
      <w:r w:rsidR="000D6E9C">
        <w:rPr>
          <w:noProof/>
          <w:szCs w:val="19"/>
          <w:lang w:val="en-GB"/>
        </w:rPr>
        <w:t xml:space="preserve">recorded in </w:t>
      </w:r>
      <w:r w:rsidR="00973F0D">
        <w:rPr>
          <w:noProof/>
          <w:szCs w:val="19"/>
          <w:lang w:val="en-GB"/>
        </w:rPr>
        <w:t>6</w:t>
      </w:r>
      <w:r w:rsidR="00BB33B9" w:rsidRPr="00223D02">
        <w:rPr>
          <w:noProof/>
          <w:szCs w:val="19"/>
          <w:lang w:val="en-GB"/>
        </w:rPr>
        <w:t xml:space="preserve"> divisions, among other</w:t>
      </w:r>
      <w:r w:rsidR="00256334">
        <w:rPr>
          <w:noProof/>
          <w:szCs w:val="19"/>
          <w:lang w:val="en-GB"/>
        </w:rPr>
        <w:t>s,</w:t>
      </w:r>
      <w:r w:rsidR="00382CAB">
        <w:rPr>
          <w:noProof/>
          <w:szCs w:val="19"/>
          <w:lang w:val="en-GB"/>
        </w:rPr>
        <w:t xml:space="preserve"> </w:t>
      </w:r>
      <w:r w:rsidR="000D6E9C">
        <w:rPr>
          <w:noProof/>
          <w:szCs w:val="19"/>
          <w:lang w:val="en-GB"/>
        </w:rPr>
        <w:t>in</w:t>
      </w:r>
      <w:r w:rsidR="00973F0D" w:rsidRPr="00973F0D">
        <w:rPr>
          <w:noProof/>
          <w:spacing w:val="-2"/>
          <w:szCs w:val="19"/>
          <w:lang w:val="en-GB"/>
        </w:rPr>
        <w:t xml:space="preserve"> </w:t>
      </w:r>
      <w:r w:rsidR="00973F0D">
        <w:rPr>
          <w:noProof/>
          <w:spacing w:val="-2"/>
          <w:szCs w:val="19"/>
          <w:lang w:val="en-GB"/>
        </w:rPr>
        <w:t>m</w:t>
      </w:r>
      <w:r w:rsidR="00973F0D" w:rsidRPr="00691E20">
        <w:rPr>
          <w:noProof/>
          <w:spacing w:val="-2"/>
          <w:szCs w:val="19"/>
          <w:lang w:val="en-GB"/>
        </w:rPr>
        <w:t>anufacture of other transport equipment</w:t>
      </w:r>
      <w:r w:rsidR="00884447">
        <w:rPr>
          <w:noProof/>
          <w:spacing w:val="-2"/>
          <w:szCs w:val="19"/>
          <w:lang w:val="en-GB"/>
        </w:rPr>
        <w:t xml:space="preserve"> – by 12</w:t>
      </w:r>
      <w:r w:rsidR="00973F0D">
        <w:rPr>
          <w:noProof/>
          <w:spacing w:val="-2"/>
          <w:szCs w:val="19"/>
          <w:lang w:val="en-GB"/>
        </w:rPr>
        <w:t>.8%,</w:t>
      </w:r>
      <w:r w:rsidR="00973F0D" w:rsidRPr="00973F0D">
        <w:rPr>
          <w:noProof/>
          <w:spacing w:val="-2"/>
          <w:szCs w:val="19"/>
          <w:lang w:val="en-GB"/>
        </w:rPr>
        <w:t xml:space="preserve"> </w:t>
      </w:r>
      <w:r w:rsidR="00884447">
        <w:rPr>
          <w:noProof/>
          <w:spacing w:val="-2"/>
          <w:szCs w:val="19"/>
          <w:lang w:val="en-GB"/>
        </w:rPr>
        <w:t>m</w:t>
      </w:r>
      <w:r w:rsidR="00884447" w:rsidRPr="0065283F">
        <w:rPr>
          <w:noProof/>
          <w:spacing w:val="-2"/>
          <w:szCs w:val="19"/>
          <w:lang w:val="en-GB"/>
        </w:rPr>
        <w:t xml:space="preserve">anufacture of </w:t>
      </w:r>
      <w:r w:rsidR="00884447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884447">
        <w:rPr>
          <w:noProof/>
          <w:spacing w:val="-2"/>
          <w:szCs w:val="19"/>
          <w:lang w:val="en-GB"/>
        </w:rPr>
        <w:t xml:space="preserve"> – by 4.8%, </w:t>
      </w:r>
      <w:r w:rsidR="00973F0D" w:rsidRPr="00223D02">
        <w:rPr>
          <w:noProof/>
          <w:spacing w:val="-2"/>
          <w:szCs w:val="19"/>
          <w:lang w:val="en-GB"/>
        </w:rPr>
        <w:t>manufac</w:t>
      </w:r>
      <w:r w:rsidR="00973F0D">
        <w:rPr>
          <w:noProof/>
          <w:spacing w:val="-2"/>
          <w:szCs w:val="19"/>
          <w:lang w:val="en-GB"/>
        </w:rPr>
        <w:t>ture of basic metals – by 3.3</w:t>
      </w:r>
      <w:r w:rsidR="00973F0D" w:rsidRPr="00223D02">
        <w:rPr>
          <w:noProof/>
          <w:spacing w:val="-2"/>
          <w:szCs w:val="19"/>
          <w:lang w:val="en-GB"/>
        </w:rPr>
        <w:t>%</w:t>
      </w:r>
      <w:r w:rsidR="00973F0D">
        <w:rPr>
          <w:noProof/>
          <w:spacing w:val="-2"/>
          <w:szCs w:val="19"/>
          <w:lang w:val="en-GB"/>
        </w:rPr>
        <w:t>.</w:t>
      </w:r>
    </w:p>
    <w:p w14:paraId="59CCEF03" w14:textId="66C602F8" w:rsidR="00082002" w:rsidRPr="00973F0D" w:rsidRDefault="000D6E9C" w:rsidP="00973F0D">
      <w:pPr>
        <w:spacing w:before="0" w:after="0"/>
      </w:pPr>
      <w:r>
        <w:t xml:space="preserve"> </w:t>
      </w:r>
    </w:p>
    <w:p w14:paraId="7D7E1994" w14:textId="7696C5E7" w:rsidR="003627E7" w:rsidRPr="007B4306" w:rsidRDefault="003627E7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7C353E24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22865930" w14:textId="462FCC41" w:rsidR="00973F0D" w:rsidRDefault="00973F0D" w:rsidP="00680622">
      <w:pPr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42560" behindDoc="0" locked="0" layoutInCell="1" allowOverlap="1" wp14:anchorId="53B37E1A" wp14:editId="2450ADFF">
            <wp:simplePos x="0" y="0"/>
            <wp:positionH relativeFrom="margin">
              <wp:align>left</wp:align>
            </wp:positionH>
            <wp:positionV relativeFrom="paragraph">
              <wp:posOffset>155575</wp:posOffset>
            </wp:positionV>
            <wp:extent cx="4988560" cy="3729990"/>
            <wp:effectExtent l="0" t="0" r="2540" b="3810"/>
            <wp:wrapSquare wrapText="bothSides"/>
            <wp:docPr id="8" name="Wykres 8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93244E">
        <w:rPr>
          <w:noProof/>
          <w:lang w:eastAsia="pl-PL"/>
        </w:rPr>
        <w:t xml:space="preserve"> </w:t>
      </w:r>
    </w:p>
    <w:p w14:paraId="4F7C018B" w14:textId="3966D18A" w:rsidR="00F33682" w:rsidRDefault="005F27B3" w:rsidP="005119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973F0D">
        <w:rPr>
          <w:szCs w:val="19"/>
          <w:lang w:val="en-GB"/>
        </w:rPr>
        <w:t>November</w:t>
      </w:r>
      <w:r w:rsidR="00082002">
        <w:rPr>
          <w:szCs w:val="19"/>
          <w:lang w:val="en-GB"/>
        </w:rPr>
        <w:t xml:space="preserve"> </w:t>
      </w:r>
      <w:r w:rsidR="00946446">
        <w:rPr>
          <w:szCs w:val="19"/>
          <w:lang w:val="en-GB"/>
        </w:rPr>
        <w:t>2020</w:t>
      </w:r>
      <w:r w:rsidR="00E90FCB">
        <w:rPr>
          <w:szCs w:val="19"/>
          <w:lang w:val="en-GB"/>
        </w:rPr>
        <w:t>, a</w:t>
      </w:r>
      <w:r w:rsidR="00F536E7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973F0D">
        <w:rPr>
          <w:szCs w:val="19"/>
          <w:lang w:val="en-GB"/>
        </w:rPr>
        <w:t>December</w:t>
      </w:r>
      <w:r w:rsidR="00946446" w:rsidRPr="00946446">
        <w:rPr>
          <w:szCs w:val="19"/>
          <w:lang w:val="en-GB"/>
        </w:rPr>
        <w:t xml:space="preserve"> </w:t>
      </w:r>
      <w:r w:rsidR="00946446">
        <w:rPr>
          <w:szCs w:val="19"/>
          <w:lang w:val="en-GB"/>
        </w:rPr>
        <w:t>2020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973F0D">
        <w:rPr>
          <w:szCs w:val="19"/>
          <w:lang w:val="en-GB"/>
        </w:rPr>
        <w:t>20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>divisions, among others,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F536E7">
        <w:rPr>
          <w:noProof/>
          <w:spacing w:val="-2"/>
          <w:szCs w:val="19"/>
          <w:lang w:val="en-GB"/>
        </w:rPr>
        <w:t xml:space="preserve">in </w:t>
      </w:r>
      <w:r w:rsidR="00F33682">
        <w:rPr>
          <w:noProof/>
          <w:spacing w:val="-2"/>
          <w:szCs w:val="19"/>
          <w:lang w:val="en-GB"/>
        </w:rPr>
        <w:t>m</w:t>
      </w:r>
      <w:r w:rsidR="00F33682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F33682">
        <w:rPr>
          <w:noProof/>
          <w:spacing w:val="-2"/>
          <w:szCs w:val="19"/>
          <w:lang w:val="en-GB"/>
        </w:rPr>
        <w:t xml:space="preserve"> – by 21.7%, </w:t>
      </w:r>
      <w:r w:rsidR="00F536E7" w:rsidRPr="00223D02">
        <w:rPr>
          <w:noProof/>
          <w:spacing w:val="-2"/>
          <w:szCs w:val="19"/>
          <w:lang w:val="en-GB"/>
        </w:rPr>
        <w:t>manufac</w:t>
      </w:r>
      <w:r w:rsidR="00F33682">
        <w:rPr>
          <w:noProof/>
          <w:spacing w:val="-2"/>
          <w:szCs w:val="19"/>
          <w:lang w:val="en-GB"/>
        </w:rPr>
        <w:t>ture of basic metals – by 19</w:t>
      </w:r>
      <w:r w:rsidR="00F536E7">
        <w:rPr>
          <w:noProof/>
          <w:spacing w:val="-2"/>
          <w:szCs w:val="19"/>
          <w:lang w:val="en-GB"/>
        </w:rPr>
        <w:t>.4</w:t>
      </w:r>
      <w:r w:rsidR="00F536E7" w:rsidRPr="00223D02">
        <w:rPr>
          <w:noProof/>
          <w:spacing w:val="-2"/>
          <w:szCs w:val="19"/>
          <w:lang w:val="en-GB"/>
        </w:rPr>
        <w:t>%</w:t>
      </w:r>
      <w:r w:rsidR="00F536E7">
        <w:rPr>
          <w:noProof/>
          <w:spacing w:val="-2"/>
          <w:szCs w:val="19"/>
          <w:lang w:val="en-GB"/>
        </w:rPr>
        <w:t>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F33682" w:rsidRPr="00D22ECE">
        <w:rPr>
          <w:noProof/>
          <w:spacing w:val="-2"/>
          <w:szCs w:val="19"/>
          <w:lang w:val="en-GB"/>
        </w:rPr>
        <w:t>manufa</w:t>
      </w:r>
      <w:r w:rsidR="00F33682">
        <w:rPr>
          <w:noProof/>
          <w:spacing w:val="-2"/>
          <w:szCs w:val="19"/>
          <w:lang w:val="en-GB"/>
        </w:rPr>
        <w:t>cture of rubber and plastic products – by 16.1%, m</w:t>
      </w:r>
      <w:r w:rsidR="00F33682" w:rsidRPr="008C421A">
        <w:rPr>
          <w:noProof/>
          <w:spacing w:val="-2"/>
          <w:szCs w:val="19"/>
          <w:lang w:val="en-GB"/>
        </w:rPr>
        <w:t xml:space="preserve">anufacture of </w:t>
      </w:r>
      <w:r w:rsidR="00F33682" w:rsidRPr="00973F0D">
        <w:rPr>
          <w:noProof/>
          <w:spacing w:val="-2"/>
          <w:szCs w:val="19"/>
          <w:lang w:val="en-GB"/>
        </w:rPr>
        <w:t>other non-metallic mineral products</w:t>
      </w:r>
      <w:r w:rsidR="00F33682">
        <w:rPr>
          <w:noProof/>
          <w:spacing w:val="-2"/>
          <w:szCs w:val="19"/>
          <w:lang w:val="en-GB"/>
        </w:rPr>
        <w:t xml:space="preserve"> – by 14.9%, </w:t>
      </w:r>
      <w:r w:rsidR="00F536E7">
        <w:rPr>
          <w:noProof/>
          <w:spacing w:val="-2"/>
          <w:szCs w:val="19"/>
          <w:lang w:val="en-GB"/>
        </w:rPr>
        <w:t>m</w:t>
      </w:r>
      <w:r w:rsidR="00F536E7" w:rsidRPr="00082002">
        <w:rPr>
          <w:noProof/>
          <w:spacing w:val="-2"/>
          <w:szCs w:val="19"/>
          <w:lang w:val="en-GB"/>
        </w:rPr>
        <w:t>anufacture of products of wood, cork, straw</w:t>
      </w:r>
      <w:r w:rsidR="00F536E7" w:rsidRPr="00082002">
        <w:t xml:space="preserve"> </w:t>
      </w:r>
      <w:r w:rsidR="00F536E7" w:rsidRPr="00082002">
        <w:rPr>
          <w:noProof/>
          <w:spacing w:val="-2"/>
          <w:szCs w:val="19"/>
          <w:lang w:val="en-GB"/>
        </w:rPr>
        <w:t>and wicker</w:t>
      </w:r>
      <w:r w:rsidR="00087806">
        <w:rPr>
          <w:noProof/>
          <w:spacing w:val="-2"/>
          <w:szCs w:val="19"/>
          <w:lang w:val="en-GB"/>
        </w:rPr>
        <w:t xml:space="preserve"> </w:t>
      </w:r>
      <w:r w:rsidR="00087806" w:rsidRPr="00F536E7">
        <w:rPr>
          <w:noProof/>
          <w:spacing w:val="-2"/>
          <w:szCs w:val="19"/>
          <w:lang w:val="en-GB"/>
        </w:rPr>
        <w:t xml:space="preserve"> </w:t>
      </w:r>
      <w:r w:rsidR="00F33682">
        <w:rPr>
          <w:noProof/>
          <w:spacing w:val="-2"/>
          <w:szCs w:val="19"/>
          <w:lang w:val="en-GB"/>
        </w:rPr>
        <w:t>– by 13.9</w:t>
      </w:r>
      <w:r w:rsidR="00F536E7">
        <w:rPr>
          <w:noProof/>
          <w:spacing w:val="-2"/>
          <w:szCs w:val="19"/>
          <w:lang w:val="en-GB"/>
        </w:rPr>
        <w:t>%,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F33682">
        <w:rPr>
          <w:noProof/>
          <w:spacing w:val="-2"/>
          <w:szCs w:val="19"/>
          <w:lang w:val="en-GB"/>
        </w:rPr>
        <w:t>m</w:t>
      </w:r>
      <w:r w:rsidR="00F33682" w:rsidRPr="00691E20">
        <w:rPr>
          <w:noProof/>
          <w:spacing w:val="-2"/>
          <w:szCs w:val="19"/>
          <w:lang w:val="en-GB"/>
        </w:rPr>
        <w:t xml:space="preserve">anufacture of </w:t>
      </w:r>
      <w:r w:rsidR="00F33682" w:rsidRPr="00973F0D">
        <w:rPr>
          <w:noProof/>
          <w:spacing w:val="-2"/>
          <w:szCs w:val="19"/>
          <w:lang w:val="en-GB"/>
        </w:rPr>
        <w:t>metal products</w:t>
      </w:r>
      <w:r w:rsidR="00F33682">
        <w:rPr>
          <w:noProof/>
          <w:spacing w:val="-2"/>
          <w:szCs w:val="19"/>
          <w:lang w:val="en-GB"/>
        </w:rPr>
        <w:t xml:space="preserve"> – by 10.1%, m</w:t>
      </w:r>
      <w:r w:rsidR="00F33682" w:rsidRPr="008C421A">
        <w:rPr>
          <w:noProof/>
          <w:spacing w:val="-2"/>
          <w:szCs w:val="19"/>
          <w:lang w:val="en-GB"/>
        </w:rPr>
        <w:t>anufacture of chemicals and chemical products</w:t>
      </w:r>
      <w:r w:rsidR="00F33682">
        <w:rPr>
          <w:noProof/>
          <w:spacing w:val="-2"/>
          <w:szCs w:val="19"/>
          <w:lang w:val="en-GB"/>
        </w:rPr>
        <w:t xml:space="preserve"> – by 10.0%,</w:t>
      </w:r>
      <w:r w:rsidR="00F33682" w:rsidRPr="00F33682">
        <w:rPr>
          <w:noProof/>
          <w:spacing w:val="-2"/>
          <w:szCs w:val="19"/>
          <w:lang w:val="en-GB"/>
        </w:rPr>
        <w:t xml:space="preserve"> </w:t>
      </w:r>
      <w:r w:rsidR="00F33682">
        <w:rPr>
          <w:noProof/>
          <w:spacing w:val="-2"/>
          <w:szCs w:val="19"/>
          <w:lang w:val="en-GB"/>
        </w:rPr>
        <w:t>manufacture of computer, electronic and optical products – by 8.7%.</w:t>
      </w:r>
    </w:p>
    <w:p w14:paraId="11E0E06E" w14:textId="233CF7E5" w:rsidR="00F33682" w:rsidRDefault="00256334" w:rsidP="00F33682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F536E7">
        <w:rPr>
          <w:noProof/>
          <w:szCs w:val="19"/>
          <w:lang w:val="en-GB"/>
        </w:rPr>
        <w:t>n 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F33682">
        <w:rPr>
          <w:noProof/>
          <w:szCs w:val="19"/>
          <w:lang w:val="en-GB"/>
        </w:rPr>
        <w:t>November</w:t>
      </w:r>
      <w:r w:rsidR="009863EE">
        <w:rPr>
          <w:noProof/>
          <w:szCs w:val="19"/>
          <w:lang w:val="en-GB"/>
        </w:rPr>
        <w:t xml:space="preserve"> 2020, </w:t>
      </w:r>
      <w:r w:rsidR="00F33682">
        <w:rPr>
          <w:noProof/>
          <w:szCs w:val="19"/>
          <w:lang w:val="en-GB"/>
        </w:rPr>
        <w:t>was recorded in 13</w:t>
      </w:r>
      <w:r w:rsidR="002B3236">
        <w:rPr>
          <w:noProof/>
          <w:szCs w:val="19"/>
          <w:lang w:val="en-GB"/>
        </w:rPr>
        <w:t xml:space="preserve"> </w:t>
      </w:r>
      <w:r w:rsidR="00382CAB" w:rsidRPr="00223D02">
        <w:rPr>
          <w:noProof/>
          <w:szCs w:val="19"/>
          <w:lang w:val="en-GB"/>
        </w:rPr>
        <w:t>divisions, among other</w:t>
      </w:r>
      <w:r w:rsidR="00382CAB" w:rsidRPr="00382CAB">
        <w:rPr>
          <w:noProof/>
          <w:szCs w:val="19"/>
          <w:lang w:val="en-GB"/>
        </w:rPr>
        <w:t>s</w:t>
      </w:r>
      <w:r w:rsidR="00E44A8F">
        <w:rPr>
          <w:szCs w:val="19"/>
          <w:lang w:val="en-GB"/>
        </w:rPr>
        <w:t>,</w:t>
      </w:r>
      <w:r w:rsidR="0051196A" w:rsidRPr="0051196A">
        <w:t xml:space="preserve"> </w:t>
      </w:r>
      <w:r w:rsidR="004B5684">
        <w:rPr>
          <w:noProof/>
          <w:spacing w:val="-2"/>
          <w:szCs w:val="19"/>
          <w:lang w:val="en-GB"/>
        </w:rPr>
        <w:t xml:space="preserve">in </w:t>
      </w:r>
      <w:r w:rsidR="00F33682">
        <w:rPr>
          <w:noProof/>
          <w:spacing w:val="-2"/>
          <w:szCs w:val="19"/>
          <w:lang w:val="en-GB"/>
        </w:rPr>
        <w:t>m</w:t>
      </w:r>
      <w:r w:rsidR="00F33682" w:rsidRPr="00F33682">
        <w:rPr>
          <w:noProof/>
          <w:spacing w:val="-2"/>
          <w:szCs w:val="19"/>
          <w:lang w:val="en-GB"/>
        </w:rPr>
        <w:t>anufacture of machinery and equipment</w:t>
      </w:r>
      <w:r w:rsidR="00F33682">
        <w:rPr>
          <w:noProof/>
          <w:spacing w:val="-2"/>
          <w:szCs w:val="19"/>
          <w:lang w:val="en-GB"/>
        </w:rPr>
        <w:t xml:space="preserve"> – by 24.1%, </w:t>
      </w:r>
      <w:r w:rsidR="00F536E7">
        <w:rPr>
          <w:noProof/>
          <w:spacing w:val="-2"/>
          <w:szCs w:val="19"/>
          <w:lang w:val="en-GB"/>
        </w:rPr>
        <w:t>m</w:t>
      </w:r>
      <w:r w:rsidR="00F536E7" w:rsidRPr="00691E20">
        <w:rPr>
          <w:noProof/>
          <w:spacing w:val="-2"/>
          <w:szCs w:val="19"/>
          <w:lang w:val="en-GB"/>
        </w:rPr>
        <w:t>anufacture of other transport equipment</w:t>
      </w:r>
      <w:r w:rsidR="00F536E7">
        <w:rPr>
          <w:noProof/>
          <w:spacing w:val="-2"/>
          <w:szCs w:val="19"/>
          <w:lang w:val="en-GB"/>
        </w:rPr>
        <w:t xml:space="preserve"> – by </w:t>
      </w:r>
      <w:r w:rsidR="00F33682">
        <w:rPr>
          <w:noProof/>
          <w:spacing w:val="-2"/>
          <w:szCs w:val="19"/>
          <w:lang w:val="en-GB"/>
        </w:rPr>
        <w:t>15.2</w:t>
      </w:r>
      <w:r w:rsidR="00F536E7">
        <w:rPr>
          <w:noProof/>
          <w:spacing w:val="-2"/>
          <w:szCs w:val="19"/>
          <w:lang w:val="en-GB"/>
        </w:rPr>
        <w:t xml:space="preserve">%, </w:t>
      </w:r>
      <w:r w:rsidR="00F536E7">
        <w:rPr>
          <w:noProof/>
          <w:szCs w:val="19"/>
          <w:lang w:val="en-GB"/>
        </w:rPr>
        <w:t>in</w:t>
      </w:r>
      <w:r w:rsidR="00F536E7">
        <w:t xml:space="preserve"> </w:t>
      </w:r>
      <w:r w:rsidR="00F536E7">
        <w:rPr>
          <w:noProof/>
          <w:spacing w:val="-2"/>
          <w:szCs w:val="19"/>
          <w:lang w:val="en-GB"/>
        </w:rPr>
        <w:t>e</w:t>
      </w:r>
      <w:r w:rsidR="00F536E7" w:rsidRPr="00E44A8F">
        <w:rPr>
          <w:noProof/>
          <w:spacing w:val="-2"/>
          <w:szCs w:val="19"/>
          <w:lang w:val="en-GB"/>
        </w:rPr>
        <w:t>lectricity, gas, steam and air conditioning supply</w:t>
      </w:r>
      <w:r w:rsidR="00F33682">
        <w:rPr>
          <w:noProof/>
          <w:spacing w:val="-2"/>
          <w:szCs w:val="19"/>
          <w:lang w:val="en-GB"/>
        </w:rPr>
        <w:t xml:space="preserve"> – by 10.0%.</w:t>
      </w:r>
    </w:p>
    <w:p w14:paraId="58E8EA1C" w14:textId="6CFC8C5D" w:rsidR="0051196A" w:rsidRDefault="0051196A" w:rsidP="00F33682">
      <w:pPr>
        <w:spacing w:before="0" w:after="0"/>
        <w:rPr>
          <w:noProof/>
          <w:spacing w:val="-2"/>
          <w:szCs w:val="19"/>
          <w:lang w:val="en-GB"/>
        </w:rPr>
      </w:pPr>
    </w:p>
    <w:p w14:paraId="7DC0BAAA" w14:textId="36E59F96" w:rsidR="00E44A8F" w:rsidRDefault="00E44A8F" w:rsidP="0051196A">
      <w:pPr>
        <w:spacing w:before="0" w:after="0" w:line="240" w:lineRule="auto"/>
        <w:rPr>
          <w:noProof/>
          <w:spacing w:val="-2"/>
          <w:szCs w:val="19"/>
          <w:lang w:val="en-GB"/>
        </w:rPr>
      </w:pPr>
    </w:p>
    <w:p w14:paraId="1F5B1DF6" w14:textId="52A59D24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368A4D50" w:rsidR="00E44A8F" w:rsidRPr="00680622" w:rsidRDefault="003620E4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43584" behindDoc="0" locked="0" layoutInCell="1" allowOverlap="1" wp14:anchorId="4F69D9FD" wp14:editId="7289683D">
            <wp:simplePos x="0" y="0"/>
            <wp:positionH relativeFrom="margin">
              <wp:align>right</wp:align>
            </wp:positionH>
            <wp:positionV relativeFrom="paragraph">
              <wp:posOffset>211203</wp:posOffset>
            </wp:positionV>
            <wp:extent cx="5270500" cy="4260850"/>
            <wp:effectExtent l="0" t="0" r="6350" b="635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5CB1D26C" w14:textId="6FE253A5" w:rsidR="00E44A8F" w:rsidRDefault="00E44A8F" w:rsidP="00946446">
      <w:pPr>
        <w:spacing w:line="240" w:lineRule="auto"/>
        <w:rPr>
          <w:szCs w:val="19"/>
          <w:lang w:val="en-GB"/>
        </w:rPr>
      </w:pPr>
    </w:p>
    <w:p w14:paraId="676345E0" w14:textId="76570EF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13215A7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250896ED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A92C78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20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@StatPoland</w:t>
            </w:r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6F330ACE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3A17A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"https://stat.gov.pl/en/topics/other-studies/informations-on-socio-economic-situation/statistical-bulletin-no-112020,4,119.html"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12409CE3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3A17A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"https://stat.gov.pl/en/topics/other-studies/informations-on-socio-economic-situation/socio-economic-situation-of-the-country-in-november-2020,1,116.html"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1E666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1E666F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1E666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1E666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1E666F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1E666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1E666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1E666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1E666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1E666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1E666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1E666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6F330ACE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3A17A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"https://stat.gov.pl/en/topics/other-studies/informations-on-socio-economic-situation/statistical-bulletin-no-112020,4,119.html"</w:instrText>
                      </w:r>
                      <w:r w:rsidR="003A17AD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12409CE3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3A17A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"https://stat.gov.pl/en/topics/other-studies/informations-on-socio-economic-situation/socio-economic-situation-of-the-country-in-november-2020,1,116.html"</w:instrText>
                      </w:r>
                      <w:r w:rsidR="003A17AD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A42849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A42849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A42849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A42849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A42849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A42849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A42849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A4284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A4284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A4284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A4284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7B4306" w:rsidRDefault="00A4284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6B456" w14:textId="77777777" w:rsidR="001E666F" w:rsidRDefault="001E666F" w:rsidP="000662E2">
      <w:pPr>
        <w:spacing w:after="0" w:line="240" w:lineRule="auto"/>
      </w:pPr>
      <w:r>
        <w:separator/>
      </w:r>
    </w:p>
  </w:endnote>
  <w:endnote w:type="continuationSeparator" w:id="0">
    <w:p w14:paraId="47571349" w14:textId="77777777" w:rsidR="001E666F" w:rsidRDefault="001E666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Fira Sans Eight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Book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6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6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4215F" w14:textId="77777777" w:rsidR="001E666F" w:rsidRDefault="001E666F" w:rsidP="000662E2">
      <w:pPr>
        <w:spacing w:after="0" w:line="240" w:lineRule="auto"/>
      </w:pPr>
      <w:r>
        <w:separator/>
      </w:r>
    </w:p>
  </w:footnote>
  <w:footnote w:type="continuationSeparator" w:id="0">
    <w:p w14:paraId="5525F96F" w14:textId="77777777" w:rsidR="001E666F" w:rsidRDefault="001E666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2C75C071" w:rsidR="00112A4D" w:rsidRPr="00C97596" w:rsidRDefault="00DC01D5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25.01</w:t>
                          </w:r>
                          <w:r w:rsidR="001F4F03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2C75C071" w:rsidR="00112A4D" w:rsidRPr="00C97596" w:rsidRDefault="00DC01D5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25.01</w:t>
                    </w:r>
                    <w:r w:rsidR="001F4F03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6847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002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D7312"/>
    <w:rsid w:val="000E0918"/>
    <w:rsid w:val="000E2DE4"/>
    <w:rsid w:val="000F0212"/>
    <w:rsid w:val="000F156F"/>
    <w:rsid w:val="000F1626"/>
    <w:rsid w:val="000F3D8E"/>
    <w:rsid w:val="000F435D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666F"/>
    <w:rsid w:val="001E7919"/>
    <w:rsid w:val="001F2005"/>
    <w:rsid w:val="001F23B3"/>
    <w:rsid w:val="001F312B"/>
    <w:rsid w:val="001F31BD"/>
    <w:rsid w:val="001F3686"/>
    <w:rsid w:val="001F4F03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BB9"/>
    <w:rsid w:val="00292177"/>
    <w:rsid w:val="00292388"/>
    <w:rsid w:val="002926DF"/>
    <w:rsid w:val="00295358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3236"/>
    <w:rsid w:val="002B583F"/>
    <w:rsid w:val="002B6B12"/>
    <w:rsid w:val="002B6B7B"/>
    <w:rsid w:val="002C0F77"/>
    <w:rsid w:val="002C424B"/>
    <w:rsid w:val="002C4336"/>
    <w:rsid w:val="002C50CD"/>
    <w:rsid w:val="002C6D15"/>
    <w:rsid w:val="002D0AC4"/>
    <w:rsid w:val="002D1DA5"/>
    <w:rsid w:val="002D2084"/>
    <w:rsid w:val="002D2ECD"/>
    <w:rsid w:val="002D36F4"/>
    <w:rsid w:val="002D51CC"/>
    <w:rsid w:val="002D7096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115B"/>
    <w:rsid w:val="003019E7"/>
    <w:rsid w:val="00301DF5"/>
    <w:rsid w:val="003038E3"/>
    <w:rsid w:val="00304F22"/>
    <w:rsid w:val="00305979"/>
    <w:rsid w:val="00305F35"/>
    <w:rsid w:val="00306485"/>
    <w:rsid w:val="003067CB"/>
    <w:rsid w:val="00306C7C"/>
    <w:rsid w:val="00310E69"/>
    <w:rsid w:val="00311A70"/>
    <w:rsid w:val="003133B6"/>
    <w:rsid w:val="00315805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0E4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D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4367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87F"/>
    <w:rsid w:val="004F0C3C"/>
    <w:rsid w:val="004F2A2C"/>
    <w:rsid w:val="004F4FCA"/>
    <w:rsid w:val="004F5A9B"/>
    <w:rsid w:val="004F63FC"/>
    <w:rsid w:val="004F64F0"/>
    <w:rsid w:val="004F6903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691A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607"/>
    <w:rsid w:val="005D2FB0"/>
    <w:rsid w:val="005D6F87"/>
    <w:rsid w:val="005E0799"/>
    <w:rsid w:val="005E4173"/>
    <w:rsid w:val="005E48B2"/>
    <w:rsid w:val="005E4E00"/>
    <w:rsid w:val="005E55FE"/>
    <w:rsid w:val="005E5DF4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6E"/>
    <w:rsid w:val="006102AA"/>
    <w:rsid w:val="00610515"/>
    <w:rsid w:val="00610DCD"/>
    <w:rsid w:val="00612D21"/>
    <w:rsid w:val="00613ECD"/>
    <w:rsid w:val="00615DB7"/>
    <w:rsid w:val="0061693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643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5FFE"/>
    <w:rsid w:val="006B6187"/>
    <w:rsid w:val="006C1B1E"/>
    <w:rsid w:val="006C33EC"/>
    <w:rsid w:val="006C38D2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102"/>
    <w:rsid w:val="007B3DB7"/>
    <w:rsid w:val="007B4306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9CD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447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7B6D"/>
    <w:rsid w:val="00920799"/>
    <w:rsid w:val="009218D1"/>
    <w:rsid w:val="00921A87"/>
    <w:rsid w:val="00921C3F"/>
    <w:rsid w:val="009227A6"/>
    <w:rsid w:val="00924EF3"/>
    <w:rsid w:val="00926A92"/>
    <w:rsid w:val="0092758B"/>
    <w:rsid w:val="00927755"/>
    <w:rsid w:val="00927D58"/>
    <w:rsid w:val="009301B3"/>
    <w:rsid w:val="00931AE5"/>
    <w:rsid w:val="0093244E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67E4F"/>
    <w:rsid w:val="009705EE"/>
    <w:rsid w:val="00972147"/>
    <w:rsid w:val="00972898"/>
    <w:rsid w:val="00972B83"/>
    <w:rsid w:val="00973F0D"/>
    <w:rsid w:val="0097447F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9A6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06594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849"/>
    <w:rsid w:val="00A42C79"/>
    <w:rsid w:val="00A4333F"/>
    <w:rsid w:val="00A457A4"/>
    <w:rsid w:val="00A45EB1"/>
    <w:rsid w:val="00A47D80"/>
    <w:rsid w:val="00A50D1A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C7D5E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B92"/>
    <w:rsid w:val="00AD7503"/>
    <w:rsid w:val="00AE19DE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8A7"/>
    <w:rsid w:val="00B06BE5"/>
    <w:rsid w:val="00B073F4"/>
    <w:rsid w:val="00B074D5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1095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057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1D5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0507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3682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6E7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5AC4"/>
    <w:rsid w:val="00F9616E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4879"/>
    <w:rsid w:val="00FE6CB4"/>
    <w:rsid w:val="00FF19A5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357,term.html" TargetMode="External"/><Relationship Id="rId42" Type="http://schemas.openxmlformats.org/officeDocument/2006/relationships/hyperlink" Target="http://stat.gov.pl/en/metainformations/glossary/terms-used-in-official-statistics/707,term.html" TargetMode="External"/><Relationship Id="rId47" Type="http://schemas.openxmlformats.org/officeDocument/2006/relationships/hyperlink" Target="http://stat.gov.pl/en/metainformations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tat.gov.pl/en/metainformations/glossary/terms-used-in-official-statistics/700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://stat.gov.pl/en/metainformations/glossary/terms-used-in-official-statistics/1317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metainformations/glossary/terms-used-in-official-statistics/362,term.html" TargetMode="External"/><Relationship Id="rId45" Type="http://schemas.openxmlformats.org/officeDocument/2006/relationships/hyperlink" Target="http://stat.gov.pl/en/metainformations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en/metainformations/glossary/terms-used-in-official-statistics/362,term.html" TargetMode="External"/><Relationship Id="rId36" Type="http://schemas.openxmlformats.org/officeDocument/2006/relationships/hyperlink" Target="http://swaid.stat.gov.pl/EN/SitePagesDBW/ProdukcjaPrzemyslowa.aspx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356,term.html" TargetMode="External"/><Relationship Id="rId44" Type="http://schemas.openxmlformats.org/officeDocument/2006/relationships/hyperlink" Target="http://stat.gov.pl/en/metainformations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707,term.html" TargetMode="External"/><Relationship Id="rId35" Type="http://schemas.openxmlformats.org/officeDocument/2006/relationships/hyperlink" Target="http://stat.gov.pl/en/metainformations/glossary/terms-used-in-official-statistics/1313,term.html" TargetMode="External"/><Relationship Id="rId43" Type="http://schemas.openxmlformats.org/officeDocument/2006/relationships/hyperlink" Target="http://stat.gov.pl/en/metainformations/glossary/terms-used-in-official-statistics/356,term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1314,term.html" TargetMode="External"/><Relationship Id="rId38" Type="http://schemas.openxmlformats.org/officeDocument/2006/relationships/hyperlink" Target="http://stat.gov.pl/en/poland-macroeconomic-indicators/" TargetMode="External"/><Relationship Id="rId46" Type="http://schemas.openxmlformats.org/officeDocument/2006/relationships/hyperlink" Target="http://stat.gov.pl/en/metainformations/glossary/terms-used-in-official-statistics/357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en/metainformations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 (2)'!$A$5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'2020 (2)'!$A$6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'2020 (2)'!$A$7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'2020 (2)'!$A$8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'2020 (2)'!$A$9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81322784"/>
        <c:axId val="-981324960"/>
      </c:lineChart>
      <c:catAx>
        <c:axId val="-98132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81324960"/>
        <c:crossesAt val="100"/>
        <c:auto val="1"/>
        <c:lblAlgn val="ctr"/>
        <c:lblOffset val="100"/>
        <c:noMultiLvlLbl val="0"/>
      </c:catAx>
      <c:valAx>
        <c:axId val="-981324960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8132278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'XII 2020 ang'!$B$1</c:f>
              <c:strCache>
                <c:ptCount val="1"/>
                <c:pt idx="0">
                  <c:v>12 2020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'XII 2020 ang'!$A$2:$A$13</c:f>
              <c:strCache>
                <c:ptCount val="12"/>
                <c:pt idx="0">
                  <c:v>Repair and installation of machinery and equipment</c:v>
                </c:pt>
                <c:pt idx="1">
                  <c:v>Manufacture of computer, electronic and optical products</c:v>
                </c:pt>
                <c:pt idx="2">
                  <c:v>Manufacture of electrical equipment</c:v>
                </c:pt>
                <c:pt idx="3">
                  <c:v>Manufacture of textiles</c:v>
                </c:pt>
                <c:pt idx="4">
                  <c:v>Manufacture of wearing apparel</c:v>
                </c:pt>
                <c:pt idx="5">
                  <c:v>Manufacture of rubber and plastic products</c:v>
                </c:pt>
                <c:pt idx="6">
                  <c:v>Manufacture of products of wood, cork, straw and wicker</c:v>
                </c:pt>
                <c:pt idx="7">
                  <c:v>Electricity, gas, steam and air conditioning supply</c:v>
                </c:pt>
                <c:pt idx="8">
                  <c:v>Manufacture of basic metals</c:v>
                </c:pt>
                <c:pt idx="9">
                  <c:v>Manufacture of coke and refined petroleum products</c:v>
                </c:pt>
                <c:pt idx="10">
                  <c:v>Manufacture of other transport equipment</c:v>
                </c:pt>
                <c:pt idx="11">
                  <c:v>Manufacture of tobacco products</c:v>
                </c:pt>
              </c:strCache>
            </c:strRef>
          </c:cat>
          <c:val>
            <c:numRef>
              <c:f>'XII 2020 ang'!$B$2:$B$13</c:f>
              <c:numCache>
                <c:formatCode>0.0_ ;[Red]\-0.0\ </c:formatCode>
                <c:ptCount val="12"/>
                <c:pt idx="0">
                  <c:v>140.19999999999999</c:v>
                </c:pt>
                <c:pt idx="1">
                  <c:v>139.30000000000001</c:v>
                </c:pt>
                <c:pt idx="2">
                  <c:v>139.1</c:v>
                </c:pt>
                <c:pt idx="3">
                  <c:v>139</c:v>
                </c:pt>
                <c:pt idx="4">
                  <c:v>126.3</c:v>
                </c:pt>
                <c:pt idx="5">
                  <c:v>124.8</c:v>
                </c:pt>
                <c:pt idx="6">
                  <c:v>122</c:v>
                </c:pt>
                <c:pt idx="7">
                  <c:v>97.2</c:v>
                </c:pt>
                <c:pt idx="8">
                  <c:v>96.7</c:v>
                </c:pt>
                <c:pt idx="9">
                  <c:v>95.2</c:v>
                </c:pt>
                <c:pt idx="10">
                  <c:v>87.2</c:v>
                </c:pt>
                <c:pt idx="11">
                  <c:v>71.599999999999994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'XII 2020 ang'!$C$1</c:f>
              <c:strCache>
                <c:ptCount val="1"/>
                <c:pt idx="0">
                  <c:v>12 2019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'XII 2020 ang'!$A$2:$A$13</c:f>
              <c:strCache>
                <c:ptCount val="12"/>
                <c:pt idx="0">
                  <c:v>Repair and installation of machinery and equipment</c:v>
                </c:pt>
                <c:pt idx="1">
                  <c:v>Manufacture of computer, electronic and optical products</c:v>
                </c:pt>
                <c:pt idx="2">
                  <c:v>Manufacture of electrical equipment</c:v>
                </c:pt>
                <c:pt idx="3">
                  <c:v>Manufacture of textiles</c:v>
                </c:pt>
                <c:pt idx="4">
                  <c:v>Manufacture of wearing apparel</c:v>
                </c:pt>
                <c:pt idx="5">
                  <c:v>Manufacture of rubber and plastic products</c:v>
                </c:pt>
                <c:pt idx="6">
                  <c:v>Manufacture of products of wood, cork, straw and wicker</c:v>
                </c:pt>
                <c:pt idx="7">
                  <c:v>Electricity, gas, steam and air conditioning supply</c:v>
                </c:pt>
                <c:pt idx="8">
                  <c:v>Manufacture of basic metals</c:v>
                </c:pt>
                <c:pt idx="9">
                  <c:v>Manufacture of coke and refined petroleum products</c:v>
                </c:pt>
                <c:pt idx="10">
                  <c:v>Manufacture of other transport equipment</c:v>
                </c:pt>
                <c:pt idx="11">
                  <c:v>Manufacture of tobacco products</c:v>
                </c:pt>
              </c:strCache>
            </c:strRef>
          </c:cat>
          <c:val>
            <c:numRef>
              <c:f>'XII 2020 ang'!$C$2:$C$13</c:f>
              <c:numCache>
                <c:formatCode>0.0_ ;[Red]\-0.0\ </c:formatCode>
                <c:ptCount val="12"/>
                <c:pt idx="0">
                  <c:v>96.4</c:v>
                </c:pt>
                <c:pt idx="1">
                  <c:v>109.1</c:v>
                </c:pt>
                <c:pt idx="2">
                  <c:v>110.2</c:v>
                </c:pt>
                <c:pt idx="3">
                  <c:v>94.2</c:v>
                </c:pt>
                <c:pt idx="4">
                  <c:v>92.3</c:v>
                </c:pt>
                <c:pt idx="5">
                  <c:v>101.3</c:v>
                </c:pt>
                <c:pt idx="6">
                  <c:v>104</c:v>
                </c:pt>
                <c:pt idx="7">
                  <c:v>104.5</c:v>
                </c:pt>
                <c:pt idx="8">
                  <c:v>96.1</c:v>
                </c:pt>
                <c:pt idx="9">
                  <c:v>84.9</c:v>
                </c:pt>
                <c:pt idx="10">
                  <c:v>141.5</c:v>
                </c:pt>
                <c:pt idx="11">
                  <c:v>103.6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981328768"/>
        <c:axId val="-981324416"/>
      </c:barChart>
      <c:catAx>
        <c:axId val="-98132876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981324416"/>
        <c:crossesAt val="100"/>
        <c:auto val="1"/>
        <c:lblAlgn val="ctr"/>
        <c:lblOffset val="20"/>
        <c:noMultiLvlLbl val="0"/>
      </c:catAx>
      <c:valAx>
        <c:axId val="-981324416"/>
        <c:scaling>
          <c:orientation val="minMax"/>
          <c:max val="150"/>
          <c:min val="7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981328768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98746811578142E-2"/>
          <c:y val="3.365344467640919E-2"/>
          <c:w val="0.90223576570129416"/>
          <c:h val="0.65454824409996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grudzień (2)'!$C$1:$C$2</c:f>
              <c:strCache>
                <c:ptCount val="2"/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 (2)'!$C$4:$C$54</c:f>
              <c:numCache>
                <c:formatCode>General</c:formatCode>
                <c:ptCount val="51"/>
              </c:numCache>
            </c:numRef>
          </c:val>
        </c:ser>
        <c:ser>
          <c:idx val="1"/>
          <c:order val="1"/>
          <c:tx>
            <c:strRef>
              <c:f>'wykres słupkowy - grudzień (2)'!$D$1:$D$2</c:f>
              <c:strCache>
                <c:ptCount val="2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977BC1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15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18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</c:dPt>
          <c:dPt>
            <c:idx val="19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</c:dPt>
          <c:dPt>
            <c:idx val="20"/>
            <c:invertIfNegative val="0"/>
            <c:bubble3D val="0"/>
            <c:spPr>
              <a:solidFill>
                <a:srgbClr val="977BC1"/>
              </a:solidFill>
              <a:ln>
                <a:noFill/>
              </a:ln>
              <a:effectLst/>
            </c:spPr>
          </c:dPt>
          <c:dPt>
            <c:idx val="21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3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4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6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7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8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9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0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31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</c:dPt>
          <c:dPt>
            <c:idx val="3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</c:dPt>
          <c:dPt>
            <c:idx val="33"/>
            <c:invertIfNegative val="0"/>
            <c:bubble3D val="0"/>
            <c:spPr>
              <a:solidFill>
                <a:srgbClr val="977BC1"/>
              </a:solidFill>
              <a:ln>
                <a:noFill/>
              </a:ln>
              <a:effectLst/>
            </c:spPr>
          </c:dPt>
          <c:dPt>
            <c:idx val="34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35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36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7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39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40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41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42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43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44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</c:dPt>
          <c:dPt>
            <c:idx val="45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</c:dPt>
          <c:dPt>
            <c:idx val="46"/>
            <c:invertIfNegative val="0"/>
            <c:bubble3D val="0"/>
            <c:spPr>
              <a:solidFill>
                <a:srgbClr val="977BC1"/>
              </a:solidFill>
              <a:ln>
                <a:noFill/>
              </a:ln>
              <a:effectLst/>
            </c:spPr>
          </c:dPt>
          <c:dPt>
            <c:idx val="47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4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49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5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multiLvlStrRef>
              <c:f>'wykres słupkowy - wrzesień (2)'!$A$4:$B$45</c:f>
            </c:multiLvlStrRef>
          </c:cat>
          <c:val>
            <c:numRef>
              <c:f>'wykres słupkowy - grudzień (2)'!$D$4:$D$54</c:f>
              <c:numCache>
                <c:formatCode>0.0_ ;[Red]\-0.0\ </c:formatCode>
                <c:ptCount val="51"/>
                <c:pt idx="0">
                  <c:v>128.5</c:v>
                </c:pt>
                <c:pt idx="1">
                  <c:v>103.6</c:v>
                </c:pt>
                <c:pt idx="2">
                  <c:v>101.3</c:v>
                </c:pt>
                <c:pt idx="3">
                  <c:v>74</c:v>
                </c:pt>
                <c:pt idx="4">
                  <c:v>113.1</c:v>
                </c:pt>
                <c:pt idx="5">
                  <c:v>115.9</c:v>
                </c:pt>
                <c:pt idx="6">
                  <c:v>106.6</c:v>
                </c:pt>
                <c:pt idx="7">
                  <c:v>93.2</c:v>
                </c:pt>
                <c:pt idx="8">
                  <c:v>116.3</c:v>
                </c:pt>
                <c:pt idx="9">
                  <c:v>102.9</c:v>
                </c:pt>
                <c:pt idx="10">
                  <c:v>95.7</c:v>
                </c:pt>
                <c:pt idx="11">
                  <c:v>83.9</c:v>
                </c:pt>
                <c:pt idx="13">
                  <c:v>107.3</c:v>
                </c:pt>
                <c:pt idx="14">
                  <c:v>106.3</c:v>
                </c:pt>
                <c:pt idx="15">
                  <c:v>115.2</c:v>
                </c:pt>
                <c:pt idx="16">
                  <c:v>81.2</c:v>
                </c:pt>
                <c:pt idx="17">
                  <c:v>106.8</c:v>
                </c:pt>
                <c:pt idx="18">
                  <c:v>110.8</c:v>
                </c:pt>
                <c:pt idx="19">
                  <c:v>104.3</c:v>
                </c:pt>
                <c:pt idx="20">
                  <c:v>93.7</c:v>
                </c:pt>
                <c:pt idx="21">
                  <c:v>112.9</c:v>
                </c:pt>
                <c:pt idx="22">
                  <c:v>97.5</c:v>
                </c:pt>
                <c:pt idx="23">
                  <c:v>97</c:v>
                </c:pt>
                <c:pt idx="24">
                  <c:v>85.1</c:v>
                </c:pt>
                <c:pt idx="26">
                  <c:v>130.1</c:v>
                </c:pt>
                <c:pt idx="27">
                  <c:v>100.5</c:v>
                </c:pt>
                <c:pt idx="28">
                  <c:v>100.1</c:v>
                </c:pt>
                <c:pt idx="29">
                  <c:v>77</c:v>
                </c:pt>
                <c:pt idx="30">
                  <c:v>121.9</c:v>
                </c:pt>
                <c:pt idx="31">
                  <c:v>116.9</c:v>
                </c:pt>
                <c:pt idx="32">
                  <c:v>99.5</c:v>
                </c:pt>
                <c:pt idx="33">
                  <c:v>95.4</c:v>
                </c:pt>
                <c:pt idx="34">
                  <c:v>108.9</c:v>
                </c:pt>
                <c:pt idx="35">
                  <c:v>101.8</c:v>
                </c:pt>
                <c:pt idx="36">
                  <c:v>93.7</c:v>
                </c:pt>
                <c:pt idx="37">
                  <c:v>86.1</c:v>
                </c:pt>
                <c:pt idx="39">
                  <c:v>111.8</c:v>
                </c:pt>
                <c:pt idx="40">
                  <c:v>107</c:v>
                </c:pt>
                <c:pt idx="41">
                  <c:v>102.5</c:v>
                </c:pt>
                <c:pt idx="42">
                  <c:v>77.3</c:v>
                </c:pt>
                <c:pt idx="43">
                  <c:v>105.3</c:v>
                </c:pt>
                <c:pt idx="44">
                  <c:v>114.6</c:v>
                </c:pt>
                <c:pt idx="45">
                  <c:v>101.4</c:v>
                </c:pt>
                <c:pt idx="46">
                  <c:v>94.3</c:v>
                </c:pt>
                <c:pt idx="47">
                  <c:v>117.4</c:v>
                </c:pt>
                <c:pt idx="48">
                  <c:v>103.8</c:v>
                </c:pt>
                <c:pt idx="49">
                  <c:v>96.1</c:v>
                </c:pt>
                <c:pt idx="50">
                  <c:v>89.9</c:v>
                </c:pt>
              </c:numCache>
            </c:numRef>
          </c:val>
          <c:extLst/>
        </c:ser>
        <c:ser>
          <c:idx val="2"/>
          <c:order val="2"/>
          <c:tx>
            <c:strRef>
              <c:f>'wykres słupkowy - grudzień (2)'!$E$1:$E$2</c:f>
              <c:strCache>
                <c:ptCount val="2"/>
                <c:pt idx="1">
                  <c:v>01</c:v>
                </c:pt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 (2)'!$E$4:$E$54</c:f>
              <c:numCache>
                <c:formatCode>General</c:formatCode>
                <c:ptCount val="51"/>
              </c:numCache>
            </c:numRef>
          </c:val>
        </c:ser>
        <c:ser>
          <c:idx val="3"/>
          <c:order val="3"/>
          <c:tx>
            <c:strRef>
              <c:f>'wykres słupkowy - grudzień (2)'!$F$1:$F$2</c:f>
              <c:strCache>
                <c:ptCount val="2"/>
                <c:pt idx="1">
                  <c:v>02</c:v>
                </c:pt>
              </c:strCache>
            </c:strRef>
          </c:tx>
          <c:spPr>
            <a:solidFill>
              <a:srgbClr val="DCD3EA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 (2)'!$F$4:$F$54</c:f>
              <c:numCache>
                <c:formatCode>General</c:formatCode>
                <c:ptCount val="51"/>
              </c:numCache>
            </c:numRef>
          </c:val>
        </c:ser>
        <c:ser>
          <c:idx val="4"/>
          <c:order val="4"/>
          <c:tx>
            <c:strRef>
              <c:f>'wykres słupkowy - grudzień (2)'!$G$1:$G$2</c:f>
              <c:strCache>
                <c:ptCount val="2"/>
                <c:pt idx="1">
                  <c:v>03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 (2)'!$G$4:$G$54</c:f>
              <c:numCache>
                <c:formatCode>General</c:formatCode>
                <c:ptCount val="51"/>
              </c:numCache>
            </c:numRef>
          </c:val>
        </c:ser>
        <c:ser>
          <c:idx val="5"/>
          <c:order val="5"/>
          <c:tx>
            <c:strRef>
              <c:f>'wykres słupkowy - grudzień (2)'!$H$1:$H$2</c:f>
              <c:strCache>
                <c:ptCount val="2"/>
                <c:pt idx="1">
                  <c:v>04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 (2)'!$H$4:$H$54</c:f>
              <c:numCache>
                <c:formatCode>General</c:formatCode>
                <c:ptCount val="51"/>
              </c:numCache>
            </c:numRef>
          </c:val>
        </c:ser>
        <c:ser>
          <c:idx val="6"/>
          <c:order val="6"/>
          <c:tx>
            <c:strRef>
              <c:f>'wykres słupkowy - grudzień (2)'!$I$1:$I$2</c:f>
              <c:strCache>
                <c:ptCount val="2"/>
                <c:pt idx="1">
                  <c:v>05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 (2)'!$I$4:$I$54</c:f>
              <c:numCache>
                <c:formatCode>General</c:formatCode>
                <c:ptCount val="51"/>
              </c:numCache>
            </c:numRef>
          </c:val>
        </c:ser>
        <c:ser>
          <c:idx val="7"/>
          <c:order val="7"/>
          <c:tx>
            <c:strRef>
              <c:f>'wykres słupkowy - grudzień (2)'!$J$1:$J$2</c:f>
              <c:strCache>
                <c:ptCount val="2"/>
                <c:pt idx="1">
                  <c:v>06</c:v>
                </c:pt>
              </c:strCache>
            </c:strRef>
          </c:tx>
          <c:spPr>
            <a:solidFill>
              <a:srgbClr val="66A0A5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 (2)'!$J$4:$J$54</c:f>
              <c:numCache>
                <c:formatCode>General</c:formatCode>
                <c:ptCount val="51"/>
              </c:numCache>
            </c:numRef>
          </c:val>
        </c:ser>
        <c:ser>
          <c:idx val="8"/>
          <c:order val="8"/>
          <c:tx>
            <c:strRef>
              <c:f>'wykres słupkowy - grudzień (2)'!$K$1:$K$2</c:f>
              <c:strCache>
                <c:ptCount val="2"/>
                <c:pt idx="1">
                  <c:v>07</c:v>
                </c:pt>
              </c:strCache>
            </c:strRef>
          </c:tx>
          <c:spPr>
            <a:solidFill>
              <a:srgbClr val="006269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 (2)'!$K$4:$K$54</c:f>
              <c:numCache>
                <c:formatCode>General</c:formatCode>
                <c:ptCount val="51"/>
              </c:numCache>
            </c:numRef>
          </c:val>
        </c:ser>
        <c:ser>
          <c:idx val="9"/>
          <c:order val="9"/>
          <c:tx>
            <c:strRef>
              <c:f>'wykres słupkowy - grudzień (2)'!$L$1:$L$2</c:f>
              <c:strCache>
                <c:ptCount val="2"/>
                <c:pt idx="1">
                  <c:v>08</c:v>
                </c:pt>
              </c:strCache>
            </c:strRef>
          </c:tx>
          <c:spPr>
            <a:solidFill>
              <a:srgbClr val="977BC1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 (2)'!$L$4:$L$54</c:f>
              <c:numCache>
                <c:formatCode>General</c:formatCode>
                <c:ptCount val="51"/>
              </c:numCache>
            </c:numRef>
          </c:val>
        </c:ser>
        <c:ser>
          <c:idx val="10"/>
          <c:order val="10"/>
          <c:tx>
            <c:strRef>
              <c:f>'wykres słupkowy - grudzień (2)'!$M$1:$M$2</c:f>
              <c:strCache>
                <c:ptCount val="2"/>
                <c:pt idx="1">
                  <c:v>09</c:v>
                </c:pt>
              </c:strCache>
            </c:strRef>
          </c:tx>
          <c:spPr>
            <a:solidFill>
              <a:srgbClr val="522398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 (2)'!$M$4:$M$54</c:f>
              <c:numCache>
                <c:formatCode>General</c:formatCode>
                <c:ptCount val="51"/>
              </c:numCache>
            </c:numRef>
          </c:val>
        </c:ser>
        <c:ser>
          <c:idx val="11"/>
          <c:order val="11"/>
          <c:tx>
            <c:strRef>
              <c:f>'wykres słupkowy - grudzień (2)'!$N$1:$N$2</c:f>
              <c:strCache>
                <c:ptCount val="2"/>
                <c:pt idx="1">
                  <c:v>10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 (2)'!$N$4:$N$54</c:f>
              <c:numCache>
                <c:formatCode>General</c:formatCode>
                <c:ptCount val="51"/>
              </c:numCache>
            </c:numRef>
          </c:val>
        </c:ser>
        <c:ser>
          <c:idx val="12"/>
          <c:order val="12"/>
          <c:tx>
            <c:strRef>
              <c:f>'wykres słupkowy - grudzień (2)'!$O$1:$O$2</c:f>
              <c:strCache>
                <c:ptCount val="2"/>
                <c:pt idx="1">
                  <c:v>11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 (2)'!$O$4:$O$54</c:f>
              <c:numCache>
                <c:formatCode>General</c:formatCode>
                <c:ptCount val="51"/>
              </c:numCache>
            </c:numRef>
          </c:val>
        </c:ser>
        <c:ser>
          <c:idx val="13"/>
          <c:order val="13"/>
          <c:tx>
            <c:strRef>
              <c:f>'wykres słupkowy - grudzień (2)'!$P$1:$P$2</c:f>
              <c:strCache>
                <c:ptCount val="2"/>
                <c:pt idx="1">
                  <c:v>12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 (2)'!$P$4:$P$54</c:f>
              <c:numCache>
                <c:formatCode>General</c:formatCode>
                <c:ptCount val="5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overlap val="100"/>
        <c:axId val="-981323328"/>
        <c:axId val="-981329312"/>
      </c:barChart>
      <c:catAx>
        <c:axId val="-98132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81329312"/>
        <c:crossesAt val="100"/>
        <c:auto val="1"/>
        <c:lblAlgn val="ctr"/>
        <c:lblOffset val="100"/>
        <c:noMultiLvlLbl val="0"/>
      </c:catAx>
      <c:valAx>
        <c:axId val="-981329312"/>
        <c:scaling>
          <c:orientation val="minMax"/>
          <c:max val="130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81323328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ayout>
        <c:manualLayout>
          <c:xMode val="edge"/>
          <c:yMode val="edge"/>
          <c:x val="0.18561711412579451"/>
          <c:y val="0.90968327915791436"/>
          <c:w val="0.64045593397210887"/>
          <c:h val="4.0061852733524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0.09702</cdr:x>
      <cdr:y>0.76357</cdr:y>
    </cdr:from>
    <cdr:to>
      <cdr:x>0.33134</cdr:x>
      <cdr:y>0.84496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619126" y="3752850"/>
          <a:ext cx="1495425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0.53424</cdr:x>
      <cdr:y>0.70138</cdr:y>
    </cdr:from>
    <cdr:to>
      <cdr:x>0.71984</cdr:x>
      <cdr:y>0.88676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815714" y="2988478"/>
          <a:ext cx="978205" cy="78989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        of products        of wood, cork, straw and wicker</a:t>
          </a:r>
        </a:p>
        <a:p xmlns:a="http://schemas.openxmlformats.org/drawingml/2006/main"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0.08805</cdr:x>
      <cdr:y>0.70147</cdr:y>
    </cdr:from>
    <cdr:to>
      <cdr:x>0.29298</cdr:x>
      <cdr:y>0.82805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464083" y="2988838"/>
          <a:ext cx="1080044" cy="53936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    of rubber and plastic products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0.3071</cdr:x>
      <cdr:y>0.69926</cdr:y>
    </cdr:from>
    <cdr:to>
      <cdr:x>0.50746</cdr:x>
      <cdr:y>0.84627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1618571" y="2979449"/>
          <a:ext cx="1055997" cy="62639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</a:t>
          </a:r>
          <a:r>
            <a:rPr lang="en-GB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anufacture</a:t>
          </a: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        </a:t>
          </a:r>
          <a:r>
            <a:rPr lang="en-GB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of other non-</a:t>
          </a: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        -</a:t>
          </a:r>
          <a:r>
            <a:rPr lang="en-GB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metallic mineral products 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0.76611</cdr:x>
      <cdr:y>0.70074</cdr:y>
    </cdr:from>
    <cdr:to>
      <cdr:x>0.97222</cdr:x>
      <cdr:y>0.82805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4037783" y="2985754"/>
          <a:ext cx="1086307" cy="54244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</a:t>
          </a:r>
          <a:r>
            <a:rPr lang="en-GB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anufacture</a:t>
          </a: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    </a:t>
          </a:r>
          <a:r>
            <a:rPr lang="en-GB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</a:t>
          </a: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   </a:t>
          </a:r>
          <a:r>
            <a:rPr lang="en-GB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of metal products 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0DEF9-A28B-4455-A366-204AC7C2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2021-01-22T13:16:00Z</dcterms:created>
  <dcterms:modified xsi:type="dcterms:W3CDTF">2021-01-22T13:16:00Z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