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2C432C2B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59156476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821335">
        <w:rPr>
          <w:shd w:val="clear" w:color="auto" w:fill="FFFFFF"/>
          <w:lang w:val="en-GB"/>
        </w:rPr>
        <w:t>January</w:t>
      </w:r>
      <w:r w:rsidR="008C7B43">
        <w:rPr>
          <w:shd w:val="clear" w:color="auto" w:fill="FFFFFF"/>
          <w:lang w:val="en-GB"/>
        </w:rPr>
        <w:t xml:space="preserve">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51CAF52C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3B513C9A" w:rsidR="00BB33B9" w:rsidRDefault="00BB33B9" w:rsidP="00BB33B9">
      <w:pPr>
        <w:pStyle w:val="LID"/>
        <w:rPr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6CDD755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654535AF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7B4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0.9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3D08E4FA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821335">
                              <w:rPr>
                                <w:sz w:val="20"/>
                                <w:lang w:val="en-US"/>
                              </w:rPr>
                              <w:t>January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2133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654535AF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7B4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0.9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3D08E4FA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821335">
                        <w:rPr>
                          <w:sz w:val="20"/>
                          <w:lang w:val="en-US"/>
                        </w:rPr>
                        <w:t>January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2133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01D5">
        <w:rPr>
          <w:lang w:val="en-GB"/>
        </w:rPr>
        <w:t xml:space="preserve">In </w:t>
      </w:r>
      <w:r w:rsidR="008C7B43">
        <w:rPr>
          <w:lang w:val="en-GB"/>
        </w:rPr>
        <w:t>January 2021</w:t>
      </w:r>
      <w:r w:rsidRPr="00C52703">
        <w:rPr>
          <w:lang w:val="en-GB"/>
        </w:rPr>
        <w:t xml:space="preserve">, sold production of industry was by </w:t>
      </w:r>
      <w:r w:rsidR="008C7B43">
        <w:rPr>
          <w:lang w:val="en-GB"/>
        </w:rPr>
        <w:t>0.9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8C7B43">
        <w:rPr>
          <w:lang w:val="en-GB"/>
        </w:rPr>
        <w:t>January 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9C547B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8C7B43">
        <w:rPr>
          <w:spacing w:val="-2"/>
          <w:lang w:val="en-GB"/>
        </w:rPr>
        <w:t>1.1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8C7B43">
        <w:rPr>
          <w:spacing w:val="-2"/>
          <w:lang w:val="en-GB"/>
        </w:rPr>
        <w:t>December</w:t>
      </w:r>
      <w:r w:rsidR="00472ACF">
        <w:rPr>
          <w:spacing w:val="-2"/>
          <w:lang w:val="en-GB"/>
        </w:rPr>
        <w:t xml:space="preserve"> 2020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026847">
        <w:rPr>
          <w:spacing w:val="-2"/>
          <w:lang w:val="en-GB"/>
        </w:rPr>
        <w:t>de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8C7B43">
        <w:rPr>
          <w:spacing w:val="-2"/>
          <w:lang w:val="en-GB"/>
        </w:rPr>
        <w:t>5.1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</w:p>
    <w:p w14:paraId="0A3514BF" w14:textId="7D53587D" w:rsidR="00821335" w:rsidRDefault="00821335" w:rsidP="00BB33B9">
      <w:pPr>
        <w:pStyle w:val="LID"/>
        <w:rPr>
          <w:spacing w:val="-2"/>
          <w:lang w:val="en-GB"/>
        </w:rPr>
      </w:pPr>
    </w:p>
    <w:p w14:paraId="185AC143" w14:textId="0A4AA553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4956B351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043DB0B4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0B790295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7F47CA6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8C7B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="00DC01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E61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</w:t>
                            </w:r>
                            <w:r w:rsidR="008C7B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5.7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37F47CA6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8C7B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="00DC01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E61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</w:t>
                      </w:r>
                      <w:r w:rsidR="008C7B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5.7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395ED0C9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>After eliminating the seasonal factors, in</w:t>
      </w:r>
      <w:r w:rsidR="008C7B43">
        <w:rPr>
          <w:noProof/>
          <w:spacing w:val="-2"/>
          <w:szCs w:val="19"/>
          <w:lang w:val="en-GB"/>
        </w:rPr>
        <w:t xml:space="preserve"> </w:t>
      </w:r>
      <w:r w:rsidR="005E61BD">
        <w:rPr>
          <w:noProof/>
          <w:spacing w:val="-2"/>
          <w:szCs w:val="19"/>
          <w:lang w:val="en-GB"/>
        </w:rPr>
        <w:t>J</w:t>
      </w:r>
      <w:r w:rsidR="008C7B43">
        <w:rPr>
          <w:noProof/>
          <w:spacing w:val="-2"/>
          <w:szCs w:val="19"/>
          <w:lang w:val="en-GB"/>
        </w:rPr>
        <w:t>anuary</w:t>
      </w:r>
      <w:r w:rsidR="00405D79">
        <w:rPr>
          <w:noProof/>
          <w:spacing w:val="-2"/>
          <w:szCs w:val="19"/>
          <w:lang w:val="en-GB"/>
        </w:rPr>
        <w:t xml:space="preserve"> </w:t>
      </w:r>
      <w:r w:rsidR="008C7B43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8C7B43">
        <w:rPr>
          <w:noProof/>
          <w:spacing w:val="-2"/>
          <w:szCs w:val="19"/>
          <w:lang w:val="en-GB"/>
        </w:rPr>
        <w:t>5.7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8C7B43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8C7B43">
        <w:rPr>
          <w:noProof/>
          <w:spacing w:val="-2"/>
          <w:szCs w:val="19"/>
          <w:lang w:val="en-GB"/>
        </w:rPr>
        <w:t>1.7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8C7B43">
        <w:rPr>
          <w:noProof/>
          <w:spacing w:val="-2"/>
          <w:szCs w:val="19"/>
          <w:lang w:val="en-GB"/>
        </w:rPr>
        <w:t>December</w:t>
      </w:r>
      <w:r>
        <w:rPr>
          <w:noProof/>
          <w:spacing w:val="-2"/>
          <w:szCs w:val="19"/>
          <w:lang w:val="en-GB"/>
        </w:rPr>
        <w:t xml:space="preserve"> 2020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565BD9FF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1CC6DF56" w:rsidR="003627E7" w:rsidRPr="007B4306" w:rsidRDefault="008C7B43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44608" behindDoc="0" locked="0" layoutInCell="1" allowOverlap="1" wp14:anchorId="428169C4" wp14:editId="0EB1A430">
            <wp:simplePos x="0" y="0"/>
            <wp:positionH relativeFrom="margin">
              <wp:align>right</wp:align>
            </wp:positionH>
            <wp:positionV relativeFrom="paragraph">
              <wp:posOffset>170815</wp:posOffset>
            </wp:positionV>
            <wp:extent cx="5200015" cy="3151505"/>
            <wp:effectExtent l="0" t="0" r="635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05D2ACF2" w14:textId="7A2B05BB" w:rsidR="003627E7" w:rsidRPr="007B4306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  <w:lang w:val="en-US"/>
        </w:rPr>
      </w:pPr>
    </w:p>
    <w:p w14:paraId="5769C07E" w14:textId="2A3AAF9B" w:rsidR="008C7B43" w:rsidRPr="00D75D28" w:rsidRDefault="008C7B43" w:rsidP="008C7B43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>
        <w:rPr>
          <w:b w:val="0"/>
          <w:sz w:val="19"/>
          <w:szCs w:val="19"/>
          <w:shd w:val="clear" w:color="auto" w:fill="FFFFFF"/>
          <w:lang w:val="en-GB"/>
        </w:rPr>
        <w:t>January 2021,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 decrease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three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main industrial groupings.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decreased by 5.2%,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4.9% and</w:t>
      </w:r>
      <w:r w:rsidRPr="008C7B4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1.3%. </w:t>
      </w:r>
      <w:r w:rsidRPr="00E2764C">
        <w:rPr>
          <w:b w:val="0"/>
          <w:sz w:val="19"/>
          <w:szCs w:val="19"/>
          <w:lang w:val="en-GB"/>
        </w:rPr>
        <w:t>A</w:t>
      </w:r>
      <w:r>
        <w:rPr>
          <w:b w:val="0"/>
          <w:sz w:val="19"/>
          <w:szCs w:val="19"/>
          <w:lang w:val="en-GB"/>
        </w:rPr>
        <w:t>n in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production of intermediate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4.4% and</w:t>
      </w:r>
      <w:r w:rsidRPr="008C7B4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3.7%.</w:t>
      </w:r>
    </w:p>
    <w:p w14:paraId="1F90A97A" w14:textId="61976C03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AAAEF82" w14:textId="77777777" w:rsidR="00821335" w:rsidRDefault="00821335" w:rsidP="00BB33B9">
      <w:pPr>
        <w:pStyle w:val="LID"/>
        <w:jc w:val="both"/>
        <w:rPr>
          <w:szCs w:val="18"/>
          <w:lang w:val="en-GB"/>
        </w:rPr>
      </w:pPr>
    </w:p>
    <w:p w14:paraId="0BC26C1D" w14:textId="3C63A35E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2E367771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6C4C9841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906"/>
        <w:gridCol w:w="1842"/>
        <w:gridCol w:w="1843"/>
      </w:tblGrid>
      <w:tr w:rsidR="00821335" w:rsidRPr="00C52703" w14:paraId="6891EC02" w14:textId="77777777" w:rsidTr="00821335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821335" w:rsidRPr="00C52703" w:rsidRDefault="00821335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91" w:type="dxa"/>
            <w:gridSpan w:val="3"/>
            <w:vAlign w:val="center"/>
          </w:tcPr>
          <w:p w14:paraId="42522CF5" w14:textId="67C7CE51" w:rsidR="00821335" w:rsidRPr="00C52703" w:rsidRDefault="00790932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82133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1 </w:t>
            </w:r>
            <w:r w:rsidR="00560DF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</w:t>
            </w:r>
            <w:r w:rsidR="0082133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821335" w:rsidRPr="00C52703" w14:paraId="06217E12" w14:textId="77777777" w:rsidTr="00821335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821335" w:rsidRPr="00C52703" w:rsidRDefault="00821335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906" w:type="dxa"/>
            <w:tcBorders>
              <w:bottom w:val="single" w:sz="12" w:space="0" w:color="212492"/>
            </w:tcBorders>
            <w:vAlign w:val="center"/>
          </w:tcPr>
          <w:p w14:paraId="516C0C05" w14:textId="7484FEBA" w:rsidR="00821335" w:rsidRPr="00C52703" w:rsidRDefault="00821335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12 2020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842" w:type="dxa"/>
            <w:tcBorders>
              <w:bottom w:val="single" w:sz="12" w:space="0" w:color="212492"/>
            </w:tcBorders>
            <w:vAlign w:val="center"/>
          </w:tcPr>
          <w:p w14:paraId="39160A69" w14:textId="7742D4E9" w:rsidR="00821335" w:rsidRPr="00C52703" w:rsidRDefault="00790932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821335">
              <w:rPr>
                <w:color w:val="000000" w:themeColor="text1"/>
                <w:sz w:val="16"/>
                <w:szCs w:val="16"/>
                <w:lang w:val="en-GB"/>
              </w:rPr>
              <w:t>1 2020</w:t>
            </w:r>
            <w:r w:rsidR="00821335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843" w:type="dxa"/>
            <w:tcBorders>
              <w:bottom w:val="single" w:sz="12" w:space="0" w:color="212492"/>
            </w:tcBorders>
            <w:vAlign w:val="center"/>
          </w:tcPr>
          <w:p w14:paraId="1D9A3BE2" w14:textId="77777777" w:rsidR="00821335" w:rsidRPr="00C52703" w:rsidRDefault="00821335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821335" w:rsidRPr="00C52703" w:rsidRDefault="00821335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</w:tr>
      <w:tr w:rsidR="00821335" w:rsidRPr="00C52703" w14:paraId="7D22D384" w14:textId="77777777" w:rsidTr="00821335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821335" w:rsidRPr="00C52703" w:rsidRDefault="00821335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906" w:type="dxa"/>
            <w:tcBorders>
              <w:top w:val="single" w:sz="12" w:space="0" w:color="212492"/>
            </w:tcBorders>
            <w:vAlign w:val="center"/>
          </w:tcPr>
          <w:p w14:paraId="444C7070" w14:textId="286F92C5" w:rsidR="00821335" w:rsidRPr="009D4C87" w:rsidRDefault="008C7B43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94.9</w:t>
            </w:r>
          </w:p>
        </w:tc>
        <w:tc>
          <w:tcPr>
            <w:tcW w:w="1842" w:type="dxa"/>
            <w:tcBorders>
              <w:top w:val="single" w:sz="12" w:space="0" w:color="212492"/>
            </w:tcBorders>
            <w:vAlign w:val="center"/>
          </w:tcPr>
          <w:p w14:paraId="438247E3" w14:textId="20A684A2" w:rsidR="00821335" w:rsidRPr="009D4C87" w:rsidRDefault="008C7B43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100.9</w:t>
            </w:r>
          </w:p>
        </w:tc>
        <w:tc>
          <w:tcPr>
            <w:tcW w:w="1843" w:type="dxa"/>
            <w:tcBorders>
              <w:top w:val="single" w:sz="12" w:space="0" w:color="212492"/>
            </w:tcBorders>
            <w:vAlign w:val="center"/>
          </w:tcPr>
          <w:p w14:paraId="780CA913" w14:textId="301959C1" w:rsidR="00821335" w:rsidRPr="00DD58F4" w:rsidRDefault="008C7B43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120.2</w:t>
            </w:r>
          </w:p>
        </w:tc>
      </w:tr>
      <w:tr w:rsidR="00821335" w:rsidRPr="001D6A44" w14:paraId="2A38CBFB" w14:textId="77777777" w:rsidTr="00821335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821335" w:rsidRPr="00C52703" w:rsidRDefault="00821335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906" w:type="dxa"/>
            <w:vAlign w:val="center"/>
          </w:tcPr>
          <w:p w14:paraId="35ECCD50" w14:textId="5B5E51A7" w:rsidR="00821335" w:rsidRPr="009D4C87" w:rsidRDefault="008C7B4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71.7</w:t>
            </w:r>
          </w:p>
        </w:tc>
        <w:tc>
          <w:tcPr>
            <w:tcW w:w="1842" w:type="dxa"/>
            <w:vAlign w:val="center"/>
          </w:tcPr>
          <w:p w14:paraId="588D4170" w14:textId="2F3B10F2" w:rsidR="00821335" w:rsidRPr="009D4C87" w:rsidRDefault="008C7B4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  <w:tc>
          <w:tcPr>
            <w:tcW w:w="1843" w:type="dxa"/>
            <w:vAlign w:val="center"/>
          </w:tcPr>
          <w:p w14:paraId="3E145B8D" w14:textId="5795078B" w:rsidR="00821335" w:rsidRPr="00DD58F4" w:rsidRDefault="008C7B4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67.0</w:t>
            </w:r>
          </w:p>
        </w:tc>
      </w:tr>
      <w:tr w:rsidR="00821335" w:rsidRPr="001D6A44" w14:paraId="150A3897" w14:textId="77777777" w:rsidTr="00821335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821335" w:rsidRPr="00C52703" w:rsidRDefault="00821335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906" w:type="dxa"/>
            <w:vAlign w:val="center"/>
          </w:tcPr>
          <w:p w14:paraId="7FC620EA" w14:textId="5928A0E8" w:rsidR="00821335" w:rsidRPr="009D4C87" w:rsidRDefault="00E5132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</w:t>
            </w:r>
            <w:r w:rsidR="008C7B43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842" w:type="dxa"/>
            <w:vAlign w:val="center"/>
          </w:tcPr>
          <w:p w14:paraId="6EE9A7FE" w14:textId="0805E271" w:rsidR="00821335" w:rsidRPr="009D4C87" w:rsidRDefault="008C7B4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1843" w:type="dxa"/>
            <w:vAlign w:val="center"/>
          </w:tcPr>
          <w:p w14:paraId="14DEA633" w14:textId="0B4F55D0" w:rsidR="00821335" w:rsidRPr="00DD58F4" w:rsidRDefault="008C7B43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120.8</w:t>
            </w:r>
          </w:p>
        </w:tc>
      </w:tr>
      <w:tr w:rsidR="00821335" w:rsidRPr="00D22ECE" w14:paraId="42745E07" w14:textId="77777777" w:rsidTr="00821335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821335" w:rsidRPr="00C52703" w:rsidRDefault="00821335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821335" w:rsidRPr="00C52703" w:rsidRDefault="00821335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906" w:type="dxa"/>
            <w:vAlign w:val="center"/>
          </w:tcPr>
          <w:p w14:paraId="5D57BAE3" w14:textId="662DF830" w:rsidR="00821335" w:rsidRPr="009D4C87" w:rsidRDefault="008C7B4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106.8</w:t>
            </w:r>
          </w:p>
        </w:tc>
        <w:tc>
          <w:tcPr>
            <w:tcW w:w="1842" w:type="dxa"/>
            <w:vAlign w:val="center"/>
          </w:tcPr>
          <w:p w14:paraId="09A98E34" w14:textId="64CCCA50" w:rsidR="00821335" w:rsidRPr="009D4C87" w:rsidRDefault="008C7B4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101.6</w:t>
            </w:r>
          </w:p>
        </w:tc>
        <w:tc>
          <w:tcPr>
            <w:tcW w:w="1843" w:type="dxa"/>
            <w:vAlign w:val="center"/>
          </w:tcPr>
          <w:p w14:paraId="48C11E68" w14:textId="7D9BB8C4" w:rsidR="00821335" w:rsidRPr="00DD58F4" w:rsidRDefault="008C7B4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137.8</w:t>
            </w:r>
          </w:p>
        </w:tc>
      </w:tr>
      <w:tr w:rsidR="00821335" w:rsidRPr="00A20FD5" w14:paraId="48DD5616" w14:textId="77777777" w:rsidTr="00821335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821335" w:rsidRPr="00C52703" w:rsidRDefault="00821335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821335" w:rsidRPr="00C52703" w:rsidRDefault="00821335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821335" w:rsidRPr="00C52703" w:rsidRDefault="00821335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906" w:type="dxa"/>
            <w:vAlign w:val="center"/>
          </w:tcPr>
          <w:p w14:paraId="10ECFA20" w14:textId="0C973A5C" w:rsidR="00821335" w:rsidRPr="009D4C87" w:rsidRDefault="008C7B4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87.6</w:t>
            </w:r>
          </w:p>
        </w:tc>
        <w:tc>
          <w:tcPr>
            <w:tcW w:w="1842" w:type="dxa"/>
            <w:vAlign w:val="center"/>
          </w:tcPr>
          <w:p w14:paraId="6E445ECF" w14:textId="1F7A40EC" w:rsidR="00821335" w:rsidRPr="009D4C87" w:rsidRDefault="008C7B4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105.6</w:t>
            </w:r>
          </w:p>
        </w:tc>
        <w:tc>
          <w:tcPr>
            <w:tcW w:w="1843" w:type="dxa"/>
            <w:vAlign w:val="center"/>
          </w:tcPr>
          <w:p w14:paraId="4FF62C73" w14:textId="5A0C3DD9" w:rsidR="00821335" w:rsidRPr="00DD58F4" w:rsidRDefault="008C7B43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123.8</w:t>
            </w:r>
          </w:p>
        </w:tc>
      </w:tr>
    </w:tbl>
    <w:p w14:paraId="6E3C5957" w14:textId="6FC4015B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52E735D6" w14:textId="4B080E11" w:rsidR="003627E7" w:rsidRPr="007B4306" w:rsidRDefault="00560DFF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66F9742">
                <wp:simplePos x="0" y="0"/>
                <wp:positionH relativeFrom="rightMargin">
                  <wp:posOffset>161646</wp:posOffset>
                </wp:positionH>
                <wp:positionV relativeFrom="paragraph">
                  <wp:posOffset>2955442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6B861906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E513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8C7B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 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stood at </w:t>
                            </w:r>
                            <w:r w:rsidR="007E764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52.3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B1A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9" type="#_x0000_t202" style="position:absolute;margin-left:12.75pt;margin-top:232.7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" filled="f" stroked="f">
                <v:textbox>
                  <w:txbxContent>
                    <w:p w14:paraId="5F2B646E" w14:textId="6B861906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E513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8C7B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 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stood at </w:t>
                      </w:r>
                      <w:r w:rsidR="007E764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52.3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0FEE2F5E" w14:textId="1B2C77C8" w:rsidR="00FB6DE1" w:rsidRDefault="00BB33B9" w:rsidP="00BB33B9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8C7B43">
        <w:rPr>
          <w:noProof/>
          <w:spacing w:val="-2"/>
          <w:szCs w:val="19"/>
          <w:lang w:val="en-GB"/>
        </w:rPr>
        <w:t>January 2021</w:t>
      </w:r>
      <w:r w:rsidR="00E51320"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8C7B43">
        <w:rPr>
          <w:noProof/>
          <w:spacing w:val="-2"/>
          <w:szCs w:val="19"/>
          <w:lang w:val="en-GB"/>
        </w:rPr>
        <w:t>January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8C7B43">
        <w:rPr>
          <w:noProof/>
          <w:spacing w:val="-2"/>
          <w:szCs w:val="19"/>
          <w:lang w:val="en-GB"/>
        </w:rPr>
        <w:t>2020,</w:t>
      </w:r>
      <w:r>
        <w:rPr>
          <w:noProof/>
          <w:spacing w:val="-2"/>
          <w:szCs w:val="19"/>
          <w:lang w:val="en-GB"/>
        </w:rPr>
        <w:t xml:space="preserve">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FB6DE1">
        <w:rPr>
          <w:noProof/>
          <w:spacing w:val="-2"/>
          <w:szCs w:val="19"/>
          <w:lang w:val="en-GB"/>
        </w:rPr>
        <w:t>15</w:t>
      </w:r>
      <w:r w:rsidRPr="00D22ECE">
        <w:rPr>
          <w:noProof/>
          <w:spacing w:val="-2"/>
          <w:szCs w:val="19"/>
          <w:lang w:val="en-GB"/>
        </w:rPr>
        <w:t xml:space="preserve"> 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FB6DE1" w:rsidRPr="009D61BA">
        <w:rPr>
          <w:noProof/>
          <w:szCs w:val="19"/>
          <w:lang w:val="en-GB"/>
        </w:rPr>
        <w:t xml:space="preserve">manufacture of electrical equipment – </w:t>
      </w:r>
      <w:r w:rsidR="00FB6DE1" w:rsidRPr="00024BDF">
        <w:rPr>
          <w:noProof/>
          <w:szCs w:val="19"/>
          <w:lang w:val="en-GB"/>
        </w:rPr>
        <w:t>by 31.</w:t>
      </w:r>
      <w:r w:rsidR="00E51320" w:rsidRPr="00024BDF">
        <w:rPr>
          <w:noProof/>
          <w:szCs w:val="19"/>
          <w:lang w:val="en-GB"/>
        </w:rPr>
        <w:t>3</w:t>
      </w:r>
      <w:r w:rsidR="00FB6DE1" w:rsidRPr="00024BDF">
        <w:rPr>
          <w:noProof/>
          <w:szCs w:val="19"/>
          <w:lang w:val="en-GB"/>
        </w:rPr>
        <w:t>%,</w:t>
      </w:r>
      <w:r w:rsidR="00FB6DE1" w:rsidRPr="00024BDF">
        <w:t xml:space="preserve"> </w:t>
      </w:r>
      <w:r w:rsidR="00FB6DE1">
        <w:t xml:space="preserve">in </w:t>
      </w:r>
      <w:r w:rsidR="00FB6DE1">
        <w:rPr>
          <w:noProof/>
          <w:szCs w:val="19"/>
          <w:lang w:val="en-GB"/>
        </w:rPr>
        <w:t>w</w:t>
      </w:r>
      <w:r w:rsidR="00FB6DE1" w:rsidRPr="00FB6DE1">
        <w:rPr>
          <w:noProof/>
          <w:szCs w:val="19"/>
          <w:lang w:val="en-GB"/>
        </w:rPr>
        <w:t>aste collection, treatment and disposal activities; materials recovery</w:t>
      </w:r>
      <w:r w:rsidR="00FB6DE1">
        <w:rPr>
          <w:noProof/>
          <w:szCs w:val="19"/>
          <w:lang w:val="en-GB"/>
        </w:rPr>
        <w:t xml:space="preserve"> – by 12.5%, in </w:t>
      </w:r>
      <w:r w:rsidR="0061693D">
        <w:rPr>
          <w:noProof/>
          <w:spacing w:val="-2"/>
          <w:szCs w:val="19"/>
          <w:lang w:val="en-GB"/>
        </w:rPr>
        <w:t xml:space="preserve">manufacture of computer, electronic and optical products – by </w:t>
      </w:r>
      <w:r w:rsidR="00FB6DE1">
        <w:rPr>
          <w:noProof/>
          <w:spacing w:val="-2"/>
          <w:szCs w:val="19"/>
          <w:lang w:val="en-GB"/>
        </w:rPr>
        <w:t>8.6</w:t>
      </w:r>
      <w:r w:rsidR="0061693D">
        <w:rPr>
          <w:noProof/>
          <w:spacing w:val="-2"/>
          <w:szCs w:val="19"/>
          <w:lang w:val="en-GB"/>
        </w:rPr>
        <w:t xml:space="preserve">%, </w:t>
      </w:r>
      <w:r w:rsidR="0061693D" w:rsidRPr="00D22ECE">
        <w:rPr>
          <w:noProof/>
          <w:spacing w:val="-2"/>
          <w:szCs w:val="19"/>
          <w:lang w:val="en-GB"/>
        </w:rPr>
        <w:t>manufa</w:t>
      </w:r>
      <w:r w:rsidR="0061693D">
        <w:rPr>
          <w:noProof/>
          <w:spacing w:val="-2"/>
          <w:szCs w:val="19"/>
          <w:lang w:val="en-GB"/>
        </w:rPr>
        <w:t xml:space="preserve">cture of rubber and plastic products – by </w:t>
      </w:r>
      <w:r w:rsidR="00FB6DE1">
        <w:rPr>
          <w:noProof/>
          <w:spacing w:val="-2"/>
          <w:szCs w:val="19"/>
          <w:lang w:val="en-GB"/>
        </w:rPr>
        <w:t>5.9</w:t>
      </w:r>
      <w:r w:rsidR="0061693D">
        <w:rPr>
          <w:noProof/>
          <w:spacing w:val="-2"/>
          <w:szCs w:val="19"/>
          <w:lang w:val="en-GB"/>
        </w:rPr>
        <w:t>%,</w:t>
      </w:r>
      <w:r w:rsidR="0061693D" w:rsidRPr="0061693D">
        <w:rPr>
          <w:noProof/>
          <w:spacing w:val="-2"/>
          <w:szCs w:val="19"/>
          <w:lang w:val="en-GB"/>
        </w:rPr>
        <w:t xml:space="preserve"> </w:t>
      </w:r>
      <w:r w:rsidR="00FB6DE1">
        <w:rPr>
          <w:noProof/>
          <w:spacing w:val="-2"/>
          <w:szCs w:val="19"/>
          <w:lang w:val="en-GB"/>
        </w:rPr>
        <w:t>in m</w:t>
      </w:r>
      <w:r w:rsidR="00FB6DE1" w:rsidRPr="00FB6DE1">
        <w:rPr>
          <w:noProof/>
          <w:spacing w:val="-2"/>
          <w:szCs w:val="19"/>
          <w:lang w:val="en-GB"/>
        </w:rPr>
        <w:t xml:space="preserve">ining of coal and lignite </w:t>
      </w:r>
      <w:r w:rsidR="00FB6DE1">
        <w:rPr>
          <w:noProof/>
          <w:spacing w:val="-2"/>
          <w:szCs w:val="19"/>
          <w:lang w:val="en-GB"/>
        </w:rPr>
        <w:t xml:space="preserve">– by 4.9%, </w:t>
      </w:r>
      <w:r w:rsidR="005E61BD">
        <w:rPr>
          <w:noProof/>
          <w:spacing w:val="-2"/>
          <w:szCs w:val="19"/>
          <w:lang w:val="en-GB"/>
        </w:rPr>
        <w:t xml:space="preserve">in </w:t>
      </w:r>
      <w:r w:rsidR="00FB6DE1" w:rsidRPr="00223D02">
        <w:rPr>
          <w:noProof/>
          <w:spacing w:val="-2"/>
          <w:szCs w:val="19"/>
          <w:lang w:val="en-GB"/>
        </w:rPr>
        <w:t>manufac</w:t>
      </w:r>
      <w:r w:rsidR="00FB6DE1">
        <w:rPr>
          <w:noProof/>
          <w:spacing w:val="-2"/>
          <w:szCs w:val="19"/>
          <w:lang w:val="en-GB"/>
        </w:rPr>
        <w:t>ture of basic metals – by 4.6</w:t>
      </w:r>
      <w:r w:rsidR="00FB6DE1" w:rsidRPr="00223D02">
        <w:rPr>
          <w:noProof/>
          <w:spacing w:val="-2"/>
          <w:szCs w:val="19"/>
          <w:lang w:val="en-GB"/>
        </w:rPr>
        <w:t>%</w:t>
      </w:r>
      <w:r w:rsidR="00FB6DE1">
        <w:rPr>
          <w:noProof/>
          <w:spacing w:val="-2"/>
          <w:szCs w:val="19"/>
          <w:lang w:val="en-GB"/>
        </w:rPr>
        <w:t>,</w:t>
      </w:r>
      <w:r w:rsidR="00FB6DE1" w:rsidRPr="00FB6DE1">
        <w:rPr>
          <w:noProof/>
          <w:spacing w:val="-2"/>
          <w:szCs w:val="19"/>
          <w:lang w:val="en-GB"/>
        </w:rPr>
        <w:t xml:space="preserve"> </w:t>
      </w:r>
      <w:r w:rsidR="00FB6DE1">
        <w:rPr>
          <w:noProof/>
          <w:spacing w:val="-2"/>
          <w:szCs w:val="19"/>
          <w:lang w:val="en-GB"/>
        </w:rPr>
        <w:t>m</w:t>
      </w:r>
      <w:r w:rsidR="00FB6DE1" w:rsidRPr="008C421A">
        <w:rPr>
          <w:noProof/>
          <w:spacing w:val="-2"/>
          <w:szCs w:val="19"/>
          <w:lang w:val="en-GB"/>
        </w:rPr>
        <w:t>anufacture of chemicals and chemical products</w:t>
      </w:r>
      <w:r w:rsidR="00FB6DE1">
        <w:rPr>
          <w:noProof/>
          <w:spacing w:val="-2"/>
          <w:szCs w:val="19"/>
          <w:lang w:val="en-GB"/>
        </w:rPr>
        <w:t xml:space="preserve"> – by 4.3%.</w:t>
      </w:r>
    </w:p>
    <w:p w14:paraId="5561A4EE" w14:textId="50708563" w:rsidR="00FB6DE1" w:rsidRDefault="00DA7D4B" w:rsidP="00FB6DE1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FB6DE1">
        <w:rPr>
          <w:noProof/>
          <w:szCs w:val="19"/>
          <w:lang w:val="en-GB"/>
        </w:rPr>
        <w:t>January</w:t>
      </w:r>
      <w:r w:rsidR="00A50D1A">
        <w:rPr>
          <w:noProof/>
          <w:szCs w:val="19"/>
          <w:lang w:val="en-GB"/>
        </w:rPr>
        <w:t xml:space="preserve"> </w:t>
      </w:r>
      <w:r w:rsidR="00FB6DE1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in </w:t>
      </w:r>
      <w:r w:rsidR="00FB6DE1">
        <w:rPr>
          <w:noProof/>
          <w:szCs w:val="19"/>
          <w:lang w:val="en-GB"/>
        </w:rPr>
        <w:t>19</w:t>
      </w:r>
      <w:r w:rsidR="00BB33B9" w:rsidRPr="00223D02">
        <w:rPr>
          <w:noProof/>
          <w:szCs w:val="19"/>
          <w:lang w:val="en-GB"/>
        </w:rPr>
        <w:t xml:space="preserve"> divisions, among other</w:t>
      </w:r>
      <w:r w:rsidR="00256334">
        <w:rPr>
          <w:noProof/>
          <w:szCs w:val="19"/>
          <w:lang w:val="en-GB"/>
        </w:rPr>
        <w:t>s,</w:t>
      </w:r>
      <w:r w:rsidR="00382CAB">
        <w:rPr>
          <w:noProof/>
          <w:szCs w:val="19"/>
          <w:lang w:val="en-GB"/>
        </w:rPr>
        <w:t xml:space="preserve"> </w:t>
      </w:r>
      <w:r w:rsidR="000D6E9C">
        <w:rPr>
          <w:noProof/>
          <w:szCs w:val="19"/>
          <w:lang w:val="en-GB"/>
        </w:rPr>
        <w:t>in</w:t>
      </w:r>
      <w:r w:rsidR="00FB6DE1" w:rsidRPr="00FB6DE1">
        <w:rPr>
          <w:noProof/>
          <w:spacing w:val="-2"/>
          <w:szCs w:val="19"/>
          <w:lang w:val="en-GB"/>
        </w:rPr>
        <w:t xml:space="preserve"> </w:t>
      </w:r>
      <w:r w:rsidR="00FB6DE1">
        <w:rPr>
          <w:noProof/>
          <w:spacing w:val="-2"/>
          <w:szCs w:val="19"/>
          <w:lang w:val="en-GB"/>
        </w:rPr>
        <w:t>m</w:t>
      </w:r>
      <w:r w:rsidR="00FB6DE1" w:rsidRPr="0065283F">
        <w:rPr>
          <w:noProof/>
          <w:spacing w:val="-2"/>
          <w:szCs w:val="19"/>
          <w:lang w:val="en-GB"/>
        </w:rPr>
        <w:t xml:space="preserve">anufacture of </w:t>
      </w:r>
      <w:r w:rsidR="00FB6DE1" w:rsidRPr="00615DB7">
        <w:rPr>
          <w:noProof/>
          <w:spacing w:val="-2"/>
          <w:szCs w:val="19"/>
          <w:lang w:val="en-GB"/>
        </w:rPr>
        <w:t>coke and refi</w:t>
      </w:r>
      <w:bookmarkStart w:id="0" w:name="_GoBack"/>
      <w:bookmarkEnd w:id="0"/>
      <w:r w:rsidR="00FB6DE1" w:rsidRPr="00615DB7">
        <w:rPr>
          <w:noProof/>
          <w:spacing w:val="-2"/>
          <w:szCs w:val="19"/>
          <w:lang w:val="en-GB"/>
        </w:rPr>
        <w:t xml:space="preserve">ned petroleum products </w:t>
      </w:r>
      <w:r w:rsidR="00FB6DE1">
        <w:rPr>
          <w:noProof/>
          <w:spacing w:val="-2"/>
          <w:szCs w:val="19"/>
          <w:lang w:val="en-GB"/>
        </w:rPr>
        <w:t xml:space="preserve"> – by 20.4%,</w:t>
      </w:r>
    </w:p>
    <w:p w14:paraId="59CCEF03" w14:textId="335BF65A" w:rsidR="00082002" w:rsidRPr="00FB6DE1" w:rsidRDefault="00FB6DE1" w:rsidP="00973F0D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pacing w:val="-2"/>
          <w:szCs w:val="19"/>
          <w:lang w:val="en-GB"/>
        </w:rPr>
        <w:t>m</w:t>
      </w:r>
      <w:r w:rsidRPr="0065283F">
        <w:rPr>
          <w:noProof/>
          <w:spacing w:val="-2"/>
          <w:szCs w:val="19"/>
          <w:lang w:val="en-GB"/>
        </w:rPr>
        <w:t xml:space="preserve">anufacture of </w:t>
      </w:r>
      <w:r w:rsidRPr="00FB6DE1">
        <w:rPr>
          <w:noProof/>
          <w:spacing w:val="-2"/>
          <w:szCs w:val="19"/>
          <w:lang w:val="en-GB"/>
        </w:rPr>
        <w:t>beverages</w:t>
      </w:r>
      <w:r>
        <w:rPr>
          <w:noProof/>
          <w:spacing w:val="-2"/>
          <w:szCs w:val="19"/>
          <w:lang w:val="en-GB"/>
        </w:rPr>
        <w:t xml:space="preserve"> – by 11.3%,</w:t>
      </w:r>
      <w:r w:rsidRPr="00082002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691E20">
        <w:rPr>
          <w:noProof/>
          <w:spacing w:val="-2"/>
          <w:szCs w:val="19"/>
          <w:lang w:val="en-GB"/>
        </w:rPr>
        <w:t xml:space="preserve">anufacture of </w:t>
      </w:r>
      <w:r w:rsidRPr="00FB6DE1">
        <w:rPr>
          <w:noProof/>
          <w:spacing w:val="-2"/>
          <w:szCs w:val="19"/>
          <w:lang w:val="en-GB"/>
        </w:rPr>
        <w:t>pharmaceutical products</w:t>
      </w:r>
      <w:r>
        <w:rPr>
          <w:noProof/>
          <w:spacing w:val="-2"/>
          <w:szCs w:val="19"/>
          <w:lang w:val="en-GB"/>
        </w:rPr>
        <w:t xml:space="preserve"> – by 6.1%, </w:t>
      </w:r>
      <w:r w:rsidR="00973F0D">
        <w:rPr>
          <w:noProof/>
          <w:spacing w:val="-2"/>
          <w:szCs w:val="19"/>
          <w:lang w:val="en-GB"/>
        </w:rPr>
        <w:t>m</w:t>
      </w:r>
      <w:r w:rsidR="00973F0D" w:rsidRPr="00691E20">
        <w:rPr>
          <w:noProof/>
          <w:spacing w:val="-2"/>
          <w:szCs w:val="19"/>
          <w:lang w:val="en-GB"/>
        </w:rPr>
        <w:t>anufacture of other transport equipment</w:t>
      </w:r>
      <w:r w:rsidR="00884447">
        <w:rPr>
          <w:noProof/>
          <w:spacing w:val="-2"/>
          <w:szCs w:val="19"/>
          <w:lang w:val="en-GB"/>
        </w:rPr>
        <w:t xml:space="preserve"> – by </w:t>
      </w:r>
      <w:r>
        <w:rPr>
          <w:noProof/>
          <w:spacing w:val="-2"/>
          <w:szCs w:val="19"/>
          <w:lang w:val="en-GB"/>
        </w:rPr>
        <w:t>5.7</w:t>
      </w:r>
      <w:r w:rsidR="00973F0D">
        <w:rPr>
          <w:noProof/>
          <w:spacing w:val="-2"/>
          <w:szCs w:val="19"/>
          <w:lang w:val="en-GB"/>
        </w:rPr>
        <w:t>%,</w:t>
      </w:r>
      <w:r w:rsidR="00973F0D" w:rsidRPr="00973F0D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65283F">
        <w:rPr>
          <w:noProof/>
          <w:spacing w:val="-2"/>
          <w:szCs w:val="19"/>
          <w:lang w:val="en-GB"/>
        </w:rPr>
        <w:t>anufacture of motor vehicles, trailers and semi-trailers</w:t>
      </w:r>
      <w:r>
        <w:rPr>
          <w:noProof/>
          <w:spacing w:val="-2"/>
          <w:szCs w:val="19"/>
          <w:lang w:val="en-GB"/>
        </w:rPr>
        <w:t xml:space="preserve"> – by 3.5%. </w:t>
      </w:r>
    </w:p>
    <w:p w14:paraId="7D7E1994" w14:textId="7B8D24BB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07FDC392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22865930" w14:textId="466226A4" w:rsidR="00973F0D" w:rsidRDefault="00D72392" w:rsidP="00680622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45632" behindDoc="0" locked="0" layoutInCell="1" allowOverlap="1" wp14:anchorId="05BE8469" wp14:editId="5E69CAAC">
            <wp:simplePos x="0" y="0"/>
            <wp:positionH relativeFrom="margin">
              <wp:align>right</wp:align>
            </wp:positionH>
            <wp:positionV relativeFrom="paragraph">
              <wp:posOffset>184785</wp:posOffset>
            </wp:positionV>
            <wp:extent cx="5120640" cy="3967480"/>
            <wp:effectExtent l="0" t="0" r="3810" b="0"/>
            <wp:wrapSquare wrapText="bothSides"/>
            <wp:docPr id="9" name="Wykres 9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133DA307" w14:textId="4BD27FCA" w:rsidR="00D72392" w:rsidRDefault="005F27B3" w:rsidP="005119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D72392">
        <w:rPr>
          <w:szCs w:val="19"/>
          <w:lang w:val="en-GB"/>
        </w:rPr>
        <w:t>December</w:t>
      </w:r>
      <w:r w:rsidR="00082002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E90FCB">
        <w:rPr>
          <w:szCs w:val="19"/>
          <w:lang w:val="en-GB"/>
        </w:rPr>
        <w:t>, a</w:t>
      </w:r>
      <w:r w:rsidR="00F536E7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D72392">
        <w:rPr>
          <w:szCs w:val="19"/>
          <w:lang w:val="en-GB"/>
        </w:rPr>
        <w:t>January 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D72392">
        <w:rPr>
          <w:szCs w:val="19"/>
          <w:lang w:val="en-GB"/>
        </w:rPr>
        <w:t>26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 xml:space="preserve">in </w:t>
      </w:r>
      <w:r w:rsidR="00D72392">
        <w:rPr>
          <w:noProof/>
          <w:spacing w:val="-2"/>
          <w:szCs w:val="19"/>
          <w:lang w:val="en-GB"/>
        </w:rPr>
        <w:t>m</w:t>
      </w:r>
      <w:r w:rsidR="00D72392" w:rsidRPr="00691E20">
        <w:rPr>
          <w:noProof/>
          <w:spacing w:val="-2"/>
          <w:szCs w:val="19"/>
          <w:lang w:val="en-GB"/>
        </w:rPr>
        <w:t>anufacture of other transport equipment</w:t>
      </w:r>
      <w:r w:rsidR="00D72392">
        <w:rPr>
          <w:noProof/>
          <w:spacing w:val="-2"/>
          <w:szCs w:val="19"/>
          <w:lang w:val="en-GB"/>
        </w:rPr>
        <w:t xml:space="preserve"> – by 44.8%,</w:t>
      </w:r>
      <w:r w:rsidR="00D72392" w:rsidRPr="00D72392">
        <w:rPr>
          <w:noProof/>
          <w:spacing w:val="-2"/>
          <w:szCs w:val="19"/>
          <w:lang w:val="en-GB"/>
        </w:rPr>
        <w:t xml:space="preserve"> </w:t>
      </w:r>
      <w:r w:rsidR="00D72392">
        <w:rPr>
          <w:noProof/>
          <w:spacing w:val="-2"/>
          <w:szCs w:val="19"/>
          <w:lang w:val="en-GB"/>
        </w:rPr>
        <w:t>m</w:t>
      </w:r>
      <w:r w:rsidR="00D72392" w:rsidRPr="0065283F">
        <w:rPr>
          <w:noProof/>
          <w:spacing w:val="-2"/>
          <w:szCs w:val="19"/>
          <w:lang w:val="en-GB"/>
        </w:rPr>
        <w:t xml:space="preserve">anufacture of </w:t>
      </w:r>
      <w:r w:rsidR="00D72392" w:rsidRPr="00FB6DE1">
        <w:rPr>
          <w:noProof/>
          <w:spacing w:val="-2"/>
          <w:szCs w:val="19"/>
          <w:lang w:val="en-GB"/>
        </w:rPr>
        <w:t>beverages</w:t>
      </w:r>
      <w:r w:rsidR="00D72392">
        <w:rPr>
          <w:noProof/>
          <w:spacing w:val="-2"/>
          <w:szCs w:val="19"/>
          <w:lang w:val="en-GB"/>
        </w:rPr>
        <w:t xml:space="preserve"> – by 30.1%,</w:t>
      </w:r>
      <w:r w:rsidR="00D72392" w:rsidRPr="00D72392">
        <w:t xml:space="preserve"> </w:t>
      </w:r>
      <w:r w:rsidR="00D72392">
        <w:rPr>
          <w:noProof/>
          <w:spacing w:val="-2"/>
          <w:szCs w:val="19"/>
          <w:lang w:val="en-GB"/>
        </w:rPr>
        <w:t>m</w:t>
      </w:r>
      <w:r w:rsidR="00D72392" w:rsidRPr="00D72392">
        <w:rPr>
          <w:noProof/>
          <w:spacing w:val="-2"/>
          <w:szCs w:val="19"/>
          <w:lang w:val="en-GB"/>
        </w:rPr>
        <w:t>anufacture of machinery and equipment</w:t>
      </w:r>
      <w:r w:rsidR="00D72392">
        <w:rPr>
          <w:noProof/>
          <w:spacing w:val="-2"/>
          <w:szCs w:val="19"/>
          <w:lang w:val="en-GB"/>
        </w:rPr>
        <w:t xml:space="preserve"> – by 29.5%,</w:t>
      </w:r>
      <w:r w:rsidR="00D72392" w:rsidRPr="00D72392">
        <w:rPr>
          <w:noProof/>
          <w:spacing w:val="-2"/>
          <w:szCs w:val="19"/>
          <w:lang w:val="en-GB"/>
        </w:rPr>
        <w:t xml:space="preserve"> </w:t>
      </w:r>
      <w:r w:rsidR="00D72392">
        <w:rPr>
          <w:noProof/>
          <w:spacing w:val="-2"/>
          <w:szCs w:val="19"/>
          <w:lang w:val="en-GB"/>
        </w:rPr>
        <w:t>manufacture of computer, electronic and optical products – by 13.9%,</w:t>
      </w:r>
      <w:r w:rsidR="00D72392" w:rsidRPr="00D72392">
        <w:rPr>
          <w:noProof/>
          <w:spacing w:val="-2"/>
          <w:szCs w:val="19"/>
          <w:lang w:val="en-GB"/>
        </w:rPr>
        <w:t xml:space="preserve"> </w:t>
      </w:r>
      <w:r w:rsidR="00D72392">
        <w:rPr>
          <w:noProof/>
          <w:spacing w:val="-2"/>
          <w:szCs w:val="19"/>
          <w:lang w:val="en-GB"/>
        </w:rPr>
        <w:t>m</w:t>
      </w:r>
      <w:r w:rsidR="00D72392" w:rsidRPr="00691E20">
        <w:rPr>
          <w:noProof/>
          <w:spacing w:val="-2"/>
          <w:szCs w:val="19"/>
          <w:lang w:val="en-GB"/>
        </w:rPr>
        <w:t xml:space="preserve">anufacture of </w:t>
      </w:r>
      <w:r w:rsidR="00D72392" w:rsidRPr="00FB6DE1">
        <w:rPr>
          <w:noProof/>
          <w:spacing w:val="-2"/>
          <w:szCs w:val="19"/>
          <w:lang w:val="en-GB"/>
        </w:rPr>
        <w:t>pharmaceutical products</w:t>
      </w:r>
      <w:r w:rsidR="00D72392">
        <w:rPr>
          <w:noProof/>
          <w:spacing w:val="-2"/>
          <w:szCs w:val="19"/>
          <w:lang w:val="en-GB"/>
        </w:rPr>
        <w:t xml:space="preserve"> – by 12.7%,</w:t>
      </w:r>
      <w:r w:rsidR="00D72392" w:rsidRPr="00D72392">
        <w:rPr>
          <w:noProof/>
          <w:spacing w:val="-2"/>
          <w:szCs w:val="19"/>
          <w:lang w:val="en-GB"/>
        </w:rPr>
        <w:t xml:space="preserve"> </w:t>
      </w:r>
      <w:r w:rsidR="00D72392">
        <w:rPr>
          <w:noProof/>
          <w:spacing w:val="-2"/>
          <w:szCs w:val="19"/>
          <w:lang w:val="en-GB"/>
        </w:rPr>
        <w:t>in m</w:t>
      </w:r>
      <w:r w:rsidR="00D72392" w:rsidRPr="00FB6DE1">
        <w:rPr>
          <w:noProof/>
          <w:spacing w:val="-2"/>
          <w:szCs w:val="19"/>
          <w:lang w:val="en-GB"/>
        </w:rPr>
        <w:t xml:space="preserve">ining of coal and lignite </w:t>
      </w:r>
      <w:r w:rsidR="00D72392">
        <w:rPr>
          <w:noProof/>
          <w:spacing w:val="-2"/>
          <w:szCs w:val="19"/>
          <w:lang w:val="en-GB"/>
        </w:rPr>
        <w:t xml:space="preserve">– by 9.7%, </w:t>
      </w:r>
      <w:r w:rsidR="00D434AB">
        <w:rPr>
          <w:noProof/>
          <w:spacing w:val="-2"/>
          <w:szCs w:val="19"/>
          <w:lang w:val="en-GB"/>
        </w:rPr>
        <w:t>in </w:t>
      </w:r>
      <w:r w:rsidR="00D72392">
        <w:rPr>
          <w:noProof/>
          <w:spacing w:val="-2"/>
          <w:szCs w:val="19"/>
          <w:lang w:val="en-GB"/>
        </w:rPr>
        <w:t>m</w:t>
      </w:r>
      <w:r w:rsidR="00D72392" w:rsidRPr="0065283F">
        <w:rPr>
          <w:noProof/>
          <w:spacing w:val="-2"/>
          <w:szCs w:val="19"/>
          <w:lang w:val="en-GB"/>
        </w:rPr>
        <w:t xml:space="preserve">anufacture of </w:t>
      </w:r>
      <w:r w:rsidR="00D72392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D72392">
        <w:rPr>
          <w:noProof/>
          <w:spacing w:val="-2"/>
          <w:szCs w:val="19"/>
          <w:lang w:val="en-GB"/>
        </w:rPr>
        <w:t xml:space="preserve"> – by 8.1%,</w:t>
      </w:r>
      <w:r w:rsidR="00D72392" w:rsidRPr="00D72392">
        <w:rPr>
          <w:noProof/>
          <w:spacing w:val="-2"/>
          <w:szCs w:val="19"/>
          <w:lang w:val="en-GB"/>
        </w:rPr>
        <w:t xml:space="preserve"> </w:t>
      </w:r>
      <w:r w:rsidR="00D72392">
        <w:rPr>
          <w:noProof/>
          <w:spacing w:val="-2"/>
          <w:szCs w:val="19"/>
          <w:lang w:val="en-GB"/>
        </w:rPr>
        <w:t>m</w:t>
      </w:r>
      <w:r w:rsidR="00D72392" w:rsidRPr="008C421A">
        <w:rPr>
          <w:noProof/>
          <w:spacing w:val="-2"/>
          <w:szCs w:val="19"/>
          <w:lang w:val="en-GB"/>
        </w:rPr>
        <w:t xml:space="preserve">anufacture of </w:t>
      </w:r>
      <w:r w:rsidR="00D72392" w:rsidRPr="00973F0D">
        <w:rPr>
          <w:noProof/>
          <w:spacing w:val="-2"/>
          <w:szCs w:val="19"/>
          <w:lang w:val="en-GB"/>
        </w:rPr>
        <w:t>other non-metallic mineral products</w:t>
      </w:r>
      <w:r w:rsidR="00D72392">
        <w:rPr>
          <w:noProof/>
          <w:spacing w:val="-2"/>
          <w:szCs w:val="19"/>
          <w:lang w:val="en-GB"/>
        </w:rPr>
        <w:t xml:space="preserve"> – by 7.3%.</w:t>
      </w:r>
    </w:p>
    <w:p w14:paraId="58E8EA1C" w14:textId="3B5249E6" w:rsidR="0051196A" w:rsidRDefault="00256334" w:rsidP="00F33682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F536E7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D72392">
        <w:rPr>
          <w:noProof/>
          <w:szCs w:val="19"/>
          <w:lang w:val="en-GB"/>
        </w:rPr>
        <w:t>December</w:t>
      </w:r>
      <w:r w:rsidR="009863EE">
        <w:rPr>
          <w:noProof/>
          <w:szCs w:val="19"/>
          <w:lang w:val="en-GB"/>
        </w:rPr>
        <w:t xml:space="preserve"> 2020, </w:t>
      </w:r>
      <w:r w:rsidR="00D72392">
        <w:rPr>
          <w:noProof/>
          <w:szCs w:val="19"/>
          <w:lang w:val="en-GB"/>
        </w:rPr>
        <w:t>was recorded in 8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>divisions, among other</w:t>
      </w:r>
      <w:r w:rsidR="00382CAB" w:rsidRPr="00382CAB">
        <w:rPr>
          <w:noProof/>
          <w:szCs w:val="19"/>
          <w:lang w:val="en-GB"/>
        </w:rPr>
        <w:t>s</w:t>
      </w:r>
      <w:r w:rsidR="00E44A8F">
        <w:rPr>
          <w:szCs w:val="19"/>
          <w:lang w:val="en-GB"/>
        </w:rPr>
        <w:t>,</w:t>
      </w:r>
      <w:r w:rsidR="0051196A" w:rsidRPr="0051196A">
        <w:t xml:space="preserve"> </w:t>
      </w:r>
      <w:r w:rsidR="004B5684">
        <w:rPr>
          <w:noProof/>
          <w:spacing w:val="-2"/>
          <w:szCs w:val="19"/>
          <w:lang w:val="en-GB"/>
        </w:rPr>
        <w:t xml:space="preserve">in </w:t>
      </w:r>
      <w:r w:rsidR="00D72392" w:rsidRPr="00223D02">
        <w:rPr>
          <w:noProof/>
          <w:spacing w:val="-2"/>
          <w:szCs w:val="19"/>
          <w:lang w:val="en-GB"/>
        </w:rPr>
        <w:t>manufac</w:t>
      </w:r>
      <w:r w:rsidR="00D72392">
        <w:rPr>
          <w:noProof/>
          <w:spacing w:val="-2"/>
          <w:szCs w:val="19"/>
          <w:lang w:val="en-GB"/>
        </w:rPr>
        <w:t>ture of basic metals – by 45.0</w:t>
      </w:r>
      <w:r w:rsidR="00D72392" w:rsidRPr="00223D02">
        <w:rPr>
          <w:noProof/>
          <w:spacing w:val="-2"/>
          <w:szCs w:val="19"/>
          <w:lang w:val="en-GB"/>
        </w:rPr>
        <w:t>%</w:t>
      </w:r>
      <w:r w:rsidR="00D72392">
        <w:rPr>
          <w:noProof/>
          <w:spacing w:val="-2"/>
          <w:szCs w:val="19"/>
          <w:lang w:val="en-GB"/>
        </w:rPr>
        <w:t>,</w:t>
      </w:r>
      <w:r w:rsidR="00D72392" w:rsidRPr="00D72392">
        <w:rPr>
          <w:noProof/>
          <w:spacing w:val="-2"/>
          <w:szCs w:val="19"/>
          <w:lang w:val="en-GB"/>
        </w:rPr>
        <w:t xml:space="preserve"> </w:t>
      </w:r>
      <w:r w:rsidR="00D72392">
        <w:rPr>
          <w:noProof/>
          <w:spacing w:val="-2"/>
          <w:szCs w:val="19"/>
          <w:lang w:val="en-GB"/>
        </w:rPr>
        <w:t>m</w:t>
      </w:r>
      <w:r w:rsidR="00D72392" w:rsidRPr="008C421A">
        <w:rPr>
          <w:noProof/>
          <w:spacing w:val="-2"/>
          <w:szCs w:val="19"/>
          <w:lang w:val="en-GB"/>
        </w:rPr>
        <w:t>anufacture of chemicals and chemical products</w:t>
      </w:r>
      <w:r w:rsidR="00D72392">
        <w:rPr>
          <w:noProof/>
          <w:spacing w:val="-2"/>
          <w:szCs w:val="19"/>
          <w:lang w:val="en-GB"/>
        </w:rPr>
        <w:t xml:space="preserve"> – by 11.3%,</w:t>
      </w:r>
      <w:r w:rsidR="00D72392" w:rsidRPr="00D72392">
        <w:rPr>
          <w:noProof/>
          <w:spacing w:val="-2"/>
          <w:szCs w:val="19"/>
          <w:lang w:val="en-GB"/>
        </w:rPr>
        <w:t xml:space="preserve"> </w:t>
      </w:r>
      <w:r w:rsidR="00D72392">
        <w:rPr>
          <w:noProof/>
          <w:spacing w:val="-2"/>
          <w:szCs w:val="19"/>
          <w:lang w:val="en-GB"/>
        </w:rPr>
        <w:t>m</w:t>
      </w:r>
      <w:r w:rsidR="00D72392" w:rsidRPr="00082002">
        <w:rPr>
          <w:noProof/>
          <w:spacing w:val="-2"/>
          <w:szCs w:val="19"/>
          <w:lang w:val="en-GB"/>
        </w:rPr>
        <w:t>anufacture of products of wood, cork, straw</w:t>
      </w:r>
      <w:r w:rsidR="00D72392" w:rsidRPr="00082002">
        <w:t xml:space="preserve"> </w:t>
      </w:r>
      <w:r w:rsidR="00D72392" w:rsidRPr="00082002">
        <w:rPr>
          <w:noProof/>
          <w:spacing w:val="-2"/>
          <w:szCs w:val="19"/>
          <w:lang w:val="en-GB"/>
        </w:rPr>
        <w:t>and wicker</w:t>
      </w:r>
      <w:r w:rsidR="00D72392">
        <w:rPr>
          <w:noProof/>
          <w:spacing w:val="-2"/>
          <w:szCs w:val="19"/>
          <w:lang w:val="en-GB"/>
        </w:rPr>
        <w:t xml:space="preserve"> </w:t>
      </w:r>
      <w:r w:rsidR="00D72392" w:rsidRPr="00F536E7">
        <w:rPr>
          <w:noProof/>
          <w:spacing w:val="-2"/>
          <w:szCs w:val="19"/>
          <w:lang w:val="en-GB"/>
        </w:rPr>
        <w:t xml:space="preserve"> </w:t>
      </w:r>
      <w:r w:rsidR="00D72392">
        <w:rPr>
          <w:noProof/>
          <w:spacing w:val="-2"/>
          <w:szCs w:val="19"/>
          <w:lang w:val="en-GB"/>
        </w:rPr>
        <w:t>– by 9.9%,</w:t>
      </w:r>
      <w:r w:rsidR="00D72392" w:rsidRPr="00D72392">
        <w:rPr>
          <w:noProof/>
          <w:spacing w:val="-2"/>
          <w:szCs w:val="19"/>
          <w:lang w:val="en-GB"/>
        </w:rPr>
        <w:t xml:space="preserve"> </w:t>
      </w:r>
      <w:r w:rsidR="00D72392" w:rsidRPr="00D22ECE">
        <w:rPr>
          <w:noProof/>
          <w:spacing w:val="-2"/>
          <w:szCs w:val="19"/>
          <w:lang w:val="en-GB"/>
        </w:rPr>
        <w:t>manufa</w:t>
      </w:r>
      <w:r w:rsidR="00D72392">
        <w:rPr>
          <w:noProof/>
          <w:spacing w:val="-2"/>
          <w:szCs w:val="19"/>
          <w:lang w:val="en-GB"/>
        </w:rPr>
        <w:t>cture of rubber and plastic products – by 9.0</w:t>
      </w:r>
      <w:r w:rsidR="00D434AB">
        <w:rPr>
          <w:noProof/>
          <w:spacing w:val="-2"/>
          <w:szCs w:val="19"/>
          <w:lang w:val="en-GB"/>
        </w:rPr>
        <w:t>%, m</w:t>
      </w:r>
      <w:r w:rsidR="00D72392" w:rsidRPr="00FB6DE1">
        <w:rPr>
          <w:noProof/>
          <w:spacing w:val="-2"/>
          <w:szCs w:val="19"/>
          <w:lang w:val="en-GB"/>
        </w:rPr>
        <w:t>anufacture of pape</w:t>
      </w:r>
      <w:r w:rsidR="00D72392">
        <w:rPr>
          <w:noProof/>
          <w:spacing w:val="-2"/>
          <w:szCs w:val="19"/>
          <w:lang w:val="en-GB"/>
        </w:rPr>
        <w:t>r and paper products – by 8.4</w:t>
      </w:r>
      <w:r w:rsidR="00D72392" w:rsidRPr="00FB6DE1">
        <w:rPr>
          <w:noProof/>
          <w:spacing w:val="-2"/>
          <w:szCs w:val="19"/>
          <w:lang w:val="en-GB"/>
        </w:rPr>
        <w:t>%.</w:t>
      </w: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52A59D24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249BF8E0" w:rsidR="00E44A8F" w:rsidRPr="00680622" w:rsidRDefault="00E44A8F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1E94D51B" w:rsidR="00E44A8F" w:rsidRDefault="00885062" w:rsidP="00946446">
      <w:pPr>
        <w:spacing w:line="240" w:lineRule="auto"/>
        <w:rPr>
          <w:szCs w:val="19"/>
          <w:lang w:val="en-GB"/>
        </w:rPr>
      </w:pPr>
      <w:r>
        <w:rPr>
          <w:noProof/>
          <w:lang w:eastAsia="pl-PL"/>
        </w:rPr>
        <w:drawing>
          <wp:inline distT="0" distB="0" distL="0" distR="0" wp14:anchorId="4EC02A66" wp14:editId="76F6E8FD">
            <wp:extent cx="5122545" cy="3156668"/>
            <wp:effectExtent l="0" t="0" r="1905" b="571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13215A7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5CD8CA5B" w14:textId="77777777" w:rsidR="00C0297A" w:rsidRDefault="00C0297A" w:rsidP="00E01D2D">
      <w:pPr>
        <w:spacing w:before="0" w:after="0" w:line="240" w:lineRule="auto"/>
        <w:rPr>
          <w:szCs w:val="19"/>
        </w:rPr>
      </w:pPr>
    </w:p>
    <w:p w14:paraId="24A54D20" w14:textId="77777777" w:rsidR="00C0297A" w:rsidRDefault="00C0297A" w:rsidP="00E01D2D">
      <w:pPr>
        <w:spacing w:before="0" w:after="0" w:line="240" w:lineRule="auto"/>
        <w:rPr>
          <w:szCs w:val="19"/>
        </w:rPr>
      </w:pPr>
    </w:p>
    <w:p w14:paraId="748C8BCE" w14:textId="77777777" w:rsidR="00C0297A" w:rsidRDefault="00C0297A" w:rsidP="00E01D2D">
      <w:pPr>
        <w:spacing w:before="0" w:after="0" w:line="240" w:lineRule="auto"/>
        <w:rPr>
          <w:szCs w:val="19"/>
        </w:rPr>
      </w:pPr>
    </w:p>
    <w:p w14:paraId="4EDC4D1B" w14:textId="77777777" w:rsidR="00C0297A" w:rsidRDefault="00C0297A" w:rsidP="00E01D2D">
      <w:pPr>
        <w:spacing w:before="0" w:after="0" w:line="240" w:lineRule="auto"/>
        <w:rPr>
          <w:szCs w:val="19"/>
        </w:rPr>
      </w:pPr>
    </w:p>
    <w:p w14:paraId="7486D49B" w14:textId="77777777" w:rsidR="00C0297A" w:rsidRDefault="00C0297A" w:rsidP="00E01D2D">
      <w:pPr>
        <w:spacing w:before="0" w:after="0" w:line="240" w:lineRule="auto"/>
        <w:rPr>
          <w:szCs w:val="19"/>
        </w:rPr>
      </w:pPr>
    </w:p>
    <w:p w14:paraId="7955327C" w14:textId="77777777" w:rsidR="00885062" w:rsidRDefault="00885062" w:rsidP="00E01D2D">
      <w:pPr>
        <w:spacing w:before="0" w:after="0" w:line="240" w:lineRule="auto"/>
        <w:rPr>
          <w:szCs w:val="19"/>
        </w:rPr>
      </w:pPr>
    </w:p>
    <w:p w14:paraId="7E654F0C" w14:textId="77777777" w:rsidR="00885062" w:rsidRDefault="00885062" w:rsidP="00E01D2D">
      <w:pPr>
        <w:spacing w:before="0" w:after="0" w:line="240" w:lineRule="auto"/>
        <w:rPr>
          <w:szCs w:val="19"/>
        </w:rPr>
      </w:pPr>
    </w:p>
    <w:p w14:paraId="7397294E" w14:textId="77777777" w:rsidR="00C0297A" w:rsidRDefault="00C0297A" w:rsidP="00E01D2D">
      <w:pPr>
        <w:spacing w:before="0" w:after="0" w:line="240" w:lineRule="auto"/>
        <w:rPr>
          <w:szCs w:val="19"/>
        </w:rPr>
      </w:pPr>
    </w:p>
    <w:p w14:paraId="09187DDD" w14:textId="77777777" w:rsidR="00C0297A" w:rsidRDefault="00C0297A" w:rsidP="00E01D2D">
      <w:pPr>
        <w:spacing w:before="0" w:after="0" w:line="240" w:lineRule="auto"/>
        <w:rPr>
          <w:szCs w:val="19"/>
        </w:rPr>
      </w:pPr>
    </w:p>
    <w:p w14:paraId="250896ED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8DE5091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0C11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"https://stat.gov.pl/en/topics/other-studies/informations-on-socio-economic-situation/statistical-bulletin-no-122020,4,120.html"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470C937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0C11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"https://stat.gov.pl/en/topics/other-studies/informations-on-socio-economic-situation/socio-economic-situation-of-the-country-in-2020,1,117.html"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8D77E4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8D77E4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8D77E4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8D77E4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8D77E4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8D77E4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8D77E4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8D77E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8D77E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8D77E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8D77E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8D77E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8DE5091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0C110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"https://stat.gov.pl/en/topics/other-studies/informations-on-socio-economic-situation/statistical-bulletin-no-122020,4,120.html"</w:instrText>
                      </w:r>
                      <w:r w:rsidR="000C11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470C937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0C110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"https://stat.gov.pl/en/topics/other-studies/informations-on-socio-economic-situation/socio-economic-situation-of-the-country-in-2020,1,117.html"</w:instrText>
                      </w:r>
                      <w:r w:rsidR="000C11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6F106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6F1062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6F106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6F1062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6F1062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6F106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6F106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6F106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6F106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6F106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6F106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6F106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A5CB9" w14:textId="77777777" w:rsidR="008D77E4" w:rsidRDefault="008D77E4" w:rsidP="000662E2">
      <w:pPr>
        <w:spacing w:after="0" w:line="240" w:lineRule="auto"/>
      </w:pPr>
      <w:r>
        <w:separator/>
      </w:r>
    </w:p>
  </w:endnote>
  <w:endnote w:type="continuationSeparator" w:id="0">
    <w:p w14:paraId="08CE32A0" w14:textId="77777777" w:rsidR="008D77E4" w:rsidRDefault="008D77E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Fira Sans Eight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Book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B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101BF" w14:textId="77777777" w:rsidR="008D77E4" w:rsidRDefault="008D77E4" w:rsidP="000662E2">
      <w:pPr>
        <w:spacing w:after="0" w:line="240" w:lineRule="auto"/>
      </w:pPr>
      <w:r>
        <w:separator/>
      </w:r>
    </w:p>
  </w:footnote>
  <w:footnote w:type="continuationSeparator" w:id="0">
    <w:p w14:paraId="2AC9D3E2" w14:textId="77777777" w:rsidR="008D77E4" w:rsidRDefault="008D77E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1638A7D" w:rsidR="00112A4D" w:rsidRPr="00C97596" w:rsidRDefault="00821335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18.02</w:t>
                          </w:r>
                          <w:r w:rsidR="001F4F03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61638A7D" w:rsidR="00112A4D" w:rsidRPr="00C97596" w:rsidRDefault="00821335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18.02</w:t>
                    </w:r>
                    <w:r w:rsidR="001F4F03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5pt;height:129.75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4BDF"/>
    <w:rsid w:val="00026847"/>
    <w:rsid w:val="00027227"/>
    <w:rsid w:val="0003236F"/>
    <w:rsid w:val="000325B5"/>
    <w:rsid w:val="00033D0D"/>
    <w:rsid w:val="0003435E"/>
    <w:rsid w:val="00035886"/>
    <w:rsid w:val="00035BAE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10F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D7312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4F03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5358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3236"/>
    <w:rsid w:val="002B583F"/>
    <w:rsid w:val="002B6B12"/>
    <w:rsid w:val="002B6B7B"/>
    <w:rsid w:val="002C0F77"/>
    <w:rsid w:val="002C424B"/>
    <w:rsid w:val="002C4336"/>
    <w:rsid w:val="002C50CD"/>
    <w:rsid w:val="002C6D15"/>
    <w:rsid w:val="002D0AC4"/>
    <w:rsid w:val="002D1DA5"/>
    <w:rsid w:val="002D2084"/>
    <w:rsid w:val="002D2ECD"/>
    <w:rsid w:val="002D36F4"/>
    <w:rsid w:val="002D51CC"/>
    <w:rsid w:val="002D7096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0E4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D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523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4367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298D"/>
    <w:rsid w:val="00472ACF"/>
    <w:rsid w:val="00473035"/>
    <w:rsid w:val="004733F6"/>
    <w:rsid w:val="0047387B"/>
    <w:rsid w:val="00473B01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9BD"/>
    <w:rsid w:val="004E1A89"/>
    <w:rsid w:val="004E221F"/>
    <w:rsid w:val="004E329A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0DFF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607"/>
    <w:rsid w:val="005D2FB0"/>
    <w:rsid w:val="005D6F87"/>
    <w:rsid w:val="005E0799"/>
    <w:rsid w:val="005E4173"/>
    <w:rsid w:val="005E48B2"/>
    <w:rsid w:val="005E4E00"/>
    <w:rsid w:val="005E55FE"/>
    <w:rsid w:val="005E5DF4"/>
    <w:rsid w:val="005E61BD"/>
    <w:rsid w:val="005E64F4"/>
    <w:rsid w:val="005F27B3"/>
    <w:rsid w:val="005F302D"/>
    <w:rsid w:val="005F4A3B"/>
    <w:rsid w:val="005F5129"/>
    <w:rsid w:val="005F5A80"/>
    <w:rsid w:val="005F5FD8"/>
    <w:rsid w:val="00602B46"/>
    <w:rsid w:val="00603187"/>
    <w:rsid w:val="006044FF"/>
    <w:rsid w:val="00604C78"/>
    <w:rsid w:val="006051FC"/>
    <w:rsid w:val="00607CC5"/>
    <w:rsid w:val="0061026E"/>
    <w:rsid w:val="006102AA"/>
    <w:rsid w:val="00610515"/>
    <w:rsid w:val="00610DCD"/>
    <w:rsid w:val="00612D21"/>
    <w:rsid w:val="00613ECD"/>
    <w:rsid w:val="00615DB7"/>
    <w:rsid w:val="0061693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5FFE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08A4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1062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0932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4E"/>
    <w:rsid w:val="007E76BE"/>
    <w:rsid w:val="007E7CE3"/>
    <w:rsid w:val="007F1316"/>
    <w:rsid w:val="007F2685"/>
    <w:rsid w:val="007F324B"/>
    <w:rsid w:val="007F3EEC"/>
    <w:rsid w:val="007F49CD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1335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447"/>
    <w:rsid w:val="00884CFE"/>
    <w:rsid w:val="00884D9B"/>
    <w:rsid w:val="00885062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21A"/>
    <w:rsid w:val="008C4E2B"/>
    <w:rsid w:val="008C5119"/>
    <w:rsid w:val="008C5D81"/>
    <w:rsid w:val="008C7B43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D77E4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7B6D"/>
    <w:rsid w:val="00920799"/>
    <w:rsid w:val="009218D1"/>
    <w:rsid w:val="00921A87"/>
    <w:rsid w:val="00921C3F"/>
    <w:rsid w:val="009227A6"/>
    <w:rsid w:val="00924EF3"/>
    <w:rsid w:val="00926A92"/>
    <w:rsid w:val="0092758B"/>
    <w:rsid w:val="00927755"/>
    <w:rsid w:val="00927D58"/>
    <w:rsid w:val="009301B3"/>
    <w:rsid w:val="00931AE5"/>
    <w:rsid w:val="0093244E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3F0D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0BC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9A6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06594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849"/>
    <w:rsid w:val="00A42C79"/>
    <w:rsid w:val="00A4333F"/>
    <w:rsid w:val="00A457A4"/>
    <w:rsid w:val="00A45EB1"/>
    <w:rsid w:val="00A47D80"/>
    <w:rsid w:val="00A50D1A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C7D5E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B92"/>
    <w:rsid w:val="00AD7503"/>
    <w:rsid w:val="00AE19DE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8A7"/>
    <w:rsid w:val="00B06BE5"/>
    <w:rsid w:val="00B073F4"/>
    <w:rsid w:val="00B074D5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97A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34AB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2392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1D5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320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3682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6E7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5AC4"/>
    <w:rsid w:val="00F9616E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6DE1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 (2)'!$A$5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'2021 (2)'!$A$6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'2021 (2)'!$A$7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'2021 (2)'!$A$8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'2021 (2)'!$A$9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10"/>
            <c:spPr>
              <a:solidFill>
                <a:srgbClr val="001D77"/>
              </a:solidFill>
              <a:ln w="9525">
                <a:noFill/>
              </a:ln>
              <a:effectLst/>
            </c:spPr>
          </c:marker>
          <c:dPt>
            <c:idx val="0"/>
            <c:marker>
              <c:symbol val="circle"/>
              <c:size val="9"/>
              <c:spPr>
                <a:solidFill>
                  <a:srgbClr val="001D77"/>
                </a:solidFill>
                <a:ln w="9525">
                  <a:noFill/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(2)'!$B$9:$M$9</c:f>
              <c:numCache>
                <c:formatCode>General</c:formatCode>
                <c:ptCount val="12"/>
                <c:pt idx="0" formatCode="0.0">
                  <c:v>120.2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77929232"/>
        <c:axId val="-2074540224"/>
      </c:lineChart>
      <c:catAx>
        <c:axId val="-207792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4540224"/>
        <c:crossesAt val="100"/>
        <c:auto val="1"/>
        <c:lblAlgn val="ctr"/>
        <c:lblOffset val="100"/>
        <c:noMultiLvlLbl val="0"/>
      </c:catAx>
      <c:valAx>
        <c:axId val="-2074540224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792923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 2021 ang'!$B$1</c:f>
              <c:strCache>
                <c:ptCount val="1"/>
                <c:pt idx="0">
                  <c:v>01 2020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'I 2021 ang'!$A$2:$A$13</c:f>
              <c:strCache>
                <c:ptCount val="12"/>
                <c:pt idx="0">
                  <c:v>Manufacture of electrical equipment</c:v>
                </c:pt>
                <c:pt idx="1">
                  <c:v>Waste collection, treatment and disposal activities; materials recovery</c:v>
                </c:pt>
                <c:pt idx="2">
                  <c:v>Manufacture of computer, electronic and optical products</c:v>
                </c:pt>
                <c:pt idx="3">
                  <c:v>Repair and installation of machinery and equipment</c:v>
                </c:pt>
                <c:pt idx="4">
                  <c:v>Manufacture of rubber and plastic products</c:v>
                </c:pt>
                <c:pt idx="5">
                  <c:v>Mining of coal and lignite </c:v>
                </c:pt>
                <c:pt idx="6">
                  <c:v>Manufacture of other transport equipment</c:v>
                </c:pt>
                <c:pt idx="7">
                  <c:v>Manufacture of pharmaceutical products</c:v>
                </c:pt>
                <c:pt idx="8">
                  <c:v>Manufacture of wearing apparel</c:v>
                </c:pt>
                <c:pt idx="9">
                  <c:v>Manufacture of beverages</c:v>
                </c:pt>
                <c:pt idx="10">
                  <c:v>Manufacture of coke and refined petroleum products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'I 2021 ang'!$B$2:$B$13</c:f>
              <c:numCache>
                <c:formatCode>0.0_ ;[Red]\-0.0\ </c:formatCode>
                <c:ptCount val="12"/>
                <c:pt idx="0">
                  <c:v>105.5</c:v>
                </c:pt>
                <c:pt idx="1">
                  <c:v>104.8</c:v>
                </c:pt>
                <c:pt idx="2">
                  <c:v>108.3</c:v>
                </c:pt>
                <c:pt idx="3">
                  <c:v>110.8</c:v>
                </c:pt>
                <c:pt idx="4">
                  <c:v>102.3</c:v>
                </c:pt>
                <c:pt idx="5">
                  <c:v>72.7</c:v>
                </c:pt>
                <c:pt idx="6">
                  <c:v>109.3</c:v>
                </c:pt>
                <c:pt idx="7">
                  <c:v>91.3</c:v>
                </c:pt>
                <c:pt idx="8">
                  <c:v>93.2</c:v>
                </c:pt>
                <c:pt idx="9">
                  <c:v>105.4</c:v>
                </c:pt>
                <c:pt idx="10">
                  <c:v>103.7</c:v>
                </c:pt>
                <c:pt idx="11">
                  <c:v>112.1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 2021 ang'!$C$1</c:f>
              <c:strCache>
                <c:ptCount val="1"/>
                <c:pt idx="0">
                  <c:v>01 2021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 2021 ang'!$A$2:$A$13</c:f>
              <c:strCache>
                <c:ptCount val="12"/>
                <c:pt idx="0">
                  <c:v>Manufacture of electrical equipment</c:v>
                </c:pt>
                <c:pt idx="1">
                  <c:v>Waste collection, treatment and disposal activities; materials recovery</c:v>
                </c:pt>
                <c:pt idx="2">
                  <c:v>Manufacture of computer, electronic and optical products</c:v>
                </c:pt>
                <c:pt idx="3">
                  <c:v>Repair and installation of machinery and equipment</c:v>
                </c:pt>
                <c:pt idx="4">
                  <c:v>Manufacture of rubber and plastic products</c:v>
                </c:pt>
                <c:pt idx="5">
                  <c:v>Mining of coal and lignite </c:v>
                </c:pt>
                <c:pt idx="6">
                  <c:v>Manufacture of other transport equipment</c:v>
                </c:pt>
                <c:pt idx="7">
                  <c:v>Manufacture of pharmaceutical products</c:v>
                </c:pt>
                <c:pt idx="8">
                  <c:v>Manufacture of wearing apparel</c:v>
                </c:pt>
                <c:pt idx="9">
                  <c:v>Manufacture of beverages</c:v>
                </c:pt>
                <c:pt idx="10">
                  <c:v>Manufacture of coke and refined petroleum products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'I 2021 ang'!$C$2:$C$13</c:f>
              <c:numCache>
                <c:formatCode>0.0_ ;[Red]\-0.0\ </c:formatCode>
                <c:ptCount val="12"/>
                <c:pt idx="0">
                  <c:v>131.30000000000001</c:v>
                </c:pt>
                <c:pt idx="1">
                  <c:v>112.5</c:v>
                </c:pt>
                <c:pt idx="2">
                  <c:v>108.6</c:v>
                </c:pt>
                <c:pt idx="3">
                  <c:v>106.8</c:v>
                </c:pt>
                <c:pt idx="4">
                  <c:v>105.9</c:v>
                </c:pt>
                <c:pt idx="5">
                  <c:v>104.9</c:v>
                </c:pt>
                <c:pt idx="6">
                  <c:v>94.3</c:v>
                </c:pt>
                <c:pt idx="7">
                  <c:v>93.9</c:v>
                </c:pt>
                <c:pt idx="8">
                  <c:v>93.7</c:v>
                </c:pt>
                <c:pt idx="9">
                  <c:v>88.7</c:v>
                </c:pt>
                <c:pt idx="10">
                  <c:v>79.599999999999994</c:v>
                </c:pt>
                <c:pt idx="11">
                  <c:v>72.400000000000006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74543488"/>
        <c:axId val="-2074542944"/>
      </c:barChart>
      <c:catAx>
        <c:axId val="-20745434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2074542944"/>
        <c:crossesAt val="100"/>
        <c:auto val="1"/>
        <c:lblAlgn val="ctr"/>
        <c:lblOffset val="20"/>
        <c:noMultiLvlLbl val="0"/>
      </c:catAx>
      <c:valAx>
        <c:axId val="-2074542944"/>
        <c:scaling>
          <c:orientation val="minMax"/>
          <c:max val="14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2074543488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519826560201937E-2"/>
          <c:y val="4.9640652922536825E-2"/>
          <c:w val="0.94017052055920225"/>
          <c:h val="0.54903263555262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styczeń ang.'!$C$1:$C$2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 ang.'!$C$3:$C$11</c:f>
              <c:numCache>
                <c:formatCode>General</c:formatCode>
                <c:ptCount val="9"/>
              </c:numCache>
            </c:numRef>
          </c:val>
        </c:ser>
        <c:ser>
          <c:idx val="1"/>
          <c:order val="1"/>
          <c:tx>
            <c:strRef>
              <c:f>'wykres słupkowy - styczeń ang.'!$D$1:$D$2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styczeń'!$A$3:$B$21</c:f>
            </c:multiLvlStrRef>
          </c:cat>
          <c:val>
            <c:numRef>
              <c:f>'wykres słupkowy - styczeń ang.'!$D$3:$D$21</c:f>
              <c:numCache>
                <c:formatCode>0.0_ ;[Red]\-0.0\ </c:formatCode>
                <c:ptCount val="19"/>
                <c:pt idx="1">
                  <c:v>55.7</c:v>
                </c:pt>
                <c:pt idx="2">
                  <c:v>42.5</c:v>
                </c:pt>
                <c:pt idx="4">
                  <c:v>72.099999999999994</c:v>
                </c:pt>
                <c:pt idx="5">
                  <c:v>70.5</c:v>
                </c:pt>
                <c:pt idx="7">
                  <c:v>110.7</c:v>
                </c:pt>
                <c:pt idx="8">
                  <c:v>86.1</c:v>
                </c:pt>
                <c:pt idx="10">
                  <c:v>87.4</c:v>
                </c:pt>
                <c:pt idx="11">
                  <c:v>90.3</c:v>
                </c:pt>
                <c:pt idx="13">
                  <c:v>109.7</c:v>
                </c:pt>
                <c:pt idx="14">
                  <c:v>91.9</c:v>
                </c:pt>
                <c:pt idx="16">
                  <c:v>107.3</c:v>
                </c:pt>
                <c:pt idx="17">
                  <c:v>92.7</c:v>
                </c:pt>
              </c:numCache>
            </c:numRef>
          </c:val>
        </c:ser>
        <c:ser>
          <c:idx val="2"/>
          <c:order val="2"/>
          <c:tx>
            <c:strRef>
              <c:f>'wykres słupkowy - styczeń ang.'!$E$1:$E$2</c:f>
              <c:strCache>
                <c:ptCount val="2"/>
                <c:pt idx="1">
                  <c:v>01 2020</c:v>
                </c:pt>
              </c:strCache>
            </c:strRef>
          </c:tx>
          <c:spPr>
            <a:solidFill>
              <a:srgbClr val="3394D3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 ang.'!$E$3:$E$11</c:f>
              <c:numCache>
                <c:formatCode>General</c:formatCode>
                <c:ptCount val="9"/>
              </c:numCache>
            </c:numRef>
          </c:val>
        </c:ser>
        <c:ser>
          <c:idx val="3"/>
          <c:order val="3"/>
          <c:tx>
            <c:strRef>
              <c:f>'wykres słupkowy - styczeń ang.'!$F$1:$F$2</c:f>
              <c:strCache>
                <c:ptCount val="2"/>
                <c:pt idx="1">
                  <c:v>01 2021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 ang.'!$F$3:$F$11</c:f>
              <c:numCache>
                <c:formatCode>General</c:formatCode>
                <c:ptCount val="9"/>
              </c:numCache>
            </c:numRef>
          </c:val>
        </c:ser>
        <c:ser>
          <c:idx val="4"/>
          <c:order val="4"/>
          <c:tx>
            <c:strRef>
              <c:f>'wykres słupkowy - styczeń ang.'!$G$1:$G$2</c:f>
              <c:strCache>
                <c:ptCount val="2"/>
                <c:pt idx="1">
                  <c:v>01 2021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 ang.'!$G$3:$G$11</c:f>
              <c:numCache>
                <c:formatCode>General</c:formatCode>
                <c:ptCount val="9"/>
              </c:numCache>
            </c:numRef>
          </c:val>
        </c:ser>
        <c:ser>
          <c:idx val="5"/>
          <c:order val="5"/>
          <c:tx>
            <c:strRef>
              <c:f>'wykres słupkowy - styczeń ang.'!$H$1:$H$2</c:f>
              <c:strCache>
                <c:ptCount val="2"/>
                <c:pt idx="1">
                  <c:v>01 2021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 ang.'!$H$3:$H$11</c:f>
              <c:numCache>
                <c:formatCode>General</c:formatCode>
                <c:ptCount val="9"/>
              </c:numCache>
            </c:numRef>
          </c:val>
        </c:ser>
        <c:ser>
          <c:idx val="6"/>
          <c:order val="6"/>
          <c:tx>
            <c:strRef>
              <c:f>'wykres słupkowy - styczeń ang.'!$I$1:$I$2</c:f>
              <c:strCache>
                <c:ptCount val="2"/>
                <c:pt idx="1">
                  <c:v>01 2021</c:v>
                </c:pt>
              </c:strCache>
            </c:strRef>
          </c:tx>
          <c:spPr>
            <a:solidFill>
              <a:srgbClr val="338187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 ang.'!$I$3:$I$11</c:f>
              <c:numCache>
                <c:formatCode>General</c:formatCode>
                <c:ptCount val="9"/>
              </c:numCache>
            </c:numRef>
          </c:val>
        </c:ser>
        <c:ser>
          <c:idx val="7"/>
          <c:order val="7"/>
          <c:tx>
            <c:strRef>
              <c:f>'wykres słupkowy - styczeń ang.'!$J$1:$J$2</c:f>
              <c:strCache>
                <c:ptCount val="2"/>
                <c:pt idx="1">
                  <c:v>01 2021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 ang.'!$J$3:$J$11</c:f>
              <c:numCache>
                <c:formatCode>General</c:formatCode>
                <c:ptCount val="9"/>
              </c:numCache>
            </c:numRef>
          </c:val>
        </c:ser>
        <c:ser>
          <c:idx val="8"/>
          <c:order val="8"/>
          <c:tx>
            <c:strRef>
              <c:f>'wykres słupkowy - styczeń ang.'!$K$1:$K$2</c:f>
              <c:strCache>
                <c:ptCount val="2"/>
                <c:pt idx="1">
                  <c:v>01 2021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 ang.'!$K$3:$K$11</c:f>
              <c:numCache>
                <c:formatCode>General</c:formatCode>
                <c:ptCount val="9"/>
              </c:numCache>
            </c:numRef>
          </c:val>
        </c:ser>
        <c:ser>
          <c:idx val="9"/>
          <c:order val="9"/>
          <c:tx>
            <c:strRef>
              <c:f>'wykres słupkowy - styczeń ang.'!$L$1:$L$2</c:f>
              <c:strCache>
                <c:ptCount val="2"/>
                <c:pt idx="1">
                  <c:v>01 2021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 ang.'!$L$3:$L$11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96"/>
        <c:axId val="-2074542400"/>
        <c:axId val="-2074544032"/>
      </c:barChart>
      <c:catAx>
        <c:axId val="-207454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4544032"/>
        <c:crossesAt val="100"/>
        <c:auto val="1"/>
        <c:lblAlgn val="ctr"/>
        <c:lblOffset val="100"/>
        <c:noMultiLvlLbl val="0"/>
      </c:catAx>
      <c:valAx>
        <c:axId val="-2074544032"/>
        <c:scaling>
          <c:orientation val="minMax"/>
          <c:max val="120"/>
          <c:min val="4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454240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2771486853700626"/>
          <c:y val="0.90901160753076804"/>
          <c:w val="0.44677175800680563"/>
          <c:h val="7.21157720809720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0.18941</cdr:x>
      <cdr:y>0.72805</cdr:y>
    </cdr:from>
    <cdr:to>
      <cdr:x>0.2192</cdr:x>
      <cdr:y>0.79212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174460" y="2447925"/>
          <a:ext cx="184731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none" rtlCol="0" anchor="t">
          <a:spAutoFit/>
        </a:bodyPr>
        <a:lstStyle xmlns:a="http://schemas.openxmlformats.org/drawingml/2006/main"/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0.06272</cdr:x>
      <cdr:y>0.59728</cdr:y>
    </cdr:from>
    <cdr:to>
      <cdr:x>0.22179</cdr:x>
      <cdr:y>0.83271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321292" y="1840991"/>
          <a:ext cx="814843" cy="72566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Repair and installation of machinery and equipment</a:t>
          </a:r>
        </a:p>
      </cdr:txBody>
    </cdr:sp>
  </cdr:relSizeAnchor>
  <cdr:relSizeAnchor xmlns:cdr="http://schemas.openxmlformats.org/drawingml/2006/chartDrawing">
    <cdr:from>
      <cdr:x>0.20813</cdr:x>
      <cdr:y>0.59859</cdr:y>
    </cdr:from>
    <cdr:to>
      <cdr:x>0.38018</cdr:x>
      <cdr:y>0.84355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066155" y="1845029"/>
          <a:ext cx="881334" cy="75504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of computer, electronic and optical products</a:t>
          </a:r>
        </a:p>
      </cdr:txBody>
    </cdr:sp>
  </cdr:relSizeAnchor>
  <cdr:relSizeAnchor xmlns:cdr="http://schemas.openxmlformats.org/drawingml/2006/chartDrawing">
    <cdr:from>
      <cdr:x>0.37098</cdr:x>
      <cdr:y>0.60258</cdr:y>
    </cdr:from>
    <cdr:to>
      <cdr:x>0.53777</cdr:x>
      <cdr:y>0.76358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1900361" y="1857327"/>
          <a:ext cx="854390" cy="4962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Mining of coal and lignite </a:t>
          </a:r>
        </a:p>
      </cdr:txBody>
    </cdr:sp>
  </cdr:relSizeAnchor>
  <cdr:relSizeAnchor xmlns:cdr="http://schemas.openxmlformats.org/drawingml/2006/chartDrawing">
    <cdr:from>
      <cdr:x>0.52853</cdr:x>
      <cdr:y>0.5997</cdr:y>
    </cdr:from>
    <cdr:to>
      <cdr:x>0.68453</cdr:x>
      <cdr:y>0.82807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2707429" y="1848450"/>
          <a:ext cx="799095" cy="70391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of machinery and equipment </a:t>
          </a:r>
        </a:p>
      </cdr:txBody>
    </cdr:sp>
  </cdr:relSizeAnchor>
  <cdr:relSizeAnchor xmlns:cdr="http://schemas.openxmlformats.org/drawingml/2006/chartDrawing">
    <cdr:from>
      <cdr:x>0.68025</cdr:x>
      <cdr:y>0.59726</cdr:y>
    </cdr:from>
    <cdr:to>
      <cdr:x>0.83673</cdr:x>
      <cdr:y>0.83896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3484605" y="1840931"/>
          <a:ext cx="801576" cy="74499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of coke and refined petroleum products</a:t>
          </a:r>
        </a:p>
      </cdr:txBody>
    </cdr:sp>
  </cdr:relSizeAnchor>
  <cdr:relSizeAnchor xmlns:cdr="http://schemas.openxmlformats.org/drawingml/2006/chartDrawing">
    <cdr:from>
      <cdr:x>0.81475</cdr:x>
      <cdr:y>0.59807</cdr:y>
    </cdr:from>
    <cdr:to>
      <cdr:x>0.98022</cdr:x>
      <cdr:y>0.89118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4314835" y="1936850"/>
          <a:ext cx="876291" cy="94923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of other      non-metallic mineral products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78E14-D963-436B-9B36-3DE06B2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2021-02-17T06:21:00Z</dcterms:created>
  <dcterms:modified xsi:type="dcterms:W3CDTF">2021-02-17T06:21:00Z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