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5956DE6B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34E62BFC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B9273E">
        <w:rPr>
          <w:shd w:val="clear" w:color="auto" w:fill="FFFFFF"/>
          <w:lang w:val="en-GB"/>
        </w:rPr>
        <w:t>March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6B117C27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7EC7DAA4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439E9ED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2AB79E18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273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18.9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0C8F68F8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B9273E">
                              <w:rPr>
                                <w:sz w:val="20"/>
                                <w:lang w:val="en-US"/>
                              </w:rPr>
                              <w:t>March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2AB79E18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273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18.9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0C8F68F8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B9273E">
                        <w:rPr>
                          <w:sz w:val="20"/>
                          <w:lang w:val="en-US"/>
                        </w:rPr>
                        <w:t>March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>In M</w:t>
      </w:r>
      <w:r w:rsidR="00B9273E">
        <w:rPr>
          <w:lang w:val="en-GB"/>
        </w:rPr>
        <w:t>arch</w:t>
      </w:r>
      <w:r w:rsidR="002C5475">
        <w:rPr>
          <w:lang w:val="en-GB"/>
        </w:rPr>
        <w:t xml:space="preserve"> 2021</w:t>
      </w:r>
      <w:r w:rsidRPr="00C52703">
        <w:rPr>
          <w:lang w:val="en-GB"/>
        </w:rPr>
        <w:t xml:space="preserve">, sold production of industry was by </w:t>
      </w:r>
      <w:r w:rsidR="00B6381E">
        <w:rPr>
          <w:lang w:val="en-GB"/>
        </w:rPr>
        <w:t>18.</w:t>
      </w:r>
      <w:r w:rsidR="00B9273E">
        <w:rPr>
          <w:lang w:val="en-GB"/>
        </w:rPr>
        <w:t>9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B9273E">
        <w:rPr>
          <w:lang w:val="en-GB"/>
        </w:rPr>
        <w:t>March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B9273E">
        <w:rPr>
          <w:spacing w:val="-2"/>
          <w:lang w:val="en-GB"/>
        </w:rPr>
        <w:t xml:space="preserve"> de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B9273E">
        <w:rPr>
          <w:spacing w:val="-2"/>
          <w:lang w:val="en-GB"/>
        </w:rPr>
        <w:t>2.5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B9273E">
        <w:rPr>
          <w:spacing w:val="-2"/>
          <w:lang w:val="en-GB"/>
        </w:rPr>
        <w:t>February</w:t>
      </w:r>
      <w:r w:rsidR="002C5475">
        <w:rPr>
          <w:spacing w:val="-2"/>
          <w:lang w:val="en-GB"/>
        </w:rPr>
        <w:t xml:space="preserve"> 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2C5475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B9273E">
        <w:rPr>
          <w:spacing w:val="-2"/>
          <w:lang w:val="en-GB"/>
        </w:rPr>
        <w:t>18.6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B9273E">
        <w:rPr>
          <w:lang w:val="en-GB"/>
        </w:rPr>
        <w:t>March</w:t>
      </w:r>
      <w:r w:rsidR="0019680B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B9273E">
        <w:rPr>
          <w:lang w:val="en-GB"/>
        </w:rPr>
        <w:t>7.9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E90FCB">
        <w:rPr>
          <w:lang w:val="en-GB"/>
        </w:rPr>
        <w:t xml:space="preserve">growth by </w:t>
      </w:r>
      <w:r w:rsidR="00B9273E">
        <w:rPr>
          <w:lang w:val="en-GB"/>
        </w:rPr>
        <w:t>0.9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0D6A5A2F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10BDE44B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057D59FE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7F9C06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D5D5F61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393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393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15.7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2D5D5F61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393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393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15.7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49698074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393C51">
        <w:rPr>
          <w:noProof/>
          <w:spacing w:val="-2"/>
          <w:szCs w:val="19"/>
          <w:lang w:val="en-GB"/>
        </w:rPr>
        <w:t>March</w:t>
      </w:r>
      <w:r w:rsidR="00405D79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393C51">
        <w:rPr>
          <w:noProof/>
          <w:spacing w:val="-2"/>
          <w:szCs w:val="19"/>
          <w:lang w:val="en-GB"/>
        </w:rPr>
        <w:t>15.7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393C51">
        <w:rPr>
          <w:noProof/>
          <w:spacing w:val="-2"/>
          <w:szCs w:val="19"/>
          <w:lang w:val="en-GB"/>
        </w:rPr>
        <w:t>2.3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February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5BA15952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1805D48E" w:rsidR="003627E7" w:rsidRPr="007B4306" w:rsidRDefault="00393C51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44608" behindDoc="0" locked="0" layoutInCell="1" allowOverlap="1" wp14:anchorId="366D8261" wp14:editId="47EAFD10">
            <wp:simplePos x="0" y="0"/>
            <wp:positionH relativeFrom="margin">
              <wp:align>right</wp:align>
            </wp:positionH>
            <wp:positionV relativeFrom="paragraph">
              <wp:posOffset>205105</wp:posOffset>
            </wp:positionV>
            <wp:extent cx="5200650" cy="315150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45208E7" w14:textId="3D8AFC82" w:rsidR="002C5475" w:rsidRDefault="002C547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374D667" w14:textId="6D7AE51F" w:rsidR="002C5475" w:rsidRPr="00D75D28" w:rsidRDefault="002C5475" w:rsidP="002C547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March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all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34A8B">
        <w:rPr>
          <w:b w:val="0"/>
          <w:sz w:val="19"/>
          <w:szCs w:val="19"/>
          <w:shd w:val="clear" w:color="auto" w:fill="FFFFFF"/>
          <w:lang w:val="en-GB"/>
        </w:rPr>
        <w:t>went up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52.1%,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– by 26.6%,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by 21.9%,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6.8%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0.4%.</w:t>
      </w:r>
    </w:p>
    <w:p w14:paraId="755086EE" w14:textId="1993501B" w:rsidR="00AD6B92" w:rsidRPr="00D75D28" w:rsidRDefault="00AD6B92" w:rsidP="00AD6B92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BC26C1D" w14:textId="3C63A35E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2E367771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2BC0B698" w:rsidR="00BB33B9" w:rsidRPr="00C52703" w:rsidRDefault="00B9273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03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286318DA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B9273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03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7FF5B54E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02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0510A08B" w:rsidR="00BB33B9" w:rsidRPr="00C52703" w:rsidRDefault="00B9273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03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2021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0DB50E5E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01-03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75F4F679" w:rsidR="0019680B" w:rsidRPr="009D4C87" w:rsidRDefault="00B9273E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118.6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5A1CF0B1" w:rsidR="0019680B" w:rsidRPr="009D4C87" w:rsidRDefault="00B9273E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118.9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29484CD2" w:rsidR="0019680B" w:rsidRPr="00DD58F4" w:rsidRDefault="00393C51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147.9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2B0AE5D8" w:rsidR="0019680B" w:rsidRPr="009D4C87" w:rsidRDefault="00B9273E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107.9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51A0875A" w:rsidR="0019680B" w:rsidRPr="009D4C87" w:rsidRDefault="00B9273E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118.6</w:t>
            </w:r>
          </w:p>
        </w:tc>
        <w:tc>
          <w:tcPr>
            <w:tcW w:w="1275" w:type="dxa"/>
            <w:vAlign w:val="center"/>
          </w:tcPr>
          <w:p w14:paraId="588D4170" w14:textId="234A8F78" w:rsidR="0019680B" w:rsidRPr="009D4C87" w:rsidRDefault="00B9273E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  <w:tc>
          <w:tcPr>
            <w:tcW w:w="1560" w:type="dxa"/>
            <w:vAlign w:val="center"/>
          </w:tcPr>
          <w:p w14:paraId="3E145B8D" w14:textId="55B7EEF4" w:rsidR="0019680B" w:rsidRPr="00DD58F4" w:rsidRDefault="00393C5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89.0</w:t>
            </w:r>
          </w:p>
        </w:tc>
        <w:tc>
          <w:tcPr>
            <w:tcW w:w="1417" w:type="dxa"/>
            <w:vAlign w:val="center"/>
          </w:tcPr>
          <w:p w14:paraId="2E08FF59" w14:textId="5C205C0B" w:rsidR="0019680B" w:rsidRPr="009D4C87" w:rsidRDefault="00B9273E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97.2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16756A3B" w:rsidR="0019680B" w:rsidRPr="009D4C87" w:rsidRDefault="00B9273E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120.7</w:t>
            </w:r>
          </w:p>
        </w:tc>
        <w:tc>
          <w:tcPr>
            <w:tcW w:w="1275" w:type="dxa"/>
            <w:vAlign w:val="center"/>
          </w:tcPr>
          <w:p w14:paraId="6EE9A7FE" w14:textId="7E6EA7E9" w:rsidR="0019680B" w:rsidRPr="009D4C87" w:rsidRDefault="00B9273E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120.9</w:t>
            </w:r>
          </w:p>
        </w:tc>
        <w:tc>
          <w:tcPr>
            <w:tcW w:w="1560" w:type="dxa"/>
            <w:vAlign w:val="center"/>
          </w:tcPr>
          <w:p w14:paraId="14DEA633" w14:textId="0C56D83E" w:rsidR="0019680B" w:rsidRPr="00DD58F4" w:rsidRDefault="00393C51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152.3</w:t>
            </w:r>
          </w:p>
        </w:tc>
        <w:tc>
          <w:tcPr>
            <w:tcW w:w="1417" w:type="dxa"/>
            <w:vAlign w:val="center"/>
          </w:tcPr>
          <w:p w14:paraId="3C9AADCC" w14:textId="60780443" w:rsidR="0019680B" w:rsidRPr="009D4C87" w:rsidRDefault="00B9273E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3E1C2DFC" w:rsidR="0019680B" w:rsidRPr="009D4C87" w:rsidRDefault="00B9273E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1275" w:type="dxa"/>
            <w:vAlign w:val="center"/>
          </w:tcPr>
          <w:p w14:paraId="09A98E34" w14:textId="762C941F" w:rsidR="0019680B" w:rsidRPr="009D4C87" w:rsidRDefault="00B9273E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</w:t>
            </w:r>
          </w:p>
        </w:tc>
        <w:tc>
          <w:tcPr>
            <w:tcW w:w="1560" w:type="dxa"/>
            <w:vAlign w:val="center"/>
          </w:tcPr>
          <w:p w14:paraId="48C11E68" w14:textId="51D63FC6" w:rsidR="0019680B" w:rsidRPr="00DD58F4" w:rsidRDefault="00393C5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131.0</w:t>
            </w:r>
          </w:p>
        </w:tc>
        <w:tc>
          <w:tcPr>
            <w:tcW w:w="1417" w:type="dxa"/>
            <w:vAlign w:val="center"/>
          </w:tcPr>
          <w:p w14:paraId="33B85A7E" w14:textId="77485840" w:rsidR="0019680B" w:rsidRPr="009D4C87" w:rsidRDefault="00B9273E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107.6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492A82CC" w:rsidR="0019680B" w:rsidRPr="009D4C87" w:rsidRDefault="00B9273E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109.8</w:t>
            </w:r>
          </w:p>
        </w:tc>
        <w:tc>
          <w:tcPr>
            <w:tcW w:w="1275" w:type="dxa"/>
            <w:vAlign w:val="center"/>
          </w:tcPr>
          <w:p w14:paraId="6E445ECF" w14:textId="273B5A7B" w:rsidR="0019680B" w:rsidRPr="009D4C87" w:rsidRDefault="00B9273E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112.2</w:t>
            </w:r>
          </w:p>
        </w:tc>
        <w:tc>
          <w:tcPr>
            <w:tcW w:w="1560" w:type="dxa"/>
            <w:vAlign w:val="center"/>
          </w:tcPr>
          <w:p w14:paraId="4FF62C73" w14:textId="3793C50F" w:rsidR="0019680B" w:rsidRPr="00DD58F4" w:rsidRDefault="00393C51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139.8</w:t>
            </w:r>
          </w:p>
        </w:tc>
        <w:tc>
          <w:tcPr>
            <w:tcW w:w="1417" w:type="dxa"/>
            <w:vAlign w:val="center"/>
          </w:tcPr>
          <w:p w14:paraId="32141E5B" w14:textId="2D6E8E41" w:rsidR="0019680B" w:rsidRPr="009D4C87" w:rsidRDefault="00B9273E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109.9</w:t>
            </w:r>
          </w:p>
        </w:tc>
      </w:tr>
    </w:tbl>
    <w:p w14:paraId="6E3C5957" w14:textId="6CC6F3CC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26EE84D5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B6381E">
        <w:rPr>
          <w:sz w:val="16"/>
          <w:szCs w:val="16"/>
          <w:lang w:val="en-GB"/>
        </w:rPr>
        <w:t>February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>reported data – in March</w:t>
      </w:r>
      <w:r w:rsidR="00BB33B9">
        <w:rPr>
          <w:sz w:val="16"/>
          <w:szCs w:val="16"/>
          <w:lang w:val="en-GB"/>
        </w:rPr>
        <w:t>.</w:t>
      </w:r>
    </w:p>
    <w:p w14:paraId="52E735D6" w14:textId="7A661A70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431B426B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8F3E3AF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B927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B927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91.6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28F3E3AF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B927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B927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91.6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3E543EED" w14:textId="515A78E2" w:rsidR="00393C51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B9273E">
        <w:rPr>
          <w:noProof/>
          <w:spacing w:val="-2"/>
          <w:szCs w:val="19"/>
          <w:lang w:val="en-GB"/>
        </w:rPr>
        <w:t>March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B9273E">
        <w:rPr>
          <w:noProof/>
          <w:spacing w:val="-2"/>
          <w:szCs w:val="19"/>
          <w:lang w:val="en-GB"/>
        </w:rPr>
        <w:t>March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B9273E">
        <w:rPr>
          <w:noProof/>
          <w:spacing w:val="-2"/>
          <w:szCs w:val="19"/>
          <w:lang w:val="en-GB"/>
        </w:rPr>
        <w:t>2</w:t>
      </w:r>
      <w:r w:rsidR="004E532C">
        <w:rPr>
          <w:noProof/>
          <w:spacing w:val="-2"/>
          <w:szCs w:val="19"/>
          <w:lang w:val="en-GB"/>
        </w:rPr>
        <w:t>7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691E20" w:rsidRPr="009D61BA">
        <w:rPr>
          <w:noProof/>
          <w:szCs w:val="19"/>
          <w:lang w:val="en-GB"/>
        </w:rPr>
        <w:t xml:space="preserve">manufacture of electrical equipment – by </w:t>
      </w:r>
      <w:r w:rsidR="00337DDB">
        <w:rPr>
          <w:noProof/>
          <w:szCs w:val="19"/>
          <w:lang w:val="en-GB"/>
        </w:rPr>
        <w:t>57.5</w:t>
      </w:r>
      <w:r w:rsidR="00691E20">
        <w:rPr>
          <w:noProof/>
          <w:szCs w:val="19"/>
          <w:lang w:val="en-GB"/>
        </w:rPr>
        <w:t>%,</w:t>
      </w:r>
      <w:r w:rsidR="00691E20" w:rsidRPr="008C421A">
        <w:rPr>
          <w:noProof/>
          <w:spacing w:val="-2"/>
          <w:szCs w:val="19"/>
          <w:lang w:val="en-GB"/>
        </w:rPr>
        <w:t xml:space="preserve"> </w:t>
      </w:r>
      <w:r w:rsidR="00A50D1A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337DDB">
        <w:rPr>
          <w:noProof/>
          <w:spacing w:val="-2"/>
          <w:szCs w:val="19"/>
          <w:lang w:val="en-GB"/>
        </w:rPr>
        <w:t>54.9</w:t>
      </w:r>
      <w:r w:rsidR="00A50D1A">
        <w:rPr>
          <w:noProof/>
          <w:spacing w:val="-2"/>
          <w:szCs w:val="19"/>
          <w:lang w:val="en-GB"/>
        </w:rPr>
        <w:t xml:space="preserve">%, </w:t>
      </w:r>
      <w:r w:rsidR="00337DDB">
        <w:rPr>
          <w:noProof/>
          <w:spacing w:val="-2"/>
          <w:szCs w:val="19"/>
          <w:lang w:val="en-GB"/>
        </w:rPr>
        <w:t>m</w:t>
      </w:r>
      <w:r w:rsidR="00337DDB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337DDB">
        <w:rPr>
          <w:noProof/>
          <w:spacing w:val="-2"/>
          <w:szCs w:val="19"/>
          <w:lang w:val="en-GB"/>
        </w:rPr>
        <w:t xml:space="preserve"> – by 51.1%,</w:t>
      </w:r>
      <w:r w:rsidR="00337DDB" w:rsidRPr="00CD0395">
        <w:rPr>
          <w:noProof/>
          <w:spacing w:val="-2"/>
          <w:szCs w:val="19"/>
          <w:lang w:val="en-GB"/>
        </w:rPr>
        <w:t xml:space="preserve"> </w:t>
      </w:r>
      <w:r w:rsidR="00337DDB">
        <w:rPr>
          <w:noProof/>
          <w:spacing w:val="-2"/>
          <w:szCs w:val="19"/>
          <w:lang w:val="en-GB"/>
        </w:rPr>
        <w:t>m</w:t>
      </w:r>
      <w:r w:rsidR="00337DDB" w:rsidRPr="00337DDB">
        <w:rPr>
          <w:noProof/>
          <w:spacing w:val="-2"/>
          <w:szCs w:val="19"/>
          <w:lang w:val="en-GB"/>
        </w:rPr>
        <w:t>anufacture of furniture</w:t>
      </w:r>
      <w:r w:rsidR="00337DDB">
        <w:rPr>
          <w:noProof/>
          <w:spacing w:val="-2"/>
          <w:szCs w:val="19"/>
          <w:lang w:val="en-GB"/>
        </w:rPr>
        <w:t xml:space="preserve"> – by 35.1%, </w:t>
      </w:r>
      <w:r w:rsidR="004E532C" w:rsidRPr="00D22ECE">
        <w:rPr>
          <w:noProof/>
          <w:spacing w:val="-2"/>
          <w:szCs w:val="19"/>
          <w:lang w:val="en-GB"/>
        </w:rPr>
        <w:t>manufa</w:t>
      </w:r>
      <w:r w:rsidR="004E532C">
        <w:rPr>
          <w:noProof/>
          <w:spacing w:val="-2"/>
          <w:szCs w:val="19"/>
          <w:lang w:val="en-GB"/>
        </w:rPr>
        <w:t>cture of r</w:t>
      </w:r>
      <w:r w:rsidR="00F5192C">
        <w:rPr>
          <w:noProof/>
          <w:spacing w:val="-2"/>
          <w:szCs w:val="19"/>
          <w:lang w:val="en-GB"/>
        </w:rPr>
        <w:t>ubber and plastic products – by </w:t>
      </w:r>
      <w:r w:rsidR="00337DDB">
        <w:rPr>
          <w:noProof/>
          <w:spacing w:val="-2"/>
          <w:szCs w:val="19"/>
          <w:lang w:val="en-GB"/>
        </w:rPr>
        <w:t>31.4</w:t>
      </w:r>
      <w:r w:rsidR="004E532C">
        <w:rPr>
          <w:noProof/>
          <w:spacing w:val="-2"/>
          <w:szCs w:val="19"/>
          <w:lang w:val="en-GB"/>
        </w:rPr>
        <w:t>%,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082002">
        <w:rPr>
          <w:noProof/>
          <w:spacing w:val="-2"/>
          <w:szCs w:val="19"/>
          <w:lang w:val="en-GB"/>
        </w:rPr>
        <w:t>anufacture of products of wood, cork, straw</w:t>
      </w:r>
      <w:r w:rsidR="004E532C" w:rsidRPr="006B044E">
        <w:rPr>
          <w:lang w:val="en-US"/>
        </w:rPr>
        <w:t xml:space="preserve"> </w:t>
      </w:r>
      <w:r w:rsidR="004E532C" w:rsidRPr="00082002">
        <w:rPr>
          <w:noProof/>
          <w:spacing w:val="-2"/>
          <w:szCs w:val="19"/>
          <w:lang w:val="en-GB"/>
        </w:rPr>
        <w:t>and wicker</w:t>
      </w:r>
      <w:r w:rsidR="004E532C">
        <w:rPr>
          <w:noProof/>
          <w:spacing w:val="-2"/>
          <w:szCs w:val="19"/>
          <w:lang w:val="en-GB"/>
        </w:rPr>
        <w:t xml:space="preserve"> – by </w:t>
      </w:r>
      <w:r w:rsidR="00337DDB">
        <w:rPr>
          <w:noProof/>
          <w:spacing w:val="-2"/>
          <w:szCs w:val="19"/>
          <w:lang w:val="en-GB"/>
        </w:rPr>
        <w:t>28.3</w:t>
      </w:r>
      <w:r w:rsidR="004E532C">
        <w:rPr>
          <w:noProof/>
          <w:spacing w:val="-2"/>
          <w:szCs w:val="19"/>
          <w:lang w:val="en-GB"/>
        </w:rPr>
        <w:t>%,</w:t>
      </w:r>
      <w:r w:rsidR="004E532C" w:rsidRPr="006B044E">
        <w:rPr>
          <w:lang w:val="en-US"/>
        </w:rPr>
        <w:t xml:space="preserve">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4E532C">
        <w:rPr>
          <w:noProof/>
          <w:spacing w:val="-2"/>
          <w:szCs w:val="19"/>
          <w:lang w:val="en-GB"/>
        </w:rPr>
        <w:t>anufacture of metal products</w:t>
      </w:r>
      <w:r w:rsidR="004E532C">
        <w:rPr>
          <w:noProof/>
          <w:spacing w:val="-2"/>
          <w:szCs w:val="19"/>
          <w:lang w:val="en-GB"/>
        </w:rPr>
        <w:t xml:space="preserve"> – by </w:t>
      </w:r>
      <w:r w:rsidR="00393C51">
        <w:rPr>
          <w:noProof/>
          <w:spacing w:val="-2"/>
          <w:szCs w:val="19"/>
          <w:lang w:val="en-GB"/>
        </w:rPr>
        <w:t>20.3</w:t>
      </w:r>
      <w:r w:rsidR="004E532C">
        <w:rPr>
          <w:noProof/>
          <w:spacing w:val="-2"/>
          <w:szCs w:val="19"/>
          <w:lang w:val="en-GB"/>
        </w:rPr>
        <w:t>%,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393C51" w:rsidRPr="009D61BA">
        <w:rPr>
          <w:noProof/>
          <w:szCs w:val="19"/>
          <w:lang w:val="en-GB"/>
        </w:rPr>
        <w:t xml:space="preserve">manufacture of </w:t>
      </w:r>
      <w:r w:rsidR="00393C51" w:rsidRPr="00082002">
        <w:rPr>
          <w:noProof/>
          <w:spacing w:val="-2"/>
          <w:szCs w:val="19"/>
          <w:lang w:val="en-GB"/>
        </w:rPr>
        <w:t>machinery and equipment</w:t>
      </w:r>
      <w:r w:rsidR="00393C51">
        <w:rPr>
          <w:noProof/>
          <w:szCs w:val="19"/>
          <w:lang w:val="en-GB"/>
        </w:rPr>
        <w:t>– by 16.3%,</w:t>
      </w:r>
      <w:r w:rsidR="00393C51" w:rsidRPr="00393C51">
        <w:rPr>
          <w:noProof/>
          <w:spacing w:val="-2"/>
          <w:szCs w:val="19"/>
          <w:lang w:val="en-GB"/>
        </w:rPr>
        <w:t xml:space="preserve"> </w:t>
      </w:r>
      <w:r w:rsidR="00393C51">
        <w:rPr>
          <w:noProof/>
          <w:spacing w:val="-2"/>
          <w:szCs w:val="19"/>
          <w:lang w:val="en-GB"/>
        </w:rPr>
        <w:t>m</w:t>
      </w:r>
      <w:r w:rsidR="00393C51" w:rsidRPr="004E532C">
        <w:rPr>
          <w:noProof/>
          <w:spacing w:val="-2"/>
          <w:szCs w:val="19"/>
          <w:lang w:val="en-GB"/>
        </w:rPr>
        <w:t>anufacture of other non-metallic mineral products</w:t>
      </w:r>
      <w:r w:rsidR="00393C51">
        <w:rPr>
          <w:noProof/>
          <w:spacing w:val="-2"/>
          <w:szCs w:val="19"/>
          <w:lang w:val="en-GB"/>
        </w:rPr>
        <w:t xml:space="preserve"> – by 16.1</w:t>
      </w:r>
      <w:r w:rsidR="00393C51" w:rsidRPr="00223D02">
        <w:rPr>
          <w:noProof/>
          <w:spacing w:val="-2"/>
          <w:szCs w:val="19"/>
          <w:lang w:val="en-GB"/>
        </w:rPr>
        <w:t>%</w:t>
      </w:r>
      <w:r w:rsidR="00393C51">
        <w:rPr>
          <w:noProof/>
          <w:spacing w:val="-2"/>
          <w:szCs w:val="19"/>
          <w:lang w:val="en-GB"/>
        </w:rPr>
        <w:t>.</w:t>
      </w:r>
    </w:p>
    <w:p w14:paraId="55E99F4D" w14:textId="64691BFB" w:rsidR="00393C51" w:rsidRDefault="00DA7D4B" w:rsidP="00393C51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393C51">
        <w:rPr>
          <w:noProof/>
          <w:szCs w:val="19"/>
          <w:lang w:val="en-GB"/>
        </w:rPr>
        <w:t>March</w:t>
      </w:r>
      <w:r w:rsidR="00A50D1A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4E532C">
        <w:rPr>
          <w:noProof/>
          <w:szCs w:val="19"/>
          <w:lang w:val="en-GB"/>
        </w:rPr>
        <w:t>6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256334">
        <w:rPr>
          <w:noProof/>
          <w:szCs w:val="19"/>
          <w:lang w:val="en-GB"/>
        </w:rPr>
        <w:t>s,</w:t>
      </w:r>
      <w:r w:rsidR="00382CAB">
        <w:rPr>
          <w:noProof/>
          <w:szCs w:val="19"/>
          <w:lang w:val="en-GB"/>
        </w:rPr>
        <w:t xml:space="preserve"> </w:t>
      </w:r>
      <w:r w:rsidR="000D6E9C">
        <w:rPr>
          <w:noProof/>
          <w:szCs w:val="19"/>
          <w:lang w:val="en-GB"/>
        </w:rPr>
        <w:t>in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393C51">
        <w:rPr>
          <w:noProof/>
          <w:spacing w:val="-2"/>
          <w:szCs w:val="19"/>
          <w:lang w:val="en-GB"/>
        </w:rPr>
        <w:t>m</w:t>
      </w:r>
      <w:r w:rsidR="00393C51" w:rsidRPr="00691E20">
        <w:rPr>
          <w:noProof/>
          <w:spacing w:val="-2"/>
          <w:szCs w:val="19"/>
          <w:lang w:val="en-GB"/>
        </w:rPr>
        <w:t>anufacture of other transport equipment</w:t>
      </w:r>
      <w:r w:rsidR="00393C51">
        <w:rPr>
          <w:noProof/>
          <w:spacing w:val="-2"/>
          <w:szCs w:val="19"/>
          <w:lang w:val="en-GB"/>
        </w:rPr>
        <w:t xml:space="preserve"> – by </w:t>
      </w:r>
      <w:r w:rsidR="007C0BFB">
        <w:rPr>
          <w:noProof/>
          <w:spacing w:val="-2"/>
          <w:szCs w:val="19"/>
          <w:lang w:val="en-GB"/>
        </w:rPr>
        <w:t>17.1</w:t>
      </w:r>
      <w:r w:rsidR="00393C51">
        <w:rPr>
          <w:noProof/>
          <w:spacing w:val="-2"/>
          <w:szCs w:val="19"/>
          <w:lang w:val="en-GB"/>
        </w:rPr>
        <w:t>%,</w:t>
      </w:r>
      <w:r w:rsidR="007C0BFB" w:rsidRPr="006B044E">
        <w:rPr>
          <w:lang w:val="en-US"/>
        </w:rPr>
        <w:t xml:space="preserve"> </w:t>
      </w:r>
      <w:r w:rsidR="007C0BFB">
        <w:rPr>
          <w:noProof/>
          <w:spacing w:val="-2"/>
          <w:szCs w:val="19"/>
          <w:lang w:val="en-GB"/>
        </w:rPr>
        <w:t>m</w:t>
      </w:r>
      <w:r w:rsidR="007C0BFB" w:rsidRPr="007C0BFB">
        <w:rPr>
          <w:noProof/>
          <w:spacing w:val="-2"/>
          <w:szCs w:val="19"/>
          <w:lang w:val="en-GB"/>
        </w:rPr>
        <w:t>anufacture of pharmaceutical products</w:t>
      </w:r>
      <w:r w:rsidR="007C0BFB">
        <w:rPr>
          <w:noProof/>
          <w:spacing w:val="-2"/>
          <w:szCs w:val="19"/>
          <w:lang w:val="en-GB"/>
        </w:rPr>
        <w:t xml:space="preserve"> – by 16.9%, </w:t>
      </w:r>
      <w:r w:rsidR="004E532C">
        <w:rPr>
          <w:noProof/>
          <w:spacing w:val="-2"/>
          <w:szCs w:val="19"/>
          <w:lang w:val="en-GB"/>
        </w:rPr>
        <w:t>m</w:t>
      </w:r>
      <w:r w:rsidR="004E532C" w:rsidRPr="0065283F">
        <w:rPr>
          <w:noProof/>
          <w:spacing w:val="-2"/>
          <w:szCs w:val="19"/>
          <w:lang w:val="en-GB"/>
        </w:rPr>
        <w:t xml:space="preserve">anufacture of </w:t>
      </w:r>
      <w:r w:rsidR="004E532C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4E532C">
        <w:rPr>
          <w:noProof/>
          <w:spacing w:val="-2"/>
          <w:szCs w:val="19"/>
          <w:lang w:val="en-GB"/>
        </w:rPr>
        <w:t xml:space="preserve"> – by </w:t>
      </w:r>
      <w:r w:rsidR="007C0BFB">
        <w:rPr>
          <w:noProof/>
          <w:spacing w:val="-2"/>
          <w:szCs w:val="19"/>
          <w:lang w:val="en-GB"/>
        </w:rPr>
        <w:t>11.1%.</w:t>
      </w:r>
      <w:r w:rsidR="004E532C">
        <w:rPr>
          <w:noProof/>
          <w:spacing w:val="-2"/>
          <w:szCs w:val="19"/>
          <w:lang w:val="en-GB"/>
        </w:rPr>
        <w:t xml:space="preserve"> </w:t>
      </w:r>
    </w:p>
    <w:p w14:paraId="7D7E1994" w14:textId="145C11D1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184263F2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B55DC66" w14:textId="181AC246" w:rsidR="007C0BFB" w:rsidRPr="006B044E" w:rsidRDefault="007C0BFB" w:rsidP="00680622">
      <w:pPr>
        <w:spacing w:before="0" w:after="0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5632" behindDoc="0" locked="0" layoutInCell="1" allowOverlap="1" wp14:anchorId="22F5F407" wp14:editId="2571C18B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5098415" cy="3781425"/>
            <wp:effectExtent l="0" t="0" r="6985" b="0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6B044E">
        <w:rPr>
          <w:noProof/>
          <w:lang w:val="en-US" w:eastAsia="pl-PL"/>
        </w:rPr>
        <w:t xml:space="preserve"> </w:t>
      </w:r>
    </w:p>
    <w:p w14:paraId="497297F9" w14:textId="6763AD40" w:rsidR="007C0BFB" w:rsidRDefault="005F27B3" w:rsidP="005119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7C0BFB">
        <w:rPr>
          <w:szCs w:val="19"/>
          <w:lang w:val="en-GB"/>
        </w:rPr>
        <w:t>February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>, a</w:t>
      </w:r>
      <w:r w:rsidR="00923B5D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7C0BFB">
        <w:rPr>
          <w:szCs w:val="19"/>
          <w:lang w:val="en-GB"/>
        </w:rPr>
        <w:t>March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7C0BFB">
        <w:rPr>
          <w:szCs w:val="19"/>
          <w:lang w:val="en-GB"/>
        </w:rPr>
        <w:t>32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 xml:space="preserve">in </w:t>
      </w:r>
      <w:r w:rsidR="006730C2">
        <w:rPr>
          <w:noProof/>
          <w:spacing w:val="-2"/>
          <w:szCs w:val="19"/>
          <w:lang w:val="en-GB"/>
        </w:rPr>
        <w:t>m</w:t>
      </w:r>
      <w:r w:rsidR="006730C2" w:rsidRPr="004E532C">
        <w:rPr>
          <w:noProof/>
          <w:spacing w:val="-2"/>
          <w:szCs w:val="19"/>
          <w:lang w:val="en-GB"/>
        </w:rPr>
        <w:t>anufacture of other non-metallic mineral products</w:t>
      </w:r>
      <w:r w:rsidR="006730C2">
        <w:rPr>
          <w:noProof/>
          <w:spacing w:val="-2"/>
          <w:szCs w:val="19"/>
          <w:lang w:val="en-GB"/>
        </w:rPr>
        <w:t xml:space="preserve"> – by 45.6</w:t>
      </w:r>
      <w:r w:rsidR="006730C2" w:rsidRPr="00223D02">
        <w:rPr>
          <w:noProof/>
          <w:spacing w:val="-2"/>
          <w:szCs w:val="19"/>
          <w:lang w:val="en-GB"/>
        </w:rPr>
        <w:t>%</w:t>
      </w:r>
      <w:r w:rsidR="006730C2">
        <w:rPr>
          <w:noProof/>
          <w:spacing w:val="-2"/>
          <w:szCs w:val="19"/>
          <w:lang w:val="en-GB"/>
        </w:rPr>
        <w:t>,</w:t>
      </w:r>
      <w:r w:rsidR="006730C2" w:rsidRPr="006730C2">
        <w:rPr>
          <w:noProof/>
          <w:spacing w:val="-2"/>
          <w:szCs w:val="19"/>
          <w:lang w:val="en-GB"/>
        </w:rPr>
        <w:t xml:space="preserve"> </w:t>
      </w:r>
      <w:r w:rsidR="006730C2">
        <w:rPr>
          <w:noProof/>
          <w:spacing w:val="-2"/>
          <w:szCs w:val="19"/>
          <w:lang w:val="en-GB"/>
        </w:rPr>
        <w:t>m</w:t>
      </w:r>
      <w:r w:rsidR="006730C2" w:rsidRPr="004E532C">
        <w:rPr>
          <w:noProof/>
          <w:spacing w:val="-2"/>
          <w:szCs w:val="19"/>
          <w:lang w:val="en-GB"/>
        </w:rPr>
        <w:t>anufacture of beverages</w:t>
      </w:r>
      <w:r w:rsidR="006730C2">
        <w:rPr>
          <w:noProof/>
          <w:spacing w:val="-2"/>
          <w:szCs w:val="19"/>
          <w:lang w:val="en-GB"/>
        </w:rPr>
        <w:t xml:space="preserve"> – by 40.0%,</w:t>
      </w:r>
      <w:r w:rsidR="006730C2" w:rsidRPr="006730C2">
        <w:rPr>
          <w:noProof/>
          <w:spacing w:val="-2"/>
          <w:szCs w:val="19"/>
          <w:lang w:val="en-GB"/>
        </w:rPr>
        <w:t xml:space="preserve"> </w:t>
      </w:r>
      <w:r w:rsidR="006730C2">
        <w:rPr>
          <w:noProof/>
          <w:spacing w:val="-2"/>
          <w:szCs w:val="19"/>
          <w:lang w:val="en-GB"/>
        </w:rPr>
        <w:t>m</w:t>
      </w:r>
      <w:r w:rsidR="006730C2" w:rsidRPr="00CD0395">
        <w:rPr>
          <w:noProof/>
          <w:spacing w:val="-2"/>
          <w:szCs w:val="19"/>
          <w:lang w:val="en-GB"/>
        </w:rPr>
        <w:t>anufacture of computer, electronic and optical</w:t>
      </w:r>
      <w:r w:rsidR="006730C2">
        <w:rPr>
          <w:noProof/>
          <w:spacing w:val="-2"/>
          <w:szCs w:val="19"/>
          <w:lang w:val="en-GB"/>
        </w:rPr>
        <w:t xml:space="preserve"> products – by 25.0%,</w:t>
      </w:r>
      <w:r w:rsidR="006730C2" w:rsidRPr="006730C2">
        <w:rPr>
          <w:noProof/>
          <w:spacing w:val="-2"/>
          <w:szCs w:val="19"/>
          <w:lang w:val="en-GB"/>
        </w:rPr>
        <w:t xml:space="preserve"> </w:t>
      </w:r>
      <w:r w:rsidR="006730C2" w:rsidRPr="00223D02">
        <w:rPr>
          <w:noProof/>
          <w:spacing w:val="-2"/>
          <w:szCs w:val="19"/>
          <w:lang w:val="en-GB"/>
        </w:rPr>
        <w:t>manufac</w:t>
      </w:r>
      <w:r w:rsidR="006730C2">
        <w:rPr>
          <w:noProof/>
          <w:spacing w:val="-2"/>
          <w:szCs w:val="19"/>
          <w:lang w:val="en-GB"/>
        </w:rPr>
        <w:t>ture of basic metals – by 23,9</w:t>
      </w:r>
      <w:r w:rsidR="006730C2" w:rsidRPr="00223D02">
        <w:rPr>
          <w:noProof/>
          <w:spacing w:val="-2"/>
          <w:szCs w:val="19"/>
          <w:lang w:val="en-GB"/>
        </w:rPr>
        <w:t>%</w:t>
      </w:r>
      <w:r w:rsidR="006730C2">
        <w:rPr>
          <w:noProof/>
          <w:spacing w:val="-2"/>
          <w:szCs w:val="19"/>
          <w:lang w:val="en-GB"/>
        </w:rPr>
        <w:t>,</w:t>
      </w:r>
      <w:r w:rsidR="006730C2" w:rsidRPr="006730C2">
        <w:rPr>
          <w:noProof/>
          <w:szCs w:val="19"/>
          <w:lang w:val="en-GB"/>
        </w:rPr>
        <w:t xml:space="preserve"> </w:t>
      </w:r>
      <w:r w:rsidR="006730C2" w:rsidRPr="009D61BA">
        <w:rPr>
          <w:noProof/>
          <w:szCs w:val="19"/>
          <w:lang w:val="en-GB"/>
        </w:rPr>
        <w:t xml:space="preserve">manufacture of </w:t>
      </w:r>
      <w:r w:rsidR="006730C2" w:rsidRPr="00082002">
        <w:rPr>
          <w:noProof/>
          <w:spacing w:val="-2"/>
          <w:szCs w:val="19"/>
          <w:lang w:val="en-GB"/>
        </w:rPr>
        <w:t>machinery and equipment</w:t>
      </w:r>
      <w:r w:rsidR="006730C2">
        <w:rPr>
          <w:noProof/>
          <w:szCs w:val="19"/>
          <w:lang w:val="en-GB"/>
        </w:rPr>
        <w:t>– by 23.8%,</w:t>
      </w:r>
      <w:r w:rsidR="006730C2" w:rsidRPr="006730C2">
        <w:rPr>
          <w:noProof/>
          <w:spacing w:val="-2"/>
          <w:szCs w:val="19"/>
          <w:lang w:val="en-GB"/>
        </w:rPr>
        <w:t xml:space="preserve"> </w:t>
      </w:r>
      <w:r w:rsidR="006730C2">
        <w:rPr>
          <w:noProof/>
          <w:spacing w:val="-2"/>
          <w:szCs w:val="19"/>
          <w:lang w:val="en-GB"/>
        </w:rPr>
        <w:t>m</w:t>
      </w:r>
      <w:r w:rsidR="006730C2" w:rsidRPr="004E532C">
        <w:rPr>
          <w:noProof/>
          <w:spacing w:val="-2"/>
          <w:szCs w:val="19"/>
          <w:lang w:val="en-GB"/>
        </w:rPr>
        <w:t>anufacture of food products</w:t>
      </w:r>
      <w:r w:rsidR="006730C2">
        <w:rPr>
          <w:noProof/>
          <w:spacing w:val="-2"/>
          <w:szCs w:val="19"/>
          <w:lang w:val="en-GB"/>
        </w:rPr>
        <w:t xml:space="preserve"> – by 22.5%,</w:t>
      </w:r>
      <w:r w:rsidR="006730C2" w:rsidRPr="006730C2">
        <w:rPr>
          <w:noProof/>
          <w:spacing w:val="-2"/>
          <w:szCs w:val="19"/>
          <w:lang w:val="en-GB"/>
        </w:rPr>
        <w:t xml:space="preserve"> </w:t>
      </w:r>
      <w:r w:rsidR="006730C2" w:rsidRPr="00D22ECE">
        <w:rPr>
          <w:noProof/>
          <w:spacing w:val="-2"/>
          <w:szCs w:val="19"/>
          <w:lang w:val="en-GB"/>
        </w:rPr>
        <w:t>manufa</w:t>
      </w:r>
      <w:r w:rsidR="006730C2">
        <w:rPr>
          <w:noProof/>
          <w:spacing w:val="-2"/>
          <w:szCs w:val="19"/>
          <w:lang w:val="en-GB"/>
        </w:rPr>
        <w:t>cture of rubber and plastic products – by 21.8%,</w:t>
      </w:r>
      <w:r w:rsidR="006730C2" w:rsidRPr="006730C2">
        <w:rPr>
          <w:noProof/>
          <w:spacing w:val="-2"/>
          <w:szCs w:val="19"/>
          <w:lang w:val="en-GB"/>
        </w:rPr>
        <w:t xml:space="preserve"> </w:t>
      </w:r>
      <w:r w:rsidR="006730C2">
        <w:rPr>
          <w:noProof/>
          <w:spacing w:val="-2"/>
          <w:szCs w:val="19"/>
          <w:lang w:val="en-GB"/>
        </w:rPr>
        <w:t>m</w:t>
      </w:r>
      <w:r w:rsidR="006730C2" w:rsidRPr="00082002">
        <w:rPr>
          <w:noProof/>
          <w:spacing w:val="-2"/>
          <w:szCs w:val="19"/>
          <w:lang w:val="en-GB"/>
        </w:rPr>
        <w:t>anufacture of products of wood, cork, straw</w:t>
      </w:r>
      <w:r w:rsidR="006730C2" w:rsidRPr="006B044E">
        <w:rPr>
          <w:lang w:val="en-US"/>
        </w:rPr>
        <w:t xml:space="preserve"> </w:t>
      </w:r>
      <w:r w:rsidR="006730C2" w:rsidRPr="00082002">
        <w:rPr>
          <w:noProof/>
          <w:spacing w:val="-2"/>
          <w:szCs w:val="19"/>
          <w:lang w:val="en-GB"/>
        </w:rPr>
        <w:t>and wicker</w:t>
      </w:r>
      <w:r w:rsidR="006730C2">
        <w:rPr>
          <w:noProof/>
          <w:spacing w:val="-2"/>
          <w:szCs w:val="19"/>
          <w:lang w:val="en-GB"/>
        </w:rPr>
        <w:t xml:space="preserve"> and m</w:t>
      </w:r>
      <w:r w:rsidR="006730C2" w:rsidRPr="008C421A">
        <w:rPr>
          <w:noProof/>
          <w:spacing w:val="-2"/>
          <w:szCs w:val="19"/>
          <w:lang w:val="en-GB"/>
        </w:rPr>
        <w:t>anufacture of chemicals and chemical products</w:t>
      </w:r>
      <w:r w:rsidR="006730C2">
        <w:rPr>
          <w:noProof/>
          <w:spacing w:val="-2"/>
          <w:szCs w:val="19"/>
          <w:lang w:val="en-GB"/>
        </w:rPr>
        <w:t xml:space="preserve"> – by 19.8% each,</w:t>
      </w:r>
      <w:r w:rsidR="006730C2" w:rsidRPr="006730C2">
        <w:rPr>
          <w:noProof/>
          <w:spacing w:val="-2"/>
          <w:szCs w:val="19"/>
          <w:lang w:val="en-GB"/>
        </w:rPr>
        <w:t xml:space="preserve"> </w:t>
      </w:r>
      <w:r w:rsidR="006730C2">
        <w:rPr>
          <w:noProof/>
          <w:spacing w:val="-2"/>
          <w:szCs w:val="19"/>
          <w:lang w:val="en-GB"/>
        </w:rPr>
        <w:t>m</w:t>
      </w:r>
      <w:r w:rsidR="006730C2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6730C2">
        <w:rPr>
          <w:noProof/>
          <w:spacing w:val="-2"/>
          <w:szCs w:val="19"/>
          <w:lang w:val="en-GB"/>
        </w:rPr>
        <w:t xml:space="preserve"> – by 18.0%.</w:t>
      </w:r>
    </w:p>
    <w:p w14:paraId="0472DFD8" w14:textId="30622A79" w:rsidR="006730C2" w:rsidRDefault="00256334" w:rsidP="006730C2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CD0395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6730C2">
        <w:rPr>
          <w:noProof/>
          <w:szCs w:val="19"/>
          <w:lang w:val="en-GB"/>
        </w:rPr>
        <w:t>February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>was recorded in 2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F86DA7">
        <w:rPr>
          <w:noProof/>
          <w:szCs w:val="19"/>
          <w:lang w:val="en-GB"/>
        </w:rPr>
        <w:t>including</w:t>
      </w:r>
      <w:r w:rsidR="0051196A" w:rsidRPr="006B044E">
        <w:rPr>
          <w:lang w:val="en-US"/>
        </w:rPr>
        <w:t xml:space="preserve"> </w:t>
      </w:r>
      <w:r w:rsidR="006730C2">
        <w:rPr>
          <w:noProof/>
          <w:spacing w:val="-2"/>
          <w:szCs w:val="19"/>
          <w:lang w:val="en-GB"/>
        </w:rPr>
        <w:t>e</w:t>
      </w:r>
      <w:r w:rsidR="006730C2" w:rsidRPr="00E44A8F">
        <w:rPr>
          <w:noProof/>
          <w:spacing w:val="-2"/>
          <w:szCs w:val="19"/>
          <w:lang w:val="en-GB"/>
        </w:rPr>
        <w:t>lectricity</w:t>
      </w:r>
      <w:bookmarkStart w:id="0" w:name="_GoBack"/>
      <w:bookmarkEnd w:id="0"/>
      <w:r w:rsidR="006730C2" w:rsidRPr="00E44A8F">
        <w:rPr>
          <w:noProof/>
          <w:spacing w:val="-2"/>
          <w:szCs w:val="19"/>
          <w:lang w:val="en-GB"/>
        </w:rPr>
        <w:t>, gas, steam and air conditioning supply</w:t>
      </w:r>
      <w:r w:rsidR="006730C2">
        <w:rPr>
          <w:noProof/>
          <w:spacing w:val="-2"/>
          <w:szCs w:val="19"/>
          <w:lang w:val="en-GB"/>
        </w:rPr>
        <w:t xml:space="preserve"> – by 0.9%.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0DDEDE3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68708D77" w:rsidR="00E44A8F" w:rsidRPr="00680622" w:rsidRDefault="00F86DA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46656" behindDoc="0" locked="0" layoutInCell="1" allowOverlap="1" wp14:anchorId="28F459E3" wp14:editId="7BAD29FE">
            <wp:simplePos x="0" y="0"/>
            <wp:positionH relativeFrom="margin">
              <wp:align>left</wp:align>
            </wp:positionH>
            <wp:positionV relativeFrom="paragraph">
              <wp:posOffset>230505</wp:posOffset>
            </wp:positionV>
            <wp:extent cx="5122545" cy="391350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0D39409D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FD37C5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6B044E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6CD6001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6730C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"https://stat.gov.pl/en/topics/other-studies/informations-on-socio-economic-situation/statistical-bulletin-no-22021,4,122.html"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405490FA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6730C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"https://stat.gov.pl/en/topics/other-studies/informations-on-socio-economic-situation/socio-economic-situation-of-the-country-in-february-2021,1,119.html"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7B2AD8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7B2AD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7B2AD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6CD6001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6730C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"https://stat.gov.pl/en/topics/other-studies/informations-on-socio-economic-situation/statistical-bulletin-no-22021,4,122.html"</w:instrText>
                      </w:r>
                      <w:r w:rsidR="006730C2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405490FA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6730C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"https://stat.gov.pl/en/topics/other-studies/informations-on-socio-economic-situation/socio-economic-situation-of-the-country-in-february-2021,1,119.html"</w:instrText>
                      </w:r>
                      <w:r w:rsidR="006730C2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083E0E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083E0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083E0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41C51" w14:textId="77777777" w:rsidR="007B2AD8" w:rsidRDefault="007B2AD8" w:rsidP="000662E2">
      <w:pPr>
        <w:spacing w:after="0" w:line="240" w:lineRule="auto"/>
      </w:pPr>
      <w:r>
        <w:separator/>
      </w:r>
    </w:p>
  </w:endnote>
  <w:endnote w:type="continuationSeparator" w:id="0">
    <w:p w14:paraId="16413611" w14:textId="77777777" w:rsidR="007B2AD8" w:rsidRDefault="007B2A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81472" w14:textId="77777777" w:rsidR="007B2AD8" w:rsidRDefault="007B2AD8" w:rsidP="000662E2">
      <w:pPr>
        <w:spacing w:after="0" w:line="240" w:lineRule="auto"/>
      </w:pPr>
      <w:r>
        <w:separator/>
      </w:r>
    </w:p>
  </w:footnote>
  <w:footnote w:type="continuationSeparator" w:id="0">
    <w:p w14:paraId="709B3254" w14:textId="77777777" w:rsidR="007B2AD8" w:rsidRDefault="007B2AD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D0C1FB9" w:rsidR="00112A4D" w:rsidRPr="00C97596" w:rsidRDefault="00B9273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21.04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7D0C1FB9" w:rsidR="00112A4D" w:rsidRPr="00C97596" w:rsidRDefault="00B9273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21.04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1.5pt;height:129.75pt;visibility:visible;mso-wrap-style:square" o:bullet="t">
        <v:imagedata r:id="rId1" o:title=""/>
      </v:shape>
    </w:pict>
  </w:numPicBullet>
  <w:numPicBullet w:numPicBulletId="1">
    <w:pict>
      <v:shape id="_x0000_i1051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51CC"/>
    <w:rsid w:val="002D7096"/>
    <w:rsid w:val="002D7F9D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61C"/>
    <w:rsid w:val="00463E39"/>
    <w:rsid w:val="00464683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44E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4A8B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2AD8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0B18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0D37"/>
    <w:rsid w:val="00B914E9"/>
    <w:rsid w:val="00B91AC6"/>
    <w:rsid w:val="00B9273E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06AB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://bdm.stat.gov.pl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362,term.html" TargetMode="External"/><Relationship Id="rId47" Type="http://schemas.openxmlformats.org/officeDocument/2006/relationships/hyperlink" Target="http://stat.gov.pl/en/metainformations/glossary/terms-used-in-official-statistics/1314,term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40" Type="http://schemas.openxmlformats.org/officeDocument/2006/relationships/hyperlink" Target="http://stat.gov.pl/en/poland-macroeconomic-indicators/" TargetMode="External"/><Relationship Id="rId45" Type="http://schemas.openxmlformats.org/officeDocument/2006/relationships/hyperlink" Target="http://stat.gov.pl/en/metainformations/glossary/terms-used-in-official-statistics/356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49" Type="http://schemas.openxmlformats.org/officeDocument/2006/relationships/hyperlink" Target="http://stat.gov.pl/en/metainformations/glossary/terms-used-in-official-statistics/1313,term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707,term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700,term.html" TargetMode="External"/><Relationship Id="rId48" Type="http://schemas.openxmlformats.org/officeDocument/2006/relationships/hyperlink" Target="http://stat.gov.pl/en/metainformations/glossary/terms-used-in-official-statistics/357,term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waid.stat.gov.pl/EN/SitePagesDBW/ProdukcjaPrzemyslowa.aspx" TargetMode="External"/><Relationship Id="rId46" Type="http://schemas.openxmlformats.org/officeDocument/2006/relationships/hyperlink" Target="http://stat.gov.pl/en/metainformations/glossary/terms-used-in-official-statistics/131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48322944"/>
        <c:axId val="-448328928"/>
      </c:lineChart>
      <c:catAx>
        <c:axId val="-44832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48328928"/>
        <c:crossesAt val="100"/>
        <c:auto val="1"/>
        <c:lblAlgn val="ctr"/>
        <c:lblOffset val="100"/>
        <c:noMultiLvlLbl val="0"/>
      </c:catAx>
      <c:valAx>
        <c:axId val="-448328928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4832294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'III 2021 ang'!$B$1</c:f>
              <c:strCache>
                <c:ptCount val="1"/>
                <c:pt idx="0">
                  <c:v>03 2020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'III 2021 ang'!$A$2:$A$13</c:f>
              <c:strCache>
                <c:ptCount val="12"/>
                <c:pt idx="0">
                  <c:v>Manufacture of electrical equipment</c:v>
                </c:pt>
                <c:pt idx="1">
                  <c:v>Manufacture of computer, electronic and optical products</c:v>
                </c:pt>
                <c:pt idx="2">
                  <c:v>Manufacture of motor vehicles, trailers and semi-trailers</c:v>
                </c:pt>
                <c:pt idx="3">
                  <c:v>Manufacture of furniture</c:v>
                </c:pt>
                <c:pt idx="4">
                  <c:v>Manufacture of textiles</c:v>
                </c:pt>
                <c:pt idx="5">
                  <c:v>Manufacture of rubber and plastic products</c:v>
                </c:pt>
                <c:pt idx="6">
                  <c:v>Manufacture of products of wood, cork, straw and wicker</c:v>
                </c:pt>
                <c:pt idx="7">
                  <c:v>Other manufacturing  </c:v>
                </c:pt>
                <c:pt idx="8">
                  <c:v>Manufacture of wearing apparel</c:v>
                </c:pt>
                <c:pt idx="9">
                  <c:v>Manufacture of coke and refined petroleum products</c:v>
                </c:pt>
                <c:pt idx="10">
                  <c:v>Manufacture of pharmaceutical products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'III 2021 ang'!$B$2:$B$13</c:f>
              <c:numCache>
                <c:formatCode>0.0_ ;[Red]\-0.0\ </c:formatCode>
                <c:ptCount val="12"/>
                <c:pt idx="0">
                  <c:v>105</c:v>
                </c:pt>
                <c:pt idx="1">
                  <c:v>88.3</c:v>
                </c:pt>
                <c:pt idx="2">
                  <c:v>71.2</c:v>
                </c:pt>
                <c:pt idx="3">
                  <c:v>85.2</c:v>
                </c:pt>
                <c:pt idx="4">
                  <c:v>85.8</c:v>
                </c:pt>
                <c:pt idx="5">
                  <c:v>97.6</c:v>
                </c:pt>
                <c:pt idx="6">
                  <c:v>94.9</c:v>
                </c:pt>
                <c:pt idx="7">
                  <c:v>105</c:v>
                </c:pt>
                <c:pt idx="8">
                  <c:v>72.599999999999994</c:v>
                </c:pt>
                <c:pt idx="9">
                  <c:v>94.3</c:v>
                </c:pt>
                <c:pt idx="10">
                  <c:v>140.1</c:v>
                </c:pt>
                <c:pt idx="11">
                  <c:v>95.1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'III 2021 ang'!$C$1</c:f>
              <c:strCache>
                <c:ptCount val="1"/>
                <c:pt idx="0">
                  <c:v>03 2021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'III 2021 ang'!$A$2:$A$13</c:f>
              <c:strCache>
                <c:ptCount val="12"/>
                <c:pt idx="0">
                  <c:v>Manufacture of electrical equipment</c:v>
                </c:pt>
                <c:pt idx="1">
                  <c:v>Manufacture of computer, electronic and optical products</c:v>
                </c:pt>
                <c:pt idx="2">
                  <c:v>Manufacture of motor vehicles, trailers and semi-trailers</c:v>
                </c:pt>
                <c:pt idx="3">
                  <c:v>Manufacture of furniture</c:v>
                </c:pt>
                <c:pt idx="4">
                  <c:v>Manufacture of textiles</c:v>
                </c:pt>
                <c:pt idx="5">
                  <c:v>Manufacture of rubber and plastic products</c:v>
                </c:pt>
                <c:pt idx="6">
                  <c:v>Manufacture of products of wood, cork, straw and wicker</c:v>
                </c:pt>
                <c:pt idx="7">
                  <c:v>Other manufacturing  </c:v>
                </c:pt>
                <c:pt idx="8">
                  <c:v>Manufacture of wearing apparel</c:v>
                </c:pt>
                <c:pt idx="9">
                  <c:v>Manufacture of coke and refined petroleum products</c:v>
                </c:pt>
                <c:pt idx="10">
                  <c:v>Manufacture of pharmaceutical products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'III 2021 ang'!$C$2:$C$13</c:f>
              <c:numCache>
                <c:formatCode>0.0_ ;[Red]\-0.0\ </c:formatCode>
                <c:ptCount val="12"/>
                <c:pt idx="0">
                  <c:v>157.5</c:v>
                </c:pt>
                <c:pt idx="1">
                  <c:v>154.9</c:v>
                </c:pt>
                <c:pt idx="2">
                  <c:v>151.1</c:v>
                </c:pt>
                <c:pt idx="3">
                  <c:v>135.1</c:v>
                </c:pt>
                <c:pt idx="4">
                  <c:v>133.19999999999999</c:v>
                </c:pt>
                <c:pt idx="5">
                  <c:v>131.4</c:v>
                </c:pt>
                <c:pt idx="6">
                  <c:v>128.30000000000001</c:v>
                </c:pt>
                <c:pt idx="7">
                  <c:v>128.30000000000001</c:v>
                </c:pt>
                <c:pt idx="8">
                  <c:v>126.9</c:v>
                </c:pt>
                <c:pt idx="9">
                  <c:v>88.9</c:v>
                </c:pt>
                <c:pt idx="10">
                  <c:v>83.1</c:v>
                </c:pt>
                <c:pt idx="11">
                  <c:v>82.9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48318592"/>
        <c:axId val="-448320224"/>
      </c:barChart>
      <c:catAx>
        <c:axId val="-4483185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48320224"/>
        <c:crossesAt val="100"/>
        <c:auto val="1"/>
        <c:lblAlgn val="ctr"/>
        <c:lblOffset val="20"/>
        <c:noMultiLvlLbl val="0"/>
      </c:catAx>
      <c:valAx>
        <c:axId val="-448320224"/>
        <c:scaling>
          <c:orientation val="minMax"/>
          <c:max val="16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48318592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42122943188253E-2"/>
          <c:y val="3.0877186157825962E-2"/>
          <c:w val="0.9012140862071385"/>
          <c:h val="0.593333091679382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-marzec ang'!$C$2</c:f>
              <c:strCache>
                <c:ptCount val="1"/>
                <c:pt idx="0">
                  <c:v>01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val>
            <c:numRef>
              <c:f>'wykres słupkowy -marzec ang'!$C$3:$C$25</c:f>
              <c:numCache>
                <c:formatCode>0.0_ ;[Red]\-0.0\ </c:formatCode>
                <c:ptCount val="23"/>
                <c:pt idx="0">
                  <c:v>42.9</c:v>
                </c:pt>
                <c:pt idx="1">
                  <c:v>92.1</c:v>
                </c:pt>
                <c:pt idx="2">
                  <c:v>152.80000000000001</c:v>
                </c:pt>
                <c:pt idx="4">
                  <c:v>69.400000000000006</c:v>
                </c:pt>
                <c:pt idx="5">
                  <c:v>113.5</c:v>
                </c:pt>
                <c:pt idx="6">
                  <c:v>140</c:v>
                </c:pt>
                <c:pt idx="8">
                  <c:v>87.5</c:v>
                </c:pt>
                <c:pt idx="9">
                  <c:v>106.7</c:v>
                </c:pt>
                <c:pt idx="10">
                  <c:v>128.19999999999999</c:v>
                </c:pt>
                <c:pt idx="12">
                  <c:v>86.2</c:v>
                </c:pt>
                <c:pt idx="13">
                  <c:v>94.5</c:v>
                </c:pt>
                <c:pt idx="14">
                  <c:v>125</c:v>
                </c:pt>
                <c:pt idx="16">
                  <c:v>71</c:v>
                </c:pt>
                <c:pt idx="17">
                  <c:v>115.4</c:v>
                </c:pt>
                <c:pt idx="18">
                  <c:v>123.8</c:v>
                </c:pt>
                <c:pt idx="20">
                  <c:v>59.8</c:v>
                </c:pt>
                <c:pt idx="21">
                  <c:v>106.3</c:v>
                </c:pt>
                <c:pt idx="22">
                  <c:v>119.8</c:v>
                </c:pt>
              </c:numCache>
            </c:numRef>
          </c:val>
        </c:ser>
        <c:ser>
          <c:idx val="1"/>
          <c:order val="1"/>
          <c:tx>
            <c:strRef>
              <c:f>'wykres słupkowy -marzec ang'!$D$2</c:f>
              <c:strCache>
                <c:ptCount val="1"/>
                <c:pt idx="0">
                  <c:v>02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'wykres słupkowy -marzec ang'!$D$3:$D$25</c:f>
              <c:numCache>
                <c:formatCode>General</c:formatCode>
                <c:ptCount val="23"/>
              </c:numCache>
            </c:numRef>
          </c:val>
        </c:ser>
        <c:ser>
          <c:idx val="2"/>
          <c:order val="2"/>
          <c:tx>
            <c:strRef>
              <c:f>'wykres słupkowy -marzec ang'!$E$2</c:f>
              <c:strCache>
                <c:ptCount val="1"/>
                <c:pt idx="0">
                  <c:v>03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'wykres słupkowy -marzec ang'!$E$3:$E$25</c:f>
              <c:numCache>
                <c:formatCode>General</c:formatCode>
                <c:ptCount val="2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overlap val="74"/>
        <c:axId val="-448318048"/>
        <c:axId val="-448319680"/>
      </c:barChart>
      <c:catAx>
        <c:axId val="-4483180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448319680"/>
        <c:crossesAt val="100"/>
        <c:auto val="1"/>
        <c:lblAlgn val="ctr"/>
        <c:lblOffset val="100"/>
        <c:noMultiLvlLbl val="0"/>
      </c:catAx>
      <c:valAx>
        <c:axId val="-448319680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483180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62754743979799"/>
          <c:y val="0.8825628019045203"/>
          <c:w val="0.37536663532031755"/>
          <c:h val="5.6391372131115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0.05348</cdr:x>
      <cdr:y>0.64421</cdr:y>
    </cdr:from>
    <cdr:to>
      <cdr:x>0.2246</cdr:x>
      <cdr:y>0.8075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73954" y="2521119"/>
          <a:ext cx="876570" cy="63904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Repair and installation of machinery and equipment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0.21569</cdr:x>
      <cdr:y>0.64632</cdr:y>
    </cdr:from>
    <cdr:to>
      <cdr:x>0.3779</cdr:x>
      <cdr:y>0.74836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152545" y="2924195"/>
          <a:ext cx="866773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beverages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0.34759</cdr:x>
      <cdr:y>0.64632</cdr:y>
    </cdr:from>
    <cdr:to>
      <cdr:x>0.55551</cdr:x>
      <cdr:y>0.79948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780545" y="2803122"/>
          <a:ext cx="1065067" cy="66428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of pharmaceutical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0.51337</cdr:x>
      <cdr:y>0.64421</cdr:y>
    </cdr:from>
    <cdr:to>
      <cdr:x>0.71123</cdr:x>
      <cdr:y>0.79948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629761" y="2793970"/>
          <a:ext cx="1013547" cy="67343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  of computer, electronic and optical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0.68698</cdr:x>
      <cdr:y>0.64421</cdr:y>
    </cdr:from>
    <cdr:to>
      <cdr:x>0.84397</cdr:x>
      <cdr:y>0.80189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3519105" y="2521118"/>
          <a:ext cx="804177" cy="61710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machinery and equipment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0.82888</cdr:x>
      <cdr:y>0.64211</cdr:y>
    </cdr:from>
    <cdr:to>
      <cdr:x>0.98106</cdr:x>
      <cdr:y>0.77694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4245975" y="2784863"/>
          <a:ext cx="779567" cy="5847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wearing apparel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marzec 2021 r - ang.docx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3E44-8035-4AF1-BA84-FD43412F74B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4AD05E4-2A82-43C9-BF94-E49D23D66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March 2021</dc:title>
  <cp:lastPrinted>2020-06-19T06:38:00Z</cp:lastPrinted>
  <dcterms:created xsi:type="dcterms:W3CDTF">2021-04-19T11:58:00Z</dcterms:created>
  <dcterms:modified xsi:type="dcterms:W3CDTF">2021-04-19T11:59:00Z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