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4F7D1F43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34F6A020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A54D2D">
        <w:rPr>
          <w:shd w:val="clear" w:color="auto" w:fill="FFFFFF"/>
          <w:lang w:val="en-GB"/>
        </w:rPr>
        <w:t>April</w:t>
      </w:r>
      <w:r w:rsidR="002C5475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1255094D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10538339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50F76A59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3BE66CEF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4D2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44.5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58B04E41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A54D2D">
                              <w:rPr>
                                <w:sz w:val="20"/>
                                <w:lang w:val="en-US"/>
                              </w:rPr>
                              <w:t>April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3BE66CEF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4D2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44.5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58B04E41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A54D2D">
                        <w:rPr>
                          <w:sz w:val="20"/>
                          <w:lang w:val="en-US"/>
                        </w:rPr>
                        <w:t>April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 xml:space="preserve">In </w:t>
      </w:r>
      <w:r w:rsidR="00A54D2D">
        <w:rPr>
          <w:lang w:val="en-GB"/>
        </w:rPr>
        <w:t>April</w:t>
      </w:r>
      <w:r w:rsidR="002C5475">
        <w:rPr>
          <w:lang w:val="en-GB"/>
        </w:rPr>
        <w:t xml:space="preserve"> 2021</w:t>
      </w:r>
      <w:r w:rsidRPr="00C52703">
        <w:rPr>
          <w:lang w:val="en-GB"/>
        </w:rPr>
        <w:t xml:space="preserve">, sold production of industry was by </w:t>
      </w:r>
      <w:r w:rsidR="00A54D2D">
        <w:rPr>
          <w:lang w:val="en-GB"/>
        </w:rPr>
        <w:t>44.5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A54D2D">
        <w:rPr>
          <w:lang w:val="en-GB"/>
        </w:rPr>
        <w:t>April</w:t>
      </w:r>
      <w:r w:rsidR="002C5475">
        <w:rPr>
          <w:lang w:val="en-GB"/>
        </w:rPr>
        <w:t xml:space="preserve">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B9273E">
        <w:rPr>
          <w:spacing w:val="-2"/>
          <w:lang w:val="en-GB"/>
        </w:rPr>
        <w:t xml:space="preserve"> de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A54D2D">
        <w:rPr>
          <w:spacing w:val="-2"/>
          <w:lang w:val="en-GB"/>
        </w:rPr>
        <w:t>24.6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A54D2D">
        <w:rPr>
          <w:spacing w:val="-2"/>
          <w:lang w:val="en-GB"/>
        </w:rPr>
        <w:t xml:space="preserve">March </w:t>
      </w:r>
      <w:r w:rsidR="002C5475">
        <w:rPr>
          <w:spacing w:val="-2"/>
          <w:lang w:val="en-GB"/>
        </w:rPr>
        <w:t>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A54D2D">
        <w:rPr>
          <w:spacing w:val="-2"/>
          <w:lang w:val="en-GB"/>
        </w:rPr>
        <w:t>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A54D2D">
        <w:rPr>
          <w:spacing w:val="-2"/>
          <w:lang w:val="en-GB"/>
        </w:rPr>
        <w:t>9.2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A54D2D">
        <w:rPr>
          <w:lang w:val="en-GB"/>
        </w:rPr>
        <w:t>April</w:t>
      </w:r>
      <w:r w:rsidR="0019680B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A54D2D">
        <w:rPr>
          <w:lang w:val="en-GB"/>
        </w:rPr>
        <w:t>15.5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A54D2D">
        <w:rPr>
          <w:lang w:val="en-GB"/>
        </w:rPr>
        <w:t>decrease</w:t>
      </w:r>
      <w:r w:rsidR="00E90FCB">
        <w:rPr>
          <w:lang w:val="en-GB"/>
        </w:rPr>
        <w:t xml:space="preserve"> by </w:t>
      </w:r>
      <w:r w:rsidR="00A54D2D">
        <w:rPr>
          <w:lang w:val="en-GB"/>
        </w:rPr>
        <w:t>5.6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0D1223F1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5EB4DA92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619DCBF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05594EDE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A54D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A54D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44</w:t>
                            </w:r>
                            <w:r w:rsidR="00393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.7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05594EDE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A54D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A54D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44</w:t>
                      </w:r>
                      <w:r w:rsidR="00393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.7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11AC4C4A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A54D2D">
        <w:rPr>
          <w:noProof/>
          <w:spacing w:val="-2"/>
          <w:szCs w:val="19"/>
          <w:lang w:val="en-GB"/>
        </w:rPr>
        <w:t>April</w:t>
      </w:r>
      <w:r w:rsidR="00405D79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A54D2D">
        <w:rPr>
          <w:noProof/>
          <w:spacing w:val="-2"/>
          <w:szCs w:val="19"/>
          <w:lang w:val="en-GB"/>
        </w:rPr>
        <w:t>44</w:t>
      </w:r>
      <w:r w:rsidR="00393C51">
        <w:rPr>
          <w:noProof/>
          <w:spacing w:val="-2"/>
          <w:szCs w:val="19"/>
          <w:lang w:val="en-GB"/>
        </w:rPr>
        <w:t>.7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A54D2D">
        <w:rPr>
          <w:noProof/>
          <w:spacing w:val="-2"/>
          <w:szCs w:val="19"/>
          <w:lang w:val="en-GB"/>
        </w:rPr>
        <w:t>0.4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A54D2D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A54D2D">
        <w:rPr>
          <w:noProof/>
          <w:spacing w:val="-2"/>
          <w:szCs w:val="19"/>
          <w:lang w:val="en-GB"/>
        </w:rPr>
        <w:t>March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32ABAA35" w:rsidR="003627E7" w:rsidRPr="007B4306" w:rsidRDefault="000C2AC9" w:rsidP="000C2AC9">
      <w:pPr>
        <w:spacing w:before="360"/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47680" behindDoc="0" locked="0" layoutInCell="1" allowOverlap="1" wp14:anchorId="57AA448D" wp14:editId="4E0F2BD6">
            <wp:simplePos x="0" y="0"/>
            <wp:positionH relativeFrom="margin">
              <wp:align>right</wp:align>
            </wp:positionH>
            <wp:positionV relativeFrom="paragraph">
              <wp:posOffset>381635</wp:posOffset>
            </wp:positionV>
            <wp:extent cx="5187950" cy="3021965"/>
            <wp:effectExtent l="0" t="0" r="0" b="6985"/>
            <wp:wrapSquare wrapText="bothSides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45208E7" w14:textId="4A40CAAA" w:rsidR="002C5475" w:rsidRDefault="002C547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2CCAFC9D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A54D2D">
        <w:rPr>
          <w:b w:val="0"/>
          <w:sz w:val="19"/>
          <w:szCs w:val="19"/>
          <w:shd w:val="clear" w:color="auto" w:fill="FFFFFF"/>
          <w:lang w:val="en-GB"/>
        </w:rPr>
        <w:t>April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 w:rsidR="005B720A">
        <w:rPr>
          <w:b w:val="0"/>
          <w:sz w:val="19"/>
          <w:szCs w:val="19"/>
          <w:shd w:val="clear" w:color="auto" w:fill="FFFFFF"/>
          <w:lang w:val="en-GB"/>
        </w:rPr>
        <w:t xml:space="preserve">all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main industrial groupings.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B720A">
        <w:rPr>
          <w:b w:val="0"/>
          <w:sz w:val="19"/>
          <w:szCs w:val="19"/>
          <w:shd w:val="clear" w:color="auto" w:fill="FFFFFF"/>
          <w:lang w:val="en-GB"/>
        </w:rPr>
        <w:t xml:space="preserve">went up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54D2D">
        <w:rPr>
          <w:b w:val="0"/>
          <w:sz w:val="19"/>
          <w:szCs w:val="19"/>
          <w:shd w:val="clear" w:color="auto" w:fill="FFFFFF"/>
          <w:lang w:val="en-GB"/>
        </w:rPr>
        <w:t>146.3</w:t>
      </w:r>
      <w:r w:rsidR="00393C51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DC024A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C024A" w:rsidRPr="00DC024A">
        <w:rPr>
          <w:b w:val="0"/>
          <w:sz w:val="19"/>
          <w:szCs w:val="19"/>
          <w:lang w:val="en-GB"/>
        </w:rPr>
        <w:t>(a</w:t>
      </w:r>
      <w:r w:rsidR="00DC024A" w:rsidRPr="00DC024A">
        <w:rPr>
          <w:b w:val="0"/>
          <w:sz w:val="19"/>
          <w:szCs w:val="19"/>
          <w:lang w:val="en-US"/>
        </w:rPr>
        <w:t xml:space="preserve"> </w:t>
      </w:r>
      <w:r w:rsidR="000C2AC9">
        <w:rPr>
          <w:b w:val="0"/>
          <w:sz w:val="19"/>
          <w:szCs w:val="19"/>
          <w:lang w:val="en-US"/>
        </w:rPr>
        <w:t>large de</w:t>
      </w:r>
      <w:r w:rsidR="00DC024A" w:rsidRPr="00DC024A">
        <w:rPr>
          <w:b w:val="0"/>
          <w:sz w:val="19"/>
          <w:szCs w:val="19"/>
          <w:lang w:val="en-US"/>
        </w:rPr>
        <w:t>crease</w:t>
      </w:r>
      <w:r w:rsidR="00DC024A" w:rsidRPr="00DC024A">
        <w:rPr>
          <w:b w:val="0"/>
          <w:sz w:val="19"/>
          <w:szCs w:val="19"/>
          <w:lang w:val="en-GB"/>
        </w:rPr>
        <w:t xml:space="preserve"> of </w:t>
      </w:r>
      <w:r w:rsidR="000C2AC9">
        <w:rPr>
          <w:b w:val="0"/>
          <w:sz w:val="19"/>
          <w:szCs w:val="19"/>
          <w:lang w:val="en-GB"/>
        </w:rPr>
        <w:t>48.0</w:t>
      </w:r>
      <w:r w:rsidR="00DC024A" w:rsidRPr="00DC024A">
        <w:rPr>
          <w:b w:val="0"/>
          <w:sz w:val="19"/>
          <w:szCs w:val="19"/>
          <w:lang w:val="en-GB"/>
        </w:rPr>
        <w:t>% in the previous year)</w:t>
      </w:r>
      <w:r w:rsidR="00393C51" w:rsidRPr="00DC024A">
        <w:rPr>
          <w:b w:val="0"/>
          <w:sz w:val="19"/>
          <w:szCs w:val="19"/>
          <w:shd w:val="clear" w:color="auto" w:fill="FFFFFF"/>
          <w:lang w:val="en-GB"/>
        </w:rPr>
        <w:t xml:space="preserve">, capital goods – by </w:t>
      </w:r>
      <w:r w:rsidR="00A54D2D" w:rsidRPr="00DC024A">
        <w:rPr>
          <w:b w:val="0"/>
          <w:sz w:val="19"/>
          <w:szCs w:val="19"/>
          <w:shd w:val="clear" w:color="auto" w:fill="FFFFFF"/>
          <w:lang w:val="en-GB"/>
        </w:rPr>
        <w:t>109.5</w:t>
      </w:r>
      <w:r w:rsidR="00393C51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C2AC9" w:rsidRPr="00DC024A">
        <w:rPr>
          <w:b w:val="0"/>
          <w:sz w:val="19"/>
          <w:szCs w:val="19"/>
          <w:lang w:val="en-GB"/>
        </w:rPr>
        <w:t>(a</w:t>
      </w:r>
      <w:r w:rsidR="000C2AC9" w:rsidRPr="00DC024A">
        <w:rPr>
          <w:b w:val="0"/>
          <w:sz w:val="19"/>
          <w:szCs w:val="19"/>
          <w:lang w:val="en-US"/>
        </w:rPr>
        <w:t xml:space="preserve"> </w:t>
      </w:r>
      <w:r w:rsidR="00F7265B">
        <w:rPr>
          <w:b w:val="0"/>
          <w:sz w:val="19"/>
          <w:szCs w:val="19"/>
          <w:lang w:val="en-US"/>
        </w:rPr>
        <w:t>significant</w:t>
      </w:r>
      <w:r w:rsidR="000C2AC9">
        <w:rPr>
          <w:b w:val="0"/>
          <w:sz w:val="19"/>
          <w:szCs w:val="19"/>
          <w:lang w:val="en-US"/>
        </w:rPr>
        <w:t xml:space="preserve"> de</w:t>
      </w:r>
      <w:r w:rsidR="000C2AC9" w:rsidRPr="00DC024A">
        <w:rPr>
          <w:b w:val="0"/>
          <w:sz w:val="19"/>
          <w:szCs w:val="19"/>
          <w:lang w:val="en-US"/>
        </w:rPr>
        <w:t>crease</w:t>
      </w:r>
      <w:r w:rsidR="000C2AC9" w:rsidRPr="00DC024A">
        <w:rPr>
          <w:b w:val="0"/>
          <w:sz w:val="19"/>
          <w:szCs w:val="19"/>
          <w:lang w:val="en-GB"/>
        </w:rPr>
        <w:t xml:space="preserve"> of </w:t>
      </w:r>
      <w:r w:rsidR="000C2AC9">
        <w:rPr>
          <w:b w:val="0"/>
          <w:sz w:val="19"/>
          <w:szCs w:val="19"/>
          <w:lang w:val="en-GB"/>
        </w:rPr>
        <w:t>51.0</w:t>
      </w:r>
      <w:r w:rsidR="000C2AC9" w:rsidRPr="00DC024A">
        <w:rPr>
          <w:b w:val="0"/>
          <w:sz w:val="19"/>
          <w:szCs w:val="19"/>
          <w:lang w:val="en-GB"/>
        </w:rPr>
        <w:t>% in the previous year)</w:t>
      </w:r>
      <w:r w:rsidR="00393C51" w:rsidRPr="00DC024A">
        <w:rPr>
          <w:b w:val="0"/>
          <w:sz w:val="19"/>
          <w:szCs w:val="19"/>
          <w:shd w:val="clear" w:color="auto" w:fill="FFFFFF"/>
          <w:lang w:val="en-GB"/>
        </w:rPr>
        <w:t xml:space="preserve">, intermediate goods – by </w:t>
      </w:r>
      <w:r w:rsidR="00A54D2D">
        <w:rPr>
          <w:b w:val="0"/>
          <w:sz w:val="19"/>
          <w:szCs w:val="19"/>
          <w:shd w:val="clear" w:color="auto" w:fill="FFFFFF"/>
          <w:lang w:val="en-GB"/>
        </w:rPr>
        <w:t>43.3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0" w:name="_Hlk72307157"/>
      <w:r w:rsidR="000C2AC9" w:rsidRPr="00DC024A">
        <w:rPr>
          <w:b w:val="0"/>
          <w:sz w:val="19"/>
          <w:szCs w:val="19"/>
          <w:lang w:val="en-GB"/>
        </w:rPr>
        <w:t>(a</w:t>
      </w:r>
      <w:r w:rsidR="000C2AC9">
        <w:rPr>
          <w:b w:val="0"/>
          <w:sz w:val="19"/>
          <w:szCs w:val="19"/>
          <w:lang w:val="en-US"/>
        </w:rPr>
        <w:t xml:space="preserve"> de</w:t>
      </w:r>
      <w:r w:rsidR="000C2AC9" w:rsidRPr="00DC024A">
        <w:rPr>
          <w:b w:val="0"/>
          <w:sz w:val="19"/>
          <w:szCs w:val="19"/>
          <w:lang w:val="en-US"/>
        </w:rPr>
        <w:t>crease</w:t>
      </w:r>
      <w:r w:rsidR="000C2AC9" w:rsidRPr="00DC024A">
        <w:rPr>
          <w:b w:val="0"/>
          <w:sz w:val="19"/>
          <w:szCs w:val="19"/>
          <w:lang w:val="en-GB"/>
        </w:rPr>
        <w:t xml:space="preserve"> of </w:t>
      </w:r>
      <w:r w:rsidR="000C2AC9">
        <w:rPr>
          <w:b w:val="0"/>
          <w:sz w:val="19"/>
          <w:szCs w:val="19"/>
          <w:lang w:val="en-GB"/>
        </w:rPr>
        <w:t>18.3</w:t>
      </w:r>
      <w:r w:rsidR="000C2AC9" w:rsidRPr="00DC024A">
        <w:rPr>
          <w:b w:val="0"/>
          <w:sz w:val="19"/>
          <w:szCs w:val="19"/>
          <w:lang w:val="en-GB"/>
        </w:rPr>
        <w:t>% in the previous year)</w:t>
      </w:r>
      <w:bookmarkEnd w:id="0"/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93C51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54D2D">
        <w:rPr>
          <w:b w:val="0"/>
          <w:sz w:val="19"/>
          <w:szCs w:val="19"/>
          <w:shd w:val="clear" w:color="auto" w:fill="FFFFFF"/>
          <w:lang w:val="en-GB"/>
        </w:rPr>
        <w:t>14.1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C2AC9" w:rsidRPr="00DC024A">
        <w:rPr>
          <w:b w:val="0"/>
          <w:sz w:val="19"/>
          <w:szCs w:val="19"/>
          <w:lang w:val="en-GB"/>
        </w:rPr>
        <w:t>(a</w:t>
      </w:r>
      <w:r w:rsidR="000C2AC9">
        <w:rPr>
          <w:b w:val="0"/>
          <w:sz w:val="19"/>
          <w:szCs w:val="19"/>
          <w:lang w:val="en-US"/>
        </w:rPr>
        <w:t xml:space="preserve"> de</w:t>
      </w:r>
      <w:r w:rsidR="000C2AC9" w:rsidRPr="00DC024A">
        <w:rPr>
          <w:b w:val="0"/>
          <w:sz w:val="19"/>
          <w:szCs w:val="19"/>
          <w:lang w:val="en-US"/>
        </w:rPr>
        <w:t>crease</w:t>
      </w:r>
      <w:r w:rsidR="000C2AC9" w:rsidRPr="00DC024A">
        <w:rPr>
          <w:b w:val="0"/>
          <w:sz w:val="19"/>
          <w:szCs w:val="19"/>
          <w:lang w:val="en-GB"/>
        </w:rPr>
        <w:t xml:space="preserve"> of </w:t>
      </w:r>
      <w:r w:rsidR="000C2AC9">
        <w:rPr>
          <w:b w:val="0"/>
          <w:sz w:val="19"/>
          <w:szCs w:val="19"/>
          <w:lang w:val="en-GB"/>
        </w:rPr>
        <w:t>14.7</w:t>
      </w:r>
      <w:r w:rsidR="000C2AC9" w:rsidRPr="00DC024A">
        <w:rPr>
          <w:b w:val="0"/>
          <w:sz w:val="19"/>
          <w:szCs w:val="19"/>
          <w:lang w:val="en-GB"/>
        </w:rPr>
        <w:t>% in the previous year)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54D2D">
        <w:rPr>
          <w:b w:val="0"/>
          <w:sz w:val="19"/>
          <w:szCs w:val="19"/>
          <w:shd w:val="clear" w:color="auto" w:fill="FFFFFF"/>
          <w:lang w:val="en-GB"/>
        </w:rPr>
        <w:t>7.6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C2AC9" w:rsidRPr="00DC024A">
        <w:rPr>
          <w:b w:val="0"/>
          <w:sz w:val="19"/>
          <w:szCs w:val="19"/>
          <w:lang w:val="en-GB"/>
        </w:rPr>
        <w:t>(a</w:t>
      </w:r>
      <w:r w:rsidR="000C2AC9">
        <w:rPr>
          <w:b w:val="0"/>
          <w:sz w:val="19"/>
          <w:szCs w:val="19"/>
          <w:lang w:val="en-US"/>
        </w:rPr>
        <w:t xml:space="preserve"> de</w:t>
      </w:r>
      <w:r w:rsidR="000C2AC9" w:rsidRPr="00DC024A">
        <w:rPr>
          <w:b w:val="0"/>
          <w:sz w:val="19"/>
          <w:szCs w:val="19"/>
          <w:lang w:val="en-US"/>
        </w:rPr>
        <w:t>crease</w:t>
      </w:r>
      <w:r w:rsidR="000C2AC9" w:rsidRPr="00DC024A">
        <w:rPr>
          <w:b w:val="0"/>
          <w:sz w:val="19"/>
          <w:szCs w:val="19"/>
          <w:lang w:val="en-GB"/>
        </w:rPr>
        <w:t xml:space="preserve"> of </w:t>
      </w:r>
      <w:r w:rsidR="000C2AC9">
        <w:rPr>
          <w:b w:val="0"/>
          <w:sz w:val="19"/>
          <w:szCs w:val="19"/>
          <w:lang w:val="en-GB"/>
        </w:rPr>
        <w:t>10.6</w:t>
      </w:r>
      <w:r w:rsidR="000C2AC9" w:rsidRPr="00DC024A">
        <w:rPr>
          <w:b w:val="0"/>
          <w:sz w:val="19"/>
          <w:szCs w:val="19"/>
          <w:lang w:val="en-GB"/>
        </w:rPr>
        <w:t>% in the previous year)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224035DE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145F421F" w14:textId="77777777" w:rsidR="000C2AC9" w:rsidRP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64E5E8C" w14:textId="37119EE3" w:rsidR="000C2AC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0EB106A3" w:rsidR="00BB33B9" w:rsidRPr="00C52703" w:rsidRDefault="00B9273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AE287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4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7E3A569B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B9273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AE287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4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2E5CB326" w:rsidR="00BB33B9" w:rsidRPr="00C52703" w:rsidRDefault="00B9273E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AE287D">
              <w:rPr>
                <w:color w:val="000000" w:themeColor="text1"/>
                <w:sz w:val="16"/>
                <w:szCs w:val="16"/>
                <w:lang w:val="en-GB"/>
              </w:rPr>
              <w:t>3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115784F3" w:rsidR="00BB33B9" w:rsidRPr="00C52703" w:rsidRDefault="00B9273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AE287D">
              <w:rPr>
                <w:color w:val="000000" w:themeColor="text1"/>
                <w:sz w:val="16"/>
                <w:szCs w:val="16"/>
                <w:lang w:val="en-GB"/>
              </w:rPr>
              <w:t>4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2021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30843C14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</w:t>
            </w:r>
            <w:r w:rsidR="00AE287D">
              <w:rPr>
                <w:sz w:val="16"/>
                <w:szCs w:val="16"/>
                <w:lang w:val="en-GB"/>
              </w:rPr>
              <w:t>4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10DE1C68" w:rsidR="0019680B" w:rsidRPr="009D4C87" w:rsidRDefault="00AE287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90.8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3B0E283A" w:rsidR="0019680B" w:rsidRPr="009D4C87" w:rsidRDefault="00AE287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144.5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3EFA8F1A" w:rsidR="0019680B" w:rsidRPr="00DD58F4" w:rsidRDefault="00AE287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133.9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416A3143" w:rsidR="0019680B" w:rsidRPr="009D4C87" w:rsidRDefault="00AE287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115.5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68150340" w:rsidR="0019680B" w:rsidRPr="009D4C87" w:rsidRDefault="00AE287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92.9</w:t>
            </w:r>
          </w:p>
        </w:tc>
        <w:tc>
          <w:tcPr>
            <w:tcW w:w="1275" w:type="dxa"/>
            <w:vAlign w:val="center"/>
          </w:tcPr>
          <w:p w14:paraId="588D4170" w14:textId="34222386" w:rsidR="0019680B" w:rsidRPr="009D4C87" w:rsidRDefault="00AE287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102.3</w:t>
            </w:r>
          </w:p>
        </w:tc>
        <w:tc>
          <w:tcPr>
            <w:tcW w:w="1560" w:type="dxa"/>
            <w:vAlign w:val="center"/>
          </w:tcPr>
          <w:p w14:paraId="3E145B8D" w14:textId="58656AC0" w:rsidR="0019680B" w:rsidRPr="00DD58F4" w:rsidRDefault="00AE287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82.6</w:t>
            </w:r>
          </w:p>
        </w:tc>
        <w:tc>
          <w:tcPr>
            <w:tcW w:w="1417" w:type="dxa"/>
            <w:vAlign w:val="center"/>
          </w:tcPr>
          <w:p w14:paraId="2E08FF59" w14:textId="2033E7F9" w:rsidR="0019680B" w:rsidRPr="009D4C87" w:rsidRDefault="00AE287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0D4763E0" w:rsidR="0019680B" w:rsidRPr="009D4C87" w:rsidRDefault="00AE287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90.6</w:t>
            </w:r>
          </w:p>
        </w:tc>
        <w:tc>
          <w:tcPr>
            <w:tcW w:w="1275" w:type="dxa"/>
            <w:vAlign w:val="center"/>
          </w:tcPr>
          <w:p w14:paraId="6EE9A7FE" w14:textId="6C915BFB" w:rsidR="0019680B" w:rsidRPr="009D4C87" w:rsidRDefault="00AE287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150.6</w:t>
            </w:r>
          </w:p>
        </w:tc>
        <w:tc>
          <w:tcPr>
            <w:tcW w:w="1560" w:type="dxa"/>
            <w:vAlign w:val="center"/>
          </w:tcPr>
          <w:p w14:paraId="14DEA633" w14:textId="524FCF8E" w:rsidR="0019680B" w:rsidRPr="00DD58F4" w:rsidRDefault="00AE287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137.5</w:t>
            </w:r>
          </w:p>
        </w:tc>
        <w:tc>
          <w:tcPr>
            <w:tcW w:w="1417" w:type="dxa"/>
            <w:vAlign w:val="center"/>
          </w:tcPr>
          <w:p w14:paraId="3C9AADCC" w14:textId="114B4A28" w:rsidR="0019680B" w:rsidRPr="009D4C87" w:rsidRDefault="00AE287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116.7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047E4110" w:rsidR="0019680B" w:rsidRPr="009D4C87" w:rsidRDefault="00AE287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89.8</w:t>
            </w:r>
          </w:p>
        </w:tc>
        <w:tc>
          <w:tcPr>
            <w:tcW w:w="1275" w:type="dxa"/>
            <w:vAlign w:val="center"/>
          </w:tcPr>
          <w:p w14:paraId="09A98E34" w14:textId="70A7FB23" w:rsidR="0019680B" w:rsidRPr="009D4C87" w:rsidRDefault="00AE287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111.5</w:t>
            </w:r>
          </w:p>
        </w:tc>
        <w:tc>
          <w:tcPr>
            <w:tcW w:w="1560" w:type="dxa"/>
            <w:vAlign w:val="center"/>
          </w:tcPr>
          <w:p w14:paraId="48C11E68" w14:textId="369DA0C8" w:rsidR="0019680B" w:rsidRPr="00DD58F4" w:rsidRDefault="00AE287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117.4</w:t>
            </w:r>
          </w:p>
        </w:tc>
        <w:tc>
          <w:tcPr>
            <w:tcW w:w="1417" w:type="dxa"/>
            <w:vAlign w:val="center"/>
          </w:tcPr>
          <w:p w14:paraId="33B85A7E" w14:textId="70A7C5F4" w:rsidR="0019680B" w:rsidRPr="009D4C87" w:rsidRDefault="00AE287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109.5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0ECFA20" w14:textId="7DA05509" w:rsidR="0019680B" w:rsidRPr="009D4C87" w:rsidRDefault="00AE287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101.5</w:t>
            </w:r>
          </w:p>
        </w:tc>
        <w:tc>
          <w:tcPr>
            <w:tcW w:w="1275" w:type="dxa"/>
            <w:vAlign w:val="center"/>
          </w:tcPr>
          <w:p w14:paraId="6E445ECF" w14:textId="4226F4AD" w:rsidR="0019680B" w:rsidRPr="009D4C87" w:rsidRDefault="00AE287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120.1</w:t>
            </w:r>
          </w:p>
        </w:tc>
        <w:tc>
          <w:tcPr>
            <w:tcW w:w="1560" w:type="dxa"/>
            <w:vAlign w:val="center"/>
          </w:tcPr>
          <w:p w14:paraId="4FF62C73" w14:textId="268C7E4B" w:rsidR="0019680B" w:rsidRPr="00DD58F4" w:rsidRDefault="00AE287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141.9</w:t>
            </w:r>
          </w:p>
        </w:tc>
        <w:tc>
          <w:tcPr>
            <w:tcW w:w="1417" w:type="dxa"/>
            <w:vAlign w:val="center"/>
          </w:tcPr>
          <w:p w14:paraId="32141E5B" w14:textId="1BB3AD41" w:rsidR="0019680B" w:rsidRPr="009D4C87" w:rsidRDefault="00AE287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112.7</w:t>
            </w:r>
          </w:p>
        </w:tc>
      </w:tr>
    </w:tbl>
    <w:p w14:paraId="6E3C5957" w14:textId="120A6B5C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21EBF405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AE287D">
        <w:rPr>
          <w:sz w:val="16"/>
          <w:szCs w:val="16"/>
          <w:lang w:val="en-GB"/>
        </w:rPr>
        <w:t>March</w:t>
      </w:r>
      <w:r w:rsidR="00B9273E">
        <w:rPr>
          <w:sz w:val="16"/>
          <w:szCs w:val="16"/>
          <w:lang w:val="en-GB"/>
        </w:rPr>
        <w:t xml:space="preserve"> and </w:t>
      </w:r>
      <w:r w:rsidR="00B6381E">
        <w:rPr>
          <w:sz w:val="16"/>
          <w:szCs w:val="16"/>
          <w:lang w:val="en-GB"/>
        </w:rPr>
        <w:t xml:space="preserve">reported data – in </w:t>
      </w:r>
      <w:r w:rsidR="00AE287D">
        <w:rPr>
          <w:sz w:val="16"/>
          <w:szCs w:val="16"/>
          <w:lang w:val="en-GB"/>
        </w:rPr>
        <w:t>April</w:t>
      </w:r>
      <w:r w:rsidR="00BB33B9">
        <w:rPr>
          <w:sz w:val="16"/>
          <w:szCs w:val="16"/>
          <w:lang w:val="en-GB"/>
        </w:rPr>
        <w:t>.</w:t>
      </w:r>
    </w:p>
    <w:p w14:paraId="52E735D6" w14:textId="6FA4782A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9424B87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7A86ED93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AE287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B927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="00AE287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B927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.6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7A86ED93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AE287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B927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="00AE287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B927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.6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35D884B5" w14:textId="2C1E1561" w:rsidR="00217031" w:rsidRDefault="00BB33B9" w:rsidP="00BB33B9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AE287D">
        <w:rPr>
          <w:noProof/>
          <w:spacing w:val="-2"/>
          <w:szCs w:val="19"/>
          <w:lang w:val="en-GB"/>
        </w:rPr>
        <w:t>April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AE287D">
        <w:rPr>
          <w:noProof/>
          <w:spacing w:val="-2"/>
          <w:szCs w:val="19"/>
          <w:lang w:val="en-GB"/>
        </w:rPr>
        <w:t>April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217031">
        <w:rPr>
          <w:noProof/>
          <w:spacing w:val="-2"/>
          <w:szCs w:val="19"/>
          <w:lang w:val="en-GB"/>
        </w:rPr>
        <w:t xml:space="preserve">32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217031">
        <w:rPr>
          <w:noProof/>
          <w:spacing w:val="-2"/>
          <w:szCs w:val="19"/>
          <w:lang w:val="en-GB"/>
        </w:rPr>
        <w:t>m</w:t>
      </w:r>
      <w:r w:rsidR="00217031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217031">
        <w:rPr>
          <w:noProof/>
          <w:spacing w:val="-2"/>
          <w:szCs w:val="19"/>
          <w:lang w:val="en-GB"/>
        </w:rPr>
        <w:t xml:space="preserve"> – by 370.5%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217031">
        <w:rPr>
          <w:szCs w:val="19"/>
          <w:lang w:val="en-GB"/>
        </w:rPr>
        <w:t>78.9</w:t>
      </w:r>
      <w:r w:rsidR="00217031" w:rsidRPr="00217031">
        <w:rPr>
          <w:szCs w:val="19"/>
          <w:lang w:val="en-GB"/>
        </w:rPr>
        <w:t>% in the previous year)</w:t>
      </w:r>
      <w:r w:rsidR="00217031" w:rsidRPr="00217031">
        <w:rPr>
          <w:szCs w:val="19"/>
          <w:shd w:val="clear" w:color="auto" w:fill="FFFFFF"/>
          <w:lang w:val="en-GB"/>
        </w:rPr>
        <w:t>,</w:t>
      </w:r>
      <w:r w:rsidR="00217031" w:rsidRPr="00217031">
        <w:rPr>
          <w:noProof/>
          <w:spacing w:val="-2"/>
          <w:szCs w:val="19"/>
          <w:lang w:val="en-GB"/>
        </w:rPr>
        <w:t xml:space="preserve"> </w:t>
      </w:r>
      <w:r w:rsidR="00217031">
        <w:rPr>
          <w:noProof/>
          <w:spacing w:val="-2"/>
          <w:szCs w:val="19"/>
          <w:lang w:val="en-GB"/>
        </w:rPr>
        <w:t>m</w:t>
      </w:r>
      <w:r w:rsidR="00217031" w:rsidRPr="00337DDB">
        <w:rPr>
          <w:noProof/>
          <w:spacing w:val="-2"/>
          <w:szCs w:val="19"/>
          <w:lang w:val="en-GB"/>
        </w:rPr>
        <w:t>anufacture of furniture</w:t>
      </w:r>
      <w:r w:rsidR="00217031">
        <w:rPr>
          <w:noProof/>
          <w:spacing w:val="-2"/>
          <w:szCs w:val="19"/>
          <w:lang w:val="en-GB"/>
        </w:rPr>
        <w:t xml:space="preserve"> – by 125.8%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217031">
        <w:rPr>
          <w:szCs w:val="19"/>
          <w:lang w:val="en-GB"/>
        </w:rPr>
        <w:t>50.2</w:t>
      </w:r>
      <w:r w:rsidR="00217031" w:rsidRPr="00217031">
        <w:rPr>
          <w:szCs w:val="19"/>
          <w:lang w:val="en-GB"/>
        </w:rPr>
        <w:t>%)</w:t>
      </w:r>
      <w:r w:rsidR="00217031">
        <w:rPr>
          <w:noProof/>
          <w:spacing w:val="-2"/>
          <w:szCs w:val="19"/>
          <w:lang w:val="en-GB"/>
        </w:rPr>
        <w:t>,</w:t>
      </w:r>
      <w:r w:rsidR="00217031" w:rsidRPr="00217031">
        <w:rPr>
          <w:noProof/>
          <w:szCs w:val="19"/>
          <w:lang w:val="en-GB"/>
        </w:rPr>
        <w:t xml:space="preserve"> </w:t>
      </w:r>
      <w:r w:rsidR="00217031" w:rsidRPr="009D61BA">
        <w:rPr>
          <w:noProof/>
          <w:szCs w:val="19"/>
          <w:lang w:val="en-GB"/>
        </w:rPr>
        <w:t xml:space="preserve">manufacture of electrical equipment – by </w:t>
      </w:r>
      <w:r w:rsidR="00217031">
        <w:rPr>
          <w:noProof/>
          <w:szCs w:val="19"/>
          <w:lang w:val="en-GB"/>
        </w:rPr>
        <w:t xml:space="preserve">111.0%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217031">
        <w:rPr>
          <w:szCs w:val="19"/>
          <w:lang w:val="en-GB"/>
        </w:rPr>
        <w:t>28.3</w:t>
      </w:r>
      <w:r w:rsidR="00217031" w:rsidRPr="00217031">
        <w:rPr>
          <w:szCs w:val="19"/>
          <w:lang w:val="en-GB"/>
        </w:rPr>
        <w:t>%)</w:t>
      </w:r>
      <w:r w:rsidR="00217031">
        <w:rPr>
          <w:noProof/>
          <w:szCs w:val="19"/>
          <w:lang w:val="en-GB"/>
        </w:rPr>
        <w:t>,</w:t>
      </w:r>
      <w:r w:rsidR="00217031" w:rsidRPr="008C421A">
        <w:rPr>
          <w:noProof/>
          <w:spacing w:val="-2"/>
          <w:szCs w:val="19"/>
          <w:lang w:val="en-GB"/>
        </w:rPr>
        <w:t xml:space="preserve"> </w:t>
      </w:r>
      <w:r w:rsidR="00217031">
        <w:rPr>
          <w:noProof/>
          <w:spacing w:val="-2"/>
          <w:szCs w:val="19"/>
          <w:lang w:val="en-GB"/>
        </w:rPr>
        <w:t>manufacture of computer, electronic and optical products – by 90.4%</w:t>
      </w:r>
      <w:r w:rsidR="00A07329">
        <w:rPr>
          <w:noProof/>
          <w:spacing w:val="-2"/>
          <w:szCs w:val="19"/>
          <w:lang w:val="en-GB"/>
        </w:rPr>
        <w:t xml:space="preserve">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217031">
        <w:rPr>
          <w:szCs w:val="19"/>
          <w:lang w:val="en-GB"/>
        </w:rPr>
        <w:t>21.9</w:t>
      </w:r>
      <w:r w:rsidR="00217031" w:rsidRPr="00217031">
        <w:rPr>
          <w:szCs w:val="19"/>
          <w:lang w:val="en-GB"/>
        </w:rPr>
        <w:t>%)</w:t>
      </w:r>
      <w:r w:rsidR="00217031">
        <w:rPr>
          <w:noProof/>
          <w:spacing w:val="-2"/>
          <w:szCs w:val="19"/>
          <w:lang w:val="en-GB"/>
        </w:rPr>
        <w:t xml:space="preserve">, </w:t>
      </w:r>
      <w:r w:rsidR="004E532C" w:rsidRPr="00D22ECE">
        <w:rPr>
          <w:noProof/>
          <w:spacing w:val="-2"/>
          <w:szCs w:val="19"/>
          <w:lang w:val="en-GB"/>
        </w:rPr>
        <w:t>manufa</w:t>
      </w:r>
      <w:r w:rsidR="004E532C">
        <w:rPr>
          <w:noProof/>
          <w:spacing w:val="-2"/>
          <w:szCs w:val="19"/>
          <w:lang w:val="en-GB"/>
        </w:rPr>
        <w:t>cture of r</w:t>
      </w:r>
      <w:r w:rsidR="00F5192C">
        <w:rPr>
          <w:noProof/>
          <w:spacing w:val="-2"/>
          <w:szCs w:val="19"/>
          <w:lang w:val="en-GB"/>
        </w:rPr>
        <w:t>ubber and plastic products – by </w:t>
      </w:r>
      <w:r w:rsidR="00217031">
        <w:rPr>
          <w:noProof/>
          <w:spacing w:val="-2"/>
          <w:szCs w:val="19"/>
          <w:lang w:val="en-GB"/>
        </w:rPr>
        <w:t>63.6</w:t>
      </w:r>
      <w:r w:rsidR="004E532C">
        <w:rPr>
          <w:noProof/>
          <w:spacing w:val="-2"/>
          <w:szCs w:val="19"/>
          <w:lang w:val="en-GB"/>
        </w:rPr>
        <w:t>%</w:t>
      </w:r>
      <w:r w:rsidR="00217031">
        <w:rPr>
          <w:noProof/>
          <w:spacing w:val="-2"/>
          <w:szCs w:val="19"/>
          <w:lang w:val="en-GB"/>
        </w:rPr>
        <w:t xml:space="preserve">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217031">
        <w:rPr>
          <w:szCs w:val="19"/>
          <w:lang w:val="en-GB"/>
        </w:rPr>
        <w:t>26.2</w:t>
      </w:r>
      <w:r w:rsidR="00217031" w:rsidRPr="00217031">
        <w:rPr>
          <w:szCs w:val="19"/>
          <w:lang w:val="en-GB"/>
        </w:rPr>
        <w:t>%)</w:t>
      </w:r>
      <w:r w:rsidR="004E532C">
        <w:rPr>
          <w:noProof/>
          <w:spacing w:val="-2"/>
          <w:szCs w:val="19"/>
          <w:lang w:val="en-GB"/>
        </w:rPr>
        <w:t>,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082002">
        <w:rPr>
          <w:noProof/>
          <w:spacing w:val="-2"/>
          <w:szCs w:val="19"/>
          <w:lang w:val="en-GB"/>
        </w:rPr>
        <w:t>anufacture of products of wood, cork, straw</w:t>
      </w:r>
      <w:r w:rsidR="004E532C" w:rsidRPr="003B0D67">
        <w:rPr>
          <w:lang w:val="en-US"/>
        </w:rPr>
        <w:t xml:space="preserve"> </w:t>
      </w:r>
      <w:r w:rsidR="004E532C" w:rsidRPr="00082002">
        <w:rPr>
          <w:noProof/>
          <w:spacing w:val="-2"/>
          <w:szCs w:val="19"/>
          <w:lang w:val="en-GB"/>
        </w:rPr>
        <w:t>and wicker</w:t>
      </w:r>
      <w:r w:rsidR="004E532C">
        <w:rPr>
          <w:noProof/>
          <w:spacing w:val="-2"/>
          <w:szCs w:val="19"/>
          <w:lang w:val="en-GB"/>
        </w:rPr>
        <w:t xml:space="preserve"> – by </w:t>
      </w:r>
      <w:r w:rsidR="00217031">
        <w:rPr>
          <w:noProof/>
          <w:spacing w:val="-2"/>
          <w:szCs w:val="19"/>
          <w:lang w:val="en-GB"/>
        </w:rPr>
        <w:t>58.5</w:t>
      </w:r>
      <w:r w:rsidR="004E532C">
        <w:rPr>
          <w:noProof/>
          <w:spacing w:val="-2"/>
          <w:szCs w:val="19"/>
          <w:lang w:val="en-GB"/>
        </w:rPr>
        <w:t>%</w:t>
      </w:r>
      <w:r w:rsidR="00217031">
        <w:rPr>
          <w:noProof/>
          <w:spacing w:val="-2"/>
          <w:szCs w:val="19"/>
          <w:lang w:val="en-GB"/>
        </w:rPr>
        <w:t xml:space="preserve">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217031">
        <w:rPr>
          <w:szCs w:val="19"/>
          <w:lang w:val="en-GB"/>
        </w:rPr>
        <w:t>25.6</w:t>
      </w:r>
      <w:r w:rsidR="00217031" w:rsidRPr="00217031">
        <w:rPr>
          <w:szCs w:val="19"/>
          <w:lang w:val="en-GB"/>
        </w:rPr>
        <w:t>%)</w:t>
      </w:r>
      <w:r w:rsidR="004E532C">
        <w:rPr>
          <w:noProof/>
          <w:spacing w:val="-2"/>
          <w:szCs w:val="19"/>
          <w:lang w:val="en-GB"/>
        </w:rPr>
        <w:t>,</w:t>
      </w:r>
      <w:r w:rsidR="004E532C" w:rsidRPr="003B0D67">
        <w:rPr>
          <w:lang w:val="en-US"/>
        </w:rPr>
        <w:t xml:space="preserve"> </w:t>
      </w:r>
      <w:r w:rsidR="00393C51" w:rsidRPr="009D61BA">
        <w:rPr>
          <w:noProof/>
          <w:szCs w:val="19"/>
          <w:lang w:val="en-GB"/>
        </w:rPr>
        <w:t xml:space="preserve">manufacture of </w:t>
      </w:r>
      <w:r w:rsidR="00393C51" w:rsidRPr="00082002">
        <w:rPr>
          <w:noProof/>
          <w:spacing w:val="-2"/>
          <w:szCs w:val="19"/>
          <w:lang w:val="en-GB"/>
        </w:rPr>
        <w:t>machinery and equipment</w:t>
      </w:r>
      <w:r w:rsidR="00217031">
        <w:rPr>
          <w:noProof/>
          <w:spacing w:val="-2"/>
          <w:szCs w:val="19"/>
          <w:lang w:val="en-GB"/>
        </w:rPr>
        <w:t xml:space="preserve"> </w:t>
      </w:r>
      <w:r w:rsidR="00393C51">
        <w:rPr>
          <w:noProof/>
          <w:szCs w:val="19"/>
          <w:lang w:val="en-GB"/>
        </w:rPr>
        <w:t xml:space="preserve">– by </w:t>
      </w:r>
      <w:r w:rsidR="00217031">
        <w:rPr>
          <w:noProof/>
          <w:szCs w:val="19"/>
          <w:lang w:val="en-GB"/>
        </w:rPr>
        <w:t>51</w:t>
      </w:r>
      <w:r w:rsidR="00393C51">
        <w:rPr>
          <w:noProof/>
          <w:szCs w:val="19"/>
          <w:lang w:val="en-GB"/>
        </w:rPr>
        <w:t>.3%</w:t>
      </w:r>
      <w:r w:rsidR="00A07329">
        <w:rPr>
          <w:noProof/>
          <w:szCs w:val="19"/>
          <w:lang w:val="en-GB"/>
        </w:rPr>
        <w:t xml:space="preserve">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217031">
        <w:rPr>
          <w:szCs w:val="19"/>
          <w:lang w:val="en-GB"/>
        </w:rPr>
        <w:t>34.2</w:t>
      </w:r>
      <w:r w:rsidR="00A07329">
        <w:rPr>
          <w:szCs w:val="19"/>
          <w:lang w:val="en-GB"/>
        </w:rPr>
        <w:t>%</w:t>
      </w:r>
      <w:r w:rsidR="00217031" w:rsidRPr="00217031">
        <w:rPr>
          <w:szCs w:val="19"/>
          <w:lang w:val="en-GB"/>
        </w:rPr>
        <w:t>)</w:t>
      </w:r>
      <w:r w:rsidR="00217031">
        <w:rPr>
          <w:noProof/>
          <w:szCs w:val="19"/>
          <w:lang w:val="en-GB"/>
        </w:rPr>
        <w:t>.</w:t>
      </w:r>
    </w:p>
    <w:p w14:paraId="55E99F4D" w14:textId="6CC076E9" w:rsidR="00393C51" w:rsidRDefault="00DA7D4B" w:rsidP="00393C51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217031">
        <w:rPr>
          <w:noProof/>
          <w:szCs w:val="19"/>
          <w:lang w:val="en-GB"/>
        </w:rPr>
        <w:t>April</w:t>
      </w:r>
      <w:r w:rsidR="00A50D1A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 xml:space="preserve">in </w:t>
      </w:r>
      <w:r w:rsidR="00217031">
        <w:rPr>
          <w:noProof/>
          <w:szCs w:val="19"/>
          <w:lang w:val="en-GB"/>
        </w:rPr>
        <w:t>2</w:t>
      </w:r>
      <w:r w:rsidR="00BB33B9" w:rsidRPr="00223D02">
        <w:rPr>
          <w:noProof/>
          <w:szCs w:val="19"/>
          <w:lang w:val="en-GB"/>
        </w:rPr>
        <w:t xml:space="preserve"> divisions</w:t>
      </w:r>
      <w:r w:rsidR="00A07329">
        <w:rPr>
          <w:noProof/>
          <w:szCs w:val="19"/>
          <w:lang w:val="en-GB"/>
        </w:rPr>
        <w:t xml:space="preserve"> of the </w:t>
      </w:r>
      <w:r w:rsidR="00A07329" w:rsidRPr="00A07329">
        <w:rPr>
          <w:noProof/>
          <w:szCs w:val="19"/>
          <w:lang w:val="en-GB"/>
        </w:rPr>
        <w:t>Mining and quarrying</w:t>
      </w:r>
      <w:r w:rsidR="00A07329">
        <w:rPr>
          <w:noProof/>
          <w:szCs w:val="19"/>
          <w:lang w:val="en-GB"/>
        </w:rPr>
        <w:t xml:space="preserve"> section</w:t>
      </w:r>
      <w:r w:rsidR="00217031">
        <w:rPr>
          <w:noProof/>
          <w:szCs w:val="19"/>
          <w:lang w:val="en-GB"/>
        </w:rPr>
        <w:t>.</w:t>
      </w:r>
      <w:r w:rsidR="00BB33B9" w:rsidRPr="00223D02">
        <w:rPr>
          <w:noProof/>
          <w:szCs w:val="19"/>
          <w:lang w:val="en-GB"/>
        </w:rPr>
        <w:t xml:space="preserve"> </w:t>
      </w:r>
    </w:p>
    <w:p w14:paraId="7D7E1994" w14:textId="3217C5A4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55D259D4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B55DC66" w14:textId="77A82AD2" w:rsidR="007C0BFB" w:rsidRPr="002336E5" w:rsidRDefault="00A07329" w:rsidP="00680622">
      <w:pPr>
        <w:spacing w:before="0" w:after="0"/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50752" behindDoc="0" locked="0" layoutInCell="1" allowOverlap="1" wp14:anchorId="180D90D1" wp14:editId="550156F0">
            <wp:simplePos x="0" y="0"/>
            <wp:positionH relativeFrom="column">
              <wp:posOffset>-27940</wp:posOffset>
            </wp:positionH>
            <wp:positionV relativeFrom="paragraph">
              <wp:posOffset>171450</wp:posOffset>
            </wp:positionV>
            <wp:extent cx="5084445" cy="3935730"/>
            <wp:effectExtent l="0" t="0" r="1905" b="7620"/>
            <wp:wrapSquare wrapText="bothSides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2336E5">
        <w:rPr>
          <w:noProof/>
          <w:lang w:val="en-GB" w:eastAsia="pl-PL"/>
        </w:rPr>
        <w:t xml:space="preserve"> </w:t>
      </w:r>
    </w:p>
    <w:p w14:paraId="41B01E1A" w14:textId="36E727B0" w:rsidR="006C4724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217031">
        <w:rPr>
          <w:szCs w:val="19"/>
          <w:lang w:val="en-GB"/>
        </w:rPr>
        <w:t>March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>, a</w:t>
      </w:r>
      <w:r w:rsidR="00923B5D">
        <w:rPr>
          <w:szCs w:val="19"/>
          <w:lang w:val="en-GB"/>
        </w:rPr>
        <w:t xml:space="preserve"> </w:t>
      </w:r>
      <w:r w:rsidR="00217031">
        <w:rPr>
          <w:szCs w:val="19"/>
          <w:lang w:val="en-GB"/>
        </w:rPr>
        <w:t>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217031">
        <w:rPr>
          <w:szCs w:val="19"/>
          <w:lang w:val="en-GB"/>
        </w:rPr>
        <w:t>April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7C0BFB">
        <w:rPr>
          <w:szCs w:val="19"/>
          <w:lang w:val="en-GB"/>
        </w:rPr>
        <w:t>3</w:t>
      </w:r>
      <w:r w:rsidR="00217031">
        <w:rPr>
          <w:szCs w:val="19"/>
          <w:lang w:val="en-GB"/>
        </w:rPr>
        <w:t>0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 xml:space="preserve">in </w:t>
      </w:r>
      <w:r w:rsidR="006C4724">
        <w:rPr>
          <w:noProof/>
          <w:spacing w:val="-2"/>
          <w:szCs w:val="19"/>
          <w:lang w:val="en-GB"/>
        </w:rPr>
        <w:t>m</w:t>
      </w:r>
      <w:r w:rsidR="006C4724" w:rsidRPr="004E532C">
        <w:rPr>
          <w:noProof/>
          <w:spacing w:val="-2"/>
          <w:szCs w:val="19"/>
          <w:lang w:val="en-GB"/>
        </w:rPr>
        <w:t>anufacture of food products</w:t>
      </w:r>
      <w:r w:rsidR="006C4724">
        <w:rPr>
          <w:noProof/>
          <w:spacing w:val="-2"/>
          <w:szCs w:val="19"/>
          <w:lang w:val="en-GB"/>
        </w:rPr>
        <w:t xml:space="preserve"> – by</w:t>
      </w:r>
      <w:r w:rsidR="003103AC">
        <w:rPr>
          <w:noProof/>
          <w:spacing w:val="-2"/>
          <w:szCs w:val="19"/>
          <w:lang w:val="en-GB"/>
        </w:rPr>
        <w:t> </w:t>
      </w:r>
      <w:r w:rsidR="006C4724">
        <w:rPr>
          <w:noProof/>
          <w:spacing w:val="-2"/>
          <w:szCs w:val="19"/>
          <w:lang w:val="en-GB"/>
        </w:rPr>
        <w:t>15.1%,</w:t>
      </w:r>
      <w:r w:rsidR="006C4724" w:rsidRPr="006C4724">
        <w:rPr>
          <w:noProof/>
          <w:spacing w:val="-2"/>
          <w:szCs w:val="19"/>
          <w:lang w:val="en-GB"/>
        </w:rPr>
        <w:t xml:space="preserve"> </w:t>
      </w:r>
      <w:r w:rsidR="006C4724">
        <w:rPr>
          <w:noProof/>
          <w:spacing w:val="-2"/>
          <w:szCs w:val="19"/>
          <w:lang w:val="en-GB"/>
        </w:rPr>
        <w:t>m</w:t>
      </w:r>
      <w:r w:rsidR="006C4724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6C4724">
        <w:rPr>
          <w:noProof/>
          <w:spacing w:val="-2"/>
          <w:szCs w:val="19"/>
          <w:lang w:val="en-GB"/>
        </w:rPr>
        <w:t xml:space="preserve"> – by 12.8%, m</w:t>
      </w:r>
      <w:r w:rsidR="006C4724" w:rsidRPr="008C421A">
        <w:rPr>
          <w:noProof/>
          <w:spacing w:val="-2"/>
          <w:szCs w:val="19"/>
          <w:lang w:val="en-GB"/>
        </w:rPr>
        <w:t>anufacture of chemicals and chemical products</w:t>
      </w:r>
      <w:r w:rsidR="006C4724">
        <w:rPr>
          <w:noProof/>
          <w:spacing w:val="-2"/>
          <w:szCs w:val="19"/>
          <w:lang w:val="en-GB"/>
        </w:rPr>
        <w:t xml:space="preserve"> – by 10.8%,</w:t>
      </w:r>
      <w:r w:rsidR="006C4724" w:rsidRPr="006C4724">
        <w:rPr>
          <w:noProof/>
          <w:szCs w:val="19"/>
          <w:lang w:val="en-GB"/>
        </w:rPr>
        <w:t xml:space="preserve"> </w:t>
      </w:r>
      <w:r w:rsidR="006C4724" w:rsidRPr="009D61BA">
        <w:rPr>
          <w:noProof/>
          <w:szCs w:val="19"/>
          <w:lang w:val="en-GB"/>
        </w:rPr>
        <w:t>manufacture of electrical equipment</w:t>
      </w:r>
      <w:r w:rsidR="006C4724">
        <w:rPr>
          <w:noProof/>
          <w:szCs w:val="19"/>
          <w:lang w:val="en-GB"/>
        </w:rPr>
        <w:t xml:space="preserve"> and</w:t>
      </w:r>
      <w:r w:rsidR="006C4724" w:rsidRPr="006C4724">
        <w:rPr>
          <w:noProof/>
          <w:szCs w:val="19"/>
          <w:lang w:val="en-GB"/>
        </w:rPr>
        <w:t xml:space="preserve"> </w:t>
      </w:r>
      <w:r w:rsidR="006C4724" w:rsidRPr="009D61BA">
        <w:rPr>
          <w:noProof/>
          <w:szCs w:val="19"/>
          <w:lang w:val="en-GB"/>
        </w:rPr>
        <w:t xml:space="preserve">manufacture of </w:t>
      </w:r>
      <w:r w:rsidR="006C4724" w:rsidRPr="00082002">
        <w:rPr>
          <w:noProof/>
          <w:spacing w:val="-2"/>
          <w:szCs w:val="19"/>
          <w:lang w:val="en-GB"/>
        </w:rPr>
        <w:t>machinery and equipment</w:t>
      </w:r>
      <w:r w:rsidR="002336E5">
        <w:rPr>
          <w:noProof/>
          <w:spacing w:val="-2"/>
          <w:szCs w:val="19"/>
          <w:lang w:val="en-GB"/>
        </w:rPr>
        <w:t xml:space="preserve"> </w:t>
      </w:r>
      <w:bookmarkStart w:id="1" w:name="_GoBack"/>
      <w:bookmarkEnd w:id="1"/>
      <w:r w:rsidR="006C4724">
        <w:rPr>
          <w:noProof/>
          <w:szCs w:val="19"/>
          <w:lang w:val="en-GB"/>
        </w:rPr>
        <w:t>– by 10.5%</w:t>
      </w:r>
      <w:r w:rsidR="006C4724" w:rsidRPr="006C4724">
        <w:rPr>
          <w:noProof/>
          <w:spacing w:val="-2"/>
          <w:szCs w:val="19"/>
          <w:lang w:val="en-GB"/>
        </w:rPr>
        <w:t xml:space="preserve"> </w:t>
      </w:r>
      <w:r w:rsidR="006C4724">
        <w:rPr>
          <w:noProof/>
          <w:spacing w:val="-2"/>
          <w:szCs w:val="19"/>
          <w:lang w:val="en-GB"/>
        </w:rPr>
        <w:t>each,</w:t>
      </w:r>
      <w:r w:rsidR="006C4724" w:rsidRPr="006C4724">
        <w:rPr>
          <w:noProof/>
          <w:szCs w:val="19"/>
          <w:lang w:val="en-GB"/>
        </w:rPr>
        <w:t xml:space="preserve"> </w:t>
      </w:r>
      <w:r w:rsidR="006C4724">
        <w:rPr>
          <w:noProof/>
          <w:szCs w:val="19"/>
          <w:lang w:val="en-GB"/>
        </w:rPr>
        <w:t>in</w:t>
      </w:r>
      <w:r w:rsidR="006C4724" w:rsidRPr="003B0D67">
        <w:rPr>
          <w:lang w:val="en-US"/>
        </w:rPr>
        <w:t xml:space="preserve"> </w:t>
      </w:r>
      <w:r w:rsidR="006C4724">
        <w:rPr>
          <w:noProof/>
          <w:spacing w:val="-2"/>
          <w:szCs w:val="19"/>
          <w:lang w:val="en-GB"/>
        </w:rPr>
        <w:t>e</w:t>
      </w:r>
      <w:r w:rsidR="006C4724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6C4724">
        <w:rPr>
          <w:noProof/>
          <w:spacing w:val="-2"/>
          <w:szCs w:val="19"/>
          <w:lang w:val="en-GB"/>
        </w:rPr>
        <w:t xml:space="preserve"> – by 10.2%,</w:t>
      </w:r>
      <w:r w:rsidR="006C4724" w:rsidRPr="006C4724">
        <w:rPr>
          <w:noProof/>
          <w:spacing w:val="-2"/>
          <w:szCs w:val="19"/>
          <w:lang w:val="en-GB"/>
        </w:rPr>
        <w:t xml:space="preserve"> </w:t>
      </w:r>
      <w:r w:rsidR="006C4724">
        <w:rPr>
          <w:noProof/>
          <w:spacing w:val="-2"/>
          <w:szCs w:val="19"/>
          <w:lang w:val="en-GB"/>
        </w:rPr>
        <w:t>in m</w:t>
      </w:r>
      <w:r w:rsidR="006C4724" w:rsidRPr="00FB6DE1">
        <w:rPr>
          <w:noProof/>
          <w:spacing w:val="-2"/>
          <w:szCs w:val="19"/>
          <w:lang w:val="en-GB"/>
        </w:rPr>
        <w:t xml:space="preserve">ining of coal and lignite </w:t>
      </w:r>
      <w:r w:rsidR="006C4724">
        <w:rPr>
          <w:noProof/>
          <w:spacing w:val="-2"/>
          <w:szCs w:val="19"/>
          <w:lang w:val="en-GB"/>
        </w:rPr>
        <w:t>– by 9.6%,</w:t>
      </w:r>
      <w:r w:rsidR="006C4724" w:rsidRPr="006C4724">
        <w:rPr>
          <w:noProof/>
          <w:spacing w:val="-2"/>
          <w:szCs w:val="19"/>
          <w:lang w:val="en-GB"/>
        </w:rPr>
        <w:t xml:space="preserve"> </w:t>
      </w:r>
      <w:r w:rsidR="006C4724">
        <w:rPr>
          <w:noProof/>
          <w:spacing w:val="-2"/>
          <w:szCs w:val="19"/>
          <w:lang w:val="en-GB"/>
        </w:rPr>
        <w:t xml:space="preserve">in </w:t>
      </w:r>
      <w:r w:rsidR="006C4724" w:rsidRPr="00D22ECE">
        <w:rPr>
          <w:noProof/>
          <w:spacing w:val="-2"/>
          <w:szCs w:val="19"/>
          <w:lang w:val="en-GB"/>
        </w:rPr>
        <w:t>manufa</w:t>
      </w:r>
      <w:r w:rsidR="006C4724">
        <w:rPr>
          <w:noProof/>
          <w:spacing w:val="-2"/>
          <w:szCs w:val="19"/>
          <w:lang w:val="en-GB"/>
        </w:rPr>
        <w:t>cture of rubber and plastic products – by 7.3%,</w:t>
      </w:r>
    </w:p>
    <w:p w14:paraId="757376ED" w14:textId="676D3BA5" w:rsidR="006C4724" w:rsidRPr="003B0D67" w:rsidRDefault="00256334" w:rsidP="006730C2">
      <w:pPr>
        <w:spacing w:before="0" w:after="0"/>
        <w:rPr>
          <w:lang w:val="en-US"/>
        </w:rPr>
      </w:pPr>
      <w:r>
        <w:rPr>
          <w:noProof/>
          <w:szCs w:val="19"/>
          <w:lang w:val="en-GB"/>
        </w:rPr>
        <w:t>A</w:t>
      </w:r>
      <w:r w:rsidR="003B0D67">
        <w:rPr>
          <w:noProof/>
          <w:szCs w:val="19"/>
          <w:lang w:val="en-GB"/>
        </w:rPr>
        <w:t>n</w:t>
      </w:r>
      <w:r w:rsidR="00CD0395">
        <w:rPr>
          <w:noProof/>
          <w:szCs w:val="19"/>
          <w:lang w:val="en-GB"/>
        </w:rPr>
        <w:t xml:space="preserve"> </w:t>
      </w:r>
      <w:r w:rsidR="003B0D67">
        <w:rPr>
          <w:noProof/>
          <w:szCs w:val="19"/>
          <w:lang w:val="en-GB"/>
        </w:rPr>
        <w:t>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6C4724">
        <w:rPr>
          <w:noProof/>
          <w:szCs w:val="19"/>
          <w:lang w:val="en-GB"/>
        </w:rPr>
        <w:t>March</w:t>
      </w:r>
      <w:r w:rsidR="00CD0395">
        <w:rPr>
          <w:noProof/>
          <w:szCs w:val="19"/>
          <w:lang w:val="en-GB"/>
        </w:rPr>
        <w:t xml:space="preserve"> 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6C4724">
        <w:rPr>
          <w:noProof/>
          <w:szCs w:val="19"/>
          <w:lang w:val="en-GB"/>
        </w:rPr>
        <w:t>4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F86DA7">
        <w:rPr>
          <w:noProof/>
          <w:szCs w:val="19"/>
          <w:lang w:val="en-GB"/>
        </w:rPr>
        <w:t>including</w:t>
      </w:r>
      <w:r w:rsidR="0051196A" w:rsidRPr="003B0D67">
        <w:rPr>
          <w:lang w:val="en-US"/>
        </w:rPr>
        <w:t xml:space="preserve"> </w:t>
      </w:r>
      <w:r w:rsidR="006C4724" w:rsidRPr="003B0D67">
        <w:rPr>
          <w:lang w:val="en-US"/>
        </w:rPr>
        <w:t>in waste collection, treatment and disposal activities; materials recovery – by 2.8%.</w:t>
      </w:r>
    </w:p>
    <w:p w14:paraId="5B93A564" w14:textId="77777777" w:rsidR="00217031" w:rsidRDefault="00217031" w:rsidP="00217031">
      <w:pPr>
        <w:spacing w:before="0" w:after="0"/>
        <w:rPr>
          <w:noProof/>
          <w:spacing w:val="-2"/>
          <w:szCs w:val="19"/>
          <w:lang w:val="en-GB"/>
        </w:rPr>
      </w:pP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0DDEDE3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0411064D" w:rsidR="00E44A8F" w:rsidRPr="00680622" w:rsidRDefault="00E44A8F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13260884" w:rsidR="00E44A8F" w:rsidRDefault="00A07329" w:rsidP="00946446">
      <w:pPr>
        <w:spacing w:line="240" w:lineRule="auto"/>
        <w:rPr>
          <w:szCs w:val="19"/>
          <w:lang w:val="en-GB"/>
        </w:rPr>
      </w:pPr>
      <w:r>
        <w:rPr>
          <w:noProof/>
          <w:lang w:eastAsia="pl-PL"/>
        </w:rPr>
        <w:drawing>
          <wp:inline distT="0" distB="0" distL="0" distR="0" wp14:anchorId="35216AD9" wp14:editId="6A0B128A">
            <wp:extent cx="5122545" cy="3810000"/>
            <wp:effectExtent l="0" t="0" r="1905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B0E9873-19EF-4107-8A1C-8ED3EE29E6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592BB1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FD37C5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2336E5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8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71342A8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F70D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"https://stat.gov.pl/en/topics/other-studies/informations-on-socio-economic-situation/statistical-bulletin-no-32021,4,123.html"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66EC5F75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F70D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"https://stat.gov.pl/en/topics/other-studies/informations-on-socio-economic-situation/socio-economic-situation-of-the-country-in-the-1st-quarter-of-2021,1,120.html"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EA7FE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EA7F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EA7FE3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71342A8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F70D9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"https://stat.gov.pl/en/topics/other-studies/informations-on-socio-economic-situation/statistical-bulletin-no-32021,4,123.html"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66EC5F75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F70D9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"https://stat.gov.pl/en/topics/other-studies/informations-on-socio-economic-situation/socio-economic-situation-of-the-country-in-the-1st-quarter-of-2021,1,120.html"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EA7FE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EA7F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EA7FE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301A6" w14:textId="77777777" w:rsidR="00EA7FE3" w:rsidRDefault="00EA7FE3" w:rsidP="000662E2">
      <w:pPr>
        <w:spacing w:after="0" w:line="240" w:lineRule="auto"/>
      </w:pPr>
      <w:r>
        <w:separator/>
      </w:r>
    </w:p>
  </w:endnote>
  <w:endnote w:type="continuationSeparator" w:id="0">
    <w:p w14:paraId="42AB0A13" w14:textId="77777777" w:rsidR="00EA7FE3" w:rsidRDefault="00EA7FE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D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24CE" w14:textId="77777777" w:rsidR="00EA7FE3" w:rsidRDefault="00EA7FE3" w:rsidP="000662E2">
      <w:pPr>
        <w:spacing w:after="0" w:line="240" w:lineRule="auto"/>
      </w:pPr>
      <w:r>
        <w:separator/>
      </w:r>
    </w:p>
  </w:footnote>
  <w:footnote w:type="continuationSeparator" w:id="0">
    <w:p w14:paraId="659F1898" w14:textId="77777777" w:rsidR="00EA7FE3" w:rsidRDefault="00EA7FE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6C0B4CF" w:rsidR="00112A4D" w:rsidRPr="00C97596" w:rsidRDefault="00B9273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54D2D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A54D2D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2C547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16C0B4CF" w:rsidR="00112A4D" w:rsidRPr="00C97596" w:rsidRDefault="00B9273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54D2D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A54D2D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2C547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pt;height:129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36E5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51CC"/>
    <w:rsid w:val="002D7096"/>
    <w:rsid w:val="002D7F9D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0D6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09EB"/>
    <w:rsid w:val="005A30AB"/>
    <w:rsid w:val="005A37DA"/>
    <w:rsid w:val="005A45B5"/>
    <w:rsid w:val="005A526E"/>
    <w:rsid w:val="005A698C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07329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D2D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964F6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1FC2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A7FE3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1E6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362,term.html" TargetMode="External"/><Relationship Id="rId39" Type="http://schemas.openxmlformats.org/officeDocument/2006/relationships/hyperlink" Target="http://stat.gov.pl/en/metainformations/glossary/terms-used-in-official-statistics/700,term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EN/SitePagesDBW/ProdukcjaPrzemyslowa.aspx" TargetMode="External"/><Relationship Id="rId42" Type="http://schemas.openxmlformats.org/officeDocument/2006/relationships/hyperlink" Target="http://stat.gov.pl/en/metainformations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metainformations/glossary/terms-used-in-official-statistics/357,term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://stat.gov.pl/en/metainformations/glossary/terms-used-in-official-statistics/707,term.html" TargetMode="External"/><Relationship Id="rId45" Type="http://schemas.openxmlformats.org/officeDocument/2006/relationships/hyperlink" Target="http://stat.gov.pl/en/metainformations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707,term.html" TargetMode="External"/><Relationship Id="rId36" Type="http://schemas.openxmlformats.org/officeDocument/2006/relationships/hyperlink" Target="http://stat.gov.pl/en/poland-macroeconomic-indicators/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tat.gov.pl/en/metainformations/glossary/terms-used-in-official-statistics/1314,term.html" TargetMode="External"/><Relationship Id="rId44" Type="http://schemas.openxmlformats.org/officeDocument/2006/relationships/hyperlink" Target="http://stat.gov.pl/en/metainformations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EN/SitePagesDBW/ProdukcjaPrzemyslowa.aspx" TargetMode="External"/><Relationship Id="rId27" Type="http://schemas.openxmlformats.org/officeDocument/2006/relationships/hyperlink" Target="http://stat.gov.pl/en/metainformations/glossary/terms-used-in-official-statistics/700,term.html" TargetMode="External"/><Relationship Id="rId30" Type="http://schemas.openxmlformats.org/officeDocument/2006/relationships/hyperlink" Target="http://stat.gov.pl/en/metainformations/glossary/terms-used-in-official-statistics/1317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yperlink" Target="http://stat.gov.pl/en/metainformations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en/metainformations/glossary/terms-used-in-official-statistics/1313,term.html" TargetMode="External"/><Relationship Id="rId38" Type="http://schemas.openxmlformats.org/officeDocument/2006/relationships/hyperlink" Target="http://stat.gov.pl/en/metainformations/glossary/terms-used-in-official-statistics/362,term.html" TargetMode="External"/><Relationship Id="rId46" Type="http://schemas.openxmlformats.org/officeDocument/2006/relationships/header" Target="header3.xml"/><Relationship Id="rId20" Type="http://schemas.openxmlformats.org/officeDocument/2006/relationships/image" Target="media/image7.png"/><Relationship Id="rId41" Type="http://schemas.openxmlformats.org/officeDocument/2006/relationships/hyperlink" Target="http://stat.gov.pl/en/metainformations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kietekk\Documents\Wst&#281;pna%202021\Kopia%20Wykres%20PRZEMYS&#321;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 (2)'!$A$5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6C-40E8-AE65-FDE0A4570BFD}"/>
            </c:ext>
          </c:extLst>
        </c:ser>
        <c:ser>
          <c:idx val="2"/>
          <c:order val="1"/>
          <c:tx>
            <c:strRef>
              <c:f>'2021 (2)'!$A$6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6C-40E8-AE65-FDE0A4570BFD}"/>
            </c:ext>
          </c:extLst>
        </c:ser>
        <c:ser>
          <c:idx val="3"/>
          <c:order val="2"/>
          <c:tx>
            <c:strRef>
              <c:f>'2021 (2)'!$A$7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6C-40E8-AE65-FDE0A4570BFD}"/>
            </c:ext>
          </c:extLst>
        </c:ser>
        <c:ser>
          <c:idx val="4"/>
          <c:order val="3"/>
          <c:tx>
            <c:strRef>
              <c:f>'2021 (2)'!$A$8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E16C-40E8-AE65-FDE0A4570BFD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16C-40E8-AE65-FDE0A4570BFD}"/>
            </c:ext>
          </c:extLst>
        </c:ser>
        <c:ser>
          <c:idx val="0"/>
          <c:order val="4"/>
          <c:tx>
            <c:strRef>
              <c:f>'2021 (2)'!$A$9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E16C-40E8-AE65-FDE0A4570BFD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16C-40E8-AE65-FDE0A4570B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5446800"/>
        <c:axId val="1945442448"/>
      </c:lineChart>
      <c:catAx>
        <c:axId val="194544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45442448"/>
        <c:crossesAt val="100"/>
        <c:auto val="1"/>
        <c:lblAlgn val="ctr"/>
        <c:lblOffset val="100"/>
        <c:noMultiLvlLbl val="0"/>
      </c:catAx>
      <c:valAx>
        <c:axId val="1945442448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4544680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'IV 2021 ang'!$B$1</c:f>
              <c:strCache>
                <c:ptCount val="1"/>
                <c:pt idx="0">
                  <c:v>04 2020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'IV 2021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leather and related products</c:v>
                </c:pt>
                <c:pt idx="2">
                  <c:v>Manufacture of furniture</c:v>
                </c:pt>
                <c:pt idx="3">
                  <c:v>Manufacture of electrical equipment</c:v>
                </c:pt>
                <c:pt idx="4">
                  <c:v>Manufacture of computer, electronic and optical products</c:v>
                </c:pt>
                <c:pt idx="5">
                  <c:v>Manufacture of textiles</c:v>
                </c:pt>
                <c:pt idx="6">
                  <c:v>Manufacture of rubber and plastic products</c:v>
                </c:pt>
                <c:pt idx="7">
                  <c:v>Manufacture of products of wood, cork, straw and wicker</c:v>
                </c:pt>
                <c:pt idx="8">
                  <c:v>Manufacture of machinery and equipment </c:v>
                </c:pt>
                <c:pt idx="9">
                  <c:v>Manufacture of metal products</c:v>
                </c:pt>
                <c:pt idx="10">
                  <c:v>Other manufacturing  </c:v>
                </c:pt>
                <c:pt idx="11">
                  <c:v>Manufacture of basic metals</c:v>
                </c:pt>
              </c:strCache>
            </c:strRef>
          </c:cat>
          <c:val>
            <c:numRef>
              <c:f>'IV 2021 ang'!$B$2:$B$13</c:f>
              <c:numCache>
                <c:formatCode>0.0_ ;[Red]\-0.0\ </c:formatCode>
                <c:ptCount val="12"/>
                <c:pt idx="0">
                  <c:v>21.1</c:v>
                </c:pt>
                <c:pt idx="1">
                  <c:v>30.6</c:v>
                </c:pt>
                <c:pt idx="2">
                  <c:v>49.8</c:v>
                </c:pt>
                <c:pt idx="3">
                  <c:v>71.7</c:v>
                </c:pt>
                <c:pt idx="4">
                  <c:v>78.099999999999994</c:v>
                </c:pt>
                <c:pt idx="5">
                  <c:v>62.5</c:v>
                </c:pt>
                <c:pt idx="6">
                  <c:v>73.8</c:v>
                </c:pt>
                <c:pt idx="7">
                  <c:v>74.400000000000006</c:v>
                </c:pt>
                <c:pt idx="8">
                  <c:v>65.8</c:v>
                </c:pt>
                <c:pt idx="9">
                  <c:v>81.3</c:v>
                </c:pt>
                <c:pt idx="10">
                  <c:v>89.3</c:v>
                </c:pt>
                <c:pt idx="11">
                  <c:v>79.900000000000006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DF-469B-8D27-9D148B941946}"/>
            </c:ext>
          </c:extLst>
        </c:ser>
        <c:ser>
          <c:idx val="2"/>
          <c:order val="1"/>
          <c:tx>
            <c:strRef>
              <c:f>'IV 2021 ang'!$C$1</c:f>
              <c:strCache>
                <c:ptCount val="1"/>
                <c:pt idx="0">
                  <c:v>04 2021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'IV 2021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leather and related products</c:v>
                </c:pt>
                <c:pt idx="2">
                  <c:v>Manufacture of furniture</c:v>
                </c:pt>
                <c:pt idx="3">
                  <c:v>Manufacture of electrical equipment</c:v>
                </c:pt>
                <c:pt idx="4">
                  <c:v>Manufacture of computer, electronic and optical products</c:v>
                </c:pt>
                <c:pt idx="5">
                  <c:v>Manufacture of textiles</c:v>
                </c:pt>
                <c:pt idx="6">
                  <c:v>Manufacture of rubber and plastic products</c:v>
                </c:pt>
                <c:pt idx="7">
                  <c:v>Manufacture of products of wood, cork, straw and wicker</c:v>
                </c:pt>
                <c:pt idx="8">
                  <c:v>Manufacture of machinery and equipment </c:v>
                </c:pt>
                <c:pt idx="9">
                  <c:v>Manufacture of metal products</c:v>
                </c:pt>
                <c:pt idx="10">
                  <c:v>Other manufacturing  </c:v>
                </c:pt>
                <c:pt idx="11">
                  <c:v>Manufacture of basic metals</c:v>
                </c:pt>
              </c:strCache>
            </c:strRef>
          </c:cat>
          <c:val>
            <c:numRef>
              <c:f>'IV 2021 ang'!$C$2:$C$13</c:f>
              <c:numCache>
                <c:formatCode>0.0_ ;[Red]\-0.0\ </c:formatCode>
                <c:ptCount val="12"/>
                <c:pt idx="0">
                  <c:v>470.5</c:v>
                </c:pt>
                <c:pt idx="1">
                  <c:v>249.7</c:v>
                </c:pt>
                <c:pt idx="2">
                  <c:v>225.8</c:v>
                </c:pt>
                <c:pt idx="3">
                  <c:v>211</c:v>
                </c:pt>
                <c:pt idx="4">
                  <c:v>190.4</c:v>
                </c:pt>
                <c:pt idx="5">
                  <c:v>177.3</c:v>
                </c:pt>
                <c:pt idx="6">
                  <c:v>163.6</c:v>
                </c:pt>
                <c:pt idx="7">
                  <c:v>158.5</c:v>
                </c:pt>
                <c:pt idx="8">
                  <c:v>151.30000000000001</c:v>
                </c:pt>
                <c:pt idx="9">
                  <c:v>144.30000000000001</c:v>
                </c:pt>
                <c:pt idx="10">
                  <c:v>138.80000000000001</c:v>
                </c:pt>
                <c:pt idx="11">
                  <c:v>134.30000000000001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DF-469B-8D27-9D148B9419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5447888"/>
        <c:axId val="1945450064"/>
      </c:barChart>
      <c:catAx>
        <c:axId val="19454478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945450064"/>
        <c:crossesAt val="100"/>
        <c:auto val="1"/>
        <c:lblAlgn val="ctr"/>
        <c:lblOffset val="20"/>
        <c:noMultiLvlLbl val="0"/>
      </c:catAx>
      <c:valAx>
        <c:axId val="1945450064"/>
        <c:scaling>
          <c:orientation val="minMax"/>
          <c:max val="500"/>
          <c:min val="2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945447888"/>
        <c:crosses val="max"/>
        <c:crossBetween val="between"/>
        <c:majorUnit val="4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kwiecień (5)'!$C$2</c:f>
              <c:strCache>
                <c:ptCount val="1"/>
                <c:pt idx="0">
                  <c:v>01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18-4EB8-AE11-32B1DDBDCD4C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18-4EB8-AE11-32B1DDBDCD4C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18-4EB8-AE11-32B1DDBDCD4C}"/>
              </c:ext>
            </c:extLst>
          </c:dPt>
          <c:dPt>
            <c:idx val="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118-4EB8-AE11-32B1DDBDCD4C}"/>
              </c:ext>
            </c:extLst>
          </c:dPt>
          <c:dPt>
            <c:idx val="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118-4EB8-AE11-32B1DDBDCD4C}"/>
              </c:ext>
            </c:extLst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118-4EB8-AE11-32B1DDBDCD4C}"/>
              </c:ext>
            </c:extLst>
          </c:dPt>
          <c:dPt>
            <c:idx val="1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118-4EB8-AE11-32B1DDBDCD4C}"/>
              </c:ext>
            </c:extLst>
          </c:dPt>
          <c:dPt>
            <c:idx val="1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5118-4EB8-AE11-32B1DDBDCD4C}"/>
              </c:ext>
            </c:extLst>
          </c:dPt>
          <c:dPt>
            <c:idx val="1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5118-4EB8-AE11-32B1DDBDCD4C}"/>
              </c:ext>
            </c:extLst>
          </c:dPt>
          <c:dPt>
            <c:idx val="1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5118-4EB8-AE11-32B1DDBDCD4C}"/>
              </c:ext>
            </c:extLst>
          </c:dPt>
          <c:dPt>
            <c:idx val="1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5118-4EB8-AE11-32B1DDBDCD4C}"/>
              </c:ext>
            </c:extLst>
          </c:dPt>
          <c:dPt>
            <c:idx val="1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5118-4EB8-AE11-32B1DDBDCD4C}"/>
              </c:ext>
            </c:extLst>
          </c:dPt>
          <c:dPt>
            <c:idx val="2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5118-4EB8-AE11-32B1DDBDCD4C}"/>
              </c:ext>
            </c:extLst>
          </c:dPt>
          <c:dPt>
            <c:idx val="2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5118-4EB8-AE11-32B1DDBDCD4C}"/>
              </c:ext>
            </c:extLst>
          </c:dPt>
          <c:dPt>
            <c:idx val="2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5118-4EB8-AE11-32B1DDBDCD4C}"/>
              </c:ext>
            </c:extLst>
          </c:dPt>
          <c:dPt>
            <c:idx val="2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5118-4EB8-AE11-32B1DDBDCD4C}"/>
              </c:ext>
            </c:extLst>
          </c:dPt>
          <c:dPt>
            <c:idx val="2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5118-4EB8-AE11-32B1DDBDCD4C}"/>
              </c:ext>
            </c:extLst>
          </c:dPt>
          <c:dPt>
            <c:idx val="2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5118-4EB8-AE11-32B1DDBDCD4C}"/>
              </c:ext>
            </c:extLst>
          </c:dPt>
          <c:cat>
            <c:numRef>
              <c:f>'wykres słupkowy - kwiecień (5)'!$A$3:$A$32</c:f>
              <c:numCache>
                <c:formatCode>General</c:formatCode>
                <c:ptCount val="30"/>
              </c:numCache>
            </c:numRef>
          </c:cat>
          <c:val>
            <c:numRef>
              <c:f>'wykres słupkowy - kwiecień (5)'!$C$3:$C$32</c:f>
              <c:numCache>
                <c:formatCode>0.0_ ;[Red]\-0.0\ </c:formatCode>
                <c:ptCount val="30"/>
                <c:pt idx="0">
                  <c:v>93.3</c:v>
                </c:pt>
                <c:pt idx="1">
                  <c:v>102.7</c:v>
                </c:pt>
                <c:pt idx="2">
                  <c:v>121.9</c:v>
                </c:pt>
                <c:pt idx="3">
                  <c:v>84.9</c:v>
                </c:pt>
                <c:pt idx="5">
                  <c:v>103.6</c:v>
                </c:pt>
                <c:pt idx="6">
                  <c:v>109.2</c:v>
                </c:pt>
                <c:pt idx="7">
                  <c:v>118</c:v>
                </c:pt>
                <c:pt idx="8">
                  <c:v>87.2</c:v>
                </c:pt>
                <c:pt idx="10">
                  <c:v>110.6</c:v>
                </c:pt>
                <c:pt idx="11">
                  <c:v>104.1</c:v>
                </c:pt>
                <c:pt idx="12">
                  <c:v>118.8</c:v>
                </c:pt>
                <c:pt idx="13">
                  <c:v>89.2</c:v>
                </c:pt>
                <c:pt idx="15">
                  <c:v>93.3</c:v>
                </c:pt>
                <c:pt idx="16">
                  <c:v>111.4</c:v>
                </c:pt>
                <c:pt idx="17">
                  <c:v>113</c:v>
                </c:pt>
                <c:pt idx="18">
                  <c:v>89.5</c:v>
                </c:pt>
                <c:pt idx="20">
                  <c:v>92.6</c:v>
                </c:pt>
                <c:pt idx="21">
                  <c:v>101.1</c:v>
                </c:pt>
                <c:pt idx="22">
                  <c:v>145.5</c:v>
                </c:pt>
                <c:pt idx="23">
                  <c:v>92.9</c:v>
                </c:pt>
                <c:pt idx="25">
                  <c:v>143.69999999999999</c:v>
                </c:pt>
                <c:pt idx="26">
                  <c:v>89.2</c:v>
                </c:pt>
                <c:pt idx="27">
                  <c:v>122.9</c:v>
                </c:pt>
                <c:pt idx="28">
                  <c:v>93.7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4-5118-4EB8-AE11-32B1DDBDCD4C}"/>
            </c:ext>
          </c:extLst>
        </c:ser>
        <c:ser>
          <c:idx val="2"/>
          <c:order val="2"/>
          <c:tx>
            <c:strRef>
              <c:f>'wykres słupkowy - kwiecień (5)'!$D$2</c:f>
              <c:strCache>
                <c:ptCount val="1"/>
                <c:pt idx="0">
                  <c:v>02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kwiecień (5)'!$A$3:$A$32</c:f>
              <c:numCache>
                <c:formatCode>General</c:formatCode>
                <c:ptCount val="30"/>
              </c:numCache>
            </c:numRef>
          </c:cat>
          <c:val>
            <c:numRef>
              <c:f>'wykres słupkowy - kwiecień (5)'!$D$3:$D$32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25-5118-4EB8-AE11-32B1DDBDCD4C}"/>
            </c:ext>
          </c:extLst>
        </c:ser>
        <c:ser>
          <c:idx val="3"/>
          <c:order val="3"/>
          <c:tx>
            <c:strRef>
              <c:f>'wykres słupkowy - kwiecień (5)'!$E$2</c:f>
              <c:strCache>
                <c:ptCount val="1"/>
                <c:pt idx="0">
                  <c:v>03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kwiecień (5)'!$A$3:$A$32</c:f>
              <c:numCache>
                <c:formatCode>General</c:formatCode>
                <c:ptCount val="30"/>
              </c:numCache>
            </c:numRef>
          </c:cat>
          <c:val>
            <c:numRef>
              <c:f>'wykres słupkowy - kwiecień (5)'!$E$3:$E$32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26-5118-4EB8-AE11-32B1DDBDCD4C}"/>
            </c:ext>
          </c:extLst>
        </c:ser>
        <c:ser>
          <c:idx val="4"/>
          <c:order val="4"/>
          <c:tx>
            <c:strRef>
              <c:f>'wykres słupkowy - kwiecień (5)'!$F$2</c:f>
              <c:strCache>
                <c:ptCount val="1"/>
                <c:pt idx="0">
                  <c:v>04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kwiecień (5)'!$A$3:$A$32</c:f>
              <c:numCache>
                <c:formatCode>General</c:formatCode>
                <c:ptCount val="30"/>
              </c:numCache>
            </c:numRef>
          </c:cat>
          <c:val>
            <c:numRef>
              <c:f>'wykres słupkowy - kwiecień (5)'!$F$3:$F$32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27-5118-4EB8-AE11-32B1DDBDC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overlap val="87"/>
        <c:axId val="1945443536"/>
        <c:axId val="194544027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słupkowy - kwiecień (5)'!$B$2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'wykres słupkowy - kwiecień (5)'!$A$3:$A$32</c15:sqref>
                        </c15:formulaRef>
                      </c:ext>
                    </c:extLst>
                    <c:numCache>
                      <c:formatCode>General</c:formatCode>
                      <c:ptCount val="30"/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'wykres słupkowy - kwiecień (5)'!$B$3:$B$32</c15:sqref>
                        </c15:formulaRef>
                      </c:ext>
                    </c:extLst>
                    <c:numCache>
                      <c:formatCode>General</c:formatCode>
                      <c:ptCount val="30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28-5118-4EB8-AE11-32B1DDBDCD4C}"/>
                  </c:ext>
                </c:extLst>
              </c15:ser>
            </c15:filteredBarSeries>
          </c:ext>
        </c:extLst>
      </c:barChart>
      <c:catAx>
        <c:axId val="194544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45440272"/>
        <c:crossesAt val="100"/>
        <c:auto val="1"/>
        <c:lblAlgn val="ctr"/>
        <c:lblOffset val="100"/>
        <c:noMultiLvlLbl val="0"/>
      </c:catAx>
      <c:valAx>
        <c:axId val="1945440272"/>
        <c:scaling>
          <c:orientation val="minMax"/>
          <c:max val="150"/>
          <c:min val="8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4544353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675217297554525"/>
          <c:y val="0.91931175269757948"/>
          <c:w val="0.38082978296268205"/>
          <c:h val="5.95242261383993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0.04389</cdr:x>
      <cdr:y>0.72331</cdr:y>
    </cdr:from>
    <cdr:to>
      <cdr:x>0.20054</cdr:x>
      <cdr:y>0.8554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224829" y="2906903"/>
          <a:ext cx="802446" cy="53085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food products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0.19109</cdr:x>
      <cdr:y>0.72505</cdr:y>
    </cdr:from>
    <cdr:to>
      <cdr:x>0.38015</cdr:x>
      <cdr:y>0.88494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1078246" y="3209956"/>
          <a:ext cx="1066792" cy="70788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motor vehicles, trailers and semi-trailers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0.35853</cdr:x>
      <cdr:y>0.72136</cdr:y>
    </cdr:from>
    <cdr:to>
      <cdr:x>0.51658</cdr:x>
      <cdr:y>0.8975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1836570" y="2899096"/>
          <a:ext cx="809648" cy="70788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chemicals and chemical products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0.50574</cdr:x>
      <cdr:y>0.72633</cdr:y>
    </cdr:from>
    <cdr:to>
      <cdr:x>0.65699</cdr:x>
      <cdr:y>0.85842</cdr:y>
    </cdr:to>
    <cdr:sp macro="" textlink="">
      <cdr:nvSpPr>
        <cdr:cNvPr id="6" name="pole tekstowe 5">
          <a:extLst xmlns:a="http://schemas.openxmlformats.org/drawingml/2006/main">
            <a:ext uri="{FF2B5EF4-FFF2-40B4-BE49-F238E27FC236}">
              <a16:creationId xmlns:a16="http://schemas.microsoft.com/office/drawing/2014/main" id="{0133FE06-A3BE-4B92-8F69-55A108940963}"/>
            </a:ext>
          </a:extLst>
        </cdr:cNvPr>
        <cdr:cNvSpPr txBox="1"/>
      </cdr:nvSpPr>
      <cdr:spPr>
        <a:xfrm xmlns:a="http://schemas.openxmlformats.org/drawingml/2006/main">
          <a:off x="2853694" y="3215623"/>
          <a:ext cx="853444" cy="58477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electrical equipment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0.8177</cdr:x>
      <cdr:y>0.72634</cdr:y>
    </cdr:from>
    <cdr:to>
      <cdr:x>0.97434</cdr:x>
      <cdr:y>0.85149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4188681" y="2919103"/>
          <a:ext cx="802395" cy="50297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basic metals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0.63402</cdr:x>
      <cdr:y>0.72341</cdr:y>
    </cdr:from>
    <cdr:to>
      <cdr:x>0.84249</cdr:x>
      <cdr:y>0.89286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3247802" y="2907323"/>
          <a:ext cx="1067887" cy="68100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other non-metallic mineral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Informacja sygnalna - kwiecień 2021 r - ang.docx.docx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C39F3-C29E-4049-AD1B-B0E3C105EBA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850905A2-A9F7-4738-9CBE-3C3239F57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2021-05-20T12:32:00Z</dcterms:created>
  <dcterms:modified xsi:type="dcterms:W3CDTF">2021-05-21T07:42:00Z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