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4BADA" w14:textId="7AC203F0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3CFBBD07" w14:textId="00F34279" w:rsidR="00BB33B9" w:rsidRPr="00346B6D" w:rsidRDefault="00BB33B9" w:rsidP="00BB33B9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607D7C">
        <w:rPr>
          <w:shd w:val="clear" w:color="auto" w:fill="FFFFFF"/>
          <w:lang w:val="en-GB"/>
        </w:rPr>
        <w:t>May</w:t>
      </w:r>
      <w:r w:rsidR="002C5475">
        <w:rPr>
          <w:shd w:val="clear" w:color="auto" w:fill="FFFFFF"/>
          <w:lang w:val="en-GB"/>
        </w:rPr>
        <w:t xml:space="preserve"> 2021</w:t>
      </w:r>
      <w:r w:rsidRPr="00346B6D">
        <w:rPr>
          <w:shd w:val="clear" w:color="auto" w:fill="FFFFFF"/>
          <w:vertAlign w:val="superscript"/>
          <w:lang w:val="en-GB"/>
        </w:rPr>
        <w:t>a)</w:t>
      </w:r>
    </w:p>
    <w:p w14:paraId="208F8186" w14:textId="1255094D" w:rsidR="00BB33B9" w:rsidRPr="00C52703" w:rsidRDefault="00BB33B9" w:rsidP="00BB33B9">
      <w:pPr>
        <w:pStyle w:val="tytuinformacji"/>
        <w:tabs>
          <w:tab w:val="left" w:pos="3398"/>
        </w:tabs>
        <w:rPr>
          <w:sz w:val="32"/>
          <w:lang w:val="en-GB"/>
        </w:rPr>
      </w:pPr>
      <w:r>
        <w:rPr>
          <w:sz w:val="32"/>
          <w:lang w:val="en-GB"/>
        </w:rPr>
        <w:tab/>
      </w:r>
    </w:p>
    <w:p w14:paraId="3C68B7AA" w14:textId="7C96A028" w:rsidR="00BB33B9" w:rsidRDefault="00BB33B9" w:rsidP="00BB33B9">
      <w:pPr>
        <w:pStyle w:val="LID"/>
        <w:rPr>
          <w:spacing w:val="-2"/>
          <w:lang w:val="en-GB"/>
        </w:rPr>
      </w:pPr>
      <w:r w:rsidRPr="00C52703"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6763A8DF" wp14:editId="275DD889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31670" cy="1323975"/>
                <wp:effectExtent l="0" t="0" r="0" b="952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167" cy="13239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3968B" w14:textId="05BEB0F3" w:rsidR="00BB33B9" w:rsidRPr="00AE5BE5" w:rsidRDefault="00BB33B9" w:rsidP="00BB33B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AE5BE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479D5D3" wp14:editId="62B00D32">
                                  <wp:extent cx="336550" cy="344501"/>
                                  <wp:effectExtent l="0" t="0" r="6350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874" cy="344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07D7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29.8</w:t>
                            </w:r>
                            <w:r w:rsidRPr="00AE5BE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6863140E" w14:textId="7ABD53C2" w:rsidR="00BB33B9" w:rsidRPr="00A84C79" w:rsidRDefault="00F81C4E" w:rsidP="00BB33B9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In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A84C79">
                              <w:rPr>
                                <w:sz w:val="20"/>
                                <w:lang w:val="en-US"/>
                              </w:rPr>
                              <w:t xml:space="preserve"> in sold production   </w:t>
                            </w:r>
                            <w:r w:rsidR="007B4306">
                              <w:rPr>
                                <w:sz w:val="20"/>
                                <w:lang w:val="en-US"/>
                              </w:rPr>
                              <w:t>of industry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 xml:space="preserve"> as compared </w:t>
                            </w:r>
                            <w:r w:rsidR="00A84C79">
                              <w:rPr>
                                <w:sz w:val="20"/>
                                <w:lang w:val="en-US"/>
                              </w:rPr>
                              <w:t xml:space="preserve">      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 xml:space="preserve">to </w:t>
                            </w:r>
                            <w:r w:rsidR="00607D7C">
                              <w:rPr>
                                <w:sz w:val="20"/>
                                <w:lang w:val="en-US"/>
                              </w:rPr>
                              <w:t>May</w:t>
                            </w:r>
                            <w:r w:rsidR="008C421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2C5475">
                              <w:rPr>
                                <w:sz w:val="20"/>
                                <w:lang w:val="en-US"/>
                              </w:rPr>
                              <w:t>2020</w:t>
                            </w:r>
                          </w:p>
                          <w:p w14:paraId="3C055AD1" w14:textId="77777777" w:rsidR="00BB33B9" w:rsidRPr="00346B6D" w:rsidRDefault="00BB33B9" w:rsidP="00BB33B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763A8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52.1pt;height:104.25pt;z-index:251807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" fillcolor="#001d77" stroked="f">
                <v:textbox>
                  <w:txbxContent>
                    <w:p w14:paraId="3773968B" w14:textId="05BEB0F3" w:rsidR="00BB33B9" w:rsidRPr="00AE5BE5" w:rsidRDefault="00BB33B9" w:rsidP="00BB33B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AE5BE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479D5D3" wp14:editId="62B00D32">
                            <wp:extent cx="336550" cy="344501"/>
                            <wp:effectExtent l="0" t="0" r="6350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874" cy="344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07D7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29.8</w:t>
                      </w:r>
                      <w:r w:rsidRPr="00AE5BE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6863140E" w14:textId="7ABD53C2" w:rsidR="00BB33B9" w:rsidRPr="00A84C79" w:rsidRDefault="00F81C4E" w:rsidP="00BB33B9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In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A84C79">
                        <w:rPr>
                          <w:sz w:val="20"/>
                          <w:lang w:val="en-US"/>
                        </w:rPr>
                        <w:t xml:space="preserve"> in sold production   </w:t>
                      </w:r>
                      <w:r w:rsidR="007B4306">
                        <w:rPr>
                          <w:sz w:val="20"/>
                          <w:lang w:val="en-US"/>
                        </w:rPr>
                        <w:t>of industry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 xml:space="preserve"> as compared </w:t>
                      </w:r>
                      <w:r w:rsidR="00A84C79">
                        <w:rPr>
                          <w:sz w:val="20"/>
                          <w:lang w:val="en-US"/>
                        </w:rPr>
                        <w:t xml:space="preserve">      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 xml:space="preserve">to </w:t>
                      </w:r>
                      <w:r w:rsidR="00607D7C">
                        <w:rPr>
                          <w:sz w:val="20"/>
                          <w:lang w:val="en-US"/>
                        </w:rPr>
                        <w:t>May</w:t>
                      </w:r>
                      <w:r w:rsidR="008C421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2C5475">
                        <w:rPr>
                          <w:sz w:val="20"/>
                          <w:lang w:val="en-US"/>
                        </w:rPr>
                        <w:t>2020</w:t>
                      </w:r>
                    </w:p>
                    <w:p w14:paraId="3C055AD1" w14:textId="77777777" w:rsidR="00BB33B9" w:rsidRPr="00346B6D" w:rsidRDefault="00BB33B9" w:rsidP="00BB33B9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2703"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732FA3C9" wp14:editId="05AB424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1875B" w14:textId="77777777" w:rsidR="00BB33B9" w:rsidRPr="00B66B19" w:rsidRDefault="00BB33B9" w:rsidP="00BB33B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5EA7F5F" wp14:editId="40256004">
                                  <wp:extent cx="333375" cy="333375"/>
                                  <wp:effectExtent l="0" t="0" r="9525" b="9525"/>
                                  <wp:docPr id="1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14:paraId="2CC27AF0" w14:textId="77777777" w:rsidR="00BB33B9" w:rsidRPr="003F3148" w:rsidRDefault="00BB33B9" w:rsidP="00BB33B9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14:paraId="3BF30A9A" w14:textId="77777777" w:rsidR="00BB33B9" w:rsidRPr="003F3148" w:rsidRDefault="00BB33B9" w:rsidP="00BB33B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2FA3C9" id="_x0000_s1027" type="#_x0000_t202" style="position:absolute;margin-left:0;margin-top:6.55pt;width:2in;height:93.7pt;z-index:251806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14:paraId="2251875B" w14:textId="77777777" w:rsidR="00BB33B9" w:rsidRPr="00B66B19" w:rsidRDefault="00BB33B9" w:rsidP="00BB33B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5EA7F5F" wp14:editId="40256004">
                            <wp:extent cx="333375" cy="333375"/>
                            <wp:effectExtent l="0" t="0" r="9525" b="9525"/>
                            <wp:docPr id="1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14:paraId="2CC27AF0" w14:textId="77777777" w:rsidR="00BB33B9" w:rsidRPr="003F3148" w:rsidRDefault="00BB33B9" w:rsidP="00BB33B9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14:paraId="3BF30A9A" w14:textId="77777777" w:rsidR="00BB33B9" w:rsidRPr="003F3148" w:rsidRDefault="00BB33B9" w:rsidP="00BB33B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381E">
        <w:rPr>
          <w:lang w:val="en-GB"/>
        </w:rPr>
        <w:t xml:space="preserve">In </w:t>
      </w:r>
      <w:r w:rsidR="00607D7C">
        <w:rPr>
          <w:lang w:val="en-GB"/>
        </w:rPr>
        <w:t xml:space="preserve">May </w:t>
      </w:r>
      <w:r w:rsidR="002C5475">
        <w:rPr>
          <w:lang w:val="en-GB"/>
        </w:rPr>
        <w:t>2021</w:t>
      </w:r>
      <w:r w:rsidRPr="00C52703">
        <w:rPr>
          <w:lang w:val="en-GB"/>
        </w:rPr>
        <w:t xml:space="preserve">, sold production of industry was by </w:t>
      </w:r>
      <w:r w:rsidR="00607D7C">
        <w:rPr>
          <w:lang w:val="en-GB"/>
        </w:rPr>
        <w:t>29.8</w:t>
      </w:r>
      <w:r>
        <w:rPr>
          <w:lang w:val="en-GB"/>
        </w:rPr>
        <w:t xml:space="preserve">% </w:t>
      </w:r>
      <w:r w:rsidR="00DA7D4B">
        <w:rPr>
          <w:lang w:val="en-GB"/>
        </w:rPr>
        <w:t>higher</w:t>
      </w:r>
      <w:r>
        <w:rPr>
          <w:lang w:val="en-GB"/>
        </w:rPr>
        <w:t xml:space="preserve"> than in </w:t>
      </w:r>
      <w:r w:rsidR="00607D7C">
        <w:rPr>
          <w:lang w:val="en-GB"/>
        </w:rPr>
        <w:t>May</w:t>
      </w:r>
      <w:r w:rsidR="002C5475">
        <w:rPr>
          <w:lang w:val="en-GB"/>
        </w:rPr>
        <w:t xml:space="preserve"> 2020</w:t>
      </w:r>
      <w:r w:rsidRPr="00C52703">
        <w:rPr>
          <w:lang w:val="en-GB"/>
        </w:rPr>
        <w:t xml:space="preserve">, </w:t>
      </w:r>
      <w:r>
        <w:rPr>
          <w:spacing w:val="-2"/>
          <w:lang w:val="en-GB"/>
        </w:rPr>
        <w:t xml:space="preserve">when </w:t>
      </w:r>
      <w:r w:rsidR="00E90FCB">
        <w:rPr>
          <w:spacing w:val="-2"/>
          <w:lang w:val="en-GB"/>
        </w:rPr>
        <w:t>a</w:t>
      </w:r>
      <w:r w:rsidR="00B9273E">
        <w:rPr>
          <w:spacing w:val="-2"/>
          <w:lang w:val="en-GB"/>
        </w:rPr>
        <w:t xml:space="preserve"> de</w:t>
      </w:r>
      <w:r w:rsidR="00DA7D4B">
        <w:rPr>
          <w:spacing w:val="-2"/>
          <w:lang w:val="en-GB"/>
        </w:rPr>
        <w:t>crease</w:t>
      </w:r>
      <w:r>
        <w:rPr>
          <w:spacing w:val="-2"/>
          <w:lang w:val="en-GB"/>
        </w:rPr>
        <w:t xml:space="preserve"> was recorded by </w:t>
      </w:r>
      <w:r w:rsidR="00607D7C">
        <w:rPr>
          <w:spacing w:val="-2"/>
          <w:lang w:val="en-GB"/>
        </w:rPr>
        <w:t>16.9</w:t>
      </w:r>
      <w:r>
        <w:rPr>
          <w:spacing w:val="-2"/>
          <w:lang w:val="en-GB"/>
        </w:rPr>
        <w:t>%</w:t>
      </w:r>
      <w:r w:rsidR="00946446" w:rsidRPr="00946446">
        <w:rPr>
          <w:color w:val="FF0000"/>
          <w:lang w:val="en-GB"/>
        </w:rPr>
        <w:t xml:space="preserve"> </w:t>
      </w:r>
      <w:r w:rsidR="00946446" w:rsidRPr="00946446">
        <w:rPr>
          <w:lang w:val="en-GB"/>
        </w:rPr>
        <w:t>as compared to the previous year</w:t>
      </w:r>
      <w:r w:rsidRPr="00E337D4">
        <w:rPr>
          <w:spacing w:val="-2"/>
          <w:lang w:val="en-GB"/>
        </w:rPr>
        <w:t xml:space="preserve">, whereas </w:t>
      </w:r>
      <w:r w:rsidRPr="000640BF">
        <w:rPr>
          <w:spacing w:val="-2"/>
          <w:lang w:val="en-GB"/>
        </w:rPr>
        <w:t xml:space="preserve">in comparison with </w:t>
      </w:r>
      <w:r w:rsidR="00607D7C">
        <w:rPr>
          <w:spacing w:val="-2"/>
          <w:lang w:val="en-GB"/>
        </w:rPr>
        <w:t>April</w:t>
      </w:r>
      <w:r w:rsidR="00A54D2D">
        <w:rPr>
          <w:spacing w:val="-2"/>
          <w:lang w:val="en-GB"/>
        </w:rPr>
        <w:t xml:space="preserve"> </w:t>
      </w:r>
      <w:r w:rsidR="002C5475">
        <w:rPr>
          <w:spacing w:val="-2"/>
          <w:lang w:val="en-GB"/>
        </w:rPr>
        <w:t>2021</w:t>
      </w:r>
      <w:r>
        <w:rPr>
          <w:spacing w:val="-2"/>
          <w:lang w:val="en-GB"/>
        </w:rPr>
        <w:t>,</w:t>
      </w:r>
      <w:r w:rsidRPr="000640BF">
        <w:rPr>
          <w:spacing w:val="-2"/>
          <w:lang w:val="en-GB"/>
        </w:rPr>
        <w:t xml:space="preserve"> </w:t>
      </w:r>
      <w:r w:rsidR="0019680B">
        <w:rPr>
          <w:spacing w:val="-2"/>
          <w:lang w:val="en-GB"/>
        </w:rPr>
        <w:t xml:space="preserve">it </w:t>
      </w:r>
      <w:r w:rsidR="00A54D2D">
        <w:rPr>
          <w:spacing w:val="-2"/>
          <w:lang w:val="en-GB"/>
        </w:rPr>
        <w:t>de</w:t>
      </w:r>
      <w:r w:rsidRPr="00E80B7A">
        <w:rPr>
          <w:spacing w:val="-2"/>
          <w:lang w:val="en-GB"/>
        </w:rPr>
        <w:t xml:space="preserve">creased </w:t>
      </w:r>
      <w:r w:rsidRPr="000640BF">
        <w:rPr>
          <w:spacing w:val="-2"/>
          <w:lang w:val="en-GB"/>
        </w:rPr>
        <w:t xml:space="preserve">by </w:t>
      </w:r>
      <w:r w:rsidR="00607D7C">
        <w:rPr>
          <w:spacing w:val="-2"/>
          <w:lang w:val="en-GB"/>
        </w:rPr>
        <w:t>0.8</w:t>
      </w:r>
      <w:r w:rsidRPr="000640BF">
        <w:rPr>
          <w:spacing w:val="-2"/>
          <w:lang w:val="en-GB"/>
        </w:rPr>
        <w:t>%.</w:t>
      </w:r>
      <w:r w:rsidRPr="00B27CF9">
        <w:rPr>
          <w:lang w:val="en-GB"/>
        </w:rPr>
        <w:t xml:space="preserve"> </w:t>
      </w:r>
      <w:r w:rsidR="008C421A">
        <w:rPr>
          <w:lang w:val="en-GB"/>
        </w:rPr>
        <w:t>In the period January-</w:t>
      </w:r>
      <w:r w:rsidR="00607D7C">
        <w:rPr>
          <w:lang w:val="en-GB"/>
        </w:rPr>
        <w:t xml:space="preserve">May </w:t>
      </w:r>
      <w:r w:rsidR="002C5475">
        <w:rPr>
          <w:lang w:val="en-GB"/>
        </w:rPr>
        <w:t>of 2021</w:t>
      </w:r>
      <w:r w:rsidRPr="00C52703">
        <w:rPr>
          <w:lang w:val="en-GB"/>
        </w:rPr>
        <w:t xml:space="preserve">, sold production of industry was </w:t>
      </w:r>
      <w:r w:rsidR="008C421A">
        <w:rPr>
          <w:lang w:val="en-GB"/>
        </w:rPr>
        <w:t xml:space="preserve">by </w:t>
      </w:r>
      <w:r w:rsidR="00607D7C">
        <w:rPr>
          <w:lang w:val="en-GB"/>
        </w:rPr>
        <w:t>18.1</w:t>
      </w:r>
      <w:r w:rsidRPr="00C52703">
        <w:rPr>
          <w:lang w:val="en-GB"/>
        </w:rPr>
        <w:t xml:space="preserve">% </w:t>
      </w:r>
      <w:r w:rsidR="002C5475">
        <w:rPr>
          <w:lang w:val="en-GB"/>
        </w:rPr>
        <w:t>higher</w:t>
      </w:r>
      <w:r w:rsidRPr="00C52703">
        <w:rPr>
          <w:lang w:val="en-GB"/>
        </w:rPr>
        <w:t xml:space="preserve"> than in </w:t>
      </w:r>
      <w:r w:rsidR="002C5475">
        <w:rPr>
          <w:lang w:val="en-GB"/>
        </w:rPr>
        <w:t>the corresponding period of 2020</w:t>
      </w:r>
      <w:r>
        <w:rPr>
          <w:lang w:val="en-GB"/>
        </w:rPr>
        <w:t>,</w:t>
      </w:r>
      <w:r w:rsidRPr="00C52703">
        <w:rPr>
          <w:lang w:val="en-GB"/>
        </w:rPr>
        <w:t xml:space="preserve"> which saw a </w:t>
      </w:r>
      <w:r w:rsidR="00A54D2D">
        <w:rPr>
          <w:lang w:val="en-GB"/>
        </w:rPr>
        <w:t>decrease</w:t>
      </w:r>
      <w:r w:rsidR="00E90FCB">
        <w:rPr>
          <w:lang w:val="en-GB"/>
        </w:rPr>
        <w:t xml:space="preserve"> by </w:t>
      </w:r>
      <w:r w:rsidR="00607D7C">
        <w:rPr>
          <w:lang w:val="en-GB"/>
        </w:rPr>
        <w:t>7.9</w:t>
      </w:r>
      <w:r w:rsidRPr="00C52703">
        <w:rPr>
          <w:lang w:val="en-GB"/>
        </w:rPr>
        <w:t>%</w:t>
      </w:r>
      <w:r>
        <w:rPr>
          <w:lang w:val="en-GB"/>
        </w:rPr>
        <w:t>.</w:t>
      </w:r>
    </w:p>
    <w:p w14:paraId="185AC143" w14:textId="292A700C" w:rsidR="00BB33B9" w:rsidRDefault="00BB33B9" w:rsidP="00BB33B9">
      <w:pPr>
        <w:pStyle w:val="LID"/>
        <w:jc w:val="both"/>
        <w:rPr>
          <w:spacing w:val="-2"/>
          <w:lang w:val="en-GB"/>
        </w:rPr>
      </w:pPr>
    </w:p>
    <w:p w14:paraId="5B0D3E7B" w14:textId="77777777" w:rsidR="00965BE1" w:rsidRDefault="00965BE1" w:rsidP="00BB33B9">
      <w:pPr>
        <w:pStyle w:val="LID"/>
        <w:jc w:val="both"/>
        <w:rPr>
          <w:spacing w:val="-2"/>
          <w:lang w:val="en-GB"/>
        </w:rPr>
      </w:pPr>
    </w:p>
    <w:p w14:paraId="73D91776" w14:textId="0B767904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13163E44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5CD24655" w:rsidR="00BB33B9" w:rsidRPr="00AE5BE5" w:rsidRDefault="006D5260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an in</w:t>
                            </w:r>
                            <w:r w:rsidR="00BB33B9"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in sold industrial production in </w:t>
                            </w:r>
                            <w:r w:rsidR="00607D7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May</w:t>
                            </w:r>
                            <w:r w:rsidR="007556E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C54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2021</w:t>
                            </w:r>
                            <w:r w:rsid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 </w:t>
                            </w:r>
                            <w:r w:rsidR="00607D7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29.7</w:t>
                            </w:r>
                            <w:r w:rsidR="00BB33B9"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BB33B9" w:rsidRPr="009D604E" w:rsidRDefault="00BB33B9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1AFCDB" id="_x0000_s1028" type="#_x0000_t202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" filled="f" stroked="f">
                <v:textbox>
                  <w:txbxContent>
                    <w:p w14:paraId="74E140B5" w14:textId="5CD24655" w:rsidR="00BB33B9" w:rsidRPr="00AE5BE5" w:rsidRDefault="006D5260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an in</w:t>
                      </w:r>
                      <w:r w:rsidR="00BB33B9"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in sold industrial production in </w:t>
                      </w:r>
                      <w:r w:rsidR="00607D7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May</w:t>
                      </w:r>
                      <w:r w:rsidR="007556E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C54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2021</w:t>
                      </w:r>
                      <w:r w:rsid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 </w:t>
                      </w:r>
                      <w:r w:rsidR="00607D7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29.7</w:t>
                      </w:r>
                      <w:r w:rsidR="00BB33B9"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BB33B9" w:rsidRPr="009D604E" w:rsidRDefault="00BB33B9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16F68206" w:rsidR="003627E7" w:rsidRPr="000C2AC9" w:rsidRDefault="00BB33B9" w:rsidP="000C2AC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607D7C">
        <w:rPr>
          <w:noProof/>
          <w:spacing w:val="-2"/>
          <w:szCs w:val="19"/>
          <w:lang w:val="en-GB"/>
        </w:rPr>
        <w:t xml:space="preserve">May </w:t>
      </w:r>
      <w:r w:rsidR="002C5475">
        <w:rPr>
          <w:noProof/>
          <w:spacing w:val="-2"/>
          <w:szCs w:val="19"/>
          <w:lang w:val="en-GB"/>
        </w:rPr>
        <w:t>2021</w:t>
      </w:r>
      <w:r w:rsidRPr="00AE5BE5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6D5260">
        <w:rPr>
          <w:noProof/>
          <w:spacing w:val="-2"/>
          <w:szCs w:val="19"/>
          <w:lang w:val="en-GB"/>
        </w:rPr>
        <w:t>higher</w:t>
      </w:r>
      <w:r w:rsidR="0019680B">
        <w:rPr>
          <w:noProof/>
          <w:spacing w:val="-2"/>
          <w:szCs w:val="19"/>
          <w:lang w:val="en-GB"/>
        </w:rPr>
        <w:t xml:space="preserve"> by </w:t>
      </w:r>
      <w:r w:rsidR="00607D7C">
        <w:rPr>
          <w:noProof/>
          <w:spacing w:val="-2"/>
          <w:szCs w:val="19"/>
          <w:lang w:val="en-GB"/>
        </w:rPr>
        <w:t>29</w:t>
      </w:r>
      <w:r w:rsidR="00393C51">
        <w:rPr>
          <w:noProof/>
          <w:spacing w:val="-2"/>
          <w:szCs w:val="19"/>
          <w:lang w:val="en-GB"/>
        </w:rPr>
        <w:t>.7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2C5475">
        <w:rPr>
          <w:noProof/>
          <w:spacing w:val="-2"/>
          <w:szCs w:val="19"/>
          <w:lang w:val="en-GB"/>
        </w:rPr>
        <w:t>onding month of 2020</w:t>
      </w:r>
      <w:r w:rsidR="0019680B">
        <w:rPr>
          <w:noProof/>
          <w:spacing w:val="-2"/>
          <w:szCs w:val="19"/>
          <w:lang w:val="en-GB"/>
        </w:rPr>
        <w:t xml:space="preserve"> and by </w:t>
      </w:r>
      <w:r w:rsidR="00A54D2D">
        <w:rPr>
          <w:noProof/>
          <w:spacing w:val="-2"/>
          <w:szCs w:val="19"/>
          <w:lang w:val="en-GB"/>
        </w:rPr>
        <w:t>0.</w:t>
      </w:r>
      <w:r w:rsidR="00607D7C">
        <w:rPr>
          <w:noProof/>
          <w:spacing w:val="-2"/>
          <w:szCs w:val="19"/>
          <w:lang w:val="en-GB"/>
        </w:rPr>
        <w:t>8</w:t>
      </w:r>
      <w:r w:rsidRPr="00AE5BE5">
        <w:rPr>
          <w:noProof/>
          <w:spacing w:val="-2"/>
          <w:szCs w:val="19"/>
          <w:lang w:val="en-GB"/>
        </w:rPr>
        <w:t xml:space="preserve">% </w:t>
      </w:r>
      <w:r w:rsidR="00607D7C">
        <w:rPr>
          <w:noProof/>
          <w:spacing w:val="-2"/>
          <w:szCs w:val="19"/>
          <w:lang w:val="en-GB"/>
        </w:rPr>
        <w:t>higher</w:t>
      </w:r>
      <w:r w:rsidRPr="00AE5BE5">
        <w:rPr>
          <w:noProof/>
          <w:spacing w:val="-2"/>
          <w:szCs w:val="19"/>
          <w:lang w:val="en-GB"/>
        </w:rPr>
        <w:t xml:space="preserve"> as compared to</w:t>
      </w:r>
      <w:r w:rsidR="00393C51">
        <w:rPr>
          <w:noProof/>
          <w:spacing w:val="-2"/>
          <w:szCs w:val="19"/>
          <w:lang w:val="en-GB"/>
        </w:rPr>
        <w:t xml:space="preserve"> </w:t>
      </w:r>
      <w:r w:rsidR="00607D7C">
        <w:rPr>
          <w:noProof/>
          <w:spacing w:val="-2"/>
          <w:szCs w:val="19"/>
          <w:lang w:val="en-GB"/>
        </w:rPr>
        <w:t>April</w:t>
      </w:r>
      <w:r w:rsidR="002C5475">
        <w:rPr>
          <w:noProof/>
          <w:spacing w:val="-2"/>
          <w:szCs w:val="19"/>
          <w:lang w:val="en-GB"/>
        </w:rPr>
        <w:t xml:space="preserve"> 2021</w:t>
      </w:r>
      <w:r w:rsidRPr="00AE5BE5">
        <w:rPr>
          <w:noProof/>
          <w:spacing w:val="-2"/>
          <w:szCs w:val="19"/>
          <w:lang w:val="en-GB"/>
        </w:rPr>
        <w:t>.</w:t>
      </w:r>
    </w:p>
    <w:p w14:paraId="51497FAB" w14:textId="09E6CF63" w:rsidR="003627E7" w:rsidRPr="007B4306" w:rsidRDefault="00607D7C" w:rsidP="000C2AC9">
      <w:pPr>
        <w:spacing w:before="360"/>
        <w:rPr>
          <w:b/>
          <w:spacing w:val="-2"/>
          <w:sz w:val="18"/>
          <w:szCs w:val="18"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51776" behindDoc="0" locked="0" layoutInCell="1" allowOverlap="1" wp14:anchorId="45FB9886" wp14:editId="1AF938EC">
            <wp:simplePos x="0" y="0"/>
            <wp:positionH relativeFrom="column">
              <wp:posOffset>-41910</wp:posOffset>
            </wp:positionH>
            <wp:positionV relativeFrom="paragraph">
              <wp:posOffset>346710</wp:posOffset>
            </wp:positionV>
            <wp:extent cx="5257800" cy="3206750"/>
            <wp:effectExtent l="0" t="0" r="0" b="0"/>
            <wp:wrapSquare wrapText="bothSides"/>
            <wp:docPr id="8" name="Wykres 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745208E7" w14:textId="5D5350D3" w:rsidR="002C5475" w:rsidRDefault="002C5475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40F0A77F" w14:textId="420EF929" w:rsidR="000C2AC9" w:rsidRDefault="002C5475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607D7C">
        <w:rPr>
          <w:b w:val="0"/>
          <w:sz w:val="19"/>
          <w:szCs w:val="19"/>
          <w:shd w:val="clear" w:color="auto" w:fill="FFFFFF"/>
          <w:lang w:val="en-GB"/>
        </w:rPr>
        <w:t>May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2021, as compared to the previous year,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a</w:t>
      </w:r>
      <w:r w:rsidR="006730C2">
        <w:rPr>
          <w:b w:val="0"/>
          <w:sz w:val="19"/>
          <w:szCs w:val="19"/>
          <w:shd w:val="clear" w:color="auto" w:fill="FFFFFF"/>
          <w:lang w:val="en-GB"/>
        </w:rPr>
        <w:t>n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>in</w:t>
      </w:r>
      <w:r>
        <w:rPr>
          <w:b w:val="0"/>
          <w:sz w:val="19"/>
          <w:szCs w:val="19"/>
          <w:shd w:val="clear" w:color="auto" w:fill="FFFFFF"/>
          <w:lang w:val="en-GB"/>
        </w:rPr>
        <w:t>crease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of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production was recorded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in </w:t>
      </w:r>
      <w:r w:rsidR="005B720A">
        <w:rPr>
          <w:b w:val="0"/>
          <w:sz w:val="19"/>
          <w:szCs w:val="19"/>
          <w:shd w:val="clear" w:color="auto" w:fill="FFFFFF"/>
          <w:lang w:val="en-GB"/>
        </w:rPr>
        <w:t xml:space="preserve">all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main industrial groupings</w:t>
      </w:r>
      <w:r w:rsidR="00C6603C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C6603C" w:rsidRPr="00C6603C">
        <w:rPr>
          <w:b w:val="0"/>
          <w:sz w:val="19"/>
          <w:szCs w:val="19"/>
          <w:shd w:val="clear" w:color="auto" w:fill="FFFFFF"/>
          <w:lang w:val="en-GB"/>
        </w:rPr>
        <w:t>after decreases</w:t>
      </w:r>
      <w:r w:rsidR="00F33263">
        <w:rPr>
          <w:b w:val="0"/>
          <w:sz w:val="19"/>
          <w:szCs w:val="19"/>
          <w:shd w:val="clear" w:color="auto" w:fill="FFFFFF"/>
          <w:lang w:val="en-GB"/>
        </w:rPr>
        <w:t xml:space="preserve"> observed</w:t>
      </w:r>
      <w:r w:rsidR="00C6603C" w:rsidRPr="00C6603C">
        <w:rPr>
          <w:b w:val="0"/>
          <w:sz w:val="19"/>
          <w:szCs w:val="19"/>
          <w:shd w:val="clear" w:color="auto" w:fill="FFFFFF"/>
          <w:lang w:val="en-GB"/>
        </w:rPr>
        <w:t xml:space="preserve"> last year.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07D7C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607D7C">
        <w:rPr>
          <w:b w:val="0"/>
          <w:sz w:val="19"/>
          <w:szCs w:val="19"/>
          <w:shd w:val="clear" w:color="auto" w:fill="FFFFFF"/>
          <w:lang w:val="en-GB"/>
        </w:rPr>
        <w:t>went up</w:t>
      </w:r>
      <w:r w:rsidR="00607D7C" w:rsidRPr="00DC024A">
        <w:rPr>
          <w:b w:val="0"/>
          <w:sz w:val="19"/>
          <w:szCs w:val="19"/>
          <w:shd w:val="clear" w:color="auto" w:fill="FFFFFF"/>
          <w:lang w:val="en-GB"/>
        </w:rPr>
        <w:t xml:space="preserve"> by </w:t>
      </w:r>
      <w:r w:rsidR="00607D7C">
        <w:rPr>
          <w:b w:val="0"/>
          <w:sz w:val="19"/>
          <w:szCs w:val="19"/>
          <w:shd w:val="clear" w:color="auto" w:fill="FFFFFF"/>
          <w:lang w:val="en-GB"/>
        </w:rPr>
        <w:t>51.3</w:t>
      </w:r>
      <w:r w:rsidR="00607D7C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607D7C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07D7C" w:rsidRPr="00DC024A">
        <w:rPr>
          <w:b w:val="0"/>
          <w:sz w:val="19"/>
          <w:szCs w:val="19"/>
          <w:lang w:val="en-GB"/>
        </w:rPr>
        <w:t>(a</w:t>
      </w:r>
      <w:r w:rsidR="00607D7C" w:rsidRPr="00DC024A">
        <w:rPr>
          <w:b w:val="0"/>
          <w:sz w:val="19"/>
          <w:szCs w:val="19"/>
          <w:lang w:val="en-US"/>
        </w:rPr>
        <w:t xml:space="preserve"> </w:t>
      </w:r>
      <w:r w:rsidR="00607D7C">
        <w:rPr>
          <w:b w:val="0"/>
          <w:sz w:val="19"/>
          <w:szCs w:val="19"/>
          <w:lang w:val="en-US"/>
        </w:rPr>
        <w:t>large de</w:t>
      </w:r>
      <w:r w:rsidR="00607D7C" w:rsidRPr="00DC024A">
        <w:rPr>
          <w:b w:val="0"/>
          <w:sz w:val="19"/>
          <w:szCs w:val="19"/>
          <w:lang w:val="en-US"/>
        </w:rPr>
        <w:t>crease</w:t>
      </w:r>
      <w:r w:rsidR="00607D7C" w:rsidRPr="00DC024A">
        <w:rPr>
          <w:b w:val="0"/>
          <w:sz w:val="19"/>
          <w:szCs w:val="19"/>
          <w:lang w:val="en-GB"/>
        </w:rPr>
        <w:t xml:space="preserve"> of </w:t>
      </w:r>
      <w:r w:rsidR="00607D7C">
        <w:rPr>
          <w:b w:val="0"/>
          <w:sz w:val="19"/>
          <w:szCs w:val="19"/>
          <w:lang w:val="en-GB"/>
        </w:rPr>
        <w:t>38.4</w:t>
      </w:r>
      <w:r w:rsidR="00607D7C" w:rsidRPr="00DC024A">
        <w:rPr>
          <w:b w:val="0"/>
          <w:sz w:val="19"/>
          <w:szCs w:val="19"/>
          <w:lang w:val="en-GB"/>
        </w:rPr>
        <w:t>% in the previous year)</w:t>
      </w:r>
      <w:r w:rsidR="00607D7C" w:rsidRPr="00DC024A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393C51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607D7C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393C51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607D7C">
        <w:rPr>
          <w:b w:val="0"/>
          <w:sz w:val="19"/>
          <w:szCs w:val="19"/>
          <w:shd w:val="clear" w:color="auto" w:fill="FFFFFF"/>
          <w:lang w:val="en-GB"/>
        </w:rPr>
        <w:t>49.4</w:t>
      </w:r>
      <w:r w:rsidR="00393C51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DC024A" w:rsidRPr="00DC024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DC024A" w:rsidRPr="00DC024A">
        <w:rPr>
          <w:b w:val="0"/>
          <w:sz w:val="19"/>
          <w:szCs w:val="19"/>
          <w:lang w:val="en-GB"/>
        </w:rPr>
        <w:t>(a</w:t>
      </w:r>
      <w:r w:rsidR="000C2AC9">
        <w:rPr>
          <w:b w:val="0"/>
          <w:sz w:val="19"/>
          <w:szCs w:val="19"/>
          <w:lang w:val="en-US"/>
        </w:rPr>
        <w:t xml:space="preserve"> de</w:t>
      </w:r>
      <w:r w:rsidR="00DC024A" w:rsidRPr="00DC024A">
        <w:rPr>
          <w:b w:val="0"/>
          <w:sz w:val="19"/>
          <w:szCs w:val="19"/>
          <w:lang w:val="en-US"/>
        </w:rPr>
        <w:t>crease</w:t>
      </w:r>
      <w:r w:rsidR="00DC024A" w:rsidRPr="00DC024A">
        <w:rPr>
          <w:b w:val="0"/>
          <w:sz w:val="19"/>
          <w:szCs w:val="19"/>
          <w:lang w:val="en-GB"/>
        </w:rPr>
        <w:t xml:space="preserve"> of </w:t>
      </w:r>
      <w:r w:rsidR="00607D7C">
        <w:rPr>
          <w:b w:val="0"/>
          <w:sz w:val="19"/>
          <w:szCs w:val="19"/>
          <w:lang w:val="en-GB"/>
        </w:rPr>
        <w:t>13.6</w:t>
      </w:r>
      <w:r w:rsidR="00DC024A" w:rsidRPr="00DC024A">
        <w:rPr>
          <w:b w:val="0"/>
          <w:sz w:val="19"/>
          <w:szCs w:val="19"/>
          <w:lang w:val="en-GB"/>
        </w:rPr>
        <w:t>%)</w:t>
      </w:r>
      <w:r w:rsidR="00393C51" w:rsidRPr="00DC024A">
        <w:rPr>
          <w:b w:val="0"/>
          <w:sz w:val="19"/>
          <w:szCs w:val="19"/>
          <w:shd w:val="clear" w:color="auto" w:fill="FFFFFF"/>
          <w:lang w:val="en-GB"/>
        </w:rPr>
        <w:t xml:space="preserve">, intermediate goods – by </w:t>
      </w:r>
      <w:r w:rsidR="00607D7C">
        <w:rPr>
          <w:b w:val="0"/>
          <w:sz w:val="19"/>
          <w:szCs w:val="19"/>
          <w:shd w:val="clear" w:color="auto" w:fill="FFFFFF"/>
          <w:lang w:val="en-GB"/>
        </w:rPr>
        <w:t>34.2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>%</w:t>
      </w:r>
      <w:r w:rsidR="000C2A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bookmarkStart w:id="1" w:name="_Hlk72307157"/>
      <w:r w:rsidR="000C2AC9" w:rsidRPr="00DC024A">
        <w:rPr>
          <w:b w:val="0"/>
          <w:sz w:val="19"/>
          <w:szCs w:val="19"/>
          <w:lang w:val="en-GB"/>
        </w:rPr>
        <w:t>(a</w:t>
      </w:r>
      <w:r w:rsidR="000C2AC9">
        <w:rPr>
          <w:b w:val="0"/>
          <w:sz w:val="19"/>
          <w:szCs w:val="19"/>
          <w:lang w:val="en-US"/>
        </w:rPr>
        <w:t xml:space="preserve"> de</w:t>
      </w:r>
      <w:r w:rsidR="000C2AC9" w:rsidRPr="00DC024A">
        <w:rPr>
          <w:b w:val="0"/>
          <w:sz w:val="19"/>
          <w:szCs w:val="19"/>
          <w:lang w:val="en-US"/>
        </w:rPr>
        <w:t>crease</w:t>
      </w:r>
      <w:r w:rsidR="000C2AC9" w:rsidRPr="00DC024A">
        <w:rPr>
          <w:b w:val="0"/>
          <w:sz w:val="19"/>
          <w:szCs w:val="19"/>
          <w:lang w:val="en-GB"/>
        </w:rPr>
        <w:t xml:space="preserve"> of </w:t>
      </w:r>
      <w:r w:rsidR="008C2E1C">
        <w:rPr>
          <w:b w:val="0"/>
          <w:sz w:val="19"/>
          <w:szCs w:val="19"/>
          <w:lang w:val="en-GB"/>
        </w:rPr>
        <w:t>13.4</w:t>
      </w:r>
      <w:r w:rsidR="000C2AC9" w:rsidRPr="00DC024A">
        <w:rPr>
          <w:b w:val="0"/>
          <w:sz w:val="19"/>
          <w:szCs w:val="19"/>
          <w:lang w:val="en-GB"/>
        </w:rPr>
        <w:t>%)</w:t>
      </w:r>
      <w:bookmarkEnd w:id="1"/>
      <w:r w:rsidR="00393C51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393C51" w:rsidRPr="005B587B">
        <w:rPr>
          <w:b w:val="0"/>
          <w:sz w:val="19"/>
          <w:szCs w:val="19"/>
          <w:shd w:val="clear" w:color="auto" w:fill="FFFFFF"/>
          <w:lang w:val="en-GB"/>
        </w:rPr>
        <w:t>non-durable consumer goods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393C51" w:rsidRPr="00FC4B57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607D7C">
        <w:rPr>
          <w:b w:val="0"/>
          <w:sz w:val="19"/>
          <w:szCs w:val="19"/>
          <w:shd w:val="clear" w:color="auto" w:fill="FFFFFF"/>
          <w:lang w:val="en-GB"/>
        </w:rPr>
        <w:t>12.0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>%</w:t>
      </w:r>
      <w:r w:rsidR="000C2A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C2AC9" w:rsidRPr="00DC024A">
        <w:rPr>
          <w:b w:val="0"/>
          <w:sz w:val="19"/>
          <w:szCs w:val="19"/>
          <w:lang w:val="en-GB"/>
        </w:rPr>
        <w:t>(a</w:t>
      </w:r>
      <w:r w:rsidR="000C2AC9">
        <w:rPr>
          <w:b w:val="0"/>
          <w:sz w:val="19"/>
          <w:szCs w:val="19"/>
          <w:lang w:val="en-US"/>
        </w:rPr>
        <w:t xml:space="preserve"> de</w:t>
      </w:r>
      <w:r w:rsidR="000C2AC9" w:rsidRPr="00DC024A">
        <w:rPr>
          <w:b w:val="0"/>
          <w:sz w:val="19"/>
          <w:szCs w:val="19"/>
          <w:lang w:val="en-US"/>
        </w:rPr>
        <w:t>crease</w:t>
      </w:r>
      <w:r w:rsidR="000C2AC9" w:rsidRPr="00DC024A">
        <w:rPr>
          <w:b w:val="0"/>
          <w:sz w:val="19"/>
          <w:szCs w:val="19"/>
          <w:lang w:val="en-GB"/>
        </w:rPr>
        <w:t xml:space="preserve"> of </w:t>
      </w:r>
      <w:r w:rsidR="008C2E1C">
        <w:rPr>
          <w:b w:val="0"/>
          <w:sz w:val="19"/>
          <w:szCs w:val="19"/>
          <w:lang w:val="en-GB"/>
        </w:rPr>
        <w:t>8.6</w:t>
      </w:r>
      <w:r w:rsidR="000C2AC9" w:rsidRPr="00DC024A">
        <w:rPr>
          <w:b w:val="0"/>
          <w:sz w:val="19"/>
          <w:szCs w:val="19"/>
          <w:lang w:val="en-GB"/>
        </w:rPr>
        <w:t>%)</w:t>
      </w:r>
      <w:r w:rsidR="00393C51" w:rsidRPr="00393C5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607D7C">
        <w:rPr>
          <w:b w:val="0"/>
          <w:sz w:val="19"/>
          <w:szCs w:val="19"/>
          <w:shd w:val="clear" w:color="auto" w:fill="FFFFFF"/>
          <w:lang w:val="en-GB"/>
        </w:rPr>
        <w:t>8.8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>%</w:t>
      </w:r>
      <w:r w:rsidR="000C2A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C2AC9" w:rsidRPr="00DC024A">
        <w:rPr>
          <w:b w:val="0"/>
          <w:sz w:val="19"/>
          <w:szCs w:val="19"/>
          <w:lang w:val="en-GB"/>
        </w:rPr>
        <w:t>(a</w:t>
      </w:r>
      <w:r w:rsidR="00076B52">
        <w:rPr>
          <w:b w:val="0"/>
          <w:sz w:val="19"/>
          <w:szCs w:val="19"/>
          <w:lang w:val="en-US"/>
        </w:rPr>
        <w:t xml:space="preserve"> </w:t>
      </w:r>
      <w:r w:rsidR="000C2AC9">
        <w:rPr>
          <w:b w:val="0"/>
          <w:sz w:val="19"/>
          <w:szCs w:val="19"/>
          <w:lang w:val="en-US"/>
        </w:rPr>
        <w:t>de</w:t>
      </w:r>
      <w:r w:rsidR="000C2AC9" w:rsidRPr="00DC024A">
        <w:rPr>
          <w:b w:val="0"/>
          <w:sz w:val="19"/>
          <w:szCs w:val="19"/>
          <w:lang w:val="en-US"/>
        </w:rPr>
        <w:t>crease</w:t>
      </w:r>
      <w:r w:rsidR="000C2AC9" w:rsidRPr="00DC024A">
        <w:rPr>
          <w:b w:val="0"/>
          <w:sz w:val="19"/>
          <w:szCs w:val="19"/>
          <w:lang w:val="en-GB"/>
        </w:rPr>
        <w:t xml:space="preserve"> of </w:t>
      </w:r>
      <w:r w:rsidR="008C2E1C">
        <w:rPr>
          <w:b w:val="0"/>
          <w:sz w:val="19"/>
          <w:szCs w:val="19"/>
          <w:lang w:val="en-GB"/>
        </w:rPr>
        <w:t>9.9</w:t>
      </w:r>
      <w:r w:rsidR="000C2AC9" w:rsidRPr="00DC024A">
        <w:rPr>
          <w:b w:val="0"/>
          <w:sz w:val="19"/>
          <w:szCs w:val="19"/>
          <w:lang w:val="en-GB"/>
        </w:rPr>
        <w:t>%)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0262C585" w14:textId="224035DE" w:rsidR="000C2AC9" w:rsidRDefault="000C2AC9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51ED1438" w14:textId="77777777" w:rsidR="00C6603C" w:rsidRPr="000C2AC9" w:rsidRDefault="00C6603C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564E5E8C" w14:textId="37119EE3" w:rsidR="000C2AC9" w:rsidRDefault="00BB33B9" w:rsidP="00BB33B9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08C039FB" w14:textId="6C4C9841" w:rsidR="00BB33B9" w:rsidRPr="00F923FB" w:rsidRDefault="00BB33B9" w:rsidP="00BB33B9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Pr="00F923FB">
        <w:rPr>
          <w:sz w:val="18"/>
          <w:szCs w:val="18"/>
          <w:lang w:val="en-GB"/>
        </w:rPr>
        <w:t>sold production of industry</w:t>
      </w:r>
      <w:r w:rsidRPr="00F923FB">
        <w:rPr>
          <w:sz w:val="18"/>
          <w:szCs w:val="18"/>
          <w:shd w:val="clear" w:color="auto" w:fill="FFFFFF"/>
          <w:lang w:val="en-GB"/>
        </w:rPr>
        <w:t xml:space="preserve"> (constant prices)</w:t>
      </w:r>
    </w:p>
    <w:tbl>
      <w:tblPr>
        <w:tblStyle w:val="Siatkatabelijasna1"/>
        <w:tblpPr w:leftFromText="141" w:rightFromText="141" w:vertAnchor="text" w:horzAnchor="margin" w:tblpY="40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89"/>
        <w:gridCol w:w="1339"/>
        <w:gridCol w:w="1275"/>
        <w:gridCol w:w="1560"/>
        <w:gridCol w:w="1417"/>
      </w:tblGrid>
      <w:tr w:rsidR="00BB33B9" w:rsidRPr="00C52703" w14:paraId="6891EC02" w14:textId="77777777" w:rsidTr="004A6C40">
        <w:trPr>
          <w:trHeight w:val="113"/>
        </w:trPr>
        <w:tc>
          <w:tcPr>
            <w:tcW w:w="2489" w:type="dxa"/>
            <w:vMerge w:val="restart"/>
            <w:vAlign w:val="center"/>
          </w:tcPr>
          <w:p w14:paraId="517CF865" w14:textId="77777777" w:rsidR="00BB33B9" w:rsidRPr="00C52703" w:rsidRDefault="00BB33B9" w:rsidP="00554A1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174" w:type="dxa"/>
            <w:gridSpan w:val="3"/>
            <w:vAlign w:val="center"/>
          </w:tcPr>
          <w:p w14:paraId="42522CF5" w14:textId="5B1B1C98" w:rsidR="00BB33B9" w:rsidRPr="00C52703" w:rsidRDefault="00B9273E" w:rsidP="00554A1B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0</w:t>
            </w:r>
            <w:r w:rsidR="008C2E1C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5</w:t>
            </w:r>
            <w:r w:rsidR="001F312B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2C5475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2021</w:t>
            </w:r>
          </w:p>
        </w:tc>
        <w:tc>
          <w:tcPr>
            <w:tcW w:w="1417" w:type="dxa"/>
          </w:tcPr>
          <w:p w14:paraId="65938CEA" w14:textId="2FF2B499" w:rsidR="00BB33B9" w:rsidRPr="00C52703" w:rsidRDefault="002C5475" w:rsidP="00AD6B92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01</w:t>
            </w:r>
            <w:r w:rsidR="0019680B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-</w:t>
            </w:r>
            <w:r w:rsidR="00B9273E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0</w:t>
            </w:r>
            <w:r w:rsidR="008C2E1C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5</w:t>
            </w:r>
            <w:r w:rsidR="00AD6B92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2021</w:t>
            </w:r>
            <w:r w:rsidR="001879A1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a</w:t>
            </w:r>
            <w:r w:rsidR="00BB33B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)</w:t>
            </w:r>
          </w:p>
        </w:tc>
      </w:tr>
      <w:tr w:rsidR="00BB33B9" w:rsidRPr="00C52703" w14:paraId="06217E12" w14:textId="77777777" w:rsidTr="004A6C40">
        <w:trPr>
          <w:trHeight w:val="754"/>
        </w:trPr>
        <w:tc>
          <w:tcPr>
            <w:tcW w:w="2489" w:type="dxa"/>
            <w:vMerge/>
            <w:tcBorders>
              <w:bottom w:val="single" w:sz="12" w:space="0" w:color="212492"/>
            </w:tcBorders>
            <w:vAlign w:val="center"/>
          </w:tcPr>
          <w:p w14:paraId="4118045C" w14:textId="77777777" w:rsidR="00BB33B9" w:rsidRPr="00C52703" w:rsidRDefault="00BB33B9" w:rsidP="00554A1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339" w:type="dxa"/>
            <w:tcBorders>
              <w:bottom w:val="single" w:sz="12" w:space="0" w:color="212492"/>
            </w:tcBorders>
            <w:vAlign w:val="center"/>
          </w:tcPr>
          <w:p w14:paraId="516C0C05" w14:textId="30275C36" w:rsidR="00BB33B9" w:rsidRPr="00C52703" w:rsidRDefault="00B9273E" w:rsidP="005E5DF4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0</w:t>
            </w:r>
            <w:r w:rsidR="008C2E1C">
              <w:rPr>
                <w:color w:val="000000" w:themeColor="text1"/>
                <w:sz w:val="16"/>
                <w:szCs w:val="16"/>
                <w:lang w:val="en-GB"/>
              </w:rPr>
              <w:t>4</w:t>
            </w:r>
            <w:r w:rsidR="006C1B1E">
              <w:rPr>
                <w:color w:val="000000" w:themeColor="text1"/>
                <w:sz w:val="16"/>
                <w:szCs w:val="16"/>
                <w:lang w:val="en-GB"/>
              </w:rPr>
              <w:t xml:space="preserve"> 202</w:t>
            </w:r>
            <w:r w:rsidR="00F33263">
              <w:rPr>
                <w:color w:val="000000" w:themeColor="text1"/>
                <w:sz w:val="16"/>
                <w:szCs w:val="16"/>
                <w:lang w:val="en-GB"/>
              </w:rPr>
              <w:t>1=</w:t>
            </w:r>
            <w:r w:rsidR="00BB33B9" w:rsidRPr="00C52703">
              <w:rPr>
                <w:color w:val="000000" w:themeColor="text1"/>
                <w:sz w:val="16"/>
                <w:szCs w:val="16"/>
                <w:lang w:val="en-GB"/>
              </w:rPr>
              <w:t>100</w:t>
            </w:r>
          </w:p>
        </w:tc>
        <w:tc>
          <w:tcPr>
            <w:tcW w:w="1275" w:type="dxa"/>
            <w:tcBorders>
              <w:bottom w:val="single" w:sz="12" w:space="0" w:color="212492"/>
            </w:tcBorders>
            <w:vAlign w:val="center"/>
          </w:tcPr>
          <w:p w14:paraId="39160A69" w14:textId="0C48263A" w:rsidR="00BB33B9" w:rsidRPr="00C52703" w:rsidRDefault="00B9273E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0</w:t>
            </w:r>
            <w:r w:rsidR="008C2E1C">
              <w:rPr>
                <w:color w:val="000000" w:themeColor="text1"/>
                <w:sz w:val="16"/>
                <w:szCs w:val="16"/>
                <w:lang w:val="en-GB"/>
              </w:rPr>
              <w:t>5</w:t>
            </w:r>
            <w:r w:rsidR="002C5475">
              <w:rPr>
                <w:color w:val="000000" w:themeColor="text1"/>
                <w:sz w:val="16"/>
                <w:szCs w:val="16"/>
                <w:lang w:val="en-GB"/>
              </w:rPr>
              <w:t xml:space="preserve"> 202</w:t>
            </w:r>
            <w:r w:rsidR="00F33263">
              <w:rPr>
                <w:color w:val="000000" w:themeColor="text1"/>
                <w:sz w:val="16"/>
                <w:szCs w:val="16"/>
                <w:lang w:val="en-GB"/>
              </w:rPr>
              <w:t>0</w:t>
            </w:r>
            <w:r w:rsidR="00BB33B9" w:rsidRPr="00C43A96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560" w:type="dxa"/>
            <w:tcBorders>
              <w:bottom w:val="single" w:sz="12" w:space="0" w:color="212492"/>
            </w:tcBorders>
            <w:vAlign w:val="center"/>
          </w:tcPr>
          <w:p w14:paraId="1D9A3BE2" w14:textId="77777777" w:rsidR="00BB33B9" w:rsidRPr="00C52703" w:rsidRDefault="00BB33B9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monthly ave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r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age</w:t>
            </w:r>
          </w:p>
          <w:p w14:paraId="40F8097E" w14:textId="77777777" w:rsidR="00BB33B9" w:rsidRPr="00C52703" w:rsidRDefault="00BB33B9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of 2015=100</w:t>
            </w: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14:paraId="0691100D" w14:textId="65509478" w:rsidR="00BB33B9" w:rsidRPr="00C43A96" w:rsidRDefault="00B9273E" w:rsidP="00AD6B92">
            <w:pPr>
              <w:spacing w:before="60" w:after="6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01-0</w:t>
            </w:r>
            <w:r w:rsidR="008C2E1C">
              <w:rPr>
                <w:sz w:val="16"/>
                <w:szCs w:val="16"/>
                <w:lang w:val="en-GB"/>
              </w:rPr>
              <w:t>5</w:t>
            </w:r>
            <w:r w:rsidR="004A6C40">
              <w:rPr>
                <w:sz w:val="16"/>
                <w:szCs w:val="16"/>
                <w:lang w:val="en-GB"/>
              </w:rPr>
              <w:t xml:space="preserve"> 2020</w:t>
            </w:r>
            <w:r w:rsidR="004A6C40" w:rsidRPr="00C43A96">
              <w:rPr>
                <w:sz w:val="16"/>
                <w:szCs w:val="16"/>
                <w:lang w:val="en-GB"/>
              </w:rPr>
              <w:t>=100</w:t>
            </w:r>
          </w:p>
        </w:tc>
      </w:tr>
      <w:tr w:rsidR="0019680B" w:rsidRPr="00C52703" w14:paraId="7D22D384" w14:textId="77777777" w:rsidTr="004A6C40">
        <w:trPr>
          <w:trHeight w:val="57"/>
        </w:trPr>
        <w:tc>
          <w:tcPr>
            <w:tcW w:w="2489" w:type="dxa"/>
            <w:tcBorders>
              <w:top w:val="single" w:sz="12" w:space="0" w:color="212492"/>
            </w:tcBorders>
            <w:vAlign w:val="center"/>
          </w:tcPr>
          <w:p w14:paraId="4DEE269F" w14:textId="77777777" w:rsidR="0019680B" w:rsidRPr="00C52703" w:rsidRDefault="0019680B" w:rsidP="0019680B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1339" w:type="dxa"/>
            <w:tcBorders>
              <w:top w:val="single" w:sz="12" w:space="0" w:color="212492"/>
            </w:tcBorders>
            <w:vAlign w:val="center"/>
          </w:tcPr>
          <w:p w14:paraId="444C7070" w14:textId="018988B2" w:rsidR="0019680B" w:rsidRPr="009D4C87" w:rsidRDefault="008C2E1C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99.2</w:t>
            </w:r>
          </w:p>
        </w:tc>
        <w:tc>
          <w:tcPr>
            <w:tcW w:w="1275" w:type="dxa"/>
            <w:tcBorders>
              <w:top w:val="single" w:sz="12" w:space="0" w:color="212492"/>
            </w:tcBorders>
            <w:vAlign w:val="center"/>
          </w:tcPr>
          <w:p w14:paraId="438247E3" w14:textId="72C46C47" w:rsidR="0019680B" w:rsidRPr="009D4C87" w:rsidRDefault="008C2E1C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129.8</w:t>
            </w:r>
          </w:p>
        </w:tc>
        <w:tc>
          <w:tcPr>
            <w:tcW w:w="1560" w:type="dxa"/>
            <w:tcBorders>
              <w:top w:val="single" w:sz="12" w:space="0" w:color="212492"/>
            </w:tcBorders>
            <w:vAlign w:val="center"/>
          </w:tcPr>
          <w:p w14:paraId="780CA913" w14:textId="6ED565AB" w:rsidR="0019680B" w:rsidRPr="00DD58F4" w:rsidRDefault="008C2E1C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132.6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14:paraId="18BF4766" w14:textId="0F3BA11B" w:rsidR="0019680B" w:rsidRPr="009D4C87" w:rsidRDefault="008C2E1C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118.1</w:t>
            </w:r>
          </w:p>
        </w:tc>
      </w:tr>
      <w:tr w:rsidR="0019680B" w:rsidRPr="001D6A44" w14:paraId="2A38CBFB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3C196963" w14:textId="77777777" w:rsidR="0019680B" w:rsidRPr="00C52703" w:rsidRDefault="0019680B" w:rsidP="0019680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1339" w:type="dxa"/>
            <w:vAlign w:val="center"/>
          </w:tcPr>
          <w:p w14:paraId="35ECCD50" w14:textId="4938D274" w:rsidR="0019680B" w:rsidRPr="009D4C87" w:rsidRDefault="008C2E1C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101.5</w:t>
            </w:r>
          </w:p>
        </w:tc>
        <w:tc>
          <w:tcPr>
            <w:tcW w:w="1275" w:type="dxa"/>
            <w:vAlign w:val="center"/>
          </w:tcPr>
          <w:p w14:paraId="588D4170" w14:textId="4C25E40D" w:rsidR="0019680B" w:rsidRPr="009D4C87" w:rsidRDefault="008C2E1C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105.5</w:t>
            </w:r>
          </w:p>
        </w:tc>
        <w:tc>
          <w:tcPr>
            <w:tcW w:w="1560" w:type="dxa"/>
            <w:vAlign w:val="center"/>
          </w:tcPr>
          <w:p w14:paraId="3E145B8D" w14:textId="64B32DCC" w:rsidR="0019680B" w:rsidRPr="00DD58F4" w:rsidRDefault="008C2E1C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83.8</w:t>
            </w:r>
          </w:p>
        </w:tc>
        <w:tc>
          <w:tcPr>
            <w:tcW w:w="1417" w:type="dxa"/>
            <w:vAlign w:val="center"/>
          </w:tcPr>
          <w:p w14:paraId="2E08FF59" w14:textId="4EBBDB7F" w:rsidR="0019680B" w:rsidRPr="009D4C87" w:rsidRDefault="008C2E1C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99.7</w:t>
            </w:r>
          </w:p>
        </w:tc>
      </w:tr>
      <w:tr w:rsidR="0019680B" w:rsidRPr="001D6A44" w14:paraId="150A3897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5FF61D12" w14:textId="77777777" w:rsidR="0019680B" w:rsidRPr="00C52703" w:rsidRDefault="0019680B" w:rsidP="0019680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1339" w:type="dxa"/>
            <w:vAlign w:val="center"/>
          </w:tcPr>
          <w:p w14:paraId="7FC620EA" w14:textId="0BBE70B7" w:rsidR="0019680B" w:rsidRPr="009D4C87" w:rsidRDefault="008C2E1C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99.6</w:t>
            </w:r>
          </w:p>
        </w:tc>
        <w:tc>
          <w:tcPr>
            <w:tcW w:w="1275" w:type="dxa"/>
            <w:vAlign w:val="center"/>
          </w:tcPr>
          <w:p w14:paraId="6EE9A7FE" w14:textId="421AEE97" w:rsidR="0019680B" w:rsidRPr="009D4C87" w:rsidRDefault="008C2E1C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132.4</w:t>
            </w:r>
          </w:p>
        </w:tc>
        <w:tc>
          <w:tcPr>
            <w:tcW w:w="1560" w:type="dxa"/>
            <w:vAlign w:val="center"/>
          </w:tcPr>
          <w:p w14:paraId="14DEA633" w14:textId="496365AC" w:rsidR="0019680B" w:rsidRPr="00DD58F4" w:rsidRDefault="008C2E1C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136.7</w:t>
            </w:r>
          </w:p>
        </w:tc>
        <w:tc>
          <w:tcPr>
            <w:tcW w:w="1417" w:type="dxa"/>
            <w:vAlign w:val="center"/>
          </w:tcPr>
          <w:p w14:paraId="3C9AADCC" w14:textId="6B03720F" w:rsidR="0019680B" w:rsidRPr="009D4C87" w:rsidRDefault="008C2E1C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119.2</w:t>
            </w:r>
          </w:p>
        </w:tc>
      </w:tr>
      <w:tr w:rsidR="0019680B" w:rsidRPr="00D22ECE" w14:paraId="42745E07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4429A54A" w14:textId="77777777" w:rsidR="0019680B" w:rsidRPr="00C52703" w:rsidRDefault="0019680B" w:rsidP="0019680B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</w:t>
            </w:r>
          </w:p>
          <w:p w14:paraId="0CB6D6B6" w14:textId="77777777" w:rsidR="0019680B" w:rsidRPr="00C52703" w:rsidRDefault="0019680B" w:rsidP="0019680B">
            <w:pPr>
              <w:tabs>
                <w:tab w:val="right" w:leader="dot" w:pos="4156"/>
              </w:tabs>
              <w:spacing w:before="60" w:after="6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conditioning supply</w:t>
            </w:r>
          </w:p>
        </w:tc>
        <w:tc>
          <w:tcPr>
            <w:tcW w:w="1339" w:type="dxa"/>
            <w:vAlign w:val="center"/>
          </w:tcPr>
          <w:p w14:paraId="5D57BAE3" w14:textId="15F1493B" w:rsidR="0019680B" w:rsidRPr="009D4C87" w:rsidRDefault="008C2E1C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93.5</w:t>
            </w:r>
          </w:p>
        </w:tc>
        <w:tc>
          <w:tcPr>
            <w:tcW w:w="1275" w:type="dxa"/>
            <w:vAlign w:val="center"/>
          </w:tcPr>
          <w:p w14:paraId="09A98E34" w14:textId="42BAC8ED" w:rsidR="0019680B" w:rsidRPr="009D4C87" w:rsidRDefault="008C2E1C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114.0</w:t>
            </w:r>
          </w:p>
        </w:tc>
        <w:tc>
          <w:tcPr>
            <w:tcW w:w="1560" w:type="dxa"/>
            <w:vAlign w:val="center"/>
          </w:tcPr>
          <w:p w14:paraId="48C11E68" w14:textId="666F1875" w:rsidR="0019680B" w:rsidRPr="00DD58F4" w:rsidRDefault="008C2E1C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109.4</w:t>
            </w:r>
          </w:p>
        </w:tc>
        <w:tc>
          <w:tcPr>
            <w:tcW w:w="1417" w:type="dxa"/>
            <w:vAlign w:val="center"/>
          </w:tcPr>
          <w:p w14:paraId="33B85A7E" w14:textId="0A83E743" w:rsidR="0019680B" w:rsidRPr="009D4C87" w:rsidRDefault="008C2E1C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114.1</w:t>
            </w:r>
          </w:p>
        </w:tc>
      </w:tr>
      <w:tr w:rsidR="0019680B" w:rsidRPr="00A20FD5" w14:paraId="48DD5616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05480C9C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</w:p>
          <w:p w14:paraId="38187CE3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emediation</w:t>
            </w:r>
          </w:p>
          <w:p w14:paraId="1E7BDD7E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activities </w:t>
            </w:r>
          </w:p>
        </w:tc>
        <w:tc>
          <w:tcPr>
            <w:tcW w:w="1339" w:type="dxa"/>
            <w:vAlign w:val="center"/>
          </w:tcPr>
          <w:p w14:paraId="10ECFA20" w14:textId="7C1779A8" w:rsidR="0019680B" w:rsidRPr="009D4C87" w:rsidRDefault="008C2E1C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100.0</w:t>
            </w:r>
          </w:p>
        </w:tc>
        <w:tc>
          <w:tcPr>
            <w:tcW w:w="1275" w:type="dxa"/>
            <w:vAlign w:val="center"/>
          </w:tcPr>
          <w:p w14:paraId="6E445ECF" w14:textId="32BF75D6" w:rsidR="0019680B" w:rsidRPr="009D4C87" w:rsidRDefault="008C2E1C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117.4</w:t>
            </w:r>
          </w:p>
        </w:tc>
        <w:tc>
          <w:tcPr>
            <w:tcW w:w="1560" w:type="dxa"/>
            <w:vAlign w:val="center"/>
          </w:tcPr>
          <w:p w14:paraId="4FF62C73" w14:textId="66A05233" w:rsidR="0019680B" w:rsidRPr="00DD58F4" w:rsidRDefault="008C2E1C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141.9</w:t>
            </w:r>
          </w:p>
        </w:tc>
        <w:tc>
          <w:tcPr>
            <w:tcW w:w="1417" w:type="dxa"/>
            <w:vAlign w:val="center"/>
          </w:tcPr>
          <w:p w14:paraId="32141E5B" w14:textId="663214BE" w:rsidR="0019680B" w:rsidRPr="009D4C87" w:rsidRDefault="008C2E1C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112.4</w:t>
            </w:r>
          </w:p>
        </w:tc>
      </w:tr>
    </w:tbl>
    <w:p w14:paraId="6E3C5957" w14:textId="5BEFCB0B" w:rsidR="00BB33B9" w:rsidRPr="00190567" w:rsidRDefault="00BB33B9" w:rsidP="00BB33B9">
      <w:pPr>
        <w:pStyle w:val="LID"/>
        <w:spacing w:before="0" w:after="0"/>
        <w:rPr>
          <w:sz w:val="14"/>
          <w:lang w:val="en-GB"/>
        </w:rPr>
      </w:pPr>
    </w:p>
    <w:p w14:paraId="1C3C4629" w14:textId="07AD01CB" w:rsidR="00BB33B9" w:rsidRDefault="001879A1" w:rsidP="00BB33B9">
      <w:pPr>
        <w:spacing w:before="60" w:after="0"/>
        <w:rPr>
          <w:sz w:val="16"/>
          <w:szCs w:val="16"/>
          <w:lang w:val="en-GB"/>
        </w:rPr>
      </w:pPr>
      <w:r>
        <w:rPr>
          <w:sz w:val="16"/>
          <w:szCs w:val="16"/>
          <w:vertAlign w:val="superscript"/>
          <w:lang w:val="en-GB"/>
        </w:rPr>
        <w:t>a</w:t>
      </w:r>
      <w:r w:rsidR="00BB33B9" w:rsidRPr="006107B6">
        <w:rPr>
          <w:sz w:val="16"/>
          <w:szCs w:val="16"/>
          <w:vertAlign w:val="superscript"/>
          <w:lang w:val="en-GB"/>
        </w:rPr>
        <w:t>)</w:t>
      </w:r>
      <w:r w:rsidR="00BB33B9">
        <w:rPr>
          <w:sz w:val="16"/>
          <w:szCs w:val="16"/>
          <w:lang w:val="en-GB"/>
        </w:rPr>
        <w:t xml:space="preserve"> </w:t>
      </w:r>
      <w:r w:rsidR="00BB33B9" w:rsidRPr="006107B6">
        <w:rPr>
          <w:sz w:val="16"/>
          <w:szCs w:val="16"/>
          <w:lang w:val="en-GB"/>
        </w:rPr>
        <w:t>Data including final information on production and prices in</w:t>
      </w:r>
      <w:r w:rsidR="008C421A">
        <w:rPr>
          <w:sz w:val="16"/>
          <w:szCs w:val="16"/>
          <w:lang w:val="en-GB"/>
        </w:rPr>
        <w:t xml:space="preserve"> </w:t>
      </w:r>
      <w:r w:rsidR="008C2E1C">
        <w:rPr>
          <w:sz w:val="16"/>
          <w:szCs w:val="16"/>
          <w:lang w:val="en-GB"/>
        </w:rPr>
        <w:t>April</w:t>
      </w:r>
      <w:r w:rsidR="00B9273E">
        <w:rPr>
          <w:sz w:val="16"/>
          <w:szCs w:val="16"/>
          <w:lang w:val="en-GB"/>
        </w:rPr>
        <w:t xml:space="preserve"> and </w:t>
      </w:r>
      <w:r w:rsidR="00B6381E">
        <w:rPr>
          <w:sz w:val="16"/>
          <w:szCs w:val="16"/>
          <w:lang w:val="en-GB"/>
        </w:rPr>
        <w:t xml:space="preserve">reported data – in </w:t>
      </w:r>
      <w:r w:rsidR="008C2E1C">
        <w:rPr>
          <w:sz w:val="16"/>
          <w:szCs w:val="16"/>
          <w:lang w:val="en-GB"/>
        </w:rPr>
        <w:t>May</w:t>
      </w:r>
      <w:r w:rsidR="00BB33B9">
        <w:rPr>
          <w:sz w:val="16"/>
          <w:szCs w:val="16"/>
          <w:lang w:val="en-GB"/>
        </w:rPr>
        <w:t>.</w:t>
      </w:r>
    </w:p>
    <w:p w14:paraId="52E735D6" w14:textId="5447A84B" w:rsidR="003627E7" w:rsidRPr="007B4306" w:rsidRDefault="003627E7" w:rsidP="003627E7">
      <w:pPr>
        <w:spacing w:before="0" w:after="0" w:line="360" w:lineRule="auto"/>
        <w:rPr>
          <w:sz w:val="16"/>
          <w:szCs w:val="16"/>
          <w:shd w:val="clear" w:color="auto" w:fill="FFFFFF"/>
          <w:lang w:val="en-US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70602DDA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124460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1CAA34A3" w:rsidR="00BB33B9" w:rsidRPr="00BB33B9" w:rsidRDefault="00BB33B9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 w:rsidR="00361C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dustry divisions, which saw a</w:t>
                            </w:r>
                            <w:r w:rsidR="00DA7D4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</w:t>
                            </w:r>
                            <w:r w:rsidR="00361C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 w:rsidR="008C42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8C2E1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May </w:t>
                            </w:r>
                            <w:r w:rsidR="004E532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2020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8C2E1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93.7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3627E7" w:rsidRPr="007B4306" w:rsidRDefault="003627E7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474B1A" id="Pole tekstowe 25" o:spid="_x0000_s1029" type="#_x0000_t202" style="position:absolute;margin-left:11pt;margin-top:9.8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" filled="f" stroked="f">
                <v:textbox>
                  <w:txbxContent>
                    <w:p w14:paraId="5F2B646E" w14:textId="1CAA34A3" w:rsidR="00BB33B9" w:rsidRPr="00BB33B9" w:rsidRDefault="00BB33B9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 w:rsidR="00361C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dustry divisions, which saw a</w:t>
                      </w:r>
                      <w:r w:rsidR="00DA7D4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</w:t>
                      </w:r>
                      <w:r w:rsidR="00361C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 w:rsidR="008C42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8C2E1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May </w:t>
                      </w:r>
                      <w:r w:rsidR="004E532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2020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8C2E1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93.7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3627E7" w:rsidRPr="007B4306" w:rsidRDefault="003627E7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7B4306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</w:p>
    <w:p w14:paraId="35D884B5" w14:textId="057DA429" w:rsidR="00217031" w:rsidRDefault="00BB33B9" w:rsidP="00BB33B9">
      <w:pPr>
        <w:spacing w:before="0" w:after="0"/>
        <w:rPr>
          <w:noProof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 xml:space="preserve">in </w:t>
      </w:r>
      <w:r w:rsidR="008C2E1C">
        <w:rPr>
          <w:noProof/>
          <w:spacing w:val="-2"/>
          <w:szCs w:val="19"/>
          <w:lang w:val="en-GB"/>
        </w:rPr>
        <w:t>May</w:t>
      </w:r>
      <w:r w:rsidR="004E532C">
        <w:rPr>
          <w:noProof/>
          <w:spacing w:val="-2"/>
          <w:szCs w:val="19"/>
          <w:lang w:val="en-GB"/>
        </w:rPr>
        <w:t xml:space="preserve"> 2021</w:t>
      </w:r>
      <w:r>
        <w:rPr>
          <w:noProof/>
          <w:spacing w:val="-2"/>
          <w:szCs w:val="19"/>
          <w:lang w:val="en-GB"/>
        </w:rPr>
        <w:t>,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8C2E1C">
        <w:rPr>
          <w:noProof/>
          <w:spacing w:val="-2"/>
          <w:szCs w:val="19"/>
          <w:lang w:val="en-GB"/>
        </w:rPr>
        <w:t>May</w:t>
      </w:r>
      <w:r w:rsidR="005E5DF4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2020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DA7D4B">
        <w:rPr>
          <w:noProof/>
          <w:spacing w:val="-2"/>
          <w:szCs w:val="19"/>
          <w:lang w:val="en-GB"/>
        </w:rPr>
        <w:t>n</w:t>
      </w:r>
      <w:r w:rsidRPr="00C52703">
        <w:rPr>
          <w:noProof/>
          <w:spacing w:val="-2"/>
          <w:szCs w:val="19"/>
          <w:lang w:val="en-GB"/>
        </w:rPr>
        <w:t xml:space="preserve"> </w:t>
      </w:r>
      <w:r w:rsidR="00850CA0">
        <w:rPr>
          <w:noProof/>
          <w:spacing w:val="-2"/>
          <w:szCs w:val="19"/>
          <w:lang w:val="en-GB"/>
        </w:rPr>
        <w:t>in</w:t>
      </w:r>
      <w:r w:rsidRPr="00C52703">
        <w:rPr>
          <w:noProof/>
          <w:spacing w:val="-2"/>
          <w:szCs w:val="19"/>
          <w:lang w:val="en-GB"/>
        </w:rPr>
        <w:t>crease in 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in </w:t>
      </w:r>
      <w:r w:rsidR="00217031">
        <w:rPr>
          <w:noProof/>
          <w:spacing w:val="-2"/>
          <w:szCs w:val="19"/>
          <w:lang w:val="en-GB"/>
        </w:rPr>
        <w:t>3</w:t>
      </w:r>
      <w:r w:rsidR="008C2E1C">
        <w:rPr>
          <w:noProof/>
          <w:spacing w:val="-2"/>
          <w:szCs w:val="19"/>
          <w:lang w:val="en-GB"/>
        </w:rPr>
        <w:t>1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 among others,</w:t>
      </w:r>
      <w:r w:rsidRPr="00D22ECE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in</w:t>
      </w:r>
      <w:r w:rsidRPr="009B74C8">
        <w:rPr>
          <w:noProof/>
          <w:spacing w:val="-2"/>
          <w:szCs w:val="19"/>
          <w:lang w:val="en-GB"/>
        </w:rPr>
        <w:t xml:space="preserve"> </w:t>
      </w:r>
      <w:r w:rsidR="00217031">
        <w:rPr>
          <w:noProof/>
          <w:spacing w:val="-2"/>
          <w:szCs w:val="19"/>
          <w:lang w:val="en-GB"/>
        </w:rPr>
        <w:t>m</w:t>
      </w:r>
      <w:r w:rsidR="00217031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217031">
        <w:rPr>
          <w:noProof/>
          <w:spacing w:val="-2"/>
          <w:szCs w:val="19"/>
          <w:lang w:val="en-GB"/>
        </w:rPr>
        <w:t xml:space="preserve"> – by </w:t>
      </w:r>
      <w:r w:rsidR="008C2E1C">
        <w:rPr>
          <w:noProof/>
          <w:spacing w:val="-2"/>
          <w:szCs w:val="19"/>
          <w:lang w:val="en-GB"/>
        </w:rPr>
        <w:t>103.9</w:t>
      </w:r>
      <w:r w:rsidR="00217031">
        <w:rPr>
          <w:noProof/>
          <w:spacing w:val="-2"/>
          <w:szCs w:val="19"/>
          <w:lang w:val="en-GB"/>
        </w:rPr>
        <w:t xml:space="preserve">% </w:t>
      </w:r>
      <w:r w:rsidR="00217031" w:rsidRPr="00217031">
        <w:rPr>
          <w:szCs w:val="19"/>
          <w:lang w:val="en-GB"/>
        </w:rPr>
        <w:t>(a</w:t>
      </w:r>
      <w:r w:rsidR="00217031" w:rsidRPr="00217031">
        <w:rPr>
          <w:szCs w:val="19"/>
          <w:lang w:val="en-US"/>
        </w:rPr>
        <w:t xml:space="preserve"> decrease</w:t>
      </w:r>
      <w:r w:rsidR="00217031" w:rsidRPr="00217031">
        <w:rPr>
          <w:szCs w:val="19"/>
          <w:lang w:val="en-GB"/>
        </w:rPr>
        <w:t xml:space="preserve"> of </w:t>
      </w:r>
      <w:r w:rsidR="008C2E1C">
        <w:rPr>
          <w:szCs w:val="19"/>
          <w:lang w:val="en-GB"/>
        </w:rPr>
        <w:t>57.8</w:t>
      </w:r>
      <w:r w:rsidR="00217031" w:rsidRPr="00217031">
        <w:rPr>
          <w:szCs w:val="19"/>
          <w:lang w:val="en-GB"/>
        </w:rPr>
        <w:t>% in the previous year)</w:t>
      </w:r>
      <w:r w:rsidR="00217031" w:rsidRPr="00217031">
        <w:rPr>
          <w:szCs w:val="19"/>
          <w:shd w:val="clear" w:color="auto" w:fill="FFFFFF"/>
          <w:lang w:val="en-GB"/>
        </w:rPr>
        <w:t>,</w:t>
      </w:r>
      <w:r w:rsidR="00217031" w:rsidRPr="00217031">
        <w:rPr>
          <w:noProof/>
          <w:spacing w:val="-2"/>
          <w:szCs w:val="19"/>
          <w:lang w:val="en-GB"/>
        </w:rPr>
        <w:t xml:space="preserve"> </w:t>
      </w:r>
      <w:r w:rsidR="008C2E1C">
        <w:rPr>
          <w:noProof/>
          <w:spacing w:val="-2"/>
          <w:szCs w:val="19"/>
          <w:lang w:val="en-GB"/>
        </w:rPr>
        <w:t xml:space="preserve">manufacture of computer, electronic and optical products – by 70.2% </w:t>
      </w:r>
      <w:r w:rsidR="008C2E1C" w:rsidRPr="00217031">
        <w:rPr>
          <w:szCs w:val="19"/>
          <w:lang w:val="en-GB"/>
        </w:rPr>
        <w:t>(a</w:t>
      </w:r>
      <w:r w:rsidR="008C2E1C" w:rsidRPr="00217031">
        <w:rPr>
          <w:szCs w:val="19"/>
          <w:lang w:val="en-US"/>
        </w:rPr>
        <w:t xml:space="preserve"> decrease</w:t>
      </w:r>
      <w:r w:rsidR="008C2E1C" w:rsidRPr="00217031">
        <w:rPr>
          <w:szCs w:val="19"/>
          <w:lang w:val="en-GB"/>
        </w:rPr>
        <w:t xml:space="preserve"> of </w:t>
      </w:r>
      <w:r w:rsidR="008C2E1C">
        <w:rPr>
          <w:szCs w:val="19"/>
          <w:lang w:val="en-GB"/>
        </w:rPr>
        <w:t>9.6</w:t>
      </w:r>
      <w:r w:rsidR="008C2E1C" w:rsidRPr="00217031">
        <w:rPr>
          <w:szCs w:val="19"/>
          <w:lang w:val="en-GB"/>
        </w:rPr>
        <w:t>%)</w:t>
      </w:r>
      <w:r w:rsidR="008C2E1C">
        <w:rPr>
          <w:noProof/>
          <w:spacing w:val="-2"/>
          <w:szCs w:val="19"/>
          <w:lang w:val="en-GB"/>
        </w:rPr>
        <w:t xml:space="preserve">, </w:t>
      </w:r>
      <w:r w:rsidR="008C2E1C" w:rsidRPr="009D61BA">
        <w:rPr>
          <w:noProof/>
          <w:szCs w:val="19"/>
          <w:lang w:val="en-GB"/>
        </w:rPr>
        <w:t xml:space="preserve">manufacture of electrical equipment – by </w:t>
      </w:r>
      <w:r w:rsidR="008C2E1C">
        <w:rPr>
          <w:noProof/>
          <w:szCs w:val="19"/>
          <w:lang w:val="en-GB"/>
        </w:rPr>
        <w:t xml:space="preserve">46.1% </w:t>
      </w:r>
      <w:r w:rsidR="008C2E1C" w:rsidRPr="00217031">
        <w:rPr>
          <w:szCs w:val="19"/>
          <w:lang w:val="en-GB"/>
        </w:rPr>
        <w:t>(a</w:t>
      </w:r>
      <w:r w:rsidR="008C2E1C">
        <w:rPr>
          <w:szCs w:val="19"/>
          <w:lang w:val="en-GB"/>
        </w:rPr>
        <w:t>n</w:t>
      </w:r>
      <w:r w:rsidR="008C2E1C" w:rsidRPr="00217031">
        <w:rPr>
          <w:szCs w:val="19"/>
          <w:lang w:val="en-US"/>
        </w:rPr>
        <w:t xml:space="preserve"> </w:t>
      </w:r>
      <w:r w:rsidR="008C2E1C">
        <w:rPr>
          <w:szCs w:val="19"/>
          <w:lang w:val="en-US"/>
        </w:rPr>
        <w:t>in</w:t>
      </w:r>
      <w:r w:rsidR="008C2E1C" w:rsidRPr="00217031">
        <w:rPr>
          <w:szCs w:val="19"/>
          <w:lang w:val="en-US"/>
        </w:rPr>
        <w:t>crease</w:t>
      </w:r>
      <w:r w:rsidR="008C2E1C" w:rsidRPr="00217031">
        <w:rPr>
          <w:szCs w:val="19"/>
          <w:lang w:val="en-GB"/>
        </w:rPr>
        <w:t xml:space="preserve"> of </w:t>
      </w:r>
      <w:r w:rsidR="008C2E1C">
        <w:rPr>
          <w:szCs w:val="19"/>
          <w:lang w:val="en-GB"/>
        </w:rPr>
        <w:t>1.1</w:t>
      </w:r>
      <w:r w:rsidR="008C2E1C" w:rsidRPr="00217031">
        <w:rPr>
          <w:szCs w:val="19"/>
          <w:lang w:val="en-GB"/>
        </w:rPr>
        <w:t>%)</w:t>
      </w:r>
      <w:r w:rsidR="008C2E1C">
        <w:rPr>
          <w:noProof/>
          <w:szCs w:val="19"/>
          <w:lang w:val="en-GB"/>
        </w:rPr>
        <w:t>,</w:t>
      </w:r>
      <w:r w:rsidR="008C2E1C" w:rsidRPr="008C421A">
        <w:rPr>
          <w:noProof/>
          <w:spacing w:val="-2"/>
          <w:szCs w:val="19"/>
          <w:lang w:val="en-GB"/>
        </w:rPr>
        <w:t xml:space="preserve"> </w:t>
      </w:r>
      <w:r w:rsidR="00217031">
        <w:rPr>
          <w:noProof/>
          <w:spacing w:val="-2"/>
          <w:szCs w:val="19"/>
          <w:lang w:val="en-GB"/>
        </w:rPr>
        <w:t>m</w:t>
      </w:r>
      <w:r w:rsidR="00217031" w:rsidRPr="00337DDB">
        <w:rPr>
          <w:noProof/>
          <w:spacing w:val="-2"/>
          <w:szCs w:val="19"/>
          <w:lang w:val="en-GB"/>
        </w:rPr>
        <w:t>anufacture of furniture</w:t>
      </w:r>
      <w:r w:rsidR="00217031">
        <w:rPr>
          <w:noProof/>
          <w:spacing w:val="-2"/>
          <w:szCs w:val="19"/>
          <w:lang w:val="en-GB"/>
        </w:rPr>
        <w:t xml:space="preserve"> – by </w:t>
      </w:r>
      <w:r w:rsidR="008C2E1C">
        <w:rPr>
          <w:noProof/>
          <w:spacing w:val="-2"/>
          <w:szCs w:val="19"/>
          <w:lang w:val="en-GB"/>
        </w:rPr>
        <w:t>41.8</w:t>
      </w:r>
      <w:r w:rsidR="00217031">
        <w:rPr>
          <w:noProof/>
          <w:spacing w:val="-2"/>
          <w:szCs w:val="19"/>
          <w:lang w:val="en-GB"/>
        </w:rPr>
        <w:t xml:space="preserve">% </w:t>
      </w:r>
      <w:r w:rsidR="00217031" w:rsidRPr="00217031">
        <w:rPr>
          <w:szCs w:val="19"/>
          <w:lang w:val="en-GB"/>
        </w:rPr>
        <w:t>(a</w:t>
      </w:r>
      <w:r w:rsidR="00217031" w:rsidRPr="00217031">
        <w:rPr>
          <w:szCs w:val="19"/>
          <w:lang w:val="en-US"/>
        </w:rPr>
        <w:t xml:space="preserve"> decrease</w:t>
      </w:r>
      <w:r w:rsidR="00217031" w:rsidRPr="00217031">
        <w:rPr>
          <w:szCs w:val="19"/>
          <w:lang w:val="en-GB"/>
        </w:rPr>
        <w:t xml:space="preserve"> of </w:t>
      </w:r>
      <w:r w:rsidR="008C2E1C">
        <w:rPr>
          <w:szCs w:val="19"/>
          <w:lang w:val="en-GB"/>
        </w:rPr>
        <w:t>19.8</w:t>
      </w:r>
      <w:r w:rsidR="00217031" w:rsidRPr="00217031">
        <w:rPr>
          <w:szCs w:val="19"/>
          <w:lang w:val="en-GB"/>
        </w:rPr>
        <w:t>%)</w:t>
      </w:r>
      <w:r w:rsidR="00217031">
        <w:rPr>
          <w:noProof/>
          <w:spacing w:val="-2"/>
          <w:szCs w:val="19"/>
          <w:lang w:val="en-GB"/>
        </w:rPr>
        <w:t>,</w:t>
      </w:r>
      <w:r w:rsidR="00217031" w:rsidRPr="00217031">
        <w:rPr>
          <w:noProof/>
          <w:szCs w:val="19"/>
          <w:lang w:val="en-GB"/>
        </w:rPr>
        <w:t xml:space="preserve"> </w:t>
      </w:r>
      <w:r w:rsidR="004E532C" w:rsidRPr="00D22ECE">
        <w:rPr>
          <w:noProof/>
          <w:spacing w:val="-2"/>
          <w:szCs w:val="19"/>
          <w:lang w:val="en-GB"/>
        </w:rPr>
        <w:t>manufa</w:t>
      </w:r>
      <w:r w:rsidR="004E532C">
        <w:rPr>
          <w:noProof/>
          <w:spacing w:val="-2"/>
          <w:szCs w:val="19"/>
          <w:lang w:val="en-GB"/>
        </w:rPr>
        <w:t>cture of r</w:t>
      </w:r>
      <w:r w:rsidR="00F5192C">
        <w:rPr>
          <w:noProof/>
          <w:spacing w:val="-2"/>
          <w:szCs w:val="19"/>
          <w:lang w:val="en-GB"/>
        </w:rPr>
        <w:t>ubber and plastic products – by </w:t>
      </w:r>
      <w:r w:rsidR="008C2E1C">
        <w:rPr>
          <w:noProof/>
          <w:spacing w:val="-2"/>
          <w:szCs w:val="19"/>
          <w:lang w:val="en-GB"/>
        </w:rPr>
        <w:t>41.2</w:t>
      </w:r>
      <w:r w:rsidR="004E532C">
        <w:rPr>
          <w:noProof/>
          <w:spacing w:val="-2"/>
          <w:szCs w:val="19"/>
          <w:lang w:val="en-GB"/>
        </w:rPr>
        <w:t>%</w:t>
      </w:r>
      <w:r w:rsidR="00217031">
        <w:rPr>
          <w:noProof/>
          <w:spacing w:val="-2"/>
          <w:szCs w:val="19"/>
          <w:lang w:val="en-GB"/>
        </w:rPr>
        <w:t xml:space="preserve"> </w:t>
      </w:r>
      <w:r w:rsidR="00217031" w:rsidRPr="00217031">
        <w:rPr>
          <w:szCs w:val="19"/>
          <w:lang w:val="en-GB"/>
        </w:rPr>
        <w:t>(a</w:t>
      </w:r>
      <w:r w:rsidR="00217031" w:rsidRPr="00217031">
        <w:rPr>
          <w:szCs w:val="19"/>
          <w:lang w:val="en-US"/>
        </w:rPr>
        <w:t xml:space="preserve"> decrease</w:t>
      </w:r>
      <w:r w:rsidR="00217031" w:rsidRPr="00217031">
        <w:rPr>
          <w:szCs w:val="19"/>
          <w:lang w:val="en-GB"/>
        </w:rPr>
        <w:t xml:space="preserve"> of </w:t>
      </w:r>
      <w:r w:rsidR="008C2E1C">
        <w:rPr>
          <w:szCs w:val="19"/>
          <w:lang w:val="en-GB"/>
        </w:rPr>
        <w:t>16.8</w:t>
      </w:r>
      <w:r w:rsidR="00217031" w:rsidRPr="00217031">
        <w:rPr>
          <w:szCs w:val="19"/>
          <w:lang w:val="en-GB"/>
        </w:rPr>
        <w:t>%)</w:t>
      </w:r>
      <w:r w:rsidR="004E532C">
        <w:rPr>
          <w:noProof/>
          <w:spacing w:val="-2"/>
          <w:szCs w:val="19"/>
          <w:lang w:val="en-GB"/>
        </w:rPr>
        <w:t>,</w:t>
      </w:r>
      <w:r w:rsidR="008C2E1C">
        <w:rPr>
          <w:noProof/>
          <w:spacing w:val="-2"/>
          <w:szCs w:val="19"/>
          <w:lang w:val="en-GB"/>
        </w:rPr>
        <w:t xml:space="preserve"> m</w:t>
      </w:r>
      <w:r w:rsidR="008C2E1C" w:rsidRPr="008C2E1C">
        <w:rPr>
          <w:noProof/>
          <w:spacing w:val="-2"/>
          <w:szCs w:val="19"/>
          <w:lang w:val="en-GB"/>
        </w:rPr>
        <w:t>anufacture of metal products</w:t>
      </w:r>
      <w:r w:rsidR="004E532C" w:rsidRPr="004E532C">
        <w:rPr>
          <w:noProof/>
          <w:spacing w:val="-2"/>
          <w:szCs w:val="19"/>
          <w:lang w:val="en-GB"/>
        </w:rPr>
        <w:t xml:space="preserve"> </w:t>
      </w:r>
      <w:r w:rsidR="008C2E1C">
        <w:rPr>
          <w:noProof/>
          <w:szCs w:val="19"/>
          <w:lang w:val="en-GB"/>
        </w:rPr>
        <w:t xml:space="preserve">– by 37.7% </w:t>
      </w:r>
      <w:r w:rsidR="008C2E1C" w:rsidRPr="00217031">
        <w:rPr>
          <w:szCs w:val="19"/>
          <w:lang w:val="en-GB"/>
        </w:rPr>
        <w:t>(a</w:t>
      </w:r>
      <w:r w:rsidR="008C2E1C" w:rsidRPr="00217031">
        <w:rPr>
          <w:szCs w:val="19"/>
          <w:lang w:val="en-US"/>
        </w:rPr>
        <w:t xml:space="preserve"> decrease</w:t>
      </w:r>
      <w:r w:rsidR="008C2E1C" w:rsidRPr="00217031">
        <w:rPr>
          <w:szCs w:val="19"/>
          <w:lang w:val="en-GB"/>
        </w:rPr>
        <w:t xml:space="preserve"> of </w:t>
      </w:r>
      <w:r w:rsidR="008C2E1C">
        <w:rPr>
          <w:szCs w:val="19"/>
          <w:lang w:val="en-GB"/>
        </w:rPr>
        <w:t>16.5%</w:t>
      </w:r>
      <w:r w:rsidR="008C2E1C" w:rsidRPr="00217031">
        <w:rPr>
          <w:szCs w:val="19"/>
          <w:lang w:val="en-GB"/>
        </w:rPr>
        <w:t>)</w:t>
      </w:r>
      <w:r w:rsidR="008C2E1C">
        <w:rPr>
          <w:noProof/>
          <w:szCs w:val="19"/>
          <w:lang w:val="en-GB"/>
        </w:rPr>
        <w:t>,</w:t>
      </w:r>
      <w:r w:rsidR="008C2E1C" w:rsidRPr="008C2E1C">
        <w:rPr>
          <w:noProof/>
          <w:spacing w:val="-2"/>
          <w:szCs w:val="19"/>
          <w:lang w:val="en-GB"/>
        </w:rPr>
        <w:t xml:space="preserve"> </w:t>
      </w:r>
      <w:r w:rsidR="00393C51" w:rsidRPr="009D61BA">
        <w:rPr>
          <w:noProof/>
          <w:szCs w:val="19"/>
          <w:lang w:val="en-GB"/>
        </w:rPr>
        <w:t xml:space="preserve">manufacture of </w:t>
      </w:r>
      <w:r w:rsidR="00393C51" w:rsidRPr="00082002">
        <w:rPr>
          <w:noProof/>
          <w:spacing w:val="-2"/>
          <w:szCs w:val="19"/>
          <w:lang w:val="en-GB"/>
        </w:rPr>
        <w:t>machinery and equipment</w:t>
      </w:r>
      <w:r w:rsidR="00217031">
        <w:rPr>
          <w:noProof/>
          <w:spacing w:val="-2"/>
          <w:szCs w:val="19"/>
          <w:lang w:val="en-GB"/>
        </w:rPr>
        <w:t xml:space="preserve"> </w:t>
      </w:r>
      <w:r w:rsidR="00393C51">
        <w:rPr>
          <w:noProof/>
          <w:szCs w:val="19"/>
          <w:lang w:val="en-GB"/>
        </w:rPr>
        <w:t xml:space="preserve">– by </w:t>
      </w:r>
      <w:r w:rsidR="008C2E1C">
        <w:rPr>
          <w:noProof/>
          <w:szCs w:val="19"/>
          <w:lang w:val="en-GB"/>
        </w:rPr>
        <w:t>36.2</w:t>
      </w:r>
      <w:r w:rsidR="00393C51">
        <w:rPr>
          <w:noProof/>
          <w:szCs w:val="19"/>
          <w:lang w:val="en-GB"/>
        </w:rPr>
        <w:t>%</w:t>
      </w:r>
      <w:r w:rsidR="00A07329">
        <w:rPr>
          <w:noProof/>
          <w:szCs w:val="19"/>
          <w:lang w:val="en-GB"/>
        </w:rPr>
        <w:t xml:space="preserve"> </w:t>
      </w:r>
      <w:r w:rsidR="00217031" w:rsidRPr="00217031">
        <w:rPr>
          <w:szCs w:val="19"/>
          <w:lang w:val="en-GB"/>
        </w:rPr>
        <w:t>(a</w:t>
      </w:r>
      <w:r w:rsidR="00217031" w:rsidRPr="00217031">
        <w:rPr>
          <w:szCs w:val="19"/>
          <w:lang w:val="en-US"/>
        </w:rPr>
        <w:t xml:space="preserve"> decrease</w:t>
      </w:r>
      <w:r w:rsidR="00217031" w:rsidRPr="00217031">
        <w:rPr>
          <w:szCs w:val="19"/>
          <w:lang w:val="en-GB"/>
        </w:rPr>
        <w:t xml:space="preserve"> of </w:t>
      </w:r>
      <w:r w:rsidR="008C2E1C">
        <w:rPr>
          <w:szCs w:val="19"/>
          <w:lang w:val="en-GB"/>
        </w:rPr>
        <w:t>26.3</w:t>
      </w:r>
      <w:r w:rsidR="00A07329">
        <w:rPr>
          <w:szCs w:val="19"/>
          <w:lang w:val="en-GB"/>
        </w:rPr>
        <w:t>%</w:t>
      </w:r>
      <w:r w:rsidR="00217031" w:rsidRPr="00217031">
        <w:rPr>
          <w:szCs w:val="19"/>
          <w:lang w:val="en-GB"/>
        </w:rPr>
        <w:t>)</w:t>
      </w:r>
      <w:r w:rsidR="008C2E1C">
        <w:rPr>
          <w:noProof/>
          <w:szCs w:val="19"/>
          <w:lang w:val="en-GB"/>
        </w:rPr>
        <w:t>, m</w:t>
      </w:r>
      <w:r w:rsidR="008C2E1C" w:rsidRPr="008C2E1C">
        <w:rPr>
          <w:noProof/>
          <w:szCs w:val="19"/>
          <w:lang w:val="en-GB"/>
        </w:rPr>
        <w:t>anufacture of basic metals</w:t>
      </w:r>
      <w:r w:rsidR="008C2E1C" w:rsidRPr="008C2E1C">
        <w:rPr>
          <w:noProof/>
          <w:spacing w:val="-2"/>
          <w:szCs w:val="19"/>
          <w:lang w:val="en-GB"/>
        </w:rPr>
        <w:t xml:space="preserve"> </w:t>
      </w:r>
      <w:r w:rsidR="008C2E1C">
        <w:rPr>
          <w:noProof/>
          <w:spacing w:val="-2"/>
          <w:szCs w:val="19"/>
          <w:lang w:val="en-GB"/>
        </w:rPr>
        <w:t xml:space="preserve">– by 34.1% </w:t>
      </w:r>
      <w:r w:rsidR="008C2E1C" w:rsidRPr="00217031">
        <w:rPr>
          <w:szCs w:val="19"/>
          <w:lang w:val="en-GB"/>
        </w:rPr>
        <w:t>(a</w:t>
      </w:r>
      <w:r w:rsidR="008C2E1C" w:rsidRPr="00217031">
        <w:rPr>
          <w:szCs w:val="19"/>
          <w:lang w:val="en-US"/>
        </w:rPr>
        <w:t xml:space="preserve"> decrease</w:t>
      </w:r>
      <w:r w:rsidR="008C2E1C" w:rsidRPr="00217031">
        <w:rPr>
          <w:szCs w:val="19"/>
          <w:lang w:val="en-GB"/>
        </w:rPr>
        <w:t xml:space="preserve"> of </w:t>
      </w:r>
      <w:r w:rsidR="008C2E1C">
        <w:rPr>
          <w:szCs w:val="19"/>
          <w:lang w:val="en-GB"/>
        </w:rPr>
        <w:t>18.9</w:t>
      </w:r>
      <w:r w:rsidR="008C2E1C" w:rsidRPr="00217031">
        <w:rPr>
          <w:szCs w:val="19"/>
          <w:lang w:val="en-GB"/>
        </w:rPr>
        <w:t>%)</w:t>
      </w:r>
      <w:r w:rsidR="008C2E1C">
        <w:rPr>
          <w:noProof/>
          <w:spacing w:val="-2"/>
          <w:szCs w:val="19"/>
          <w:lang w:val="en-GB"/>
        </w:rPr>
        <w:t>,</w:t>
      </w:r>
      <w:r w:rsidR="008C2E1C">
        <w:rPr>
          <w:noProof/>
          <w:szCs w:val="19"/>
          <w:lang w:val="en-GB"/>
        </w:rPr>
        <w:t xml:space="preserve"> </w:t>
      </w:r>
      <w:r w:rsidR="008C2E1C">
        <w:rPr>
          <w:noProof/>
          <w:spacing w:val="-2"/>
          <w:szCs w:val="19"/>
          <w:lang w:val="en-GB"/>
        </w:rPr>
        <w:t>m</w:t>
      </w:r>
      <w:r w:rsidR="008C2E1C" w:rsidRPr="00082002">
        <w:rPr>
          <w:noProof/>
          <w:spacing w:val="-2"/>
          <w:szCs w:val="19"/>
          <w:lang w:val="en-GB"/>
        </w:rPr>
        <w:t>anufacture of products of wood, cork, straw</w:t>
      </w:r>
      <w:r w:rsidR="008C2E1C" w:rsidRPr="00082002">
        <w:t xml:space="preserve"> </w:t>
      </w:r>
      <w:r w:rsidR="008C2E1C" w:rsidRPr="00082002">
        <w:rPr>
          <w:noProof/>
          <w:spacing w:val="-2"/>
          <w:szCs w:val="19"/>
          <w:lang w:val="en-GB"/>
        </w:rPr>
        <w:t>and wicker</w:t>
      </w:r>
      <w:r w:rsidR="008C2E1C">
        <w:rPr>
          <w:noProof/>
          <w:spacing w:val="-2"/>
          <w:szCs w:val="19"/>
          <w:lang w:val="en-GB"/>
        </w:rPr>
        <w:t xml:space="preserve"> – by 30.9% </w:t>
      </w:r>
      <w:r w:rsidR="008C2E1C" w:rsidRPr="00217031">
        <w:rPr>
          <w:szCs w:val="19"/>
          <w:lang w:val="en-GB"/>
        </w:rPr>
        <w:t>(a</w:t>
      </w:r>
      <w:r w:rsidR="008C2E1C" w:rsidRPr="00217031">
        <w:rPr>
          <w:szCs w:val="19"/>
          <w:lang w:val="en-US"/>
        </w:rPr>
        <w:t xml:space="preserve"> decrease</w:t>
      </w:r>
      <w:r w:rsidR="008C2E1C" w:rsidRPr="00217031">
        <w:rPr>
          <w:szCs w:val="19"/>
          <w:lang w:val="en-GB"/>
        </w:rPr>
        <w:t xml:space="preserve"> of </w:t>
      </w:r>
      <w:r w:rsidR="008C2E1C">
        <w:rPr>
          <w:szCs w:val="19"/>
          <w:lang w:val="en-GB"/>
        </w:rPr>
        <w:t>11.8</w:t>
      </w:r>
      <w:r w:rsidR="008C2E1C" w:rsidRPr="00217031">
        <w:rPr>
          <w:szCs w:val="19"/>
          <w:lang w:val="en-GB"/>
        </w:rPr>
        <w:t>%)</w:t>
      </w:r>
      <w:r w:rsidR="008C2E1C">
        <w:rPr>
          <w:noProof/>
          <w:spacing w:val="-2"/>
          <w:szCs w:val="19"/>
          <w:lang w:val="en-GB"/>
        </w:rPr>
        <w:t>.</w:t>
      </w:r>
    </w:p>
    <w:p w14:paraId="42D3B2F4" w14:textId="1568B91D" w:rsidR="00C36999" w:rsidRDefault="00DA7D4B" w:rsidP="00C36999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082002">
        <w:rPr>
          <w:noProof/>
          <w:szCs w:val="19"/>
          <w:lang w:val="en-GB"/>
        </w:rPr>
        <w:t> de</w:t>
      </w:r>
      <w:r w:rsidR="00BB33B9" w:rsidRPr="00223D02">
        <w:rPr>
          <w:noProof/>
          <w:szCs w:val="19"/>
          <w:lang w:val="en-GB"/>
        </w:rPr>
        <w:t>crease in sold production o</w:t>
      </w:r>
      <w:r w:rsidR="00D74A5B">
        <w:rPr>
          <w:noProof/>
          <w:szCs w:val="19"/>
          <w:lang w:val="en-GB"/>
        </w:rPr>
        <w:t xml:space="preserve">f industry, as compared to </w:t>
      </w:r>
      <w:r w:rsidR="008C2E1C">
        <w:rPr>
          <w:noProof/>
          <w:szCs w:val="19"/>
          <w:lang w:val="en-GB"/>
        </w:rPr>
        <w:t xml:space="preserve">May </w:t>
      </w:r>
      <w:r w:rsidR="004E532C">
        <w:rPr>
          <w:noProof/>
          <w:szCs w:val="19"/>
          <w:lang w:val="en-GB"/>
        </w:rPr>
        <w:t>2020</w:t>
      </w:r>
      <w:r w:rsidR="00082002">
        <w:rPr>
          <w:noProof/>
          <w:szCs w:val="19"/>
          <w:lang w:val="en-GB"/>
        </w:rPr>
        <w:t xml:space="preserve">, was </w:t>
      </w:r>
      <w:r w:rsidR="000D6E9C">
        <w:rPr>
          <w:noProof/>
          <w:szCs w:val="19"/>
          <w:lang w:val="en-GB"/>
        </w:rPr>
        <w:t xml:space="preserve">recorded </w:t>
      </w:r>
      <w:r w:rsidR="00393C51">
        <w:rPr>
          <w:noProof/>
          <w:szCs w:val="19"/>
          <w:lang w:val="en-GB"/>
        </w:rPr>
        <w:t xml:space="preserve">in </w:t>
      </w:r>
      <w:r w:rsidR="00C36999">
        <w:rPr>
          <w:noProof/>
          <w:szCs w:val="19"/>
          <w:lang w:val="en-GB"/>
        </w:rPr>
        <w:t>3</w:t>
      </w:r>
      <w:r w:rsidR="00BB33B9" w:rsidRPr="00223D02">
        <w:rPr>
          <w:noProof/>
          <w:szCs w:val="19"/>
          <w:lang w:val="en-GB"/>
        </w:rPr>
        <w:t xml:space="preserve"> divisions</w:t>
      </w:r>
      <w:r w:rsidR="00C36999">
        <w:rPr>
          <w:noProof/>
          <w:szCs w:val="19"/>
          <w:lang w:val="en-GB"/>
        </w:rPr>
        <w:t>,</w:t>
      </w:r>
      <w:r w:rsidR="00A07329">
        <w:rPr>
          <w:noProof/>
          <w:szCs w:val="19"/>
          <w:lang w:val="en-GB"/>
        </w:rPr>
        <w:t xml:space="preserve"> </w:t>
      </w:r>
      <w:r w:rsidR="00C36999" w:rsidRPr="00223D02">
        <w:rPr>
          <w:noProof/>
          <w:szCs w:val="19"/>
          <w:lang w:val="en-GB"/>
        </w:rPr>
        <w:t>among other</w:t>
      </w:r>
      <w:r w:rsidR="00C36999">
        <w:rPr>
          <w:noProof/>
          <w:szCs w:val="19"/>
          <w:lang w:val="en-GB"/>
        </w:rPr>
        <w:t>s,</w:t>
      </w:r>
      <w:r w:rsidR="00C36999" w:rsidRPr="00C36999">
        <w:rPr>
          <w:noProof/>
          <w:spacing w:val="-2"/>
          <w:szCs w:val="19"/>
          <w:lang w:val="en-GB"/>
        </w:rPr>
        <w:t xml:space="preserve"> </w:t>
      </w:r>
      <w:r w:rsidR="00C36999">
        <w:rPr>
          <w:noProof/>
          <w:spacing w:val="-2"/>
          <w:szCs w:val="19"/>
          <w:lang w:val="en-GB"/>
        </w:rPr>
        <w:t>in m</w:t>
      </w:r>
      <w:r w:rsidR="00C36999" w:rsidRPr="0065283F">
        <w:rPr>
          <w:noProof/>
          <w:spacing w:val="-2"/>
          <w:szCs w:val="19"/>
          <w:lang w:val="en-GB"/>
        </w:rPr>
        <w:t xml:space="preserve">anufacture of </w:t>
      </w:r>
      <w:r w:rsidR="00C36999" w:rsidRPr="00615DB7">
        <w:rPr>
          <w:noProof/>
          <w:spacing w:val="-2"/>
          <w:szCs w:val="19"/>
          <w:lang w:val="en-GB"/>
        </w:rPr>
        <w:t xml:space="preserve">coke and refined petroleum products </w:t>
      </w:r>
      <w:r w:rsidR="00C36999">
        <w:rPr>
          <w:noProof/>
          <w:spacing w:val="-2"/>
          <w:szCs w:val="19"/>
          <w:lang w:val="en-GB"/>
        </w:rPr>
        <w:t xml:space="preserve"> – by 0.6%. </w:t>
      </w:r>
    </w:p>
    <w:p w14:paraId="7D7E1994" w14:textId="3217C5A4" w:rsidR="003627E7" w:rsidRPr="007B4306" w:rsidRDefault="003627E7" w:rsidP="00F536E7">
      <w:pPr>
        <w:suppressAutoHyphens/>
        <w:spacing w:before="0" w:after="0" w:line="160" w:lineRule="exact"/>
        <w:rPr>
          <w:szCs w:val="19"/>
          <w:shd w:val="clear" w:color="auto" w:fill="FFFFFF"/>
          <w:lang w:val="en-US"/>
        </w:rPr>
      </w:pPr>
    </w:p>
    <w:p w14:paraId="5175D03E" w14:textId="6E5D147B" w:rsidR="00680622" w:rsidRPr="00680622" w:rsidRDefault="00680622" w:rsidP="00680622">
      <w:pPr>
        <w:spacing w:before="0" w:after="0"/>
        <w:rPr>
          <w:b/>
          <w:spacing w:val="-2"/>
          <w:sz w:val="18"/>
          <w:szCs w:val="18"/>
          <w:lang w:val="en-GB"/>
        </w:rPr>
      </w:pPr>
      <w:r w:rsidRPr="00680622">
        <w:rPr>
          <w:b/>
          <w:spacing w:val="-2"/>
          <w:sz w:val="18"/>
          <w:szCs w:val="18"/>
          <w:lang w:val="en-GB"/>
        </w:rPr>
        <w:t xml:space="preserve">Chart 2. </w:t>
      </w:r>
      <w:r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34479802" w14:textId="707352BF" w:rsidR="00217031" w:rsidRDefault="00C6603C" w:rsidP="00680622">
      <w:pPr>
        <w:spacing w:before="0" w:after="0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54848" behindDoc="0" locked="0" layoutInCell="1" allowOverlap="1" wp14:anchorId="39A89928" wp14:editId="4B466248">
            <wp:simplePos x="0" y="0"/>
            <wp:positionH relativeFrom="column">
              <wp:posOffset>-27940</wp:posOffset>
            </wp:positionH>
            <wp:positionV relativeFrom="paragraph">
              <wp:posOffset>171450</wp:posOffset>
            </wp:positionV>
            <wp:extent cx="5042535" cy="3786505"/>
            <wp:effectExtent l="0" t="0" r="5715" b="4445"/>
            <wp:wrapSquare wrapText="bothSides"/>
            <wp:docPr id="5" name="Wykres 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previous year =100)</w:t>
      </w:r>
      <w:r w:rsidR="0093244E" w:rsidRPr="0093244E">
        <w:rPr>
          <w:noProof/>
          <w:lang w:eastAsia="pl-PL"/>
        </w:rPr>
        <w:t xml:space="preserve"> </w:t>
      </w:r>
    </w:p>
    <w:p w14:paraId="77ADFCD6" w14:textId="3297465E" w:rsidR="00C6603C" w:rsidRDefault="00C6603C" w:rsidP="00680622">
      <w:pPr>
        <w:spacing w:before="0" w:after="0"/>
        <w:rPr>
          <w:noProof/>
          <w:lang w:eastAsia="pl-PL"/>
        </w:rPr>
      </w:pPr>
    </w:p>
    <w:p w14:paraId="41B01E1A" w14:textId="75F236EC" w:rsidR="006C4724" w:rsidRDefault="005F27B3" w:rsidP="006C4724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t>As c</w:t>
      </w:r>
      <w:r w:rsidR="00D74A5B">
        <w:rPr>
          <w:szCs w:val="19"/>
          <w:lang w:val="en-GB"/>
        </w:rPr>
        <w:t xml:space="preserve">ompared to </w:t>
      </w:r>
      <w:r w:rsidR="003C03FE">
        <w:rPr>
          <w:szCs w:val="19"/>
          <w:lang w:val="en-GB"/>
        </w:rPr>
        <w:t>April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2021</w:t>
      </w:r>
      <w:r w:rsidR="00E90FCB">
        <w:rPr>
          <w:szCs w:val="19"/>
          <w:lang w:val="en-GB"/>
        </w:rPr>
        <w:t>, a</w:t>
      </w:r>
      <w:r w:rsidR="00923B5D">
        <w:rPr>
          <w:szCs w:val="19"/>
          <w:lang w:val="en-GB"/>
        </w:rPr>
        <w:t xml:space="preserve"> </w:t>
      </w:r>
      <w:r w:rsidR="00217031">
        <w:rPr>
          <w:szCs w:val="19"/>
          <w:lang w:val="en-GB"/>
        </w:rPr>
        <w:t>de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 xml:space="preserve">(in constant prices) in </w:t>
      </w:r>
      <w:r w:rsidR="003C03FE">
        <w:rPr>
          <w:szCs w:val="19"/>
          <w:lang w:val="en-GB"/>
        </w:rPr>
        <w:t>May</w:t>
      </w:r>
      <w:r w:rsidR="00946446" w:rsidRPr="00946446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2021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r w:rsidR="00A50D1A">
        <w:rPr>
          <w:szCs w:val="19"/>
          <w:lang w:val="en-GB"/>
        </w:rPr>
        <w:t xml:space="preserve">in </w:t>
      </w:r>
      <w:r w:rsidR="003C03FE">
        <w:rPr>
          <w:szCs w:val="19"/>
          <w:lang w:val="en-GB"/>
        </w:rPr>
        <w:t>19</w:t>
      </w:r>
      <w:r w:rsidR="00946446" w:rsidRPr="00946446">
        <w:rPr>
          <w:szCs w:val="19"/>
          <w:lang w:val="en-GB"/>
        </w:rPr>
        <w:t xml:space="preserve"> industry </w:t>
      </w:r>
      <w:r w:rsidR="00946446" w:rsidRPr="00D22ECE">
        <w:rPr>
          <w:noProof/>
          <w:spacing w:val="-2"/>
          <w:szCs w:val="19"/>
          <w:lang w:val="en-GB"/>
        </w:rPr>
        <w:t>divisions, among others,</w:t>
      </w:r>
      <w:r w:rsidR="00F536E7" w:rsidRPr="00F536E7">
        <w:rPr>
          <w:noProof/>
          <w:spacing w:val="-2"/>
          <w:szCs w:val="19"/>
          <w:lang w:val="en-GB"/>
        </w:rPr>
        <w:t xml:space="preserve"> </w:t>
      </w:r>
      <w:r w:rsidR="00F536E7">
        <w:rPr>
          <w:noProof/>
          <w:spacing w:val="-2"/>
          <w:szCs w:val="19"/>
          <w:lang w:val="en-GB"/>
        </w:rPr>
        <w:t xml:space="preserve">in </w:t>
      </w:r>
      <w:r w:rsidR="003C03FE">
        <w:rPr>
          <w:noProof/>
          <w:spacing w:val="-2"/>
          <w:szCs w:val="19"/>
          <w:lang w:val="en-GB"/>
        </w:rPr>
        <w:t>m</w:t>
      </w:r>
      <w:r w:rsidR="003C03FE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3C03FE">
        <w:rPr>
          <w:noProof/>
          <w:spacing w:val="-2"/>
          <w:szCs w:val="19"/>
          <w:lang w:val="en-GB"/>
        </w:rPr>
        <w:t xml:space="preserve"> – by </w:t>
      </w:r>
      <w:r w:rsidR="00765D9A">
        <w:rPr>
          <w:noProof/>
          <w:spacing w:val="-2"/>
          <w:szCs w:val="19"/>
          <w:lang w:val="en-GB"/>
        </w:rPr>
        <w:t>9.1</w:t>
      </w:r>
      <w:r w:rsidR="003C03FE">
        <w:rPr>
          <w:noProof/>
          <w:spacing w:val="-2"/>
          <w:szCs w:val="19"/>
          <w:lang w:val="en-GB"/>
        </w:rPr>
        <w:t>%,</w:t>
      </w:r>
      <w:r w:rsidR="003C03FE" w:rsidRPr="006C4724">
        <w:rPr>
          <w:noProof/>
          <w:szCs w:val="19"/>
          <w:lang w:val="en-GB"/>
        </w:rPr>
        <w:t xml:space="preserve"> </w:t>
      </w:r>
      <w:r w:rsidR="003C03FE">
        <w:rPr>
          <w:noProof/>
          <w:szCs w:val="19"/>
          <w:lang w:val="en-GB"/>
        </w:rPr>
        <w:t>in</w:t>
      </w:r>
      <w:r w:rsidR="003C03FE">
        <w:t xml:space="preserve"> </w:t>
      </w:r>
      <w:r w:rsidR="003C03FE">
        <w:rPr>
          <w:noProof/>
          <w:spacing w:val="-2"/>
          <w:szCs w:val="19"/>
          <w:lang w:val="en-GB"/>
        </w:rPr>
        <w:t>e</w:t>
      </w:r>
      <w:r w:rsidR="003C03FE" w:rsidRPr="00E44A8F">
        <w:rPr>
          <w:noProof/>
          <w:spacing w:val="-2"/>
          <w:szCs w:val="19"/>
          <w:lang w:val="en-GB"/>
        </w:rPr>
        <w:t>lectricity, gas, steam and air conditioning supply</w:t>
      </w:r>
      <w:r w:rsidR="003C03FE">
        <w:rPr>
          <w:noProof/>
          <w:spacing w:val="-2"/>
          <w:szCs w:val="19"/>
          <w:lang w:val="en-GB"/>
        </w:rPr>
        <w:t xml:space="preserve"> – by </w:t>
      </w:r>
      <w:r w:rsidR="00765D9A">
        <w:rPr>
          <w:noProof/>
          <w:spacing w:val="-2"/>
          <w:szCs w:val="19"/>
          <w:lang w:val="en-GB"/>
        </w:rPr>
        <w:t>6.5</w:t>
      </w:r>
      <w:r w:rsidR="003C03FE">
        <w:rPr>
          <w:noProof/>
          <w:spacing w:val="-2"/>
          <w:szCs w:val="19"/>
          <w:lang w:val="en-GB"/>
        </w:rPr>
        <w:t>%,</w:t>
      </w:r>
      <w:r w:rsidR="003C03FE" w:rsidRPr="006C4724">
        <w:rPr>
          <w:noProof/>
          <w:spacing w:val="-2"/>
          <w:szCs w:val="19"/>
          <w:lang w:val="en-GB"/>
        </w:rPr>
        <w:t xml:space="preserve"> </w:t>
      </w:r>
      <w:r w:rsidR="003C03FE">
        <w:rPr>
          <w:noProof/>
          <w:spacing w:val="-2"/>
          <w:szCs w:val="19"/>
          <w:lang w:val="en-GB"/>
        </w:rPr>
        <w:t>in m</w:t>
      </w:r>
      <w:r w:rsidR="003C03FE" w:rsidRPr="00FB6DE1">
        <w:rPr>
          <w:noProof/>
          <w:spacing w:val="-2"/>
          <w:szCs w:val="19"/>
          <w:lang w:val="en-GB"/>
        </w:rPr>
        <w:t>ining of coal and lignite</w:t>
      </w:r>
      <w:r w:rsidR="003C03FE">
        <w:rPr>
          <w:noProof/>
          <w:spacing w:val="-2"/>
          <w:szCs w:val="19"/>
          <w:lang w:val="en-GB"/>
        </w:rPr>
        <w:t xml:space="preserve"> and in r</w:t>
      </w:r>
      <w:r w:rsidR="003C03FE" w:rsidRPr="003C03FE">
        <w:rPr>
          <w:noProof/>
          <w:spacing w:val="-2"/>
          <w:szCs w:val="19"/>
          <w:lang w:val="en-GB"/>
        </w:rPr>
        <w:t>epair and installation of machinery and equipment</w:t>
      </w:r>
      <w:r w:rsidR="003C03FE">
        <w:rPr>
          <w:noProof/>
          <w:spacing w:val="-2"/>
          <w:szCs w:val="19"/>
          <w:lang w:val="en-GB"/>
        </w:rPr>
        <w:t xml:space="preserve"> – by </w:t>
      </w:r>
      <w:r w:rsidR="00765D9A">
        <w:rPr>
          <w:noProof/>
          <w:spacing w:val="-2"/>
          <w:szCs w:val="19"/>
          <w:lang w:val="en-GB"/>
        </w:rPr>
        <w:t>6.3</w:t>
      </w:r>
      <w:r w:rsidR="003C03FE">
        <w:rPr>
          <w:noProof/>
          <w:spacing w:val="-2"/>
          <w:szCs w:val="19"/>
          <w:lang w:val="en-GB"/>
        </w:rPr>
        <w:t>% each,</w:t>
      </w:r>
      <w:r w:rsidR="003C03FE" w:rsidRPr="006C4724">
        <w:rPr>
          <w:noProof/>
          <w:spacing w:val="-2"/>
          <w:szCs w:val="19"/>
          <w:lang w:val="en-GB"/>
        </w:rPr>
        <w:t xml:space="preserve"> </w:t>
      </w:r>
      <w:r w:rsidR="00765D9A">
        <w:rPr>
          <w:noProof/>
          <w:spacing w:val="-2"/>
          <w:szCs w:val="19"/>
          <w:lang w:val="en-GB"/>
        </w:rPr>
        <w:t xml:space="preserve">in </w:t>
      </w:r>
      <w:r w:rsidR="003C03FE" w:rsidRPr="009D61BA">
        <w:rPr>
          <w:noProof/>
          <w:szCs w:val="19"/>
          <w:lang w:val="en-GB"/>
        </w:rPr>
        <w:t>manufacture of electrical equipment</w:t>
      </w:r>
      <w:r w:rsidR="003C03FE">
        <w:rPr>
          <w:noProof/>
          <w:szCs w:val="19"/>
          <w:lang w:val="en-GB"/>
        </w:rPr>
        <w:t xml:space="preserve"> </w:t>
      </w:r>
      <w:r w:rsidR="003C03FE">
        <w:rPr>
          <w:noProof/>
          <w:spacing w:val="-2"/>
          <w:szCs w:val="19"/>
          <w:lang w:val="en-GB"/>
        </w:rPr>
        <w:t xml:space="preserve">– by </w:t>
      </w:r>
      <w:r w:rsidR="00765D9A">
        <w:rPr>
          <w:noProof/>
          <w:spacing w:val="-2"/>
          <w:szCs w:val="19"/>
          <w:lang w:val="en-GB"/>
        </w:rPr>
        <w:t>5.1</w:t>
      </w:r>
      <w:r w:rsidR="003C03FE">
        <w:rPr>
          <w:noProof/>
          <w:spacing w:val="-2"/>
          <w:szCs w:val="19"/>
          <w:lang w:val="en-GB"/>
        </w:rPr>
        <w:t>%, m</w:t>
      </w:r>
      <w:r w:rsidR="003C03FE" w:rsidRPr="008C421A">
        <w:rPr>
          <w:noProof/>
          <w:spacing w:val="-2"/>
          <w:szCs w:val="19"/>
          <w:lang w:val="en-GB"/>
        </w:rPr>
        <w:t>anufacture of chemicals and chemical products</w:t>
      </w:r>
      <w:r w:rsidR="003C03FE">
        <w:rPr>
          <w:noProof/>
          <w:spacing w:val="-2"/>
          <w:szCs w:val="19"/>
          <w:lang w:val="en-GB"/>
        </w:rPr>
        <w:t xml:space="preserve"> – by </w:t>
      </w:r>
      <w:r w:rsidR="00765D9A">
        <w:rPr>
          <w:noProof/>
          <w:spacing w:val="-2"/>
          <w:szCs w:val="19"/>
          <w:lang w:val="en-GB"/>
        </w:rPr>
        <w:t>2.2</w:t>
      </w:r>
      <w:r w:rsidR="003C03FE">
        <w:rPr>
          <w:noProof/>
          <w:spacing w:val="-2"/>
          <w:szCs w:val="19"/>
          <w:lang w:val="en-GB"/>
        </w:rPr>
        <w:t>%.</w:t>
      </w:r>
      <w:r w:rsidR="003C03FE" w:rsidRPr="006C4724">
        <w:rPr>
          <w:noProof/>
          <w:szCs w:val="19"/>
          <w:lang w:val="en-GB"/>
        </w:rPr>
        <w:t xml:space="preserve"> </w:t>
      </w:r>
    </w:p>
    <w:p w14:paraId="757376ED" w14:textId="78B61B1B" w:rsidR="006C4724" w:rsidRPr="003C03FE" w:rsidRDefault="00256334" w:rsidP="006730C2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3C03FE">
        <w:rPr>
          <w:noProof/>
          <w:szCs w:val="19"/>
          <w:lang w:val="en-GB"/>
        </w:rPr>
        <w:t>n</w:t>
      </w:r>
      <w:r w:rsidR="00CD0395">
        <w:rPr>
          <w:noProof/>
          <w:szCs w:val="19"/>
          <w:lang w:val="en-GB"/>
        </w:rPr>
        <w:t xml:space="preserve"> </w:t>
      </w:r>
      <w:r w:rsidR="003C03FE">
        <w:rPr>
          <w:noProof/>
          <w:szCs w:val="19"/>
          <w:lang w:val="en-GB"/>
        </w:rPr>
        <w:t>in</w:t>
      </w:r>
      <w:r w:rsidR="00382CAB" w:rsidRPr="00A92C78">
        <w:rPr>
          <w:noProof/>
          <w:szCs w:val="19"/>
          <w:lang w:val="en-GB"/>
        </w:rPr>
        <w:t>crease in sold productio</w:t>
      </w:r>
      <w:r w:rsidR="002B3236">
        <w:rPr>
          <w:noProof/>
          <w:szCs w:val="19"/>
          <w:lang w:val="en-GB"/>
        </w:rPr>
        <w:t>n of industry, as compare</w:t>
      </w:r>
      <w:r w:rsidR="00D74A5B">
        <w:rPr>
          <w:noProof/>
          <w:szCs w:val="19"/>
          <w:lang w:val="en-GB"/>
        </w:rPr>
        <w:t xml:space="preserve">d to </w:t>
      </w:r>
      <w:r w:rsidR="003C03FE">
        <w:rPr>
          <w:noProof/>
          <w:szCs w:val="19"/>
          <w:lang w:val="en-GB"/>
        </w:rPr>
        <w:t>April</w:t>
      </w:r>
      <w:r w:rsidR="00CD0395">
        <w:rPr>
          <w:noProof/>
          <w:szCs w:val="19"/>
          <w:lang w:val="en-GB"/>
        </w:rPr>
        <w:t xml:space="preserve"> 2021</w:t>
      </w:r>
      <w:r w:rsidR="009863EE">
        <w:rPr>
          <w:noProof/>
          <w:szCs w:val="19"/>
          <w:lang w:val="en-GB"/>
        </w:rPr>
        <w:t xml:space="preserve">, </w:t>
      </w:r>
      <w:r w:rsidR="006730C2">
        <w:rPr>
          <w:noProof/>
          <w:szCs w:val="19"/>
          <w:lang w:val="en-GB"/>
        </w:rPr>
        <w:t xml:space="preserve">was recorded in </w:t>
      </w:r>
      <w:r w:rsidR="003C03FE">
        <w:rPr>
          <w:noProof/>
          <w:szCs w:val="19"/>
          <w:lang w:val="en-GB"/>
        </w:rPr>
        <w:t>1</w:t>
      </w:r>
      <w:r w:rsidR="006C4724">
        <w:rPr>
          <w:noProof/>
          <w:szCs w:val="19"/>
          <w:lang w:val="en-GB"/>
        </w:rPr>
        <w:t>4</w:t>
      </w:r>
      <w:r w:rsidR="002B3236">
        <w:rPr>
          <w:noProof/>
          <w:szCs w:val="19"/>
          <w:lang w:val="en-GB"/>
        </w:rPr>
        <w:t xml:space="preserve"> </w:t>
      </w:r>
      <w:r w:rsidR="00382CAB" w:rsidRPr="00223D02">
        <w:rPr>
          <w:noProof/>
          <w:szCs w:val="19"/>
          <w:lang w:val="en-GB"/>
        </w:rPr>
        <w:t xml:space="preserve">divisions, </w:t>
      </w:r>
      <w:r w:rsidR="00F86DA7">
        <w:rPr>
          <w:noProof/>
          <w:szCs w:val="19"/>
          <w:lang w:val="en-GB"/>
        </w:rPr>
        <w:t>including</w:t>
      </w:r>
      <w:r w:rsidR="0051196A" w:rsidRPr="0051196A">
        <w:t xml:space="preserve"> </w:t>
      </w:r>
      <w:r w:rsidR="003C03FE">
        <w:t>m</w:t>
      </w:r>
      <w:r w:rsidR="003C03FE" w:rsidRPr="003C03FE">
        <w:t>anufacture of other transport equipment</w:t>
      </w:r>
      <w:r w:rsidR="003C03FE">
        <w:t xml:space="preserve"> – by 11.3%,</w:t>
      </w:r>
      <w:r w:rsidR="003C03FE" w:rsidRPr="003C03FE">
        <w:rPr>
          <w:noProof/>
          <w:spacing w:val="-2"/>
          <w:szCs w:val="19"/>
          <w:lang w:val="en-GB"/>
        </w:rPr>
        <w:t xml:space="preserve"> </w:t>
      </w:r>
      <w:r w:rsidR="003C03FE">
        <w:rPr>
          <w:noProof/>
          <w:spacing w:val="-2"/>
          <w:szCs w:val="19"/>
          <w:lang w:val="en-GB"/>
        </w:rPr>
        <w:t>m</w:t>
      </w:r>
      <w:r w:rsidR="003C03FE" w:rsidRPr="0065283F">
        <w:rPr>
          <w:noProof/>
          <w:spacing w:val="-2"/>
          <w:szCs w:val="19"/>
          <w:lang w:val="en-GB"/>
        </w:rPr>
        <w:t xml:space="preserve">anufacture of </w:t>
      </w:r>
      <w:r w:rsidR="003C03FE" w:rsidRPr="00615DB7">
        <w:rPr>
          <w:noProof/>
          <w:spacing w:val="-2"/>
          <w:szCs w:val="19"/>
          <w:lang w:val="en-GB"/>
        </w:rPr>
        <w:t xml:space="preserve">coke and refined petroleum products </w:t>
      </w:r>
      <w:r w:rsidR="003C03FE">
        <w:rPr>
          <w:noProof/>
          <w:spacing w:val="-2"/>
          <w:szCs w:val="19"/>
          <w:lang w:val="en-GB"/>
        </w:rPr>
        <w:t xml:space="preserve"> – by 9.4%,</w:t>
      </w:r>
      <w:r w:rsidR="003C03FE" w:rsidRPr="003C03FE">
        <w:t xml:space="preserve"> </w:t>
      </w:r>
      <w:r w:rsidR="003C03FE">
        <w:rPr>
          <w:noProof/>
          <w:spacing w:val="-2"/>
          <w:szCs w:val="19"/>
          <w:lang w:val="en-GB"/>
        </w:rPr>
        <w:t>m</w:t>
      </w:r>
      <w:r w:rsidR="003C03FE" w:rsidRPr="003C03FE">
        <w:rPr>
          <w:noProof/>
          <w:spacing w:val="-2"/>
          <w:szCs w:val="19"/>
          <w:lang w:val="en-GB"/>
        </w:rPr>
        <w:t>anufacture of other non-metallic mineral products</w:t>
      </w:r>
      <w:r w:rsidR="003C03FE">
        <w:rPr>
          <w:noProof/>
          <w:spacing w:val="-2"/>
          <w:szCs w:val="19"/>
          <w:lang w:val="en-GB"/>
        </w:rPr>
        <w:t xml:space="preserve"> </w:t>
      </w:r>
      <w:r w:rsidR="006C4724">
        <w:t xml:space="preserve">– by </w:t>
      </w:r>
      <w:r w:rsidR="003C03FE">
        <w:t>3</w:t>
      </w:r>
      <w:r w:rsidR="006C4724">
        <w:t>.8%</w:t>
      </w:r>
      <w:r w:rsidR="003C03FE">
        <w:t>,</w:t>
      </w:r>
      <w:r w:rsidR="003C03FE" w:rsidRPr="003C03FE">
        <w:rPr>
          <w:noProof/>
          <w:spacing w:val="-2"/>
          <w:szCs w:val="19"/>
          <w:lang w:val="en-GB"/>
        </w:rPr>
        <w:t xml:space="preserve"> </w:t>
      </w:r>
      <w:r w:rsidR="003C03FE">
        <w:rPr>
          <w:noProof/>
          <w:spacing w:val="-2"/>
          <w:szCs w:val="19"/>
          <w:lang w:val="en-GB"/>
        </w:rPr>
        <w:t>m</w:t>
      </w:r>
      <w:r w:rsidR="003C03FE" w:rsidRPr="004E532C">
        <w:rPr>
          <w:noProof/>
          <w:spacing w:val="-2"/>
          <w:szCs w:val="19"/>
          <w:lang w:val="en-GB"/>
        </w:rPr>
        <w:t>anufacture of food products</w:t>
      </w:r>
      <w:r w:rsidR="003C03FE">
        <w:rPr>
          <w:noProof/>
          <w:spacing w:val="-2"/>
          <w:szCs w:val="19"/>
          <w:lang w:val="en-GB"/>
        </w:rPr>
        <w:t xml:space="preserve"> – by 3.7%.</w:t>
      </w:r>
      <w:r w:rsidR="003C03FE" w:rsidRPr="006C4724">
        <w:rPr>
          <w:noProof/>
          <w:spacing w:val="-2"/>
          <w:szCs w:val="19"/>
          <w:lang w:val="en-GB"/>
        </w:rPr>
        <w:t xml:space="preserve"> </w:t>
      </w:r>
    </w:p>
    <w:p w14:paraId="7DC0BAAA" w14:textId="36E59F96" w:rsidR="00E44A8F" w:rsidRDefault="00E44A8F" w:rsidP="0051196A">
      <w:pPr>
        <w:spacing w:before="0" w:after="0" w:line="240" w:lineRule="auto"/>
        <w:rPr>
          <w:noProof/>
          <w:spacing w:val="-2"/>
          <w:szCs w:val="19"/>
          <w:lang w:val="en-GB"/>
        </w:rPr>
      </w:pPr>
    </w:p>
    <w:p w14:paraId="1F5B1DF6" w14:textId="0DDEDE38" w:rsidR="00E44A8F" w:rsidRPr="00680622" w:rsidRDefault="002C0F77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b/>
          <w:spacing w:val="-2"/>
          <w:sz w:val="18"/>
          <w:szCs w:val="18"/>
          <w:lang w:val="en-GB"/>
        </w:rPr>
        <w:t>Chart 3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. </w:t>
      </w:r>
      <w:r w:rsidR="00E44A8F"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05992071" w14:textId="3F75DAE6" w:rsidR="00E44A8F" w:rsidRPr="00680622" w:rsidRDefault="00F33263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55872" behindDoc="0" locked="0" layoutInCell="1" allowOverlap="1" wp14:anchorId="04EDE21F" wp14:editId="14C11AE9">
            <wp:simplePos x="0" y="0"/>
            <wp:positionH relativeFrom="column">
              <wp:posOffset>0</wp:posOffset>
            </wp:positionH>
            <wp:positionV relativeFrom="paragraph">
              <wp:posOffset>229235</wp:posOffset>
            </wp:positionV>
            <wp:extent cx="5122545" cy="4142105"/>
            <wp:effectExtent l="0" t="0" r="1905" b="0"/>
            <wp:wrapSquare wrapText="bothSides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F893CD6-F350-480B-9BC7-E8F5FE12B6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previous month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 =100)</w:t>
      </w:r>
    </w:p>
    <w:p w14:paraId="676345E0" w14:textId="76570EFC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77777777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77777777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Default="00946446" w:rsidP="00E01D2D">
      <w:pPr>
        <w:spacing w:before="0" w:after="0" w:line="240" w:lineRule="auto"/>
        <w:rPr>
          <w:szCs w:val="19"/>
        </w:rPr>
      </w:pPr>
    </w:p>
    <w:p w14:paraId="616124B2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66C9BBB2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64327F3E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04856BA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7233D1F1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490A097B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13215A71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19750EF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250896ED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5592BB1E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FD37C51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D8D59BB" w14:textId="77777777" w:rsidR="0051196A" w:rsidRDefault="0051196A" w:rsidP="00E01D2D">
      <w:pPr>
        <w:spacing w:before="0" w:after="0" w:line="240" w:lineRule="auto"/>
        <w:rPr>
          <w:szCs w:val="19"/>
        </w:rPr>
      </w:pPr>
    </w:p>
    <w:p w14:paraId="23CEA485" w14:textId="6E87D5F6" w:rsidR="00724458" w:rsidRPr="00E44A8F" w:rsidRDefault="006C7839" w:rsidP="00E44A8F">
      <w:pPr>
        <w:rPr>
          <w:szCs w:val="19"/>
          <w:lang w:val="en-US"/>
        </w:rPr>
        <w:sectPr w:rsidR="00724458" w:rsidRPr="00E44A8F" w:rsidSect="006A19B6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51196A">
        <w:rPr>
          <w:szCs w:val="19"/>
          <w:lang w:val="en-US"/>
        </w:rPr>
        <w:t>.</w:t>
      </w:r>
    </w:p>
    <w:p w14:paraId="268FA71D" w14:textId="77777777" w:rsidR="0021268C" w:rsidRPr="007B4306" w:rsidRDefault="0021268C" w:rsidP="0046503D">
      <w:pPr>
        <w:rPr>
          <w:sz w:val="18"/>
          <w:lang w:val="en-US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3E66BF" w:rsidRPr="003627E7" w14:paraId="5155DFA2" w14:textId="77777777" w:rsidTr="00F84574">
        <w:trPr>
          <w:trHeight w:val="1344"/>
        </w:trPr>
        <w:tc>
          <w:tcPr>
            <w:tcW w:w="4218" w:type="dxa"/>
            <w:vAlign w:val="center"/>
          </w:tcPr>
          <w:p w14:paraId="20CE9255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2FD093D5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2C7A"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6FC41AC2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31BD">
              <w:rPr>
                <w:rFonts w:eastAsia="Fira Sans Light" w:cs="Arial"/>
                <w:b/>
                <w:color w:val="000000" w:themeColor="text1"/>
                <w:sz w:val="20"/>
                <w:lang w:val="en-US"/>
              </w:rPr>
              <w:t>Director Katarzyna Walkowska</w:t>
            </w:r>
          </w:p>
          <w:p w14:paraId="1A1AFB1A" w14:textId="01017D57" w:rsidR="003E66BF" w:rsidRPr="003627E7" w:rsidRDefault="00531F98" w:rsidP="003E66B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 w:rsidR="003E66BF" w:rsidRPr="00042C7A">
              <w:rPr>
                <w:rFonts w:eastAsia="Fira Sans Light" w:cs="Arial"/>
                <w:color w:val="000000" w:themeColor="text1"/>
                <w:sz w:val="20"/>
                <w:lang w:val="en-GB"/>
              </w:rPr>
              <w:t>(+48 22) 608 31 25</w:t>
            </w:r>
            <w:r w:rsidR="003E66BF" w:rsidRPr="00230331">
              <w:rPr>
                <w:rFonts w:cs="Arial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779" w:type="dxa"/>
            <w:vAlign w:val="center"/>
          </w:tcPr>
          <w:p w14:paraId="5943B952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 Statistics Poland</w:t>
            </w:r>
          </w:p>
          <w:p w14:paraId="16295556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4ABB6FDA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695 255 011</w:t>
            </w:r>
          </w:p>
          <w:p w14:paraId="606D0496" w14:textId="23323C65" w:rsidR="003E66BF" w:rsidRPr="003627E7" w:rsidRDefault="003E66BF" w:rsidP="003E66B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6712E54" w14:textId="77777777" w:rsidR="003627E7" w:rsidRPr="003627E7" w:rsidRDefault="003627E7" w:rsidP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E66BF" w:rsidRPr="00A92C78" w14:paraId="7656EA76" w14:textId="77777777" w:rsidTr="00F8457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21E11B2E" w14:textId="77777777" w:rsidR="003E66BF" w:rsidRPr="005D386E" w:rsidRDefault="003E66BF" w:rsidP="003E66BF">
            <w:pPr>
              <w:rPr>
                <w:b/>
                <w:sz w:val="20"/>
                <w:lang w:val="en-GB"/>
              </w:rPr>
            </w:pPr>
            <w:r w:rsidRPr="005D386E">
              <w:rPr>
                <w:b/>
                <w:sz w:val="20"/>
                <w:lang w:val="en-GB"/>
              </w:rPr>
              <w:t xml:space="preserve">Press Office </w:t>
            </w:r>
          </w:p>
          <w:p w14:paraId="53DC68FC" w14:textId="77777777" w:rsidR="003E66BF" w:rsidRPr="005D386E" w:rsidRDefault="003E66BF" w:rsidP="003E66BF">
            <w:pPr>
              <w:rPr>
                <w:rFonts w:eastAsia="Fira Sans Light" w:cs="Times New Roman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5D386E">
              <w:rPr>
                <w:rFonts w:eastAsia="Fira Sans Light" w:cs="Times New Roman"/>
                <w:sz w:val="20"/>
                <w:lang w:val="en-US"/>
              </w:rPr>
              <w:t xml:space="preserve">608 34 91, 608 38 04 </w:t>
            </w:r>
          </w:p>
          <w:p w14:paraId="457CB2DA" w14:textId="49B46B01" w:rsidR="003E66BF" w:rsidRPr="003627E7" w:rsidRDefault="003E66BF" w:rsidP="003E66BF">
            <w:pPr>
              <w:spacing w:before="0" w:after="0" w:line="276" w:lineRule="auto"/>
              <w:rPr>
                <w:sz w:val="18"/>
                <w:lang w:val="en-US"/>
              </w:rPr>
            </w:pPr>
            <w:r w:rsidRPr="005D386E">
              <w:rPr>
                <w:rFonts w:eastAsia="Fira Sans Light" w:cs="Times New Roman"/>
                <w:b/>
                <w:sz w:val="20"/>
                <w:lang w:val="en-GB"/>
              </w:rPr>
              <w:t>e-mail:</w:t>
            </w:r>
            <w:r w:rsidRPr="00531F98">
              <w:rPr>
                <w:rFonts w:eastAsia="Fira Sans Light" w:cs="Times New Roman"/>
                <w:sz w:val="20"/>
                <w:lang w:val="en-GB"/>
              </w:rPr>
              <w:t xml:space="preserve"> </w:t>
            </w:r>
            <w:hyperlink r:id="rId19" w:history="1">
              <w:r w:rsidRPr="00531F98">
                <w:rPr>
                  <w:rFonts w:eastAsia="Fira Sans Light" w:cs="Times New Roman"/>
                  <w:b/>
                  <w:sz w:val="20"/>
                  <w:u w:val="single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BE61F99" w14:textId="45D04467" w:rsidR="003E66BF" w:rsidRPr="003627E7" w:rsidRDefault="003E66BF" w:rsidP="003E66BF">
            <w:pPr>
              <w:rPr>
                <w:sz w:val="18"/>
                <w:lang w:val="en-US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2864" behindDoc="0" locked="0" layoutInCell="1" allowOverlap="1" wp14:anchorId="61DD0DBD" wp14:editId="7865023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26571896" w14:textId="1054AA93" w:rsidR="003E66BF" w:rsidRPr="007B4306" w:rsidRDefault="003E66BF" w:rsidP="003E66BF">
            <w:pPr>
              <w:rPr>
                <w:sz w:val="20"/>
                <w:szCs w:val="20"/>
                <w:lang w:val="en-US"/>
              </w:rPr>
            </w:pPr>
            <w:r w:rsidRPr="00C52703">
              <w:rPr>
                <w:sz w:val="20"/>
                <w:lang w:val="en-GB"/>
              </w:rPr>
              <w:t>www.stat.gov.pl/en</w:t>
            </w:r>
            <w:r>
              <w:rPr>
                <w:sz w:val="20"/>
                <w:lang w:val="en-GB"/>
              </w:rPr>
              <w:t>/</w:t>
            </w:r>
          </w:p>
        </w:tc>
      </w:tr>
      <w:tr w:rsidR="003E66BF" w:rsidRPr="003627E7" w14:paraId="190F03F6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F6DA501" w14:textId="77777777" w:rsidR="003E66BF" w:rsidRPr="007B4306" w:rsidRDefault="003E66BF" w:rsidP="003E66BF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2C60062F" w14:textId="4BF2CC6A" w:rsidR="003E66BF" w:rsidRPr="007B4306" w:rsidRDefault="003E66BF" w:rsidP="003E66BF">
            <w:pPr>
              <w:rPr>
                <w:sz w:val="18"/>
                <w:lang w:val="en-US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3888" behindDoc="0" locked="0" layoutInCell="1" allowOverlap="1" wp14:anchorId="3C98D5E0" wp14:editId="4E51C44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ADA056C" w14:textId="7EB3A6A5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sz w:val="20"/>
                <w:lang w:val="en-GB"/>
              </w:rPr>
              <w:t>@StatPoland</w:t>
            </w:r>
          </w:p>
        </w:tc>
      </w:tr>
      <w:tr w:rsidR="003E66BF" w:rsidRPr="003627E7" w14:paraId="22E6A4A1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017B46E" w14:textId="77777777" w:rsidR="003E66BF" w:rsidRPr="003627E7" w:rsidRDefault="003E66BF" w:rsidP="003E66B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871C56A" w14:textId="060CFBA4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4912" behindDoc="0" locked="0" layoutInCell="1" allowOverlap="1" wp14:anchorId="3B1E7395" wp14:editId="1A44ED0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FAF4B40" w14:textId="52B4232E" w:rsidR="003E66BF" w:rsidRPr="003627E7" w:rsidRDefault="003E66BF" w:rsidP="003E66BF">
            <w:pPr>
              <w:rPr>
                <w:sz w:val="20"/>
              </w:rPr>
            </w:pPr>
            <w:r w:rsidRPr="00C52703">
              <w:rPr>
                <w:sz w:val="20"/>
                <w:lang w:val="en-GB"/>
              </w:rPr>
              <w:t>@GlownyUrzadStatystyczny</w:t>
            </w:r>
          </w:p>
        </w:tc>
      </w:tr>
    </w:tbl>
    <w:p w14:paraId="054667D1" w14:textId="77777777" w:rsidR="003627E7" w:rsidRPr="003627E7" w:rsidRDefault="003627E7" w:rsidP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5336DD71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3E66BF" w:rsidRPr="0099652B" w:rsidRDefault="003E66BF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4906239B" w:rsidR="003E66BF" w:rsidRPr="00346B6D" w:rsidRDefault="003E66BF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2A7D0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"https://stat.gov.pl/en/topics/other-studies/informations-on-socio-economic-situation/statistical-bulletin-no-42021,4,124.html"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1FCDABF3" w:rsidR="003E66BF" w:rsidRPr="00346B6D" w:rsidRDefault="003E66BF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2A7D0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"https://stat.gov.pl/en/topics/other-studies/informations-on-socio-economic-situation/socio-economic-situation-of-the-country-in-april-2021,1,121.html"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3E66BF" w:rsidRPr="00346B6D" w:rsidRDefault="00D63A0E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3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3E66BF" w:rsidRPr="00346B6D" w:rsidRDefault="00D63A0E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4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3E66BF" w:rsidRPr="00346B6D" w:rsidRDefault="00D63A0E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5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3E66BF" w:rsidRPr="00346B6D" w:rsidRDefault="00D63A0E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3E66BF" w:rsidRPr="00230331" w:rsidRDefault="003E66BF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77777777" w:rsidR="003E66BF" w:rsidRPr="00346B6D" w:rsidRDefault="00D63A0E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7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Sold production of industry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05F61F60" w14:textId="77777777" w:rsidR="003E66BF" w:rsidRPr="00346B6D" w:rsidRDefault="00D63A0E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8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un-adjusted volume index of sold production of industry</w:t>
                              </w:r>
                            </w:hyperlink>
                          </w:p>
                          <w:p w14:paraId="4E1E66FD" w14:textId="77777777" w:rsidR="003E66BF" w:rsidRPr="00346B6D" w:rsidRDefault="00D63A0E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adjusted volume index of sold production of industry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77777777" w:rsidR="003E66BF" w:rsidRPr="00346B6D" w:rsidRDefault="00D63A0E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0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77777777" w:rsidR="003E66BF" w:rsidRPr="00346B6D" w:rsidRDefault="00D63A0E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77777777" w:rsidR="003E66BF" w:rsidRPr="00346B6D" w:rsidRDefault="00D63A0E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77777777" w:rsidR="003E66BF" w:rsidRPr="00346B6D" w:rsidRDefault="00D63A0E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7538C02F" w:rsidR="003627E7" w:rsidRPr="007B4306" w:rsidRDefault="00D63A0E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3627E7" w:rsidRPr="007B4306" w:rsidRDefault="003627E7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19BB66" id="_x0000_s1030" type="#_x0000_t202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DPMIMARwIA&#10;AJMEAAAOAAAAAAAAAAAAAAAAAC4CAABkcnMvZTJvRG9jLnhtbFBLAQItABQABgAIAAAAIQC3VAg3&#10;3QAAAAoBAAAPAAAAAAAAAAAAAAAAAKEEAABkcnMvZG93bnJldi54bWxQSwUGAAAAAAQABADzAAAA&#10;qwUAAAAA&#10;" fillcolor="#f2f2f2" strokecolor="window">
                <v:textbox>
                  <w:txbxContent>
                    <w:p w14:paraId="3A2C8FCB" w14:textId="77777777" w:rsidR="003627E7" w:rsidRDefault="003627E7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3E66BF" w:rsidRPr="0099652B" w:rsidRDefault="003E66BF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4906239B" w:rsidR="003E66BF" w:rsidRPr="00346B6D" w:rsidRDefault="003E66BF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2A7D05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"https://stat.gov.pl/en/topics/other-studies/informations-on-socio-economic-situation/statistical-bulletin-no-42021,4,124.html"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1FCDABF3" w:rsidR="003E66BF" w:rsidRPr="00346B6D" w:rsidRDefault="003E66BF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2A7D05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"https://stat.gov.pl/en/topics/other-studies/informations-on-socio-economic-situation/socio-economic-situation-of-the-country-in-april-2021,1,121.html"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3E66BF" w:rsidRPr="00346B6D" w:rsidRDefault="008721BC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5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3E66BF" w:rsidRPr="00346B6D" w:rsidRDefault="008721BC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6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3E66BF" w:rsidRPr="00346B6D" w:rsidRDefault="008721BC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7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3E66BF" w:rsidRPr="00346B6D" w:rsidRDefault="008721BC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3E66BF" w:rsidRPr="00230331" w:rsidRDefault="003E66BF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77777777" w:rsidR="003E66BF" w:rsidRPr="00346B6D" w:rsidRDefault="008721BC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9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Sold production of industry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05F61F60" w14:textId="77777777" w:rsidR="003E66BF" w:rsidRPr="00346B6D" w:rsidRDefault="008721BC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0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un-adjusted volume index of sold production of industry</w:t>
                        </w:r>
                      </w:hyperlink>
                    </w:p>
                    <w:p w14:paraId="4E1E66FD" w14:textId="77777777" w:rsidR="003E66BF" w:rsidRPr="00346B6D" w:rsidRDefault="008721BC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1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adjusted volume index of sold production of industry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77777777" w:rsidR="003E66BF" w:rsidRPr="00346B6D" w:rsidRDefault="008721BC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2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77777777" w:rsidR="003E66BF" w:rsidRPr="00346B6D" w:rsidRDefault="008721BC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77777777" w:rsidR="003E66BF" w:rsidRPr="00346B6D" w:rsidRDefault="008721BC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77777777" w:rsidR="003E66BF" w:rsidRPr="00346B6D" w:rsidRDefault="008721BC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7538C02F" w:rsidR="003627E7" w:rsidRPr="007B4306" w:rsidRDefault="008721BC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6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3627E7" w:rsidRPr="007B4306" w:rsidRDefault="003627E7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4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46F2E" w14:textId="77777777" w:rsidR="00D63A0E" w:rsidRDefault="00D63A0E" w:rsidP="000662E2">
      <w:pPr>
        <w:spacing w:after="0" w:line="240" w:lineRule="auto"/>
      </w:pPr>
      <w:r>
        <w:separator/>
      </w:r>
    </w:p>
  </w:endnote>
  <w:endnote w:type="continuationSeparator" w:id="0">
    <w:p w14:paraId="64B85E15" w14:textId="77777777" w:rsidR="00D63A0E" w:rsidRDefault="00D63A0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2B9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2B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26AF0" w14:textId="77777777" w:rsidR="00D63A0E" w:rsidRDefault="00D63A0E" w:rsidP="000662E2">
      <w:pPr>
        <w:spacing w:after="0" w:line="240" w:lineRule="auto"/>
      </w:pPr>
      <w:r>
        <w:separator/>
      </w:r>
    </w:p>
  </w:footnote>
  <w:footnote w:type="continuationSeparator" w:id="0">
    <w:p w14:paraId="3D22B476" w14:textId="77777777" w:rsidR="00D63A0E" w:rsidRDefault="00D63A0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63104DD1" w:rsidR="004862B6" w:rsidRDefault="00BB33B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6FE39045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77777777" w:rsidR="00BB33B9" w:rsidRPr="003C6C8D" w:rsidRDefault="00BB33B9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1134560" id="Schemat blokowy: opóźnienie 6" o:spid="_x0000_s1031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77777777" w:rsidR="00BB33B9" w:rsidRPr="003C6C8D" w:rsidRDefault="00BB33B9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1251217F">
          <wp:extent cx="1866900" cy="704850"/>
          <wp:effectExtent l="0" t="0" r="0" b="0"/>
          <wp:docPr id="11" name="Obraz 11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4E6993BE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70F0D1D3" w:rsidR="00112A4D" w:rsidRPr="00C97596" w:rsidRDefault="00B9273E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2E0BB1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2E0BB1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2C5475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" filled="f" stroked="f">
              <v:textbox>
                <w:txbxContent>
                  <w:p w14:paraId="2CA07B51" w14:textId="70F0D1D3" w:rsidR="00112A4D" w:rsidRPr="00C97596" w:rsidRDefault="00B9273E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2E0BB1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2E0BB1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2C5475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4pt;height:129.6pt;visibility:visible;mso-wrap-style:square" o:bullet="t">
        <v:imagedata r:id="rId1" o:title=""/>
      </v:shape>
    </w:pict>
  </w:numPicBullet>
  <w:numPicBullet w:numPicBulletId="1">
    <w:pict>
      <v:shape id="_x0000_i1029" type="#_x0000_t75" style="width:122.4pt;height:129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7C7"/>
    <w:rsid w:val="000169EB"/>
    <w:rsid w:val="00016E48"/>
    <w:rsid w:val="00016EAF"/>
    <w:rsid w:val="00021CD6"/>
    <w:rsid w:val="00024626"/>
    <w:rsid w:val="00026847"/>
    <w:rsid w:val="00027227"/>
    <w:rsid w:val="0003236F"/>
    <w:rsid w:val="000325B5"/>
    <w:rsid w:val="00033D0D"/>
    <w:rsid w:val="0003435E"/>
    <w:rsid w:val="00035886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3AF8"/>
    <w:rsid w:val="00055004"/>
    <w:rsid w:val="000565D8"/>
    <w:rsid w:val="00056AD0"/>
    <w:rsid w:val="00057CA1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4DD8"/>
    <w:rsid w:val="000761AC"/>
    <w:rsid w:val="00076B52"/>
    <w:rsid w:val="00076D95"/>
    <w:rsid w:val="00076F86"/>
    <w:rsid w:val="00077B8C"/>
    <w:rsid w:val="000806F7"/>
    <w:rsid w:val="000809C8"/>
    <w:rsid w:val="00081C1B"/>
    <w:rsid w:val="00082002"/>
    <w:rsid w:val="00083E0E"/>
    <w:rsid w:val="00084531"/>
    <w:rsid w:val="00086360"/>
    <w:rsid w:val="00086B7D"/>
    <w:rsid w:val="00086CFA"/>
    <w:rsid w:val="000870D1"/>
    <w:rsid w:val="00087806"/>
    <w:rsid w:val="00090DAE"/>
    <w:rsid w:val="00091304"/>
    <w:rsid w:val="000925FF"/>
    <w:rsid w:val="00092A8F"/>
    <w:rsid w:val="00094C33"/>
    <w:rsid w:val="00095A05"/>
    <w:rsid w:val="000A09E4"/>
    <w:rsid w:val="000A1172"/>
    <w:rsid w:val="000A35B6"/>
    <w:rsid w:val="000A39FD"/>
    <w:rsid w:val="000A3ACF"/>
    <w:rsid w:val="000A4C12"/>
    <w:rsid w:val="000A4E2A"/>
    <w:rsid w:val="000B0727"/>
    <w:rsid w:val="000B1D63"/>
    <w:rsid w:val="000B256C"/>
    <w:rsid w:val="000B289A"/>
    <w:rsid w:val="000B318F"/>
    <w:rsid w:val="000B4DA2"/>
    <w:rsid w:val="000B4E03"/>
    <w:rsid w:val="000B4F0D"/>
    <w:rsid w:val="000C0137"/>
    <w:rsid w:val="000C09C3"/>
    <w:rsid w:val="000C0B2E"/>
    <w:rsid w:val="000C0F06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D6E9C"/>
    <w:rsid w:val="000E0918"/>
    <w:rsid w:val="000E2DE4"/>
    <w:rsid w:val="000F0212"/>
    <w:rsid w:val="000F156F"/>
    <w:rsid w:val="000F1626"/>
    <w:rsid w:val="000F2B99"/>
    <w:rsid w:val="000F3D8E"/>
    <w:rsid w:val="000F435D"/>
    <w:rsid w:val="000F6B6E"/>
    <w:rsid w:val="00100946"/>
    <w:rsid w:val="001011C3"/>
    <w:rsid w:val="00101571"/>
    <w:rsid w:val="001030FA"/>
    <w:rsid w:val="001039FA"/>
    <w:rsid w:val="0010569E"/>
    <w:rsid w:val="00105A2D"/>
    <w:rsid w:val="001070E5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1220"/>
    <w:rsid w:val="00162325"/>
    <w:rsid w:val="001627F2"/>
    <w:rsid w:val="00163C91"/>
    <w:rsid w:val="00164CF6"/>
    <w:rsid w:val="00165D6F"/>
    <w:rsid w:val="00174825"/>
    <w:rsid w:val="00174B10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9A1"/>
    <w:rsid w:val="00187A74"/>
    <w:rsid w:val="0019166D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3269"/>
    <w:rsid w:val="001C3694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42AE"/>
    <w:rsid w:val="001E475A"/>
    <w:rsid w:val="001E482E"/>
    <w:rsid w:val="001E7919"/>
    <w:rsid w:val="001F2005"/>
    <w:rsid w:val="001F23B3"/>
    <w:rsid w:val="001F312B"/>
    <w:rsid w:val="001F31BD"/>
    <w:rsid w:val="001F3686"/>
    <w:rsid w:val="001F5E14"/>
    <w:rsid w:val="001F649C"/>
    <w:rsid w:val="001F6CD0"/>
    <w:rsid w:val="0020139E"/>
    <w:rsid w:val="00202E71"/>
    <w:rsid w:val="00204447"/>
    <w:rsid w:val="002056B1"/>
    <w:rsid w:val="00207360"/>
    <w:rsid w:val="00210A6F"/>
    <w:rsid w:val="0021268C"/>
    <w:rsid w:val="00213DF1"/>
    <w:rsid w:val="00215B0B"/>
    <w:rsid w:val="00216F21"/>
    <w:rsid w:val="00217031"/>
    <w:rsid w:val="002173E8"/>
    <w:rsid w:val="00217D5E"/>
    <w:rsid w:val="002209D7"/>
    <w:rsid w:val="002217A8"/>
    <w:rsid w:val="00223D02"/>
    <w:rsid w:val="0022605C"/>
    <w:rsid w:val="00226CDB"/>
    <w:rsid w:val="00226D83"/>
    <w:rsid w:val="002300C4"/>
    <w:rsid w:val="002308C6"/>
    <w:rsid w:val="00231001"/>
    <w:rsid w:val="0023461B"/>
    <w:rsid w:val="00237327"/>
    <w:rsid w:val="00240ECE"/>
    <w:rsid w:val="002452B8"/>
    <w:rsid w:val="00247C71"/>
    <w:rsid w:val="00250FEE"/>
    <w:rsid w:val="00252C19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22B3"/>
    <w:rsid w:val="00273D4F"/>
    <w:rsid w:val="00276811"/>
    <w:rsid w:val="00277F85"/>
    <w:rsid w:val="0028004D"/>
    <w:rsid w:val="00280CE6"/>
    <w:rsid w:val="00282699"/>
    <w:rsid w:val="00283009"/>
    <w:rsid w:val="00284E57"/>
    <w:rsid w:val="00291BB9"/>
    <w:rsid w:val="00292177"/>
    <w:rsid w:val="00292388"/>
    <w:rsid w:val="002926DF"/>
    <w:rsid w:val="00295358"/>
    <w:rsid w:val="00296697"/>
    <w:rsid w:val="00296B74"/>
    <w:rsid w:val="00296F96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05"/>
    <w:rsid w:val="002A7DB8"/>
    <w:rsid w:val="002B0009"/>
    <w:rsid w:val="002B0472"/>
    <w:rsid w:val="002B04B3"/>
    <w:rsid w:val="002B18C6"/>
    <w:rsid w:val="002B3036"/>
    <w:rsid w:val="002B3236"/>
    <w:rsid w:val="002B583F"/>
    <w:rsid w:val="002B68B6"/>
    <w:rsid w:val="002B6B12"/>
    <w:rsid w:val="002B6B7B"/>
    <w:rsid w:val="002C0F77"/>
    <w:rsid w:val="002C424B"/>
    <w:rsid w:val="002C4336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51CC"/>
    <w:rsid w:val="002D7096"/>
    <w:rsid w:val="002D7F9D"/>
    <w:rsid w:val="002E0BB1"/>
    <w:rsid w:val="002E13A8"/>
    <w:rsid w:val="002E3DCB"/>
    <w:rsid w:val="002E42E3"/>
    <w:rsid w:val="002E6140"/>
    <w:rsid w:val="002E6985"/>
    <w:rsid w:val="002E6EAA"/>
    <w:rsid w:val="002E71B6"/>
    <w:rsid w:val="002F1617"/>
    <w:rsid w:val="002F1F42"/>
    <w:rsid w:val="002F5333"/>
    <w:rsid w:val="002F5515"/>
    <w:rsid w:val="002F77C8"/>
    <w:rsid w:val="0030115B"/>
    <w:rsid w:val="003019E7"/>
    <w:rsid w:val="00301DF5"/>
    <w:rsid w:val="003038E3"/>
    <w:rsid w:val="00304F22"/>
    <w:rsid w:val="00305979"/>
    <w:rsid w:val="00305F35"/>
    <w:rsid w:val="00306485"/>
    <w:rsid w:val="003067CB"/>
    <w:rsid w:val="00306C7C"/>
    <w:rsid w:val="003103AC"/>
    <w:rsid w:val="00310E69"/>
    <w:rsid w:val="00311A70"/>
    <w:rsid w:val="003133B6"/>
    <w:rsid w:val="00315805"/>
    <w:rsid w:val="00320924"/>
    <w:rsid w:val="00322EDD"/>
    <w:rsid w:val="003231A1"/>
    <w:rsid w:val="0032407B"/>
    <w:rsid w:val="00324C9B"/>
    <w:rsid w:val="00332263"/>
    <w:rsid w:val="00332320"/>
    <w:rsid w:val="00332724"/>
    <w:rsid w:val="0033525D"/>
    <w:rsid w:val="0033611E"/>
    <w:rsid w:val="00336412"/>
    <w:rsid w:val="00337DDB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3C51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A64AC"/>
    <w:rsid w:val="003B02F7"/>
    <w:rsid w:val="003B10B5"/>
    <w:rsid w:val="003B1105"/>
    <w:rsid w:val="003B1454"/>
    <w:rsid w:val="003B2DB6"/>
    <w:rsid w:val="003B3978"/>
    <w:rsid w:val="003B40D7"/>
    <w:rsid w:val="003B6350"/>
    <w:rsid w:val="003B6AEB"/>
    <w:rsid w:val="003B6BE3"/>
    <w:rsid w:val="003C0165"/>
    <w:rsid w:val="003C03FE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F1"/>
    <w:rsid w:val="003E3BB3"/>
    <w:rsid w:val="003E4367"/>
    <w:rsid w:val="003E66BF"/>
    <w:rsid w:val="003E6F61"/>
    <w:rsid w:val="003E7C6E"/>
    <w:rsid w:val="003E7DE1"/>
    <w:rsid w:val="003F13A9"/>
    <w:rsid w:val="003F1512"/>
    <w:rsid w:val="003F36A3"/>
    <w:rsid w:val="003F4C97"/>
    <w:rsid w:val="003F53CA"/>
    <w:rsid w:val="003F60A7"/>
    <w:rsid w:val="003F68D3"/>
    <w:rsid w:val="003F7FE6"/>
    <w:rsid w:val="00400193"/>
    <w:rsid w:val="00400B65"/>
    <w:rsid w:val="00401DB3"/>
    <w:rsid w:val="00403557"/>
    <w:rsid w:val="00405D79"/>
    <w:rsid w:val="004107A5"/>
    <w:rsid w:val="0041140C"/>
    <w:rsid w:val="004118C3"/>
    <w:rsid w:val="00412E8A"/>
    <w:rsid w:val="004130BC"/>
    <w:rsid w:val="0041374E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6B1"/>
    <w:rsid w:val="004477CF"/>
    <w:rsid w:val="00447B0C"/>
    <w:rsid w:val="00450E62"/>
    <w:rsid w:val="00452007"/>
    <w:rsid w:val="00454004"/>
    <w:rsid w:val="00454C5C"/>
    <w:rsid w:val="00460904"/>
    <w:rsid w:val="00460DA9"/>
    <w:rsid w:val="00460EB6"/>
    <w:rsid w:val="00461D15"/>
    <w:rsid w:val="00462A63"/>
    <w:rsid w:val="00463534"/>
    <w:rsid w:val="00463E39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7DD8"/>
    <w:rsid w:val="00484901"/>
    <w:rsid w:val="00484E17"/>
    <w:rsid w:val="00486128"/>
    <w:rsid w:val="004862B6"/>
    <w:rsid w:val="00486543"/>
    <w:rsid w:val="004937A5"/>
    <w:rsid w:val="00493B1C"/>
    <w:rsid w:val="004949CA"/>
    <w:rsid w:val="0049621B"/>
    <w:rsid w:val="004963DE"/>
    <w:rsid w:val="00497CE2"/>
    <w:rsid w:val="004A07C1"/>
    <w:rsid w:val="004A284F"/>
    <w:rsid w:val="004A3BC8"/>
    <w:rsid w:val="004A4580"/>
    <w:rsid w:val="004A4641"/>
    <w:rsid w:val="004A5B1F"/>
    <w:rsid w:val="004A6C40"/>
    <w:rsid w:val="004B13C4"/>
    <w:rsid w:val="004B4738"/>
    <w:rsid w:val="004B548D"/>
    <w:rsid w:val="004B5684"/>
    <w:rsid w:val="004B628B"/>
    <w:rsid w:val="004B7867"/>
    <w:rsid w:val="004C1895"/>
    <w:rsid w:val="004C29C1"/>
    <w:rsid w:val="004C2A13"/>
    <w:rsid w:val="004C44A5"/>
    <w:rsid w:val="004C48C5"/>
    <w:rsid w:val="004C4A61"/>
    <w:rsid w:val="004C5067"/>
    <w:rsid w:val="004C6B0B"/>
    <w:rsid w:val="004C6D40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E532C"/>
    <w:rsid w:val="004E587F"/>
    <w:rsid w:val="004F0C3C"/>
    <w:rsid w:val="004F2A2C"/>
    <w:rsid w:val="004F4FCA"/>
    <w:rsid w:val="004F5A9B"/>
    <w:rsid w:val="004F63FC"/>
    <w:rsid w:val="004F64F0"/>
    <w:rsid w:val="004F6903"/>
    <w:rsid w:val="00500006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49CE"/>
    <w:rsid w:val="0051691A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F98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6275"/>
    <w:rsid w:val="005662CD"/>
    <w:rsid w:val="005678B6"/>
    <w:rsid w:val="00567A72"/>
    <w:rsid w:val="00567F82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74B"/>
    <w:rsid w:val="00593FB5"/>
    <w:rsid w:val="005943D2"/>
    <w:rsid w:val="00594802"/>
    <w:rsid w:val="00595F5A"/>
    <w:rsid w:val="00597DE4"/>
    <w:rsid w:val="005A09EB"/>
    <w:rsid w:val="005A30AB"/>
    <w:rsid w:val="005A37DA"/>
    <w:rsid w:val="005A45B5"/>
    <w:rsid w:val="005A526E"/>
    <w:rsid w:val="005A698C"/>
    <w:rsid w:val="005B720A"/>
    <w:rsid w:val="005B75B9"/>
    <w:rsid w:val="005C0216"/>
    <w:rsid w:val="005C05EA"/>
    <w:rsid w:val="005C114C"/>
    <w:rsid w:val="005C16BE"/>
    <w:rsid w:val="005C23A7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E5DF4"/>
    <w:rsid w:val="005E64F4"/>
    <w:rsid w:val="005F27B3"/>
    <w:rsid w:val="005F302D"/>
    <w:rsid w:val="005F4A3B"/>
    <w:rsid w:val="005F5129"/>
    <w:rsid w:val="005F5A80"/>
    <w:rsid w:val="005F5FD8"/>
    <w:rsid w:val="00603187"/>
    <w:rsid w:val="006044FF"/>
    <w:rsid w:val="00604C78"/>
    <w:rsid w:val="006051FC"/>
    <w:rsid w:val="00607CC5"/>
    <w:rsid w:val="00607D7C"/>
    <w:rsid w:val="0061026E"/>
    <w:rsid w:val="006102AA"/>
    <w:rsid w:val="00610DCD"/>
    <w:rsid w:val="00612D21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02F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73CA"/>
    <w:rsid w:val="00667D6F"/>
    <w:rsid w:val="00670AB6"/>
    <w:rsid w:val="00671511"/>
    <w:rsid w:val="006720A1"/>
    <w:rsid w:val="006730C2"/>
    <w:rsid w:val="00673657"/>
    <w:rsid w:val="00673BE0"/>
    <w:rsid w:val="00673C26"/>
    <w:rsid w:val="00674508"/>
    <w:rsid w:val="00674ABE"/>
    <w:rsid w:val="0067676E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1E20"/>
    <w:rsid w:val="00692DAC"/>
    <w:rsid w:val="00693C83"/>
    <w:rsid w:val="006944E1"/>
    <w:rsid w:val="00694AF0"/>
    <w:rsid w:val="006969C0"/>
    <w:rsid w:val="006978FA"/>
    <w:rsid w:val="006A0A6A"/>
    <w:rsid w:val="006A1938"/>
    <w:rsid w:val="006A19B6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ACE"/>
    <w:rsid w:val="006E013F"/>
    <w:rsid w:val="006E02EC"/>
    <w:rsid w:val="006E0A1C"/>
    <w:rsid w:val="006E0C18"/>
    <w:rsid w:val="006E2350"/>
    <w:rsid w:val="006E2AC5"/>
    <w:rsid w:val="006E2C25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3DBF"/>
    <w:rsid w:val="00724458"/>
    <w:rsid w:val="00724FB4"/>
    <w:rsid w:val="007317DF"/>
    <w:rsid w:val="0073330A"/>
    <w:rsid w:val="00734924"/>
    <w:rsid w:val="00735139"/>
    <w:rsid w:val="00735E92"/>
    <w:rsid w:val="00737DCC"/>
    <w:rsid w:val="00737E09"/>
    <w:rsid w:val="00741554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475E"/>
    <w:rsid w:val="00765D9A"/>
    <w:rsid w:val="00766E80"/>
    <w:rsid w:val="007702BD"/>
    <w:rsid w:val="00770725"/>
    <w:rsid w:val="00771D52"/>
    <w:rsid w:val="00773B09"/>
    <w:rsid w:val="00773CF3"/>
    <w:rsid w:val="00774F4E"/>
    <w:rsid w:val="00777957"/>
    <w:rsid w:val="007801F5"/>
    <w:rsid w:val="00780316"/>
    <w:rsid w:val="00781422"/>
    <w:rsid w:val="00781779"/>
    <w:rsid w:val="0078199D"/>
    <w:rsid w:val="00783473"/>
    <w:rsid w:val="00783CA4"/>
    <w:rsid w:val="0078416C"/>
    <w:rsid w:val="007842FB"/>
    <w:rsid w:val="00785B50"/>
    <w:rsid w:val="00786124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2673"/>
    <w:rsid w:val="007B3102"/>
    <w:rsid w:val="007B3DB7"/>
    <w:rsid w:val="007B4306"/>
    <w:rsid w:val="007B4F73"/>
    <w:rsid w:val="007B78D0"/>
    <w:rsid w:val="007C0BFB"/>
    <w:rsid w:val="007C198E"/>
    <w:rsid w:val="007C2031"/>
    <w:rsid w:val="007C2970"/>
    <w:rsid w:val="007C2C9F"/>
    <w:rsid w:val="007C3D00"/>
    <w:rsid w:val="007C46D9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DFE"/>
    <w:rsid w:val="007F6B07"/>
    <w:rsid w:val="007F7483"/>
    <w:rsid w:val="007F771F"/>
    <w:rsid w:val="00802022"/>
    <w:rsid w:val="00802E60"/>
    <w:rsid w:val="00803EAA"/>
    <w:rsid w:val="0080553C"/>
    <w:rsid w:val="00805B46"/>
    <w:rsid w:val="00810E8D"/>
    <w:rsid w:val="00811ECD"/>
    <w:rsid w:val="00815E14"/>
    <w:rsid w:val="00816DE1"/>
    <w:rsid w:val="00820371"/>
    <w:rsid w:val="00820A18"/>
    <w:rsid w:val="008211DF"/>
    <w:rsid w:val="00825DC2"/>
    <w:rsid w:val="008263B6"/>
    <w:rsid w:val="00830DEC"/>
    <w:rsid w:val="00833D4E"/>
    <w:rsid w:val="00834AD3"/>
    <w:rsid w:val="00835D3C"/>
    <w:rsid w:val="00836533"/>
    <w:rsid w:val="0083677A"/>
    <w:rsid w:val="0083788A"/>
    <w:rsid w:val="00837C34"/>
    <w:rsid w:val="008425EE"/>
    <w:rsid w:val="00843795"/>
    <w:rsid w:val="008438BA"/>
    <w:rsid w:val="008438C3"/>
    <w:rsid w:val="0084465E"/>
    <w:rsid w:val="00846E9E"/>
    <w:rsid w:val="00847F0F"/>
    <w:rsid w:val="008500B1"/>
    <w:rsid w:val="00850CA0"/>
    <w:rsid w:val="00851330"/>
    <w:rsid w:val="008522FC"/>
    <w:rsid w:val="00852448"/>
    <w:rsid w:val="008529FC"/>
    <w:rsid w:val="0085344B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21BC"/>
    <w:rsid w:val="008739BA"/>
    <w:rsid w:val="00874676"/>
    <w:rsid w:val="00881589"/>
    <w:rsid w:val="0088258A"/>
    <w:rsid w:val="00882FBF"/>
    <w:rsid w:val="00884CFE"/>
    <w:rsid w:val="00884D9B"/>
    <w:rsid w:val="00885575"/>
    <w:rsid w:val="00886332"/>
    <w:rsid w:val="00886D2F"/>
    <w:rsid w:val="00887F70"/>
    <w:rsid w:val="00893543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5601"/>
    <w:rsid w:val="008B6A9A"/>
    <w:rsid w:val="008C0007"/>
    <w:rsid w:val="008C0C29"/>
    <w:rsid w:val="008C1F33"/>
    <w:rsid w:val="008C2E1C"/>
    <w:rsid w:val="008C37DB"/>
    <w:rsid w:val="008C3AB7"/>
    <w:rsid w:val="008C421A"/>
    <w:rsid w:val="008C4E2B"/>
    <w:rsid w:val="008C5119"/>
    <w:rsid w:val="008C5D81"/>
    <w:rsid w:val="008D0037"/>
    <w:rsid w:val="008D2074"/>
    <w:rsid w:val="008D21F2"/>
    <w:rsid w:val="008D3F85"/>
    <w:rsid w:val="008D4A06"/>
    <w:rsid w:val="008D561B"/>
    <w:rsid w:val="008D5D1D"/>
    <w:rsid w:val="008D61DC"/>
    <w:rsid w:val="008D6413"/>
    <w:rsid w:val="008E0933"/>
    <w:rsid w:val="008E0E06"/>
    <w:rsid w:val="008E1949"/>
    <w:rsid w:val="008E6F47"/>
    <w:rsid w:val="008F04DA"/>
    <w:rsid w:val="008F0617"/>
    <w:rsid w:val="008F1C42"/>
    <w:rsid w:val="008F2D53"/>
    <w:rsid w:val="008F3638"/>
    <w:rsid w:val="008F4B57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17B6D"/>
    <w:rsid w:val="00920799"/>
    <w:rsid w:val="009218D1"/>
    <w:rsid w:val="00921A87"/>
    <w:rsid w:val="00921C3F"/>
    <w:rsid w:val="009227A6"/>
    <w:rsid w:val="00923B5D"/>
    <w:rsid w:val="00924EF3"/>
    <w:rsid w:val="00926A92"/>
    <w:rsid w:val="0092758B"/>
    <w:rsid w:val="00927755"/>
    <w:rsid w:val="00927D58"/>
    <w:rsid w:val="009301B3"/>
    <w:rsid w:val="00931AE5"/>
    <w:rsid w:val="0093244E"/>
    <w:rsid w:val="0093398C"/>
    <w:rsid w:val="00933EC1"/>
    <w:rsid w:val="00933F4B"/>
    <w:rsid w:val="00937BDA"/>
    <w:rsid w:val="00943DC6"/>
    <w:rsid w:val="0094417D"/>
    <w:rsid w:val="00944262"/>
    <w:rsid w:val="009442CC"/>
    <w:rsid w:val="00946446"/>
    <w:rsid w:val="00946A4C"/>
    <w:rsid w:val="00946FDC"/>
    <w:rsid w:val="00947AF9"/>
    <w:rsid w:val="009510F1"/>
    <w:rsid w:val="00951EDB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BE1"/>
    <w:rsid w:val="00965F03"/>
    <w:rsid w:val="009665D3"/>
    <w:rsid w:val="0096740A"/>
    <w:rsid w:val="00967D7E"/>
    <w:rsid w:val="00967E4F"/>
    <w:rsid w:val="009705EE"/>
    <w:rsid w:val="00972147"/>
    <w:rsid w:val="00972898"/>
    <w:rsid w:val="00972B83"/>
    <w:rsid w:val="0097447F"/>
    <w:rsid w:val="00975725"/>
    <w:rsid w:val="00977927"/>
    <w:rsid w:val="0098037C"/>
    <w:rsid w:val="0098135C"/>
    <w:rsid w:val="0098156A"/>
    <w:rsid w:val="009821A0"/>
    <w:rsid w:val="00984EEC"/>
    <w:rsid w:val="009863EE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47B"/>
    <w:rsid w:val="009C5934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F41"/>
    <w:rsid w:val="009F6602"/>
    <w:rsid w:val="009F66F2"/>
    <w:rsid w:val="009F686F"/>
    <w:rsid w:val="00A00674"/>
    <w:rsid w:val="00A01A6B"/>
    <w:rsid w:val="00A01B2E"/>
    <w:rsid w:val="00A030E6"/>
    <w:rsid w:val="00A0335F"/>
    <w:rsid w:val="00A052FE"/>
    <w:rsid w:val="00A0647C"/>
    <w:rsid w:val="00A07329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36A47"/>
    <w:rsid w:val="00A40D16"/>
    <w:rsid w:val="00A40F30"/>
    <w:rsid w:val="00A4219B"/>
    <w:rsid w:val="00A4223C"/>
    <w:rsid w:val="00A42C79"/>
    <w:rsid w:val="00A4333F"/>
    <w:rsid w:val="00A457A4"/>
    <w:rsid w:val="00A45EB1"/>
    <w:rsid w:val="00A47D80"/>
    <w:rsid w:val="00A50D1A"/>
    <w:rsid w:val="00A52737"/>
    <w:rsid w:val="00A53132"/>
    <w:rsid w:val="00A5331E"/>
    <w:rsid w:val="00A54D2D"/>
    <w:rsid w:val="00A54EC5"/>
    <w:rsid w:val="00A56357"/>
    <w:rsid w:val="00A563F2"/>
    <w:rsid w:val="00A566E8"/>
    <w:rsid w:val="00A56895"/>
    <w:rsid w:val="00A60E43"/>
    <w:rsid w:val="00A614A4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0EF8"/>
    <w:rsid w:val="00A810F9"/>
    <w:rsid w:val="00A82472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BDA"/>
    <w:rsid w:val="00A90CB1"/>
    <w:rsid w:val="00A91D74"/>
    <w:rsid w:val="00A92C78"/>
    <w:rsid w:val="00AA05AC"/>
    <w:rsid w:val="00AA087A"/>
    <w:rsid w:val="00AA3EB6"/>
    <w:rsid w:val="00AA5069"/>
    <w:rsid w:val="00AA5973"/>
    <w:rsid w:val="00AA710D"/>
    <w:rsid w:val="00AB0FC8"/>
    <w:rsid w:val="00AB237D"/>
    <w:rsid w:val="00AB2553"/>
    <w:rsid w:val="00AB5933"/>
    <w:rsid w:val="00AB62E4"/>
    <w:rsid w:val="00AB6D25"/>
    <w:rsid w:val="00AB788D"/>
    <w:rsid w:val="00AB7943"/>
    <w:rsid w:val="00AB7945"/>
    <w:rsid w:val="00AC2B69"/>
    <w:rsid w:val="00AC37B3"/>
    <w:rsid w:val="00AC502E"/>
    <w:rsid w:val="00AC5CD6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6B92"/>
    <w:rsid w:val="00AD7503"/>
    <w:rsid w:val="00AE19DE"/>
    <w:rsid w:val="00AE287D"/>
    <w:rsid w:val="00AE29E7"/>
    <w:rsid w:val="00AE2BD8"/>
    <w:rsid w:val="00AE2D4B"/>
    <w:rsid w:val="00AE3FB3"/>
    <w:rsid w:val="00AE4F99"/>
    <w:rsid w:val="00AE53E5"/>
    <w:rsid w:val="00AE6D6D"/>
    <w:rsid w:val="00AE78A2"/>
    <w:rsid w:val="00AF19C9"/>
    <w:rsid w:val="00AF6719"/>
    <w:rsid w:val="00AF7709"/>
    <w:rsid w:val="00B04A5B"/>
    <w:rsid w:val="00B05C82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C69"/>
    <w:rsid w:val="00B17330"/>
    <w:rsid w:val="00B1769B"/>
    <w:rsid w:val="00B21BA7"/>
    <w:rsid w:val="00B21C01"/>
    <w:rsid w:val="00B24AF7"/>
    <w:rsid w:val="00B30795"/>
    <w:rsid w:val="00B31E5A"/>
    <w:rsid w:val="00B35CBF"/>
    <w:rsid w:val="00B36B4D"/>
    <w:rsid w:val="00B36D31"/>
    <w:rsid w:val="00B407D3"/>
    <w:rsid w:val="00B41691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543C"/>
    <w:rsid w:val="00B5588D"/>
    <w:rsid w:val="00B55974"/>
    <w:rsid w:val="00B55F47"/>
    <w:rsid w:val="00B5604A"/>
    <w:rsid w:val="00B5620D"/>
    <w:rsid w:val="00B57004"/>
    <w:rsid w:val="00B6033A"/>
    <w:rsid w:val="00B6381E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8076E"/>
    <w:rsid w:val="00B81095"/>
    <w:rsid w:val="00B8272D"/>
    <w:rsid w:val="00B85633"/>
    <w:rsid w:val="00B86655"/>
    <w:rsid w:val="00B910BC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B32C6"/>
    <w:rsid w:val="00BB33B9"/>
    <w:rsid w:val="00BB4F09"/>
    <w:rsid w:val="00BB53B6"/>
    <w:rsid w:val="00BB544E"/>
    <w:rsid w:val="00BC207E"/>
    <w:rsid w:val="00BC3EB9"/>
    <w:rsid w:val="00BC49F8"/>
    <w:rsid w:val="00BC6201"/>
    <w:rsid w:val="00BC70A9"/>
    <w:rsid w:val="00BC7912"/>
    <w:rsid w:val="00BD1BEB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E458D"/>
    <w:rsid w:val="00BF01CB"/>
    <w:rsid w:val="00BF1049"/>
    <w:rsid w:val="00BF3D5D"/>
    <w:rsid w:val="00BF5111"/>
    <w:rsid w:val="00C023D9"/>
    <w:rsid w:val="00C02609"/>
    <w:rsid w:val="00C030DE"/>
    <w:rsid w:val="00C05167"/>
    <w:rsid w:val="00C11343"/>
    <w:rsid w:val="00C11F28"/>
    <w:rsid w:val="00C14EF3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5DEE"/>
    <w:rsid w:val="00C366B3"/>
    <w:rsid w:val="00C36999"/>
    <w:rsid w:val="00C3702F"/>
    <w:rsid w:val="00C37A03"/>
    <w:rsid w:val="00C41057"/>
    <w:rsid w:val="00C41317"/>
    <w:rsid w:val="00C41642"/>
    <w:rsid w:val="00C41764"/>
    <w:rsid w:val="00C45997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7295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1D4F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3AA"/>
    <w:rsid w:val="00CE13CA"/>
    <w:rsid w:val="00CE2057"/>
    <w:rsid w:val="00CE2C3A"/>
    <w:rsid w:val="00CE3423"/>
    <w:rsid w:val="00CE4AEE"/>
    <w:rsid w:val="00CE53D6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CF76F3"/>
    <w:rsid w:val="00D0079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4F72"/>
    <w:rsid w:val="00D2518C"/>
    <w:rsid w:val="00D261A2"/>
    <w:rsid w:val="00D2644B"/>
    <w:rsid w:val="00D30D5C"/>
    <w:rsid w:val="00D30EF4"/>
    <w:rsid w:val="00D33F39"/>
    <w:rsid w:val="00D342B1"/>
    <w:rsid w:val="00D36DA1"/>
    <w:rsid w:val="00D36DF7"/>
    <w:rsid w:val="00D40A89"/>
    <w:rsid w:val="00D420C8"/>
    <w:rsid w:val="00D4256C"/>
    <w:rsid w:val="00D45A80"/>
    <w:rsid w:val="00D463B3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A0E"/>
    <w:rsid w:val="00D63B5F"/>
    <w:rsid w:val="00D63EF3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B37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562E"/>
    <w:rsid w:val="00DB78C1"/>
    <w:rsid w:val="00DB7C11"/>
    <w:rsid w:val="00DC024A"/>
    <w:rsid w:val="00DC047D"/>
    <w:rsid w:val="00DC09D7"/>
    <w:rsid w:val="00DC0CDE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3449"/>
    <w:rsid w:val="00DE3D03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74B2"/>
    <w:rsid w:val="00E17B77"/>
    <w:rsid w:val="00E17D40"/>
    <w:rsid w:val="00E23337"/>
    <w:rsid w:val="00E2366B"/>
    <w:rsid w:val="00E24F07"/>
    <w:rsid w:val="00E24F8E"/>
    <w:rsid w:val="00E259EA"/>
    <w:rsid w:val="00E270BA"/>
    <w:rsid w:val="00E30043"/>
    <w:rsid w:val="00E315A4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64C5"/>
    <w:rsid w:val="00E66665"/>
    <w:rsid w:val="00E671A2"/>
    <w:rsid w:val="00E67A9D"/>
    <w:rsid w:val="00E705AD"/>
    <w:rsid w:val="00E71287"/>
    <w:rsid w:val="00E7580A"/>
    <w:rsid w:val="00E76B90"/>
    <w:rsid w:val="00E76D26"/>
    <w:rsid w:val="00E774A7"/>
    <w:rsid w:val="00E82DBC"/>
    <w:rsid w:val="00E845CB"/>
    <w:rsid w:val="00E849C9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B71E4"/>
    <w:rsid w:val="00EC0CED"/>
    <w:rsid w:val="00EC2197"/>
    <w:rsid w:val="00EC4F64"/>
    <w:rsid w:val="00EC55DB"/>
    <w:rsid w:val="00ED04D0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ED7"/>
    <w:rsid w:val="00EE5F94"/>
    <w:rsid w:val="00EE66D9"/>
    <w:rsid w:val="00EE77AC"/>
    <w:rsid w:val="00EF3AE3"/>
    <w:rsid w:val="00EF4EF9"/>
    <w:rsid w:val="00EF6B0F"/>
    <w:rsid w:val="00EF7576"/>
    <w:rsid w:val="00F037A4"/>
    <w:rsid w:val="00F03961"/>
    <w:rsid w:val="00F04030"/>
    <w:rsid w:val="00F10507"/>
    <w:rsid w:val="00F113BA"/>
    <w:rsid w:val="00F11509"/>
    <w:rsid w:val="00F137F7"/>
    <w:rsid w:val="00F1426B"/>
    <w:rsid w:val="00F14A08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77E"/>
    <w:rsid w:val="00F44D12"/>
    <w:rsid w:val="00F46B76"/>
    <w:rsid w:val="00F5192C"/>
    <w:rsid w:val="00F51A96"/>
    <w:rsid w:val="00F536E7"/>
    <w:rsid w:val="00F539BD"/>
    <w:rsid w:val="00F54181"/>
    <w:rsid w:val="00F55149"/>
    <w:rsid w:val="00F608D1"/>
    <w:rsid w:val="00F60CF2"/>
    <w:rsid w:val="00F6158E"/>
    <w:rsid w:val="00F6182D"/>
    <w:rsid w:val="00F61F53"/>
    <w:rsid w:val="00F64468"/>
    <w:rsid w:val="00F64AC1"/>
    <w:rsid w:val="00F66D82"/>
    <w:rsid w:val="00F67582"/>
    <w:rsid w:val="00F67C2A"/>
    <w:rsid w:val="00F67D8F"/>
    <w:rsid w:val="00F708DF"/>
    <w:rsid w:val="00F7265B"/>
    <w:rsid w:val="00F74112"/>
    <w:rsid w:val="00F779CC"/>
    <w:rsid w:val="00F802BE"/>
    <w:rsid w:val="00F816A1"/>
    <w:rsid w:val="00F81BB6"/>
    <w:rsid w:val="00F81C4E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86DA7"/>
    <w:rsid w:val="00F91606"/>
    <w:rsid w:val="00F9379A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1641"/>
    <w:rsid w:val="00FC2AED"/>
    <w:rsid w:val="00FC4EB3"/>
    <w:rsid w:val="00FC625D"/>
    <w:rsid w:val="00FC67EF"/>
    <w:rsid w:val="00FC6AC9"/>
    <w:rsid w:val="00FD1955"/>
    <w:rsid w:val="00FD5C59"/>
    <w:rsid w:val="00FD5EA7"/>
    <w:rsid w:val="00FD5F18"/>
    <w:rsid w:val="00FE19FF"/>
    <w:rsid w:val="00FE1B93"/>
    <w:rsid w:val="00FE4879"/>
    <w:rsid w:val="00FE6CB4"/>
    <w:rsid w:val="00FF19A5"/>
    <w:rsid w:val="00FF2F66"/>
    <w:rsid w:val="00FF3C81"/>
    <w:rsid w:val="00FF4875"/>
    <w:rsid w:val="00FF4E3F"/>
    <w:rsid w:val="00FF5E10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://stat.gov.pl/en/metainformations/glossary/terms-used-in-official-statistics/362,term.html" TargetMode="External"/><Relationship Id="rId21" Type="http://schemas.openxmlformats.org/officeDocument/2006/relationships/image" Target="media/image7.png"/><Relationship Id="rId34" Type="http://schemas.openxmlformats.org/officeDocument/2006/relationships/hyperlink" Target="http://stat.gov.pl/en/metainformations/glossary/terms-used-in-official-statistics/1313,term.html" TargetMode="External"/><Relationship Id="rId42" Type="http://schemas.openxmlformats.org/officeDocument/2006/relationships/hyperlink" Target="http://stat.gov.pl/en/metainformations/glossary/terms-used-in-official-statistics/356,term.html" TargetMode="External"/><Relationship Id="rId47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://stat.gov.pl/en/metainformations/glossary/terms-used-in-official-statistics/707,term.html" TargetMode="External"/><Relationship Id="rId11" Type="http://schemas.openxmlformats.org/officeDocument/2006/relationships/image" Target="media/image30.emf"/><Relationship Id="rId24" Type="http://schemas.openxmlformats.org/officeDocument/2006/relationships/hyperlink" Target="http://bdm.stat.gov.pl/" TargetMode="External"/><Relationship Id="rId32" Type="http://schemas.openxmlformats.org/officeDocument/2006/relationships/hyperlink" Target="http://stat.gov.pl/en/metainformations/glossary/terms-used-in-official-statistics/1314,term.html" TargetMode="External"/><Relationship Id="rId37" Type="http://schemas.openxmlformats.org/officeDocument/2006/relationships/hyperlink" Target="http://stat.gov.pl/en/poland-macroeconomic-indicators/" TargetMode="External"/><Relationship Id="rId40" Type="http://schemas.openxmlformats.org/officeDocument/2006/relationships/hyperlink" Target="http://stat.gov.pl/en/metainformations/glossary/terms-used-in-official-statistics/700,term.html" TargetMode="External"/><Relationship Id="rId45" Type="http://schemas.openxmlformats.org/officeDocument/2006/relationships/hyperlink" Target="http://stat.gov.pl/en/metainformations/glossary/terms-used-in-official-statistics/357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://swaid.stat.gov.pl/EN/SitePagesDBW/ProdukcjaPrzemyslowa.aspx" TargetMode="External"/><Relationship Id="rId28" Type="http://schemas.openxmlformats.org/officeDocument/2006/relationships/hyperlink" Target="http://stat.gov.pl/en/metainformations/glossary/terms-used-in-official-statistics/700,term.html" TargetMode="External"/><Relationship Id="rId36" Type="http://schemas.openxmlformats.org/officeDocument/2006/relationships/hyperlink" Target="http://bdm.stat.gov.pl/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en/metainformations/glossary/terms-used-in-official-statistics/1317,term.html" TargetMode="External"/><Relationship Id="rId44" Type="http://schemas.openxmlformats.org/officeDocument/2006/relationships/hyperlink" Target="http://stat.gov.pl/en/metainformations/glossary/terms-used-in-official-statistics/1314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image" Target="media/image8.png"/><Relationship Id="rId27" Type="http://schemas.openxmlformats.org/officeDocument/2006/relationships/hyperlink" Target="http://stat.gov.pl/en/metainformations/glossary/terms-used-in-official-statistics/362,term.html" TargetMode="External"/><Relationship Id="rId30" Type="http://schemas.openxmlformats.org/officeDocument/2006/relationships/hyperlink" Target="http://stat.gov.pl/en/metainformations/glossary/terms-used-in-official-statistics/356,term.html" TargetMode="External"/><Relationship Id="rId35" Type="http://schemas.openxmlformats.org/officeDocument/2006/relationships/hyperlink" Target="http://swaid.stat.gov.pl/EN/SitePagesDBW/ProdukcjaPrzemyslowa.aspx" TargetMode="External"/><Relationship Id="rId43" Type="http://schemas.openxmlformats.org/officeDocument/2006/relationships/hyperlink" Target="http://stat.gov.pl/en/metainformations/glossary/terms-used-in-official-statistics/1317,term.html" TargetMode="External"/><Relationship Id="rId48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yperlink" Target="http://stat.gov.pl/en/poland-macroeconomic-indicators/" TargetMode="External"/><Relationship Id="rId33" Type="http://schemas.openxmlformats.org/officeDocument/2006/relationships/hyperlink" Target="http://stat.gov.pl/en/metainformations/glossary/terms-used-in-official-statistics/357,term.html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hyperlink" Target="http://stat.gov.pl/en/metainformations/glossary/terms-used-in-official-statistics/1313,term.html" TargetMode="External"/><Relationship Id="rId20" Type="http://schemas.openxmlformats.org/officeDocument/2006/relationships/image" Target="media/image6.png"/><Relationship Id="rId41" Type="http://schemas.openxmlformats.org/officeDocument/2006/relationships/hyperlink" Target="http://stat.gov.pl/en/metainformations/glossary/terms-used-in-official-statistics/70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'2021 (2)'!$A$5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(2)'!$B$5:$M$5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F1A-454C-AB63-6B308FFE0E80}"/>
            </c:ext>
          </c:extLst>
        </c:ser>
        <c:ser>
          <c:idx val="2"/>
          <c:order val="1"/>
          <c:tx>
            <c:strRef>
              <c:f>'2021 (2)'!$A$6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(2)'!$B$6:$M$6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F1A-454C-AB63-6B308FFE0E80}"/>
            </c:ext>
          </c:extLst>
        </c:ser>
        <c:ser>
          <c:idx val="3"/>
          <c:order val="2"/>
          <c:tx>
            <c:strRef>
              <c:f>'2021 (2)'!$A$7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(2)'!$B$7:$M$7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EF1A-454C-AB63-6B308FFE0E80}"/>
            </c:ext>
          </c:extLst>
        </c:ser>
        <c:ser>
          <c:idx val="4"/>
          <c:order val="3"/>
          <c:tx>
            <c:strRef>
              <c:f>'2021 (2)'!$A$8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>
                    <a:alpha val="91000"/>
                  </a:srgbClr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99CEB3">
                      <a:alpha val="91000"/>
                    </a:srgbClr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99CEB3"/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EF1A-454C-AB63-6B308FFE0E80}"/>
              </c:ext>
            </c:extLst>
          </c:dPt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(2)'!$B$8:$M$8</c:f>
              <c:numCache>
                <c:formatCode>0.0</c:formatCode>
                <c:ptCount val="12"/>
                <c:pt idx="0">
                  <c:v>119.1</c:v>
                </c:pt>
                <c:pt idx="1">
                  <c:v>121.7</c:v>
                </c:pt>
                <c:pt idx="2">
                  <c:v>124.4</c:v>
                </c:pt>
                <c:pt idx="3">
                  <c:v>92.7</c:v>
                </c:pt>
                <c:pt idx="4">
                  <c:v>102.2</c:v>
                </c:pt>
                <c:pt idx="5">
                  <c:v>116.4</c:v>
                </c:pt>
                <c:pt idx="6">
                  <c:v>120.3</c:v>
                </c:pt>
                <c:pt idx="7">
                  <c:v>113.4</c:v>
                </c:pt>
                <c:pt idx="8">
                  <c:v>130.80000000000001</c:v>
                </c:pt>
                <c:pt idx="9">
                  <c:v>134.9</c:v>
                </c:pt>
                <c:pt idx="10">
                  <c:v>132.6</c:v>
                </c:pt>
                <c:pt idx="11">
                  <c:v>126.7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EF1A-454C-AB63-6B308FFE0E80}"/>
            </c:ext>
          </c:extLst>
        </c:ser>
        <c:ser>
          <c:idx val="0"/>
          <c:order val="4"/>
          <c:tx>
            <c:strRef>
              <c:f>'2021 (2)'!$A$9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>
                    <a:alpha val="91000"/>
                  </a:srgbClr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>
                      <a:alpha val="91000"/>
                    </a:srgbClr>
                  </a:solidFill>
                </a:ln>
                <a:effectLst/>
              </c:spPr>
            </c:marker>
            <c:bubble3D val="0"/>
            <c:spPr>
              <a:ln w="22225" cap="rnd">
                <a:solidFill>
                  <a:srgbClr val="001D77"/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F1A-454C-AB63-6B308FFE0E80}"/>
              </c:ext>
            </c:extLst>
          </c:dPt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(2)'!$B$9:$M$9</c:f>
              <c:numCache>
                <c:formatCode>0.0</c:formatCode>
                <c:ptCount val="12"/>
                <c:pt idx="0">
                  <c:v>119.9</c:v>
                </c:pt>
                <c:pt idx="1">
                  <c:v>124.7</c:v>
                </c:pt>
                <c:pt idx="2">
                  <c:v>147.5</c:v>
                </c:pt>
                <c:pt idx="3">
                  <c:v>133.69999999999999</c:v>
                </c:pt>
                <c:pt idx="4">
                  <c:v>132.6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EF1A-454C-AB63-6B308FFE0E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35704272"/>
        <c:axId val="-1635708080"/>
      </c:lineChart>
      <c:catAx>
        <c:axId val="-1635704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35708080"/>
        <c:crossesAt val="100"/>
        <c:auto val="1"/>
        <c:lblAlgn val="ctr"/>
        <c:lblOffset val="100"/>
        <c:noMultiLvlLbl val="0"/>
      </c:catAx>
      <c:valAx>
        <c:axId val="-1635708080"/>
        <c:scaling>
          <c:orientation val="minMax"/>
          <c:max val="150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35704272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094782131927715E-2"/>
          <c:y val="4.1841682833124123E-2"/>
          <c:w val="0.51021602033397773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'V 2021 ang'!$B$1</c:f>
              <c:strCache>
                <c:ptCount val="1"/>
                <c:pt idx="0">
                  <c:v>05 2020</c:v>
                </c:pt>
              </c:strCache>
            </c:strRef>
          </c:tx>
          <c:spPr>
            <a:solidFill>
              <a:srgbClr val="99A5C9"/>
            </a:solidFill>
          </c:spPr>
          <c:invertIfNegative val="0"/>
          <c:cat>
            <c:strRef>
              <c:f>'V 2021 ang'!$A$2:$A$13</c:f>
              <c:strCache>
                <c:ptCount val="12"/>
                <c:pt idx="0">
                  <c:v>Manufacture of motor vehicles, trailers and semi-trailers</c:v>
                </c:pt>
                <c:pt idx="1">
                  <c:v>Manufacture of computer, electronic and optical products</c:v>
                </c:pt>
                <c:pt idx="2">
                  <c:v>Manufacture of electrical equipment</c:v>
                </c:pt>
                <c:pt idx="3">
                  <c:v>Manufacture of furniture</c:v>
                </c:pt>
                <c:pt idx="4">
                  <c:v>Manufacture of rubber and plastic products</c:v>
                </c:pt>
                <c:pt idx="5">
                  <c:v>Manufacture of metal products</c:v>
                </c:pt>
                <c:pt idx="6">
                  <c:v>Manufacture of machinery and equipment </c:v>
                </c:pt>
                <c:pt idx="7">
                  <c:v>Manufacture of basic metals</c:v>
                </c:pt>
                <c:pt idx="8">
                  <c:v>Manufacture of products of wood, cork, straw and wicker</c:v>
                </c:pt>
                <c:pt idx="9">
                  <c:v>Other manufacturing  </c:v>
                </c:pt>
                <c:pt idx="10">
                  <c:v>Manufacture of paper and paper products</c:v>
                </c:pt>
                <c:pt idx="11">
                  <c:v>Manufacture of other non-metallic mineral products</c:v>
                </c:pt>
              </c:strCache>
            </c:strRef>
          </c:cat>
          <c:val>
            <c:numRef>
              <c:f>'V 2021 ang'!$B$2:$B$13</c:f>
              <c:numCache>
                <c:formatCode>0.0_ ;[Red]\-0.0\ </c:formatCode>
                <c:ptCount val="12"/>
                <c:pt idx="0">
                  <c:v>42.2</c:v>
                </c:pt>
                <c:pt idx="1">
                  <c:v>90.4</c:v>
                </c:pt>
                <c:pt idx="2">
                  <c:v>101.1</c:v>
                </c:pt>
                <c:pt idx="3">
                  <c:v>80.2</c:v>
                </c:pt>
                <c:pt idx="4">
                  <c:v>83.2</c:v>
                </c:pt>
                <c:pt idx="5">
                  <c:v>83.5</c:v>
                </c:pt>
                <c:pt idx="6">
                  <c:v>73.7</c:v>
                </c:pt>
                <c:pt idx="7">
                  <c:v>81.099999999999994</c:v>
                </c:pt>
                <c:pt idx="8">
                  <c:v>88.2</c:v>
                </c:pt>
                <c:pt idx="9">
                  <c:v>94.8</c:v>
                </c:pt>
                <c:pt idx="10">
                  <c:v>87</c:v>
                </c:pt>
                <c:pt idx="11">
                  <c:v>87.3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96E-449D-94B3-A92F05FA0754}"/>
            </c:ext>
          </c:extLst>
        </c:ser>
        <c:ser>
          <c:idx val="2"/>
          <c:order val="1"/>
          <c:tx>
            <c:strRef>
              <c:f>'V 2021 ang'!$C$1</c:f>
              <c:strCache>
                <c:ptCount val="1"/>
                <c:pt idx="0">
                  <c:v>05 2021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'V 2021 ang'!$A$2:$A$13</c:f>
              <c:strCache>
                <c:ptCount val="12"/>
                <c:pt idx="0">
                  <c:v>Manufacture of motor vehicles, trailers and semi-trailers</c:v>
                </c:pt>
                <c:pt idx="1">
                  <c:v>Manufacture of computer, electronic and optical products</c:v>
                </c:pt>
                <c:pt idx="2">
                  <c:v>Manufacture of electrical equipment</c:v>
                </c:pt>
                <c:pt idx="3">
                  <c:v>Manufacture of furniture</c:v>
                </c:pt>
                <c:pt idx="4">
                  <c:v>Manufacture of rubber and plastic products</c:v>
                </c:pt>
                <c:pt idx="5">
                  <c:v>Manufacture of metal products</c:v>
                </c:pt>
                <c:pt idx="6">
                  <c:v>Manufacture of machinery and equipment </c:v>
                </c:pt>
                <c:pt idx="7">
                  <c:v>Manufacture of basic metals</c:v>
                </c:pt>
                <c:pt idx="8">
                  <c:v>Manufacture of products of wood, cork, straw and wicker</c:v>
                </c:pt>
                <c:pt idx="9">
                  <c:v>Other manufacturing  </c:v>
                </c:pt>
                <c:pt idx="10">
                  <c:v>Manufacture of paper and paper products</c:v>
                </c:pt>
                <c:pt idx="11">
                  <c:v>Manufacture of other non-metallic mineral products</c:v>
                </c:pt>
              </c:strCache>
            </c:strRef>
          </c:cat>
          <c:val>
            <c:numRef>
              <c:f>'V 2021 ang'!$C$2:$C$13</c:f>
              <c:numCache>
                <c:formatCode>0.0_ ;[Red]\-0.0\ </c:formatCode>
                <c:ptCount val="12"/>
                <c:pt idx="0">
                  <c:v>203.9</c:v>
                </c:pt>
                <c:pt idx="1">
                  <c:v>170.2</c:v>
                </c:pt>
                <c:pt idx="2">
                  <c:v>146.1</c:v>
                </c:pt>
                <c:pt idx="3">
                  <c:v>141.80000000000001</c:v>
                </c:pt>
                <c:pt idx="4">
                  <c:v>141.19999999999999</c:v>
                </c:pt>
                <c:pt idx="5">
                  <c:v>137.69999999999999</c:v>
                </c:pt>
                <c:pt idx="6">
                  <c:v>136.19999999999999</c:v>
                </c:pt>
                <c:pt idx="7">
                  <c:v>134.1</c:v>
                </c:pt>
                <c:pt idx="8">
                  <c:v>130.9</c:v>
                </c:pt>
                <c:pt idx="9">
                  <c:v>130</c:v>
                </c:pt>
                <c:pt idx="10">
                  <c:v>129</c:v>
                </c:pt>
                <c:pt idx="11">
                  <c:v>129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96E-449D-94B3-A92F05FA07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635705904"/>
        <c:axId val="-1635709712"/>
      </c:barChart>
      <c:catAx>
        <c:axId val="-163570590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1635709712"/>
        <c:crossesAt val="100"/>
        <c:auto val="1"/>
        <c:lblAlgn val="ctr"/>
        <c:lblOffset val="20"/>
        <c:noMultiLvlLbl val="0"/>
      </c:catAx>
      <c:valAx>
        <c:axId val="-1635709712"/>
        <c:scaling>
          <c:orientation val="minMax"/>
          <c:max val="220"/>
          <c:min val="4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1635705904"/>
        <c:crosses val="max"/>
        <c:crossBetween val="between"/>
        <c:majorUnit val="20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690492520305313E-2"/>
          <c:y val="3.3516148689823277E-2"/>
          <c:w val="0.91255146111462604"/>
          <c:h val="0.6889603408007734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'wykres słupkowy - maj ang.'!$C$2</c:f>
              <c:strCache>
                <c:ptCount val="1"/>
                <c:pt idx="0">
                  <c:v>01</c:v>
                </c:pt>
              </c:strCache>
            </c:strRef>
          </c:tx>
          <c:spPr>
            <a:solidFill>
              <a:srgbClr val="CCE4F4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EDB-4031-8553-D3735B7EF20B}"/>
              </c:ext>
            </c:extLst>
          </c:dPt>
          <c:dPt>
            <c:idx val="1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EDB-4031-8553-D3735B7EF20B}"/>
              </c:ext>
            </c:extLst>
          </c:dPt>
          <c:dPt>
            <c:idx val="2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EDB-4031-8553-D3735B7EF20B}"/>
              </c:ext>
            </c:extLst>
          </c:dPt>
          <c:dPt>
            <c:idx val="3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EDB-4031-8553-D3735B7EF20B}"/>
              </c:ext>
            </c:extLst>
          </c:dPt>
          <c:dPt>
            <c:idx val="4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8EDB-4031-8553-D3735B7EF20B}"/>
              </c:ext>
            </c:extLst>
          </c:dPt>
          <c:dPt>
            <c:idx val="7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8EDB-4031-8553-D3735B7EF20B}"/>
              </c:ext>
            </c:extLst>
          </c:dPt>
          <c:dPt>
            <c:idx val="8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8EDB-4031-8553-D3735B7EF20B}"/>
              </c:ext>
            </c:extLst>
          </c:dPt>
          <c:dPt>
            <c:idx val="9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8EDB-4031-8553-D3735B7EF20B}"/>
              </c:ext>
            </c:extLst>
          </c:dPt>
          <c:dPt>
            <c:idx val="10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8EDB-4031-8553-D3735B7EF20B}"/>
              </c:ext>
            </c:extLst>
          </c:dPt>
          <c:dPt>
            <c:idx val="13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8EDB-4031-8553-D3735B7EF20B}"/>
              </c:ext>
            </c:extLst>
          </c:dPt>
          <c:dPt>
            <c:idx val="14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8EDB-4031-8553-D3735B7EF20B}"/>
              </c:ext>
            </c:extLst>
          </c:dPt>
          <c:dPt>
            <c:idx val="15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8EDB-4031-8553-D3735B7EF20B}"/>
              </c:ext>
            </c:extLst>
          </c:dPt>
          <c:dPt>
            <c:idx val="16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8EDB-4031-8553-D3735B7EF20B}"/>
              </c:ext>
            </c:extLst>
          </c:dPt>
          <c:dPt>
            <c:idx val="19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8EDB-4031-8553-D3735B7EF20B}"/>
              </c:ext>
            </c:extLst>
          </c:dPt>
          <c:dPt>
            <c:idx val="20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8EDB-4031-8553-D3735B7EF20B}"/>
              </c:ext>
            </c:extLst>
          </c:dPt>
          <c:dPt>
            <c:idx val="21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8EDB-4031-8553-D3735B7EF20B}"/>
              </c:ext>
            </c:extLst>
          </c:dPt>
          <c:dPt>
            <c:idx val="22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8EDB-4031-8553-D3735B7EF20B}"/>
              </c:ext>
            </c:extLst>
          </c:dPt>
          <c:dPt>
            <c:idx val="25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8EDB-4031-8553-D3735B7EF20B}"/>
              </c:ext>
            </c:extLst>
          </c:dPt>
          <c:dPt>
            <c:idx val="26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5-8EDB-4031-8553-D3735B7EF20B}"/>
              </c:ext>
            </c:extLst>
          </c:dPt>
          <c:dPt>
            <c:idx val="27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7-8EDB-4031-8553-D3735B7EF20B}"/>
              </c:ext>
            </c:extLst>
          </c:dPt>
          <c:dPt>
            <c:idx val="28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8EDB-4031-8553-D3735B7EF20B}"/>
              </c:ext>
            </c:extLst>
          </c:dPt>
          <c:dPt>
            <c:idx val="31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8EDB-4031-8553-D3735B7EF20B}"/>
              </c:ext>
            </c:extLst>
          </c:dPt>
          <c:dPt>
            <c:idx val="32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8EDB-4031-8553-D3735B7EF20B}"/>
              </c:ext>
            </c:extLst>
          </c:dPt>
          <c:dPt>
            <c:idx val="33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8EDB-4031-8553-D3735B7EF20B}"/>
              </c:ext>
            </c:extLst>
          </c:dPt>
          <c:dPt>
            <c:idx val="34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1-8EDB-4031-8553-D3735B7EF20B}"/>
              </c:ext>
            </c:extLst>
          </c:dPt>
          <c:cat>
            <c:numRef>
              <c:f>'wykres słupkowy - maj ang.'!$A$3:$A$38</c:f>
              <c:numCache>
                <c:formatCode>General</c:formatCode>
                <c:ptCount val="36"/>
              </c:numCache>
            </c:numRef>
          </c:cat>
          <c:val>
            <c:numRef>
              <c:f>'wykres słupkowy - maj ang.'!$C$3:$C$38</c:f>
              <c:numCache>
                <c:formatCode>0.0_ ;[Red]\-0.0\ </c:formatCode>
                <c:ptCount val="36"/>
                <c:pt idx="0">
                  <c:v>103.6</c:v>
                </c:pt>
                <c:pt idx="1">
                  <c:v>109.2</c:v>
                </c:pt>
                <c:pt idx="2">
                  <c:v>118</c:v>
                </c:pt>
                <c:pt idx="3">
                  <c:v>87.2</c:v>
                </c:pt>
                <c:pt idx="4">
                  <c:v>90.9</c:v>
                </c:pt>
                <c:pt idx="6">
                  <c:v>91</c:v>
                </c:pt>
                <c:pt idx="7">
                  <c:v>103.7</c:v>
                </c:pt>
                <c:pt idx="8">
                  <c:v>126.7</c:v>
                </c:pt>
                <c:pt idx="9">
                  <c:v>91.4</c:v>
                </c:pt>
                <c:pt idx="10">
                  <c:v>92.5</c:v>
                </c:pt>
                <c:pt idx="12">
                  <c:v>90.7</c:v>
                </c:pt>
                <c:pt idx="13">
                  <c:v>100.5</c:v>
                </c:pt>
                <c:pt idx="14">
                  <c:v>115.1</c:v>
                </c:pt>
                <c:pt idx="15">
                  <c:v>90.4</c:v>
                </c:pt>
                <c:pt idx="16">
                  <c:v>93.7</c:v>
                </c:pt>
                <c:pt idx="18">
                  <c:v>143.69999999999999</c:v>
                </c:pt>
                <c:pt idx="19">
                  <c:v>89.2</c:v>
                </c:pt>
                <c:pt idx="20">
                  <c:v>122.9</c:v>
                </c:pt>
                <c:pt idx="21">
                  <c:v>92.6</c:v>
                </c:pt>
                <c:pt idx="22">
                  <c:v>103.4</c:v>
                </c:pt>
                <c:pt idx="24">
                  <c:v>92.6</c:v>
                </c:pt>
                <c:pt idx="25">
                  <c:v>101.1</c:v>
                </c:pt>
                <c:pt idx="26">
                  <c:v>145.5</c:v>
                </c:pt>
                <c:pt idx="27">
                  <c:v>92.9</c:v>
                </c:pt>
                <c:pt idx="28">
                  <c:v>103.8</c:v>
                </c:pt>
                <c:pt idx="30">
                  <c:v>91.7</c:v>
                </c:pt>
                <c:pt idx="31">
                  <c:v>96.3</c:v>
                </c:pt>
                <c:pt idx="32">
                  <c:v>112.7</c:v>
                </c:pt>
                <c:pt idx="33">
                  <c:v>94.2</c:v>
                </c:pt>
                <c:pt idx="34">
                  <c:v>109.4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2-8EDB-4031-8553-D3735B7EF20B}"/>
            </c:ext>
          </c:extLst>
        </c:ser>
        <c:ser>
          <c:idx val="2"/>
          <c:order val="2"/>
          <c:tx>
            <c:strRef>
              <c:f>'wykres słupkowy - maj ang.'!$D$2</c:f>
              <c:strCache>
                <c:ptCount val="1"/>
                <c:pt idx="0">
                  <c:v>02</c:v>
                </c:pt>
              </c:strCache>
            </c:strRef>
          </c:tx>
          <c:spPr>
            <a:solidFill>
              <a:srgbClr val="66AFDE"/>
            </a:solidFill>
            <a:ln>
              <a:noFill/>
            </a:ln>
            <a:effectLst/>
          </c:spPr>
          <c:invertIfNegative val="0"/>
          <c:cat>
            <c:numRef>
              <c:f>'wykres słupkowy - maj ang.'!$A$3:$A$38</c:f>
              <c:numCache>
                <c:formatCode>General</c:formatCode>
                <c:ptCount val="36"/>
              </c:numCache>
            </c:numRef>
          </c:cat>
          <c:val>
            <c:numRef>
              <c:f>'wykres słupkowy - maj ang.'!$D$3:$D$38</c:f>
              <c:numCache>
                <c:formatCode>General</c:formatCode>
                <c:ptCount val="3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3-8EDB-4031-8553-D3735B7EF20B}"/>
            </c:ext>
          </c:extLst>
        </c:ser>
        <c:ser>
          <c:idx val="3"/>
          <c:order val="3"/>
          <c:tx>
            <c:strRef>
              <c:f>'wykres słupkowy - maj ang.'!$E$2</c:f>
              <c:strCache>
                <c:ptCount val="1"/>
                <c:pt idx="0">
                  <c:v>03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cat>
            <c:numRef>
              <c:f>'wykres słupkowy - maj ang.'!$A$3:$A$38</c:f>
              <c:numCache>
                <c:formatCode>General</c:formatCode>
                <c:ptCount val="36"/>
              </c:numCache>
            </c:numRef>
          </c:cat>
          <c:val>
            <c:numRef>
              <c:f>'wykres słupkowy - maj ang.'!$E$3:$E$38</c:f>
              <c:numCache>
                <c:formatCode>General</c:formatCode>
                <c:ptCount val="3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4-8EDB-4031-8553-D3735B7EF20B}"/>
            </c:ext>
          </c:extLst>
        </c:ser>
        <c:ser>
          <c:idx val="4"/>
          <c:order val="4"/>
          <c:tx>
            <c:strRef>
              <c:f>'wykres słupkowy - maj ang.'!$F$2</c:f>
              <c:strCache>
                <c:ptCount val="1"/>
                <c:pt idx="0">
                  <c:v>04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numRef>
              <c:f>'wykres słupkowy - maj ang.'!$A$3:$A$38</c:f>
              <c:numCache>
                <c:formatCode>General</c:formatCode>
                <c:ptCount val="36"/>
              </c:numCache>
            </c:numRef>
          </c:cat>
          <c:val>
            <c:numRef>
              <c:f>'wykres słupkowy - maj ang.'!$F$3:$F$38</c:f>
              <c:numCache>
                <c:formatCode>General</c:formatCode>
                <c:ptCount val="3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5-8EDB-4031-8553-D3735B7EF20B}"/>
            </c:ext>
          </c:extLst>
        </c:ser>
        <c:ser>
          <c:idx val="5"/>
          <c:order val="5"/>
          <c:tx>
            <c:strRef>
              <c:f>'wykres słupkowy - maj ang.'!$G$2</c:f>
              <c:strCache>
                <c:ptCount val="1"/>
                <c:pt idx="0">
                  <c:v>05</c:v>
                </c:pt>
              </c:strCache>
            </c:strRef>
          </c:tx>
          <c:spPr>
            <a:solidFill>
              <a:srgbClr val="006269"/>
            </a:solidFill>
            <a:ln>
              <a:noFill/>
            </a:ln>
            <a:effectLst/>
          </c:spPr>
          <c:invertIfNegative val="0"/>
          <c:cat>
            <c:numRef>
              <c:f>'wykres słupkowy - maj ang.'!$A$3:$A$38</c:f>
              <c:numCache>
                <c:formatCode>General</c:formatCode>
                <c:ptCount val="36"/>
              </c:numCache>
            </c:numRef>
          </c:cat>
          <c:val>
            <c:numRef>
              <c:f>'wykres słupkowy - maj ang.'!$G$3:$G$38</c:f>
              <c:numCache>
                <c:formatCode>General</c:formatCode>
                <c:ptCount val="3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6-8EDB-4031-8553-D3735B7EF2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6"/>
        <c:overlap val="94"/>
        <c:axId val="-1635706992"/>
        <c:axId val="-1635706448"/>
        <c:extLst xmlns:c16r2="http://schemas.microsoft.com/office/drawing/2015/06/chart"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'wykres słupkowy - maj ang.'!$B$2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'wykres słupkowy - maj ang.'!$A$3:$A$38</c15:sqref>
                        </c15:formulaRef>
                      </c:ext>
                    </c:extLst>
                    <c:numCache>
                      <c:formatCode>General</c:formatCode>
                      <c:ptCount val="36"/>
                    </c:numCache>
                  </c:numRef>
                </c:cat>
                <c:val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'wykres słupkowy - maj ang.'!$B$3:$B$38</c15:sqref>
                        </c15:formulaRef>
                      </c:ext>
                    </c:extLst>
                    <c:numCache>
                      <c:formatCode>General</c:formatCode>
                      <c:ptCount val="36"/>
                    </c:numCache>
                  </c:numRef>
                </c:val>
                <c:extLst xmlns:c16r2="http://schemas.microsoft.com/office/drawing/2015/06/chart">
                  <c:ext xmlns:c16="http://schemas.microsoft.com/office/drawing/2014/chart" uri="{C3380CC4-5D6E-409C-BE32-E72D297353CC}">
                    <c16:uniqueId val="{00000037-8EDB-4031-8553-D3735B7EF20B}"/>
                  </c:ext>
                </c:extLst>
              </c15:ser>
            </c15:filteredBarSeries>
          </c:ext>
        </c:extLst>
      </c:barChart>
      <c:catAx>
        <c:axId val="-1635706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1635706448"/>
        <c:crossesAt val="100"/>
        <c:auto val="1"/>
        <c:lblAlgn val="ctr"/>
        <c:lblOffset val="100"/>
        <c:noMultiLvlLbl val="0"/>
      </c:catAx>
      <c:valAx>
        <c:axId val="-1635706448"/>
        <c:scaling>
          <c:orientation val="minMax"/>
          <c:max val="150"/>
          <c:min val="8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 ;[Red]\-0\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35706992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948060973598082"/>
          <c:y val="0.92237787308626884"/>
          <c:w val="0.46442479632652267"/>
          <c:h val="3.75034760712966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="" xmlns:a16="http://schemas.microsoft.com/office/drawing/2014/main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0.33558</cdr:x>
      <cdr:y>0.72439</cdr:y>
    </cdr:from>
    <cdr:to>
      <cdr:x>0.49899</cdr:x>
      <cdr:y>0.88824</cdr:y>
    </cdr:to>
    <cdr:sp macro="" textlink="">
      <cdr:nvSpPr>
        <cdr:cNvPr id="2" name="pole tekstowe 1">
          <a:extLst xmlns:a="http://schemas.openxmlformats.org/drawingml/2006/main">
            <a:ext uri="{FF2B5EF4-FFF2-40B4-BE49-F238E27FC236}">
              <a16:creationId xmlns="" xmlns:a16="http://schemas.microsoft.com/office/drawing/2014/main" id="{BD0D6622-5DAD-43B7-8791-C192ABDBB908}"/>
            </a:ext>
          </a:extLst>
        </cdr:cNvPr>
        <cdr:cNvSpPr txBox="1"/>
      </cdr:nvSpPr>
      <cdr:spPr>
        <a:xfrm xmlns:a="http://schemas.openxmlformats.org/drawingml/2006/main">
          <a:off x="1893547" y="3803178"/>
          <a:ext cx="922043" cy="860242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Mining of coal and lignite 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0.02633</cdr:x>
      <cdr:y>0.72215</cdr:y>
    </cdr:from>
    <cdr:to>
      <cdr:x>0.22989</cdr:x>
      <cdr:y>0.88411</cdr:y>
    </cdr:to>
    <cdr:sp macro="" textlink="">
      <cdr:nvSpPr>
        <cdr:cNvPr id="3" name="pole tekstowe 2">
          <a:extLst xmlns:a="http://schemas.openxmlformats.org/drawingml/2006/main">
            <a:ext uri="{FF2B5EF4-FFF2-40B4-BE49-F238E27FC236}">
              <a16:creationId xmlns="" xmlns:a16="http://schemas.microsoft.com/office/drawing/2014/main" id="{920B724C-518B-45F1-9FD1-D890DC95E7DD}"/>
            </a:ext>
          </a:extLst>
        </cdr:cNvPr>
        <cdr:cNvSpPr txBox="1"/>
      </cdr:nvSpPr>
      <cdr:spPr>
        <a:xfrm xmlns:a="http://schemas.openxmlformats.org/drawingml/2006/main">
          <a:off x="134869" y="3156305"/>
          <a:ext cx="1042768" cy="707886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spAutoFit/>
        </a:bodyPr>
        <a:lstStyle xmlns:a="http://schemas.openxmlformats.org/drawingml/2006/main"/>
        <a:p xmlns:a="http://schemas.openxmlformats.org/drawingml/2006/main">
          <a:pPr algn="ctr" eaLnBrk="1" fontAlgn="auto" latinLnBrk="0" hangingPunct="1"/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of motor vehicles, trailers and semi-   -trailers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  <a:p xmlns:a="http://schemas.openxmlformats.org/drawingml/2006/main">
          <a:pPr algn="ctr"/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0.20053</cdr:x>
      <cdr:y>0.72227</cdr:y>
    </cdr:from>
    <cdr:to>
      <cdr:x>0.3516</cdr:x>
      <cdr:y>0.82258</cdr:y>
    </cdr:to>
    <cdr:sp macro="" textlink="">
      <cdr:nvSpPr>
        <cdr:cNvPr id="5" name="pole tekstowe 4">
          <a:extLst xmlns:a="http://schemas.openxmlformats.org/drawingml/2006/main">
            <a:ext uri="{FF2B5EF4-FFF2-40B4-BE49-F238E27FC236}">
              <a16:creationId xmlns="" xmlns:a16="http://schemas.microsoft.com/office/drawing/2014/main" id="{D9D65981-5F6F-4BDB-A967-09D022993F6E}"/>
            </a:ext>
          </a:extLst>
        </cdr:cNvPr>
        <cdr:cNvSpPr txBox="1"/>
      </cdr:nvSpPr>
      <cdr:spPr>
        <a:xfrm xmlns:a="http://schemas.openxmlformats.org/drawingml/2006/main">
          <a:off x="1027239" y="3156808"/>
          <a:ext cx="773852" cy="438447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of textiles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0.82174</cdr:x>
      <cdr:y>0.72198</cdr:y>
    </cdr:from>
    <cdr:to>
      <cdr:x>0.97299</cdr:x>
      <cdr:y>0.93153</cdr:y>
    </cdr:to>
    <cdr:sp macro="" textlink="">
      <cdr:nvSpPr>
        <cdr:cNvPr id="6" name="pole tekstowe 5">
          <a:extLst xmlns:a="http://schemas.openxmlformats.org/drawingml/2006/main">
            <a:ext uri="{FF2B5EF4-FFF2-40B4-BE49-F238E27FC236}">
              <a16:creationId xmlns="" xmlns:a16="http://schemas.microsoft.com/office/drawing/2014/main" id="{0133FE06-A3BE-4B92-8F69-55A108940963}"/>
            </a:ext>
          </a:extLst>
        </cdr:cNvPr>
        <cdr:cNvSpPr txBox="1"/>
      </cdr:nvSpPr>
      <cdr:spPr>
        <a:xfrm xmlns:a="http://schemas.openxmlformats.org/drawingml/2006/main">
          <a:off x="4209400" y="2990516"/>
          <a:ext cx="774785" cy="86797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of coke </a:t>
          </a:r>
        </a:p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and refined petroleum products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0.49358</cdr:x>
      <cdr:y>0.72095</cdr:y>
    </cdr:from>
    <cdr:to>
      <cdr:x>0.65858</cdr:x>
      <cdr:y>0.86212</cdr:y>
    </cdr:to>
    <cdr:sp macro="" textlink="">
      <cdr:nvSpPr>
        <cdr:cNvPr id="7" name="pole tekstowe 6">
          <a:extLst xmlns:a="http://schemas.openxmlformats.org/drawingml/2006/main">
            <a:ext uri="{FF2B5EF4-FFF2-40B4-BE49-F238E27FC236}">
              <a16:creationId xmlns="" xmlns:a16="http://schemas.microsoft.com/office/drawing/2014/main" id="{43A482A1-94F6-4DB0-A098-6EB3EBD9CCC0}"/>
            </a:ext>
          </a:extLst>
        </cdr:cNvPr>
        <cdr:cNvSpPr txBox="1"/>
      </cdr:nvSpPr>
      <cdr:spPr>
        <a:xfrm xmlns:a="http://schemas.openxmlformats.org/drawingml/2006/main">
          <a:off x="2528401" y="2986241"/>
          <a:ext cx="845181" cy="584733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 eaLnBrk="1" fontAlgn="auto" latinLnBrk="0" hangingPunct="1"/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of basic metals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  <a:p xmlns:a="http://schemas.openxmlformats.org/drawingml/2006/main">
          <a:pPr algn="ctr"/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0.62725</cdr:x>
      <cdr:y>0.72328</cdr:y>
    </cdr:from>
    <cdr:to>
      <cdr:x>0.84519</cdr:x>
      <cdr:y>0.85903</cdr:y>
    </cdr:to>
    <cdr:sp macro="" textlink="">
      <cdr:nvSpPr>
        <cdr:cNvPr id="8" name="pole tekstowe 7">
          <a:extLst xmlns:a="http://schemas.openxmlformats.org/drawingml/2006/main">
            <a:ext uri="{FF2B5EF4-FFF2-40B4-BE49-F238E27FC236}">
              <a16:creationId xmlns="" xmlns:a16="http://schemas.microsoft.com/office/drawing/2014/main" id="{E2667829-AC67-447F-A19F-E67BC9D78250}"/>
            </a:ext>
          </a:extLst>
        </cdr:cNvPr>
        <cdr:cNvSpPr txBox="1"/>
      </cdr:nvSpPr>
      <cdr:spPr>
        <a:xfrm xmlns:a="http://schemas.openxmlformats.org/drawingml/2006/main">
          <a:off x="3213129" y="3161223"/>
          <a:ext cx="1116418" cy="593360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 eaLnBrk="1" fontAlgn="auto" latinLnBrk="0" hangingPunct="1"/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of other non-metallic mineral products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  <a:p xmlns:a="http://schemas.openxmlformats.org/drawingml/2006/main">
          <a:pPr algn="ctr"/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142DF5E7-186A-4815-9AAE-9F712BE94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675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sold production of industry in May 2021</dc:title>
  <dc:subject>Index numbers of sold production of industry</dc:subject>
  <dc:creator>Statistics Poland</dc:creator>
  <cp:lastPrinted>2020-06-19T06:38:00Z</cp:lastPrinted>
  <dcterms:created xsi:type="dcterms:W3CDTF">2021-06-18T09:22:00Z</dcterms:created>
  <dcterms:modified xsi:type="dcterms:W3CDTF">2021-06-18T09:22:00Z</dcterms:modified>
  <cp:category>Industry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