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33542E62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3CFBBD07" w14:textId="38D55F42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516C36">
        <w:rPr>
          <w:shd w:val="clear" w:color="auto" w:fill="FFFFFF"/>
          <w:lang w:val="en-GB"/>
        </w:rPr>
        <w:t>June</w:t>
      </w:r>
      <w:r w:rsidR="002C5475">
        <w:rPr>
          <w:shd w:val="clear" w:color="auto" w:fill="FFFFFF"/>
          <w:lang w:val="en-GB"/>
        </w:rPr>
        <w:t xml:space="preserve"> 2021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1255094D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05A23A65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0C03385C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16564AD7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6C3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18.4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78433F27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516C36">
                              <w:rPr>
                                <w:sz w:val="20"/>
                                <w:lang w:val="en-US"/>
                              </w:rPr>
                              <w:t>June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C5475">
                              <w:rPr>
                                <w:sz w:val="20"/>
                                <w:lang w:val="en-US"/>
                              </w:rPr>
                              <w:t>2020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16564AD7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6C3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18.4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78433F27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516C36">
                        <w:rPr>
                          <w:sz w:val="20"/>
                          <w:lang w:val="en-US"/>
                        </w:rPr>
                        <w:t>June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C5475">
                        <w:rPr>
                          <w:sz w:val="20"/>
                          <w:lang w:val="en-US"/>
                        </w:rPr>
                        <w:t>2020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81E">
        <w:rPr>
          <w:lang w:val="en-GB"/>
        </w:rPr>
        <w:t xml:space="preserve">In </w:t>
      </w:r>
      <w:r w:rsidR="00516C36">
        <w:rPr>
          <w:lang w:val="en-GB"/>
        </w:rPr>
        <w:t>June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2021</w:t>
      </w:r>
      <w:r w:rsidRPr="00C52703">
        <w:rPr>
          <w:lang w:val="en-GB"/>
        </w:rPr>
        <w:t xml:space="preserve">, sold production of industry was by </w:t>
      </w:r>
      <w:r w:rsidR="00516C36">
        <w:rPr>
          <w:lang w:val="en-GB"/>
        </w:rPr>
        <w:t>18.4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516C36">
        <w:rPr>
          <w:lang w:val="en-GB"/>
        </w:rPr>
        <w:t>June</w:t>
      </w:r>
      <w:r w:rsidR="002C5475">
        <w:rPr>
          <w:lang w:val="en-GB"/>
        </w:rPr>
        <w:t xml:space="preserve"> 2020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516C36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516C36">
        <w:rPr>
          <w:spacing w:val="-2"/>
          <w:lang w:val="en-GB"/>
        </w:rPr>
        <w:t>0.5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516C36">
        <w:rPr>
          <w:spacing w:val="-2"/>
          <w:lang w:val="en-GB"/>
        </w:rPr>
        <w:t xml:space="preserve">May </w:t>
      </w:r>
      <w:r w:rsidR="002C5475">
        <w:rPr>
          <w:spacing w:val="-2"/>
          <w:lang w:val="en-GB"/>
        </w:rPr>
        <w:t>2021</w:t>
      </w:r>
      <w:r>
        <w:rPr>
          <w:spacing w:val="-2"/>
          <w:lang w:val="en-GB"/>
        </w:rPr>
        <w:t>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516C36">
        <w:rPr>
          <w:spacing w:val="-2"/>
          <w:lang w:val="en-GB"/>
        </w:rPr>
        <w:t>in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516C36">
        <w:rPr>
          <w:spacing w:val="-2"/>
          <w:lang w:val="en-GB"/>
        </w:rPr>
        <w:t>4.0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516C36">
        <w:rPr>
          <w:lang w:val="en-GB"/>
        </w:rPr>
        <w:t>June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of 2021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607D7C">
        <w:rPr>
          <w:lang w:val="en-GB"/>
        </w:rPr>
        <w:t>18.</w:t>
      </w:r>
      <w:r w:rsidR="00516C36">
        <w:rPr>
          <w:lang w:val="en-GB"/>
        </w:rPr>
        <w:t>2</w:t>
      </w:r>
      <w:r w:rsidRPr="00C52703">
        <w:rPr>
          <w:lang w:val="en-GB"/>
        </w:rPr>
        <w:t xml:space="preserve">% </w:t>
      </w:r>
      <w:r w:rsidR="002C5475">
        <w:rPr>
          <w:lang w:val="en-GB"/>
        </w:rPr>
        <w:t>higher</w:t>
      </w:r>
      <w:r w:rsidRPr="00C52703">
        <w:rPr>
          <w:lang w:val="en-GB"/>
        </w:rPr>
        <w:t xml:space="preserve"> than in </w:t>
      </w:r>
      <w:r w:rsidR="002C5475">
        <w:rPr>
          <w:lang w:val="en-GB"/>
        </w:rPr>
        <w:t>the corresponding period of 2020</w:t>
      </w:r>
      <w:r>
        <w:rPr>
          <w:lang w:val="en-GB"/>
        </w:rPr>
        <w:t>,</w:t>
      </w:r>
      <w:r w:rsidRPr="00C52703">
        <w:rPr>
          <w:lang w:val="en-GB"/>
        </w:rPr>
        <w:t xml:space="preserve"> which saw a </w:t>
      </w:r>
      <w:r w:rsidR="00A54D2D">
        <w:rPr>
          <w:lang w:val="en-GB"/>
        </w:rPr>
        <w:t>decrease</w:t>
      </w:r>
      <w:r w:rsidR="00E90FCB">
        <w:rPr>
          <w:lang w:val="en-GB"/>
        </w:rPr>
        <w:t xml:space="preserve"> by </w:t>
      </w:r>
      <w:r w:rsidR="00516C36">
        <w:rPr>
          <w:lang w:val="en-GB"/>
        </w:rPr>
        <w:t>6.3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26F4F134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5B0D3E7B" w14:textId="27BC24DC" w:rsidR="00965BE1" w:rsidRDefault="00965BE1" w:rsidP="00BB33B9">
      <w:pPr>
        <w:pStyle w:val="LID"/>
        <w:jc w:val="both"/>
        <w:rPr>
          <w:spacing w:val="-2"/>
          <w:lang w:val="en-GB"/>
        </w:rPr>
      </w:pPr>
    </w:p>
    <w:p w14:paraId="73D91776" w14:textId="2E0DEB33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3F73DEEB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2C829147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516C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="007556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C54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516C3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18.6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61AFCDB" id="_x0000_s1028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wqas/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2C829147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516C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="007556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C54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516C3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18.6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396D463B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516C36">
        <w:rPr>
          <w:noProof/>
          <w:spacing w:val="-2"/>
          <w:szCs w:val="19"/>
          <w:lang w:val="en-GB"/>
        </w:rPr>
        <w:t>June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2021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516C36">
        <w:rPr>
          <w:noProof/>
          <w:spacing w:val="-2"/>
          <w:szCs w:val="19"/>
          <w:lang w:val="en-GB"/>
        </w:rPr>
        <w:t>18.6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2020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A54D2D">
        <w:rPr>
          <w:noProof/>
          <w:spacing w:val="-2"/>
          <w:szCs w:val="19"/>
          <w:lang w:val="en-GB"/>
        </w:rPr>
        <w:t>0.</w:t>
      </w:r>
      <w:r w:rsidR="00516C36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607D7C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516C36">
        <w:rPr>
          <w:noProof/>
          <w:spacing w:val="-2"/>
          <w:szCs w:val="19"/>
          <w:lang w:val="en-GB"/>
        </w:rPr>
        <w:t>May</w:t>
      </w:r>
      <w:r w:rsidR="002C5475">
        <w:rPr>
          <w:noProof/>
          <w:spacing w:val="-2"/>
          <w:szCs w:val="19"/>
          <w:lang w:val="en-GB"/>
        </w:rPr>
        <w:t xml:space="preserve"> 2021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53785446" w:rsidR="003627E7" w:rsidRPr="007B4306" w:rsidRDefault="00516C36" w:rsidP="000C2AC9">
      <w:pPr>
        <w:spacing w:before="360"/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56896" behindDoc="0" locked="0" layoutInCell="1" allowOverlap="1" wp14:anchorId="425D25FD" wp14:editId="141BD511">
            <wp:simplePos x="0" y="0"/>
            <wp:positionH relativeFrom="column">
              <wp:posOffset>-80645</wp:posOffset>
            </wp:positionH>
            <wp:positionV relativeFrom="paragraph">
              <wp:posOffset>353060</wp:posOffset>
            </wp:positionV>
            <wp:extent cx="5122545" cy="3021965"/>
            <wp:effectExtent l="0" t="0" r="1905" b="6985"/>
            <wp:wrapSquare wrapText="bothSides"/>
            <wp:docPr id="6" name="Wykres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45208E7" w14:textId="380E1DC5" w:rsidR="002C5475" w:rsidRDefault="002C5475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1098E2B7" w14:textId="77777777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7E047A49" w:rsidR="000C2AC9" w:rsidRDefault="002C547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June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2021</w:t>
      </w:r>
      <w:r w:rsidR="00DC1CD2"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6730C2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in</w:t>
      </w:r>
      <w:r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</w:t>
      </w:r>
      <w:r w:rsidR="005B720A">
        <w:rPr>
          <w:b w:val="0"/>
          <w:sz w:val="19"/>
          <w:szCs w:val="19"/>
          <w:shd w:val="clear" w:color="auto" w:fill="FFFFFF"/>
          <w:lang w:val="en-GB"/>
        </w:rPr>
        <w:t xml:space="preserve">all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main industrial groupings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C6603C" w:rsidRPr="00C6603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16C36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516C36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>
        <w:rPr>
          <w:b w:val="0"/>
          <w:sz w:val="19"/>
          <w:szCs w:val="19"/>
          <w:shd w:val="clear" w:color="auto" w:fill="FFFFFF"/>
          <w:lang w:val="en-GB"/>
        </w:rPr>
        <w:t>went up</w:t>
      </w:r>
      <w:r w:rsidR="009F4E8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24.7</w:t>
      </w:r>
      <w:r w:rsidR="00607D7C" w:rsidRPr="00DC024A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393C51" w:rsidRPr="00DC024A">
        <w:rPr>
          <w:b w:val="0"/>
          <w:sz w:val="19"/>
          <w:szCs w:val="19"/>
          <w:shd w:val="clear" w:color="auto" w:fill="FFFFFF"/>
          <w:lang w:val="en-GB"/>
        </w:rPr>
        <w:t xml:space="preserve">intermediate goods – by 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23.9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516C36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516C36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18.8</w:t>
      </w:r>
      <w:r w:rsidR="00516C36" w:rsidRPr="00DC024A">
        <w:rPr>
          <w:b w:val="0"/>
          <w:sz w:val="19"/>
          <w:szCs w:val="19"/>
          <w:shd w:val="clear" w:color="auto" w:fill="FFFFFF"/>
          <w:lang w:val="en-GB"/>
        </w:rPr>
        <w:t>%,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16C36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516C36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13.7%</w:t>
      </w:r>
      <w:r w:rsidR="00516C36" w:rsidRPr="00516C3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and</w:t>
      </w:r>
      <w:r w:rsidR="00516C36"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393C51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324F86">
        <w:rPr>
          <w:b w:val="0"/>
          <w:sz w:val="19"/>
          <w:szCs w:val="19"/>
          <w:shd w:val="clear" w:color="auto" w:fill="FFFFFF"/>
          <w:lang w:val="en-GB"/>
        </w:rPr>
        <w:t>6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.8</w:t>
      </w:r>
      <w:r w:rsidR="00393C51">
        <w:rPr>
          <w:b w:val="0"/>
          <w:sz w:val="19"/>
          <w:szCs w:val="19"/>
          <w:shd w:val="clear" w:color="auto" w:fill="FFFFFF"/>
          <w:lang w:val="en-GB"/>
        </w:rPr>
        <w:t>%</w:t>
      </w:r>
      <w:r w:rsidR="00516C36">
        <w:rPr>
          <w:b w:val="0"/>
          <w:sz w:val="19"/>
          <w:szCs w:val="19"/>
          <w:shd w:val="clear" w:color="auto" w:fill="FFFFFF"/>
          <w:lang w:val="en-GB"/>
        </w:rPr>
        <w:t>.</w:t>
      </w:r>
      <w:r w:rsidR="000C2A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93C51" w:rsidRPr="00393C5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262C585" w14:textId="224035DE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6C8C67B" w14:textId="77777777" w:rsidR="00DC1CD2" w:rsidRPr="000C2AC9" w:rsidRDefault="00DC1CD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64E5E8C" w14:textId="1F733686" w:rsidR="000C2AC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21FF845B" w14:textId="77777777" w:rsidR="00DC1CD2" w:rsidRDefault="00DC1CD2" w:rsidP="00BB33B9">
      <w:pPr>
        <w:spacing w:before="0" w:after="0"/>
        <w:rPr>
          <w:sz w:val="16"/>
          <w:szCs w:val="16"/>
          <w:lang w:val="en-GB"/>
        </w:rPr>
      </w:pPr>
    </w:p>
    <w:p w14:paraId="08C039FB" w14:textId="6C4C9841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39"/>
        <w:gridCol w:w="1275"/>
        <w:gridCol w:w="1560"/>
        <w:gridCol w:w="1417"/>
      </w:tblGrid>
      <w:tr w:rsidR="00BB33B9" w:rsidRPr="00C52703" w14:paraId="6891EC02" w14:textId="77777777" w:rsidTr="004A6C40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174" w:type="dxa"/>
            <w:gridSpan w:val="3"/>
            <w:vAlign w:val="center"/>
          </w:tcPr>
          <w:p w14:paraId="42522CF5" w14:textId="246BF0BC" w:rsidR="00BB33B9" w:rsidRPr="00C52703" w:rsidRDefault="00B9273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7A7EE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6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2C547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</w:p>
        </w:tc>
        <w:tc>
          <w:tcPr>
            <w:tcW w:w="1417" w:type="dxa"/>
          </w:tcPr>
          <w:p w14:paraId="65938CEA" w14:textId="6890511A" w:rsidR="00BB33B9" w:rsidRPr="00C52703" w:rsidRDefault="002C5475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B9273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</w:t>
            </w:r>
            <w:r w:rsidR="007A7EE6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6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2021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4A6C40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39" w:type="dxa"/>
            <w:tcBorders>
              <w:bottom w:val="single" w:sz="12" w:space="0" w:color="212492"/>
            </w:tcBorders>
            <w:vAlign w:val="center"/>
          </w:tcPr>
          <w:p w14:paraId="516C0C05" w14:textId="2F3DB431" w:rsidR="00BB33B9" w:rsidRPr="00C52703" w:rsidRDefault="00B9273E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7A7EE6">
              <w:rPr>
                <w:color w:val="000000" w:themeColor="text1"/>
                <w:sz w:val="16"/>
                <w:szCs w:val="16"/>
                <w:lang w:val="en-GB"/>
              </w:rPr>
              <w:t>5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1=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39160A69" w14:textId="32C94A60" w:rsidR="00BB33B9" w:rsidRPr="00C52703" w:rsidRDefault="00B9273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7A7EE6">
              <w:rPr>
                <w:color w:val="000000" w:themeColor="text1"/>
                <w:sz w:val="16"/>
                <w:szCs w:val="16"/>
                <w:lang w:val="en-GB"/>
              </w:rPr>
              <w:t>6</w:t>
            </w:r>
            <w:r w:rsidR="002C5475">
              <w:rPr>
                <w:color w:val="000000" w:themeColor="text1"/>
                <w:sz w:val="16"/>
                <w:szCs w:val="16"/>
                <w:lang w:val="en-GB"/>
              </w:rPr>
              <w:t xml:space="preserve"> 202</w:t>
            </w:r>
            <w:r w:rsidR="00F33263"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60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0691100D" w14:textId="020B0E08" w:rsidR="00BB33B9" w:rsidRPr="00C43A96" w:rsidRDefault="00B9273E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01-0</w:t>
            </w:r>
            <w:r w:rsidR="007A7EE6">
              <w:rPr>
                <w:sz w:val="16"/>
                <w:szCs w:val="16"/>
                <w:lang w:val="en-GB"/>
              </w:rPr>
              <w:t>6</w:t>
            </w:r>
            <w:r w:rsidR="004A6C40">
              <w:rPr>
                <w:sz w:val="16"/>
                <w:szCs w:val="16"/>
                <w:lang w:val="en-GB"/>
              </w:rPr>
              <w:t xml:space="preserve"> 2020</w:t>
            </w:r>
            <w:r w:rsidR="004A6C40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4A6C40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39" w:type="dxa"/>
            <w:tcBorders>
              <w:top w:val="single" w:sz="12" w:space="0" w:color="212492"/>
            </w:tcBorders>
            <w:vAlign w:val="center"/>
          </w:tcPr>
          <w:p w14:paraId="444C7070" w14:textId="73205C62" w:rsidR="0019680B" w:rsidRPr="009D4C87" w:rsidRDefault="007A7EE6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104.0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38247E3" w14:textId="7D0FFBF0" w:rsidR="0019680B" w:rsidRPr="009D4C87" w:rsidRDefault="007A7EE6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118.4</w:t>
            </w:r>
          </w:p>
        </w:tc>
        <w:tc>
          <w:tcPr>
            <w:tcW w:w="1560" w:type="dxa"/>
            <w:tcBorders>
              <w:top w:val="single" w:sz="12" w:space="0" w:color="212492"/>
            </w:tcBorders>
            <w:vAlign w:val="center"/>
          </w:tcPr>
          <w:p w14:paraId="780CA913" w14:textId="15F33352" w:rsidR="0019680B" w:rsidRPr="00DD58F4" w:rsidRDefault="007A7EE6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137.8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18BF4766" w14:textId="2A95326D" w:rsidR="0019680B" w:rsidRPr="009D4C87" w:rsidRDefault="007A7EE6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118.2</w:t>
            </w:r>
          </w:p>
        </w:tc>
      </w:tr>
      <w:tr w:rsidR="0019680B" w:rsidRPr="001D6A44" w14:paraId="2A38CBFB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39" w:type="dxa"/>
            <w:vAlign w:val="center"/>
          </w:tcPr>
          <w:p w14:paraId="35ECCD50" w14:textId="7A41F3D2" w:rsidR="0019680B" w:rsidRPr="009D4C87" w:rsidRDefault="007A7EE6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  <w:tc>
          <w:tcPr>
            <w:tcW w:w="1275" w:type="dxa"/>
            <w:vAlign w:val="center"/>
          </w:tcPr>
          <w:p w14:paraId="588D4170" w14:textId="4A180A3D" w:rsidR="0019680B" w:rsidRPr="009D4C87" w:rsidRDefault="007A7EE6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98.1</w:t>
            </w:r>
          </w:p>
        </w:tc>
        <w:tc>
          <w:tcPr>
            <w:tcW w:w="1560" w:type="dxa"/>
            <w:vAlign w:val="center"/>
          </w:tcPr>
          <w:p w14:paraId="3E145B8D" w14:textId="6A73B031" w:rsidR="0019680B" w:rsidRPr="00DD58F4" w:rsidRDefault="007A7EE6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84.6</w:t>
            </w:r>
          </w:p>
        </w:tc>
        <w:tc>
          <w:tcPr>
            <w:tcW w:w="1417" w:type="dxa"/>
            <w:vAlign w:val="center"/>
          </w:tcPr>
          <w:p w14:paraId="2E08FF59" w14:textId="0FAAB2B3" w:rsidR="0019680B" w:rsidRPr="009D4C87" w:rsidRDefault="007A7EE6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99.4</w:t>
            </w:r>
          </w:p>
        </w:tc>
      </w:tr>
      <w:tr w:rsidR="0019680B" w:rsidRPr="001D6A44" w14:paraId="150A389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39" w:type="dxa"/>
            <w:vAlign w:val="center"/>
          </w:tcPr>
          <w:p w14:paraId="7FC620EA" w14:textId="500D9D4F" w:rsidR="0019680B" w:rsidRPr="009D4C87" w:rsidRDefault="007A7EE6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104.7</w:t>
            </w:r>
          </w:p>
        </w:tc>
        <w:tc>
          <w:tcPr>
            <w:tcW w:w="1275" w:type="dxa"/>
            <w:vAlign w:val="center"/>
          </w:tcPr>
          <w:p w14:paraId="6EE9A7FE" w14:textId="06E7601F" w:rsidR="0019680B" w:rsidRPr="009D4C87" w:rsidRDefault="007A7EE6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119.4</w:t>
            </w:r>
          </w:p>
        </w:tc>
        <w:tc>
          <w:tcPr>
            <w:tcW w:w="1560" w:type="dxa"/>
            <w:vAlign w:val="center"/>
          </w:tcPr>
          <w:p w14:paraId="14DEA633" w14:textId="3B5868CC" w:rsidR="0019680B" w:rsidRPr="00DD58F4" w:rsidRDefault="007A7EE6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143.0</w:t>
            </w:r>
          </w:p>
        </w:tc>
        <w:tc>
          <w:tcPr>
            <w:tcW w:w="1417" w:type="dxa"/>
            <w:vAlign w:val="center"/>
          </w:tcPr>
          <w:p w14:paraId="3C9AADCC" w14:textId="660C85FA" w:rsidR="0019680B" w:rsidRPr="009D4C87" w:rsidRDefault="007A7EE6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119.3</w:t>
            </w:r>
          </w:p>
        </w:tc>
      </w:tr>
      <w:tr w:rsidR="0019680B" w:rsidRPr="00D22ECE" w14:paraId="42745E07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39" w:type="dxa"/>
            <w:vAlign w:val="center"/>
          </w:tcPr>
          <w:p w14:paraId="5D57BAE3" w14:textId="2BA4FC54" w:rsidR="0019680B" w:rsidRPr="009D4C87" w:rsidRDefault="007A7EE6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95.0</w:t>
            </w:r>
          </w:p>
        </w:tc>
        <w:tc>
          <w:tcPr>
            <w:tcW w:w="1275" w:type="dxa"/>
            <w:vAlign w:val="center"/>
          </w:tcPr>
          <w:p w14:paraId="09A98E34" w14:textId="23709932" w:rsidR="0019680B" w:rsidRPr="009D4C87" w:rsidRDefault="007A7EE6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114.8</w:t>
            </w:r>
          </w:p>
        </w:tc>
        <w:tc>
          <w:tcPr>
            <w:tcW w:w="1560" w:type="dxa"/>
            <w:vAlign w:val="center"/>
          </w:tcPr>
          <w:p w14:paraId="48C11E68" w14:textId="10EC16E5" w:rsidR="0019680B" w:rsidRPr="00DD58F4" w:rsidRDefault="007A7EE6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103.7</w:t>
            </w:r>
          </w:p>
        </w:tc>
        <w:tc>
          <w:tcPr>
            <w:tcW w:w="1417" w:type="dxa"/>
            <w:vAlign w:val="center"/>
          </w:tcPr>
          <w:p w14:paraId="33B85A7E" w14:textId="35BA2C80" w:rsidR="0019680B" w:rsidRPr="009D4C87" w:rsidRDefault="007A7EE6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115.0</w:t>
            </w:r>
          </w:p>
        </w:tc>
      </w:tr>
      <w:tr w:rsidR="0019680B" w:rsidRPr="00A20FD5" w14:paraId="48DD5616" w14:textId="77777777" w:rsidTr="004A6C40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proofErr w:type="gramStart"/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</w:t>
            </w:r>
            <w:proofErr w:type="gramEnd"/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proofErr w:type="gramStart"/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activities</w:t>
            </w:r>
            <w:proofErr w:type="gramEnd"/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39" w:type="dxa"/>
            <w:vAlign w:val="center"/>
          </w:tcPr>
          <w:p w14:paraId="10ECFA20" w14:textId="69661F03" w:rsidR="0019680B" w:rsidRPr="009D4C87" w:rsidRDefault="007A7EE6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105.6</w:t>
            </w:r>
          </w:p>
        </w:tc>
        <w:tc>
          <w:tcPr>
            <w:tcW w:w="1275" w:type="dxa"/>
            <w:vAlign w:val="center"/>
          </w:tcPr>
          <w:p w14:paraId="6E445ECF" w14:textId="2AF67864" w:rsidR="0019680B" w:rsidRPr="009D4C87" w:rsidRDefault="007A7EE6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113.3</w:t>
            </w:r>
          </w:p>
        </w:tc>
        <w:tc>
          <w:tcPr>
            <w:tcW w:w="1560" w:type="dxa"/>
            <w:vAlign w:val="center"/>
          </w:tcPr>
          <w:p w14:paraId="4FF62C73" w14:textId="3B040C96" w:rsidR="0019680B" w:rsidRPr="00DD58F4" w:rsidRDefault="007A7EE6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149.7</w:t>
            </w:r>
          </w:p>
        </w:tc>
        <w:tc>
          <w:tcPr>
            <w:tcW w:w="1417" w:type="dxa"/>
            <w:vAlign w:val="center"/>
          </w:tcPr>
          <w:p w14:paraId="32141E5B" w14:textId="76B35CFD" w:rsidR="0019680B" w:rsidRPr="009D4C87" w:rsidRDefault="007A7EE6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112.4</w:t>
            </w:r>
          </w:p>
        </w:tc>
      </w:tr>
    </w:tbl>
    <w:p w14:paraId="6E3C5957" w14:textId="71459422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2AD5FE51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7A7EE6">
        <w:rPr>
          <w:sz w:val="16"/>
          <w:szCs w:val="16"/>
          <w:lang w:val="en-GB"/>
        </w:rPr>
        <w:t>May</w:t>
      </w:r>
      <w:r w:rsidR="00B9273E">
        <w:rPr>
          <w:sz w:val="16"/>
          <w:szCs w:val="16"/>
          <w:lang w:val="en-GB"/>
        </w:rPr>
        <w:t xml:space="preserve"> and </w:t>
      </w:r>
      <w:r w:rsidR="00B6381E">
        <w:rPr>
          <w:sz w:val="16"/>
          <w:szCs w:val="16"/>
          <w:lang w:val="en-GB"/>
        </w:rPr>
        <w:t>reported data – in</w:t>
      </w:r>
      <w:r w:rsidR="007A7EE6">
        <w:rPr>
          <w:sz w:val="16"/>
          <w:szCs w:val="16"/>
          <w:lang w:val="en-GB"/>
        </w:rPr>
        <w:t xml:space="preserve"> June</w:t>
      </w:r>
      <w:r w:rsidR="00BB33B9">
        <w:rPr>
          <w:sz w:val="16"/>
          <w:szCs w:val="16"/>
          <w:lang w:val="en-GB"/>
        </w:rPr>
        <w:t>.</w:t>
      </w:r>
    </w:p>
    <w:p w14:paraId="52E735D6" w14:textId="14A8C781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7753314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3C75ABAB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7A7E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June</w:t>
                            </w:r>
                            <w:r w:rsidR="008C2E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E532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8C2E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="007A7E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8.3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3C75ABAB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7A7E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June</w:t>
                      </w:r>
                      <w:r w:rsidR="008C2E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E532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8C2E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="007A7E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8.3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35D884B5" w14:textId="677844CC" w:rsidR="00217031" w:rsidRDefault="00BB33B9" w:rsidP="00BB33B9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7A7EE6">
        <w:rPr>
          <w:noProof/>
          <w:spacing w:val="-2"/>
          <w:szCs w:val="19"/>
          <w:lang w:val="en-GB"/>
        </w:rPr>
        <w:t>June</w:t>
      </w:r>
      <w:r w:rsidR="004E532C">
        <w:rPr>
          <w:noProof/>
          <w:spacing w:val="-2"/>
          <w:szCs w:val="19"/>
          <w:lang w:val="en-GB"/>
        </w:rPr>
        <w:t xml:space="preserve"> 2021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7A7EE6">
        <w:rPr>
          <w:noProof/>
          <w:spacing w:val="-2"/>
          <w:szCs w:val="19"/>
          <w:lang w:val="en-GB"/>
        </w:rPr>
        <w:t>June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2020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217031">
        <w:rPr>
          <w:noProof/>
          <w:spacing w:val="-2"/>
          <w:szCs w:val="19"/>
          <w:lang w:val="en-GB"/>
        </w:rPr>
        <w:t>3</w:t>
      </w:r>
      <w:r w:rsidR="00DC1CD2">
        <w:rPr>
          <w:noProof/>
          <w:spacing w:val="-2"/>
          <w:szCs w:val="19"/>
          <w:lang w:val="en-GB"/>
        </w:rPr>
        <w:t>2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="00217031" w:rsidRPr="00217031">
        <w:rPr>
          <w:noProof/>
          <w:spacing w:val="-2"/>
          <w:szCs w:val="19"/>
          <w:lang w:val="en-GB"/>
        </w:rPr>
        <w:t xml:space="preserve"> </w:t>
      </w:r>
      <w:r w:rsidR="008C2E1C">
        <w:rPr>
          <w:noProof/>
          <w:spacing w:val="-2"/>
          <w:szCs w:val="19"/>
          <w:lang w:val="en-GB"/>
        </w:rPr>
        <w:t xml:space="preserve">manufacture of computer, electronic and optical products – by </w:t>
      </w:r>
      <w:r w:rsidR="007A7EE6">
        <w:rPr>
          <w:noProof/>
          <w:spacing w:val="-2"/>
          <w:szCs w:val="19"/>
          <w:lang w:val="en-GB"/>
        </w:rPr>
        <w:t>47.5</w:t>
      </w:r>
      <w:r w:rsidR="008C2E1C">
        <w:rPr>
          <w:noProof/>
          <w:spacing w:val="-2"/>
          <w:szCs w:val="19"/>
          <w:lang w:val="en-GB"/>
        </w:rPr>
        <w:t xml:space="preserve">%, </w:t>
      </w:r>
      <w:r w:rsidR="008C2E1C" w:rsidRPr="009D61BA">
        <w:rPr>
          <w:noProof/>
          <w:szCs w:val="19"/>
          <w:lang w:val="en-GB"/>
        </w:rPr>
        <w:t xml:space="preserve">manufacture of electrical equipment – by </w:t>
      </w:r>
      <w:r w:rsidR="007A7EE6">
        <w:rPr>
          <w:noProof/>
          <w:szCs w:val="19"/>
          <w:lang w:val="en-GB"/>
        </w:rPr>
        <w:t>38.6</w:t>
      </w:r>
      <w:r w:rsidR="008C2E1C">
        <w:rPr>
          <w:noProof/>
          <w:szCs w:val="19"/>
          <w:lang w:val="en-GB"/>
        </w:rPr>
        <w:t>%,</w:t>
      </w:r>
      <w:r w:rsidR="008C2E1C" w:rsidRPr="008C421A">
        <w:rPr>
          <w:noProof/>
          <w:spacing w:val="-2"/>
          <w:szCs w:val="19"/>
          <w:lang w:val="en-GB"/>
        </w:rPr>
        <w:t xml:space="preserve"> </w:t>
      </w:r>
      <w:r w:rsidR="005A074C">
        <w:rPr>
          <w:noProof/>
          <w:szCs w:val="19"/>
          <w:lang w:val="en-GB"/>
        </w:rPr>
        <w:t>m</w:t>
      </w:r>
      <w:r w:rsidR="005A074C" w:rsidRPr="008C2E1C">
        <w:rPr>
          <w:noProof/>
          <w:szCs w:val="19"/>
          <w:lang w:val="en-GB"/>
        </w:rPr>
        <w:t>anufacture of basic metals</w:t>
      </w:r>
      <w:r w:rsidR="005A074C" w:rsidRPr="008C2E1C">
        <w:rPr>
          <w:noProof/>
          <w:spacing w:val="-2"/>
          <w:szCs w:val="19"/>
          <w:lang w:val="en-GB"/>
        </w:rPr>
        <w:t xml:space="preserve"> </w:t>
      </w:r>
      <w:r w:rsidR="005A074C">
        <w:rPr>
          <w:noProof/>
          <w:spacing w:val="-2"/>
          <w:szCs w:val="19"/>
          <w:lang w:val="en-GB"/>
        </w:rPr>
        <w:t>– by 30.6%,</w:t>
      </w:r>
      <w:r w:rsidR="005A074C">
        <w:rPr>
          <w:noProof/>
          <w:szCs w:val="19"/>
          <w:lang w:val="en-GB"/>
        </w:rPr>
        <w:t xml:space="preserve"> </w:t>
      </w:r>
      <w:r w:rsidR="005A074C">
        <w:rPr>
          <w:noProof/>
          <w:spacing w:val="-2"/>
          <w:szCs w:val="19"/>
          <w:lang w:val="en-GB"/>
        </w:rPr>
        <w:t>m</w:t>
      </w:r>
      <w:r w:rsidR="005A074C" w:rsidRPr="008C2E1C">
        <w:rPr>
          <w:noProof/>
          <w:spacing w:val="-2"/>
          <w:szCs w:val="19"/>
          <w:lang w:val="en-GB"/>
        </w:rPr>
        <w:t>anufacture of metal products</w:t>
      </w:r>
      <w:r w:rsidR="005A074C" w:rsidRPr="004E532C">
        <w:rPr>
          <w:noProof/>
          <w:spacing w:val="-2"/>
          <w:szCs w:val="19"/>
          <w:lang w:val="en-GB"/>
        </w:rPr>
        <w:t xml:space="preserve"> </w:t>
      </w:r>
      <w:r w:rsidR="005A074C">
        <w:rPr>
          <w:noProof/>
          <w:szCs w:val="19"/>
          <w:lang w:val="en-GB"/>
        </w:rPr>
        <w:t>– by 24.4%,</w:t>
      </w:r>
      <w:r w:rsidR="005A074C" w:rsidRPr="008C2E1C">
        <w:rPr>
          <w:noProof/>
          <w:spacing w:val="-2"/>
          <w:szCs w:val="19"/>
          <w:lang w:val="en-GB"/>
        </w:rPr>
        <w:t xml:space="preserve"> </w:t>
      </w:r>
      <w:r w:rsidR="004E532C" w:rsidRPr="00D22ECE">
        <w:rPr>
          <w:noProof/>
          <w:spacing w:val="-2"/>
          <w:szCs w:val="19"/>
          <w:lang w:val="en-GB"/>
        </w:rPr>
        <w:t>manufa</w:t>
      </w:r>
      <w:r w:rsidR="004E532C">
        <w:rPr>
          <w:noProof/>
          <w:spacing w:val="-2"/>
          <w:szCs w:val="19"/>
          <w:lang w:val="en-GB"/>
        </w:rPr>
        <w:t>cture of r</w:t>
      </w:r>
      <w:r w:rsidR="00F5192C">
        <w:rPr>
          <w:noProof/>
          <w:spacing w:val="-2"/>
          <w:szCs w:val="19"/>
          <w:lang w:val="en-GB"/>
        </w:rPr>
        <w:t>ubber and plastic products – by </w:t>
      </w:r>
      <w:r w:rsidR="005A074C">
        <w:rPr>
          <w:noProof/>
          <w:spacing w:val="-2"/>
          <w:szCs w:val="19"/>
          <w:lang w:val="en-GB"/>
        </w:rPr>
        <w:t>23.1</w:t>
      </w:r>
      <w:r w:rsidR="004E532C">
        <w:rPr>
          <w:noProof/>
          <w:spacing w:val="-2"/>
          <w:szCs w:val="19"/>
          <w:lang w:val="en-GB"/>
        </w:rPr>
        <w:t>%,</w:t>
      </w:r>
      <w:r w:rsidR="008C2E1C">
        <w:rPr>
          <w:noProof/>
          <w:spacing w:val="-2"/>
          <w:szCs w:val="19"/>
          <w:lang w:val="en-GB"/>
        </w:rPr>
        <w:t xml:space="preserve"> </w:t>
      </w:r>
      <w:r w:rsidR="005A074C">
        <w:rPr>
          <w:noProof/>
          <w:spacing w:val="-2"/>
          <w:szCs w:val="19"/>
          <w:lang w:val="en-GB"/>
        </w:rPr>
        <w:t>m</w:t>
      </w:r>
      <w:r w:rsidR="005A074C" w:rsidRPr="005A074C">
        <w:rPr>
          <w:noProof/>
          <w:spacing w:val="-2"/>
          <w:szCs w:val="19"/>
          <w:lang w:val="en-GB"/>
        </w:rPr>
        <w:t>anufacture of paper and paper products</w:t>
      </w:r>
      <w:r w:rsidR="005A074C">
        <w:rPr>
          <w:noProof/>
          <w:spacing w:val="-2"/>
          <w:szCs w:val="19"/>
          <w:lang w:val="en-GB"/>
        </w:rPr>
        <w:t xml:space="preserve"> – by 22.3%, </w:t>
      </w:r>
      <w:r w:rsidR="00393C51" w:rsidRPr="009D61BA">
        <w:rPr>
          <w:noProof/>
          <w:szCs w:val="19"/>
          <w:lang w:val="en-GB"/>
        </w:rPr>
        <w:t xml:space="preserve">manufacture of </w:t>
      </w:r>
      <w:r w:rsidR="00393C51" w:rsidRPr="00082002">
        <w:rPr>
          <w:noProof/>
          <w:spacing w:val="-2"/>
          <w:szCs w:val="19"/>
          <w:lang w:val="en-GB"/>
        </w:rPr>
        <w:t>machinery and equipment</w:t>
      </w:r>
      <w:r w:rsidR="00217031">
        <w:rPr>
          <w:noProof/>
          <w:spacing w:val="-2"/>
          <w:szCs w:val="19"/>
          <w:lang w:val="en-GB"/>
        </w:rPr>
        <w:t xml:space="preserve"> </w:t>
      </w:r>
      <w:r w:rsidR="00393C51">
        <w:rPr>
          <w:noProof/>
          <w:szCs w:val="19"/>
          <w:lang w:val="en-GB"/>
        </w:rPr>
        <w:t xml:space="preserve">– by </w:t>
      </w:r>
      <w:r w:rsidR="005A074C">
        <w:rPr>
          <w:noProof/>
          <w:szCs w:val="19"/>
          <w:lang w:val="en-GB"/>
        </w:rPr>
        <w:t>20.0</w:t>
      </w:r>
      <w:r w:rsidR="00393C51">
        <w:rPr>
          <w:noProof/>
          <w:szCs w:val="19"/>
          <w:lang w:val="en-GB"/>
        </w:rPr>
        <w:t>%</w:t>
      </w:r>
      <w:r w:rsidR="008C2E1C">
        <w:rPr>
          <w:noProof/>
          <w:szCs w:val="19"/>
          <w:lang w:val="en-GB"/>
        </w:rPr>
        <w:t xml:space="preserve">, </w:t>
      </w:r>
      <w:r w:rsidR="005A074C">
        <w:rPr>
          <w:noProof/>
          <w:spacing w:val="-2"/>
          <w:szCs w:val="19"/>
          <w:lang w:val="en-GB"/>
        </w:rPr>
        <w:t>m</w:t>
      </w:r>
      <w:r w:rsidR="005A074C" w:rsidRPr="003C03FE">
        <w:rPr>
          <w:noProof/>
          <w:spacing w:val="-2"/>
          <w:szCs w:val="19"/>
          <w:lang w:val="en-GB"/>
        </w:rPr>
        <w:t>anufacture of other non-metallic mineral products</w:t>
      </w:r>
      <w:r w:rsidR="005A074C">
        <w:rPr>
          <w:noProof/>
          <w:spacing w:val="-2"/>
          <w:szCs w:val="19"/>
          <w:lang w:val="en-GB"/>
        </w:rPr>
        <w:t xml:space="preserve"> </w:t>
      </w:r>
      <w:r w:rsidR="005A074C" w:rsidRPr="00CA7EBF">
        <w:rPr>
          <w:lang w:val="en-GB"/>
        </w:rPr>
        <w:t>– by 19.4%.</w:t>
      </w:r>
    </w:p>
    <w:p w14:paraId="42D3B2F4" w14:textId="449AD5C4" w:rsidR="00C36999" w:rsidRDefault="00DA7D4B" w:rsidP="00C36999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5A074C">
        <w:rPr>
          <w:noProof/>
          <w:szCs w:val="19"/>
          <w:lang w:val="en-GB"/>
        </w:rPr>
        <w:t>June</w:t>
      </w:r>
      <w:r w:rsidR="008C2E1C">
        <w:rPr>
          <w:noProof/>
          <w:szCs w:val="19"/>
          <w:lang w:val="en-GB"/>
        </w:rPr>
        <w:t xml:space="preserve"> </w:t>
      </w:r>
      <w:r w:rsidR="004E532C">
        <w:rPr>
          <w:noProof/>
          <w:szCs w:val="19"/>
          <w:lang w:val="en-GB"/>
        </w:rPr>
        <w:t>2020</w:t>
      </w:r>
      <w:r w:rsidR="00082002">
        <w:rPr>
          <w:noProof/>
          <w:szCs w:val="19"/>
          <w:lang w:val="en-GB"/>
        </w:rPr>
        <w:t xml:space="preserve">, was </w:t>
      </w:r>
      <w:r w:rsidR="000D6E9C">
        <w:rPr>
          <w:noProof/>
          <w:szCs w:val="19"/>
          <w:lang w:val="en-GB"/>
        </w:rPr>
        <w:t xml:space="preserve">recorded </w:t>
      </w:r>
      <w:r w:rsidR="00393C51">
        <w:rPr>
          <w:noProof/>
          <w:szCs w:val="19"/>
          <w:lang w:val="en-GB"/>
        </w:rPr>
        <w:t xml:space="preserve">in </w:t>
      </w:r>
      <w:r w:rsidR="005A074C">
        <w:rPr>
          <w:noProof/>
          <w:szCs w:val="19"/>
          <w:lang w:val="en-GB"/>
        </w:rPr>
        <w:t>2</w:t>
      </w:r>
      <w:r w:rsidR="00BB33B9" w:rsidRPr="00223D02">
        <w:rPr>
          <w:noProof/>
          <w:szCs w:val="19"/>
          <w:lang w:val="en-GB"/>
        </w:rPr>
        <w:t xml:space="preserve"> divisions</w:t>
      </w:r>
      <w:r w:rsidR="00C36999">
        <w:rPr>
          <w:noProof/>
          <w:szCs w:val="19"/>
          <w:lang w:val="en-GB"/>
        </w:rPr>
        <w:t>,</w:t>
      </w:r>
      <w:r w:rsidR="00A07329">
        <w:rPr>
          <w:noProof/>
          <w:szCs w:val="19"/>
          <w:lang w:val="en-GB"/>
        </w:rPr>
        <w:t xml:space="preserve"> </w:t>
      </w:r>
      <w:r w:rsidR="006A07BB">
        <w:rPr>
          <w:noProof/>
          <w:szCs w:val="19"/>
          <w:lang w:val="en-GB"/>
        </w:rPr>
        <w:t>including</w:t>
      </w:r>
      <w:r w:rsidR="00C36999" w:rsidRPr="00C36999">
        <w:rPr>
          <w:noProof/>
          <w:spacing w:val="-2"/>
          <w:szCs w:val="19"/>
          <w:lang w:val="en-GB"/>
        </w:rPr>
        <w:t xml:space="preserve"> </w:t>
      </w:r>
      <w:r w:rsidR="005A074C">
        <w:rPr>
          <w:noProof/>
          <w:spacing w:val="-2"/>
          <w:szCs w:val="19"/>
          <w:lang w:val="en-GB"/>
        </w:rPr>
        <w:t>m</w:t>
      </w:r>
      <w:r w:rsidR="005A074C" w:rsidRPr="005A074C">
        <w:rPr>
          <w:noProof/>
          <w:spacing w:val="-2"/>
          <w:szCs w:val="19"/>
          <w:lang w:val="en-GB"/>
        </w:rPr>
        <w:t>anufacture of leather and related products</w:t>
      </w:r>
      <w:r w:rsidR="005A074C">
        <w:rPr>
          <w:noProof/>
          <w:spacing w:val="-2"/>
          <w:szCs w:val="19"/>
          <w:lang w:val="en-GB"/>
        </w:rPr>
        <w:t xml:space="preserve"> – by 6.9%. </w:t>
      </w:r>
    </w:p>
    <w:p w14:paraId="38D6AB88" w14:textId="3CAA11D6" w:rsidR="005A074C" w:rsidRDefault="005A074C" w:rsidP="00C36999">
      <w:pPr>
        <w:spacing w:before="0" w:after="0"/>
        <w:rPr>
          <w:noProof/>
          <w:spacing w:val="-2"/>
          <w:szCs w:val="19"/>
          <w:lang w:val="en-GB"/>
        </w:rPr>
      </w:pPr>
    </w:p>
    <w:p w14:paraId="7D7E1994" w14:textId="013FAEC5" w:rsidR="003627E7" w:rsidRPr="007B4306" w:rsidRDefault="003627E7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79FCF7F1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77ADFCD6" w14:textId="4CD99F4D" w:rsidR="00C6603C" w:rsidRPr="00CA7EBF" w:rsidRDefault="005A074C" w:rsidP="00680622">
      <w:pPr>
        <w:spacing w:before="0" w:after="0"/>
        <w:rPr>
          <w:noProof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57920" behindDoc="0" locked="0" layoutInCell="1" allowOverlap="1" wp14:anchorId="2B2C26D2" wp14:editId="43D7E785">
            <wp:simplePos x="0" y="0"/>
            <wp:positionH relativeFrom="column">
              <wp:posOffset>-31750</wp:posOffset>
            </wp:positionH>
            <wp:positionV relativeFrom="paragraph">
              <wp:posOffset>171450</wp:posOffset>
            </wp:positionV>
            <wp:extent cx="5054600" cy="4088765"/>
            <wp:effectExtent l="0" t="0" r="0" b="6985"/>
            <wp:wrapSquare wrapText="bothSides"/>
            <wp:docPr id="8" name="Wykres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proofErr w:type="gramStart"/>
      <w:r w:rsidR="00680622" w:rsidRPr="00680622">
        <w:rPr>
          <w:b/>
          <w:spacing w:val="-2"/>
          <w:sz w:val="18"/>
          <w:szCs w:val="18"/>
          <w:lang w:val="en-GB"/>
        </w:rPr>
        <w:t>previous</w:t>
      </w:r>
      <w:proofErr w:type="gramEnd"/>
      <w:r w:rsidR="00680622" w:rsidRPr="00680622">
        <w:rPr>
          <w:b/>
          <w:spacing w:val="-2"/>
          <w:sz w:val="18"/>
          <w:szCs w:val="18"/>
          <w:lang w:val="en-GB"/>
        </w:rPr>
        <w:t xml:space="preserve"> year =100)</w:t>
      </w:r>
      <w:r w:rsidR="0093244E" w:rsidRPr="00CA7EBF">
        <w:rPr>
          <w:noProof/>
          <w:lang w:val="en-GB" w:eastAsia="pl-PL"/>
        </w:rPr>
        <w:t xml:space="preserve"> </w:t>
      </w:r>
    </w:p>
    <w:p w14:paraId="5A8EBE06" w14:textId="0AD455CE" w:rsidR="005A074C" w:rsidRDefault="005F27B3" w:rsidP="006C4724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5A074C">
        <w:rPr>
          <w:szCs w:val="19"/>
          <w:lang w:val="en-GB"/>
        </w:rPr>
        <w:t>May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E90FCB">
        <w:rPr>
          <w:szCs w:val="19"/>
          <w:lang w:val="en-GB"/>
        </w:rPr>
        <w:t>, a</w:t>
      </w:r>
      <w:r w:rsidR="00397488">
        <w:rPr>
          <w:szCs w:val="19"/>
          <w:lang w:val="en-GB"/>
        </w:rPr>
        <w:t>n</w:t>
      </w:r>
      <w:r w:rsidR="00923B5D">
        <w:rPr>
          <w:szCs w:val="19"/>
          <w:lang w:val="en-GB"/>
        </w:rPr>
        <w:t xml:space="preserve"> </w:t>
      </w:r>
      <w:r w:rsidR="00397488">
        <w:rPr>
          <w:szCs w:val="19"/>
          <w:lang w:val="en-GB"/>
        </w:rPr>
        <w:t>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5A074C">
        <w:rPr>
          <w:szCs w:val="19"/>
          <w:lang w:val="en-GB"/>
        </w:rPr>
        <w:t>June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2021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5A074C">
        <w:rPr>
          <w:szCs w:val="19"/>
          <w:lang w:val="en-GB"/>
        </w:rPr>
        <w:t>28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1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bookmarkEnd w:id="1"/>
      <w:r w:rsidR="00F536E7">
        <w:rPr>
          <w:noProof/>
          <w:spacing w:val="-2"/>
          <w:szCs w:val="19"/>
          <w:lang w:val="en-GB"/>
        </w:rPr>
        <w:t xml:space="preserve">in </w:t>
      </w:r>
      <w:r w:rsidR="005A074C">
        <w:rPr>
          <w:noProof/>
          <w:spacing w:val="-2"/>
          <w:szCs w:val="19"/>
          <w:lang w:val="en-GB"/>
        </w:rPr>
        <w:t>r</w:t>
      </w:r>
      <w:r w:rsidR="005A074C" w:rsidRPr="005A074C">
        <w:rPr>
          <w:noProof/>
          <w:spacing w:val="-2"/>
          <w:szCs w:val="19"/>
          <w:lang w:val="en-GB"/>
        </w:rPr>
        <w:t>epair and installation of machinery and equipment</w:t>
      </w:r>
      <w:r w:rsidR="005A074C">
        <w:rPr>
          <w:noProof/>
          <w:spacing w:val="-2"/>
          <w:szCs w:val="19"/>
          <w:lang w:val="en-GB"/>
        </w:rPr>
        <w:t>- by 41.5%, m</w:t>
      </w:r>
      <w:r w:rsidR="005A074C" w:rsidRPr="005A074C">
        <w:rPr>
          <w:noProof/>
          <w:spacing w:val="-2"/>
          <w:szCs w:val="19"/>
          <w:lang w:val="en-GB"/>
        </w:rPr>
        <w:t>anufacture of beverages</w:t>
      </w:r>
      <w:r w:rsidR="005A074C">
        <w:rPr>
          <w:noProof/>
          <w:spacing w:val="-2"/>
          <w:szCs w:val="19"/>
          <w:lang w:val="en-GB"/>
        </w:rPr>
        <w:t xml:space="preserve"> – by 23.7%, </w:t>
      </w:r>
      <w:r w:rsidR="005A074C" w:rsidRPr="00CA7EBF">
        <w:rPr>
          <w:lang w:val="en-GB"/>
        </w:rPr>
        <w:t xml:space="preserve">manufacture of other transport equipment – by </w:t>
      </w:r>
      <w:r w:rsidR="00397488" w:rsidRPr="00CA7EBF">
        <w:rPr>
          <w:lang w:val="en-GB"/>
        </w:rPr>
        <w:t>20</w:t>
      </w:r>
      <w:r w:rsidR="005A074C" w:rsidRPr="00CA7EBF">
        <w:rPr>
          <w:lang w:val="en-GB"/>
        </w:rPr>
        <w:t>.3%,</w:t>
      </w:r>
      <w:r w:rsidR="00397488" w:rsidRPr="00397488">
        <w:rPr>
          <w:noProof/>
          <w:spacing w:val="-2"/>
          <w:szCs w:val="19"/>
          <w:lang w:val="en-GB"/>
        </w:rPr>
        <w:t xml:space="preserve"> </w:t>
      </w:r>
      <w:r w:rsidR="00397488">
        <w:rPr>
          <w:noProof/>
          <w:spacing w:val="-2"/>
          <w:szCs w:val="19"/>
          <w:lang w:val="en-GB"/>
        </w:rPr>
        <w:t>m</w:t>
      </w:r>
      <w:r w:rsidR="00397488" w:rsidRPr="0065283F">
        <w:rPr>
          <w:noProof/>
          <w:spacing w:val="-2"/>
          <w:szCs w:val="19"/>
          <w:lang w:val="en-GB"/>
        </w:rPr>
        <w:t xml:space="preserve">anufacture of </w:t>
      </w:r>
      <w:r w:rsidR="00397488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397488">
        <w:rPr>
          <w:noProof/>
          <w:spacing w:val="-2"/>
          <w:szCs w:val="19"/>
          <w:lang w:val="en-GB"/>
        </w:rPr>
        <w:t xml:space="preserve"> – by 8.0%</w:t>
      </w:r>
      <w:r w:rsidR="006A07BB">
        <w:rPr>
          <w:noProof/>
          <w:spacing w:val="-2"/>
          <w:szCs w:val="19"/>
          <w:lang w:val="en-GB"/>
        </w:rPr>
        <w:t>,</w:t>
      </w:r>
      <w:r w:rsidR="00397488">
        <w:rPr>
          <w:noProof/>
          <w:spacing w:val="-2"/>
          <w:szCs w:val="19"/>
          <w:lang w:val="en-GB"/>
        </w:rPr>
        <w:t xml:space="preserve"> </w:t>
      </w:r>
      <w:r w:rsidR="00397488" w:rsidRPr="009D61BA">
        <w:rPr>
          <w:noProof/>
          <w:szCs w:val="19"/>
          <w:lang w:val="en-GB"/>
        </w:rPr>
        <w:t xml:space="preserve">manufacture of </w:t>
      </w:r>
      <w:r w:rsidR="00397488" w:rsidRPr="00082002">
        <w:rPr>
          <w:noProof/>
          <w:spacing w:val="-2"/>
          <w:szCs w:val="19"/>
          <w:lang w:val="en-GB"/>
        </w:rPr>
        <w:t>machinery and equipment</w:t>
      </w:r>
      <w:r w:rsidR="00397488">
        <w:rPr>
          <w:noProof/>
          <w:spacing w:val="-2"/>
          <w:szCs w:val="19"/>
          <w:lang w:val="en-GB"/>
        </w:rPr>
        <w:t xml:space="preserve"> </w:t>
      </w:r>
      <w:r w:rsidR="00397488">
        <w:rPr>
          <w:noProof/>
          <w:szCs w:val="19"/>
          <w:lang w:val="en-GB"/>
        </w:rPr>
        <w:t>– by 7.4%,</w:t>
      </w:r>
      <w:r w:rsidR="00397488" w:rsidRPr="00397488">
        <w:rPr>
          <w:noProof/>
          <w:szCs w:val="19"/>
          <w:lang w:val="en-GB"/>
        </w:rPr>
        <w:t xml:space="preserve"> </w:t>
      </w:r>
      <w:r w:rsidR="00397488" w:rsidRPr="009D61BA">
        <w:rPr>
          <w:noProof/>
          <w:szCs w:val="19"/>
          <w:lang w:val="en-GB"/>
        </w:rPr>
        <w:t>manufacture of electrical equipment</w:t>
      </w:r>
      <w:r w:rsidR="00397488">
        <w:rPr>
          <w:noProof/>
          <w:szCs w:val="19"/>
          <w:lang w:val="en-GB"/>
        </w:rPr>
        <w:t xml:space="preserve"> </w:t>
      </w:r>
      <w:r w:rsidR="00397488">
        <w:rPr>
          <w:noProof/>
          <w:spacing w:val="-2"/>
          <w:szCs w:val="19"/>
          <w:lang w:val="en-GB"/>
        </w:rPr>
        <w:t>– by 7.1%,</w:t>
      </w:r>
      <w:r w:rsidR="00397488" w:rsidRPr="00397488">
        <w:rPr>
          <w:noProof/>
          <w:spacing w:val="-2"/>
          <w:szCs w:val="19"/>
          <w:lang w:val="en-GB"/>
        </w:rPr>
        <w:t xml:space="preserve"> </w:t>
      </w:r>
      <w:r w:rsidR="00397488">
        <w:rPr>
          <w:noProof/>
          <w:spacing w:val="-2"/>
          <w:szCs w:val="19"/>
          <w:lang w:val="en-GB"/>
        </w:rPr>
        <w:t>m</w:t>
      </w:r>
      <w:r w:rsidR="00397488" w:rsidRPr="00337DDB">
        <w:rPr>
          <w:noProof/>
          <w:spacing w:val="-2"/>
          <w:szCs w:val="19"/>
          <w:lang w:val="en-GB"/>
        </w:rPr>
        <w:t>anufacture of furniture</w:t>
      </w:r>
      <w:r w:rsidR="00397488">
        <w:rPr>
          <w:noProof/>
          <w:spacing w:val="-2"/>
          <w:szCs w:val="19"/>
          <w:lang w:val="en-GB"/>
        </w:rPr>
        <w:t xml:space="preserve"> – by 6.7%,</w:t>
      </w:r>
      <w:r w:rsidR="00397488" w:rsidRPr="00397488">
        <w:rPr>
          <w:noProof/>
          <w:spacing w:val="-2"/>
          <w:szCs w:val="19"/>
          <w:lang w:val="en-GB"/>
        </w:rPr>
        <w:t xml:space="preserve"> </w:t>
      </w:r>
      <w:r w:rsidR="00397488">
        <w:rPr>
          <w:noProof/>
          <w:spacing w:val="-2"/>
          <w:szCs w:val="19"/>
          <w:lang w:val="en-GB"/>
        </w:rPr>
        <w:t>m</w:t>
      </w:r>
      <w:r w:rsidR="00397488" w:rsidRPr="00082002">
        <w:rPr>
          <w:noProof/>
          <w:spacing w:val="-2"/>
          <w:szCs w:val="19"/>
          <w:lang w:val="en-GB"/>
        </w:rPr>
        <w:t>anufacture of products of wood, cork, straw</w:t>
      </w:r>
      <w:r w:rsidR="00397488" w:rsidRPr="00CA7EBF">
        <w:rPr>
          <w:lang w:val="en-GB"/>
        </w:rPr>
        <w:t xml:space="preserve"> </w:t>
      </w:r>
      <w:r w:rsidR="00397488" w:rsidRPr="00082002">
        <w:rPr>
          <w:noProof/>
          <w:spacing w:val="-2"/>
          <w:szCs w:val="19"/>
          <w:lang w:val="en-GB"/>
        </w:rPr>
        <w:t>and wicker</w:t>
      </w:r>
      <w:r w:rsidR="00397488">
        <w:rPr>
          <w:noProof/>
          <w:spacing w:val="-2"/>
          <w:szCs w:val="19"/>
          <w:lang w:val="en-GB"/>
        </w:rPr>
        <w:t xml:space="preserve"> – by 6.1%.</w:t>
      </w:r>
    </w:p>
    <w:p w14:paraId="637FD73D" w14:textId="35FEB419" w:rsidR="00397488" w:rsidRPr="00CA7EBF" w:rsidRDefault="00256334" w:rsidP="00397488">
      <w:pPr>
        <w:spacing w:before="0"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CD0395">
        <w:rPr>
          <w:noProof/>
          <w:szCs w:val="19"/>
          <w:lang w:val="en-GB"/>
        </w:rPr>
        <w:t xml:space="preserve"> </w:t>
      </w:r>
      <w:r w:rsidR="00397488">
        <w:rPr>
          <w:noProof/>
          <w:szCs w:val="19"/>
          <w:lang w:val="en-GB"/>
        </w:rPr>
        <w:t>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397488">
        <w:rPr>
          <w:noProof/>
          <w:szCs w:val="19"/>
          <w:lang w:val="en-GB"/>
        </w:rPr>
        <w:t>May</w:t>
      </w:r>
      <w:r w:rsidR="00CD0395">
        <w:rPr>
          <w:noProof/>
          <w:szCs w:val="19"/>
          <w:lang w:val="en-GB"/>
        </w:rPr>
        <w:t xml:space="preserve"> 2021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 xml:space="preserve">was recorded in </w:t>
      </w:r>
      <w:r w:rsidR="00397488">
        <w:rPr>
          <w:noProof/>
          <w:szCs w:val="19"/>
          <w:lang w:val="en-GB"/>
        </w:rPr>
        <w:t>6</w:t>
      </w:r>
      <w:r w:rsidR="002B3236">
        <w:rPr>
          <w:noProof/>
          <w:szCs w:val="19"/>
          <w:lang w:val="en-GB"/>
        </w:rPr>
        <w:t xml:space="preserve"> </w:t>
      </w:r>
      <w:r w:rsidR="00382CAB" w:rsidRPr="00223D02">
        <w:rPr>
          <w:noProof/>
          <w:szCs w:val="19"/>
          <w:lang w:val="en-GB"/>
        </w:rPr>
        <w:t xml:space="preserve">divisions, </w:t>
      </w:r>
      <w:r w:rsidR="006A07BB" w:rsidRPr="00D22ECE">
        <w:rPr>
          <w:noProof/>
          <w:spacing w:val="-2"/>
          <w:szCs w:val="19"/>
          <w:lang w:val="en-GB"/>
        </w:rPr>
        <w:t>among others,</w:t>
      </w:r>
      <w:r w:rsidR="0051196A" w:rsidRPr="00CA7EBF">
        <w:rPr>
          <w:lang w:val="en-GB"/>
        </w:rPr>
        <w:t xml:space="preserve"> </w:t>
      </w:r>
      <w:r w:rsidR="00397488">
        <w:rPr>
          <w:noProof/>
          <w:szCs w:val="19"/>
          <w:lang w:val="en-GB"/>
        </w:rPr>
        <w:t>in</w:t>
      </w:r>
      <w:r w:rsidR="00397488" w:rsidRPr="00CA7EBF">
        <w:rPr>
          <w:lang w:val="en-GB"/>
        </w:rPr>
        <w:t xml:space="preserve"> </w:t>
      </w:r>
      <w:r w:rsidR="00397488">
        <w:rPr>
          <w:noProof/>
          <w:spacing w:val="-2"/>
          <w:szCs w:val="19"/>
          <w:lang w:val="en-GB"/>
        </w:rPr>
        <w:t>e</w:t>
      </w:r>
      <w:r w:rsidR="00397488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397488">
        <w:rPr>
          <w:noProof/>
          <w:spacing w:val="-2"/>
          <w:szCs w:val="19"/>
          <w:lang w:val="en-GB"/>
        </w:rPr>
        <w:t xml:space="preserve"> – by 5.0%,</w:t>
      </w:r>
      <w:r w:rsidR="00397488" w:rsidRPr="00397488">
        <w:rPr>
          <w:noProof/>
          <w:spacing w:val="-2"/>
          <w:szCs w:val="19"/>
          <w:lang w:val="en-GB"/>
        </w:rPr>
        <w:t xml:space="preserve"> </w:t>
      </w:r>
      <w:r w:rsidR="00397488">
        <w:rPr>
          <w:noProof/>
          <w:spacing w:val="-2"/>
          <w:szCs w:val="19"/>
          <w:lang w:val="en-GB"/>
        </w:rPr>
        <w:t>in</w:t>
      </w:r>
      <w:r w:rsidR="00397488" w:rsidRPr="00217031">
        <w:rPr>
          <w:noProof/>
          <w:spacing w:val="-2"/>
          <w:szCs w:val="19"/>
          <w:lang w:val="en-GB"/>
        </w:rPr>
        <w:t xml:space="preserve"> </w:t>
      </w:r>
      <w:r w:rsidR="00397488">
        <w:rPr>
          <w:noProof/>
          <w:spacing w:val="-2"/>
          <w:szCs w:val="19"/>
          <w:lang w:val="en-GB"/>
        </w:rPr>
        <w:t>manufacture of computer, electronic and optical products – by 1.8%,</w:t>
      </w:r>
    </w:p>
    <w:p w14:paraId="75C64DC7" w14:textId="6E7D4746" w:rsidR="00397488" w:rsidRDefault="00397488" w:rsidP="00397488">
      <w:pPr>
        <w:spacing w:before="0" w:after="0"/>
        <w:rPr>
          <w:noProof/>
          <w:spacing w:val="-2"/>
          <w:szCs w:val="19"/>
          <w:lang w:val="en-GB"/>
        </w:rPr>
      </w:pP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76B2040F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1EF71CB5" w:rsidR="00E44A8F" w:rsidRPr="00680622" w:rsidRDefault="006A07BB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58944" behindDoc="0" locked="0" layoutInCell="1" allowOverlap="1" wp14:anchorId="45B4D79B" wp14:editId="0E35FF71">
            <wp:simplePos x="0" y="0"/>
            <wp:positionH relativeFrom="column">
              <wp:posOffset>-44450</wp:posOffset>
            </wp:positionH>
            <wp:positionV relativeFrom="paragraph">
              <wp:posOffset>198120</wp:posOffset>
            </wp:positionV>
            <wp:extent cx="5122545" cy="4375150"/>
            <wp:effectExtent l="0" t="0" r="1905" b="635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28D541D-B0B3-46F8-9B42-80468A234D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proofErr w:type="gramStart"/>
      <w:r w:rsidR="00E44A8F">
        <w:rPr>
          <w:b/>
          <w:spacing w:val="-2"/>
          <w:sz w:val="18"/>
          <w:szCs w:val="18"/>
          <w:lang w:val="en-GB"/>
        </w:rPr>
        <w:t>previous</w:t>
      </w:r>
      <w:proofErr w:type="gramEnd"/>
      <w:r w:rsidR="00E44A8F">
        <w:rPr>
          <w:b/>
          <w:spacing w:val="-2"/>
          <w:sz w:val="18"/>
          <w:szCs w:val="18"/>
          <w:lang w:val="en-GB"/>
        </w:rPr>
        <w:t xml:space="preserve">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66A67F01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01FE9718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CA7EBF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CA7EB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CA7EB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CA7EB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77777777" w:rsidR="00E44A8F" w:rsidRPr="00CA7EB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CA7EB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7D71150F" w:rsidR="00E44A8F" w:rsidRPr="00CA7EB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CA7EBF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CA7EBF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77777777" w:rsidR="00E44A8F" w:rsidRPr="00CA7EB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CA7EBF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016821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19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3BE1F79A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3E612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"https://stat.gov.pl/en/topics/other-studies/informations-on-socio-economic-situation/statistical-bulletin-no-52021,4,125.html"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07C761DC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3E612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"https://stat.gov.pl/en/topics/other-studies/informations-on-socio-economic-situation/socio-economic-situation-of-the-country-in-may-2021,1,122.html"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88471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88471D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88471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88471D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88471D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88471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88471D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88471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88471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88471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88471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88471D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3BE1F79A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3E612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"https://stat.gov.pl/en/topics/other-studies/informations-on-socio-economic-situation/statistical-bulletin-no-52021,4,125.html"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07C761DC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3E612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"https://stat.gov.pl/en/topics/other-studies/informations-on-socio-economic-situation/socio-economic-situation-of-the-country-in-may-2021,1,122.html"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7E6D2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CA7EBF">
                        <w:rPr>
                          <w:lang w:val="en-GB"/>
                        </w:rPr>
                        <w:instrText xml:space="preserve"> HYPERLINK "http://swaid.stat.go</w:instrText>
                      </w:r>
                      <w:r w:rsidRPr="00CA7EBF">
                        <w:rPr>
                          <w:lang w:val="en-GB"/>
                        </w:rPr>
                        <w:instrText xml:space="preserve">v.pl/EN/SitePagesDBW/ProdukcjaPrzemyslowa.aspx" </w:instrText>
                      </w:r>
                      <w:r>
                        <w:fldChar w:fldCharType="separate"/>
                      </w:r>
                      <w:r w:rsidR="003E66B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Knowledge Database - Industrial Production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2A76362" w14:textId="77777777" w:rsidR="003E66BF" w:rsidRPr="00346B6D" w:rsidRDefault="007E6D25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7E6D2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7E6D25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7E6D25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7E6D2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7E6D25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7E6D2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7E6D2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7E6D2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7E6D2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bookmarkStart w:id="5" w:name="_GoBack"/>
                    <w:p w14:paraId="4AF251D3" w14:textId="7538C02F" w:rsidR="003627E7" w:rsidRPr="007B4306" w:rsidRDefault="007E6D25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>
                        <w:fldChar w:fldCharType="begin"/>
                      </w:r>
                      <w:r w:rsidRPr="00CA7EBF">
                        <w:rPr>
                          <w:lang w:val="en-GB"/>
                        </w:rPr>
                        <w:instrText xml:space="preserve"> HYPERLINK "http://stat.gov.pl/en/metainformations/glossary/terms-used-i</w:instrText>
                      </w:r>
                      <w:r w:rsidRPr="00CA7EBF">
                        <w:rPr>
                          <w:lang w:val="en-GB"/>
                        </w:rPr>
                        <w:instrText xml:space="preserve">n-official-statistics/1313,term.html" </w:instrText>
                      </w:r>
                      <w:r>
                        <w:fldChar w:fldCharType="separate"/>
                      </w:r>
                      <w:r w:rsidR="003E66B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Production of goods related to energy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fldChar w:fldCharType="end"/>
                      </w:r>
                      <w:bookmarkEnd w:id="5"/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71972" w14:textId="77777777" w:rsidR="0088471D" w:rsidRDefault="0088471D" w:rsidP="000662E2">
      <w:pPr>
        <w:spacing w:after="0" w:line="240" w:lineRule="auto"/>
      </w:pPr>
      <w:r>
        <w:separator/>
      </w:r>
    </w:p>
  </w:endnote>
  <w:endnote w:type="continuationSeparator" w:id="0">
    <w:p w14:paraId="34C24DF3" w14:textId="77777777" w:rsidR="0088471D" w:rsidRDefault="0088471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8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8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F612C" w14:textId="77777777" w:rsidR="0088471D" w:rsidRDefault="0088471D" w:rsidP="000662E2">
      <w:pPr>
        <w:spacing w:after="0" w:line="240" w:lineRule="auto"/>
      </w:pPr>
      <w:r>
        <w:separator/>
      </w:r>
    </w:p>
  </w:footnote>
  <w:footnote w:type="continuationSeparator" w:id="0">
    <w:p w14:paraId="7105EBDE" w14:textId="77777777" w:rsidR="0088471D" w:rsidRDefault="0088471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7549D148" w:rsidR="00112A4D" w:rsidRPr="00C97596" w:rsidRDefault="00B9273E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16C36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516C36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2C5475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7549D148" w:rsidR="00112A4D" w:rsidRPr="00C97596" w:rsidRDefault="00B9273E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16C36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516C36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2C5475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52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821"/>
    <w:rsid w:val="000169EB"/>
    <w:rsid w:val="00016E48"/>
    <w:rsid w:val="00016EAF"/>
    <w:rsid w:val="00021CD6"/>
    <w:rsid w:val="00024626"/>
    <w:rsid w:val="00026847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B52"/>
    <w:rsid w:val="00076D95"/>
    <w:rsid w:val="00076F86"/>
    <w:rsid w:val="00077B8C"/>
    <w:rsid w:val="000806F7"/>
    <w:rsid w:val="000809C8"/>
    <w:rsid w:val="00081C1B"/>
    <w:rsid w:val="00082002"/>
    <w:rsid w:val="00083E0E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96EEE"/>
    <w:rsid w:val="000A09E4"/>
    <w:rsid w:val="000A1172"/>
    <w:rsid w:val="000A35B6"/>
    <w:rsid w:val="000A39FD"/>
    <w:rsid w:val="000A3ACF"/>
    <w:rsid w:val="000A4C12"/>
    <w:rsid w:val="000A4E2A"/>
    <w:rsid w:val="000B0727"/>
    <w:rsid w:val="000B1D63"/>
    <w:rsid w:val="000B256C"/>
    <w:rsid w:val="000B289A"/>
    <w:rsid w:val="000B318F"/>
    <w:rsid w:val="000B4DA2"/>
    <w:rsid w:val="000B4E03"/>
    <w:rsid w:val="000B4F0D"/>
    <w:rsid w:val="000C0137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4D7D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BB9"/>
    <w:rsid w:val="00292177"/>
    <w:rsid w:val="00292388"/>
    <w:rsid w:val="002926DF"/>
    <w:rsid w:val="00295358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05"/>
    <w:rsid w:val="002A7DB8"/>
    <w:rsid w:val="002B0009"/>
    <w:rsid w:val="002B0472"/>
    <w:rsid w:val="002B04B3"/>
    <w:rsid w:val="002B18C6"/>
    <w:rsid w:val="002B3036"/>
    <w:rsid w:val="002B3236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38E3"/>
    <w:rsid w:val="00304F22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24F86"/>
    <w:rsid w:val="00332263"/>
    <w:rsid w:val="00332320"/>
    <w:rsid w:val="00332724"/>
    <w:rsid w:val="0033525D"/>
    <w:rsid w:val="0033611E"/>
    <w:rsid w:val="00336412"/>
    <w:rsid w:val="00337DDB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881"/>
    <w:rsid w:val="00395913"/>
    <w:rsid w:val="00395F5C"/>
    <w:rsid w:val="003973C9"/>
    <w:rsid w:val="00397488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3FE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074C"/>
    <w:rsid w:val="005A09EB"/>
    <w:rsid w:val="005A30AB"/>
    <w:rsid w:val="005A37DA"/>
    <w:rsid w:val="005A45B5"/>
    <w:rsid w:val="005A526E"/>
    <w:rsid w:val="005A698C"/>
    <w:rsid w:val="005B720A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0C2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7BB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9A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6D25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71D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2E1C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7B6D"/>
    <w:rsid w:val="00920799"/>
    <w:rsid w:val="009218D1"/>
    <w:rsid w:val="00921A87"/>
    <w:rsid w:val="00921C3F"/>
    <w:rsid w:val="009227A6"/>
    <w:rsid w:val="00923B5D"/>
    <w:rsid w:val="00924EF3"/>
    <w:rsid w:val="00926A92"/>
    <w:rsid w:val="0092758B"/>
    <w:rsid w:val="00927755"/>
    <w:rsid w:val="00927D58"/>
    <w:rsid w:val="009301B3"/>
    <w:rsid w:val="00931AE5"/>
    <w:rsid w:val="0093244E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BE1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497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07329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29AE"/>
    <w:rsid w:val="00A53132"/>
    <w:rsid w:val="00A5331E"/>
    <w:rsid w:val="00A54D2D"/>
    <w:rsid w:val="00A54EC5"/>
    <w:rsid w:val="00A56357"/>
    <w:rsid w:val="00A563F2"/>
    <w:rsid w:val="00A566E8"/>
    <w:rsid w:val="00A56895"/>
    <w:rsid w:val="00A60E43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380E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B92"/>
    <w:rsid w:val="00AD7503"/>
    <w:rsid w:val="00AE19DE"/>
    <w:rsid w:val="00AE287D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1095"/>
    <w:rsid w:val="00B8272D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5DEE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7295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A7EBF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3A84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F72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649E"/>
    <w:rsid w:val="00E270B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B71E4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3961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92C"/>
    <w:rsid w:val="00F51A96"/>
    <w:rsid w:val="00F536E7"/>
    <w:rsid w:val="00F539BD"/>
    <w:rsid w:val="00F54181"/>
    <w:rsid w:val="00F55149"/>
    <w:rsid w:val="00F608D1"/>
    <w:rsid w:val="00F60CF2"/>
    <w:rsid w:val="00F6158E"/>
    <w:rsid w:val="00F6182D"/>
    <w:rsid w:val="00F61F53"/>
    <w:rsid w:val="00F64468"/>
    <w:rsid w:val="00F64AC1"/>
    <w:rsid w:val="00F66D82"/>
    <w:rsid w:val="00F67582"/>
    <w:rsid w:val="00F67C2A"/>
    <w:rsid w:val="00F67D8F"/>
    <w:rsid w:val="00F708DF"/>
    <w:rsid w:val="00F7265B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en/metainformations/glossary/terms-used-in-official-statistics/700,term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en/metainformations/glossary/terms-used-in-official-statistics/1313,term.html" TargetMode="External"/><Relationship Id="rId42" Type="http://schemas.openxmlformats.org/officeDocument/2006/relationships/hyperlink" Target="http://stat.gov.pl/en/metainformations/glossary/terms-used-in-official-statistics/1317,term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en/metainformations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://stat.gov.pl/en/metainformations/glossary/terms-used-in-official-statistics/1314,term.html" TargetMode="External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://stat.gov.pl/en/metainformations/glossary/terms-used-in-official-statistics/707,term.html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://swaid.stat.gov.pl/EN/SitePagesDBW/ProdukcjaPrzemyslowa.aspx" TargetMode="External"/><Relationship Id="rId28" Type="http://schemas.openxmlformats.org/officeDocument/2006/relationships/hyperlink" Target="http://stat.gov.pl/en/metainformations/glossary/terms-used-in-official-statistics/700,term.html" TargetMode="External"/><Relationship Id="rId36" Type="http://schemas.openxmlformats.org/officeDocument/2006/relationships/hyperlink" Target="http://stat.gov.pl/en/poland-macroeconomic-indicators/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1317,term.html" TargetMode="External"/><Relationship Id="rId44" Type="http://schemas.openxmlformats.org/officeDocument/2006/relationships/hyperlink" Target="http://stat.gov.pl/en/metainformations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8.png"/><Relationship Id="rId27" Type="http://schemas.openxmlformats.org/officeDocument/2006/relationships/hyperlink" Target="http://stat.gov.pl/en/metainformations/glossary/terms-used-in-official-statistics/362,term.html" TargetMode="External"/><Relationship Id="rId30" Type="http://schemas.openxmlformats.org/officeDocument/2006/relationships/hyperlink" Target="http://stat.gov.pl/en/metainformations/glossary/terms-used-in-official-statistics/356,term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hyperlink" Target="http://stat.gov.pl/en/metainformations/glossary/terms-used-in-official-statistics/1314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yperlink" Target="http://stat.gov.pl/en/metainformations/glossary/terms-used-in-official-statistics/357,term.html" TargetMode="External"/><Relationship Id="rId38" Type="http://schemas.openxmlformats.org/officeDocument/2006/relationships/hyperlink" Target="http://stat.gov.pl/en/metainformations/glossary/terms-used-in-official-statistics/362,term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6.png"/><Relationship Id="rId41" Type="http://schemas.openxmlformats.org/officeDocument/2006/relationships/hyperlink" Target="http://stat.gov.pl/en/metainformations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 (2)'!$A$5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274-4973-8AAE-79E0FB54190F}"/>
            </c:ext>
          </c:extLst>
        </c:ser>
        <c:ser>
          <c:idx val="2"/>
          <c:order val="1"/>
          <c:tx>
            <c:strRef>
              <c:f>'2021 (2)'!$A$6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274-4973-8AAE-79E0FB54190F}"/>
            </c:ext>
          </c:extLst>
        </c:ser>
        <c:ser>
          <c:idx val="3"/>
          <c:order val="2"/>
          <c:tx>
            <c:strRef>
              <c:f>'2021 (2)'!$A$7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274-4973-8AAE-79E0FB54190F}"/>
            </c:ext>
          </c:extLst>
        </c:ser>
        <c:ser>
          <c:idx val="4"/>
          <c:order val="3"/>
          <c:tx>
            <c:strRef>
              <c:f>'2021 (2)'!$A$8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274-4973-8AAE-79E0FB54190F}"/>
              </c:ext>
            </c:extLst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0274-4973-8AAE-79E0FB54190F}"/>
            </c:ext>
          </c:extLst>
        </c:ser>
        <c:ser>
          <c:idx val="0"/>
          <c:order val="4"/>
          <c:tx>
            <c:strRef>
              <c:f>'2021 (2)'!$A$9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274-4973-8AAE-79E0FB54190F}"/>
              </c:ext>
            </c:extLst>
          </c:dPt>
          <c:cat>
            <c:strRef>
              <c:f>'2021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'2021 (2)'!$B$9:$M$9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147.5</c:v>
                </c:pt>
                <c:pt idx="3">
                  <c:v>133.69999999999999</c:v>
                </c:pt>
                <c:pt idx="4">
                  <c:v>132.5</c:v>
                </c:pt>
                <c:pt idx="5">
                  <c:v>137.80000000000001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0274-4973-8AAE-79E0FB5419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5914944"/>
        <c:axId val="-145914400"/>
      </c:lineChart>
      <c:catAx>
        <c:axId val="-14591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5914400"/>
        <c:crossesAt val="100"/>
        <c:auto val="1"/>
        <c:lblAlgn val="ctr"/>
        <c:lblOffset val="100"/>
        <c:noMultiLvlLbl val="0"/>
      </c:catAx>
      <c:valAx>
        <c:axId val="-145914400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591494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 2021 ang'!$B$1</c:f>
              <c:strCache>
                <c:ptCount val="1"/>
                <c:pt idx="0">
                  <c:v>06 2020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'VI 2021 ang'!$A$2:$A$13</c:f>
              <c:strCache>
                <c:ptCount val="12"/>
                <c:pt idx="0">
                  <c:v>Manufacture of computer, electronic and optical products</c:v>
                </c:pt>
                <c:pt idx="1">
                  <c:v>Manufacture of electrical equipment</c:v>
                </c:pt>
                <c:pt idx="2">
                  <c:v>Repair and installation of machinery and equipment</c:v>
                </c:pt>
                <c:pt idx="3">
                  <c:v>Manufacture of basic metals</c:v>
                </c:pt>
                <c:pt idx="4">
                  <c:v>Manufacture of metal products</c:v>
                </c:pt>
                <c:pt idx="5">
                  <c:v>Manufacture of rubber and plastic products</c:v>
                </c:pt>
                <c:pt idx="6">
                  <c:v>Manufacture of paper and paper products</c:v>
                </c:pt>
                <c:pt idx="7">
                  <c:v>Other manufacturing  </c:v>
                </c:pt>
                <c:pt idx="8">
                  <c:v>Manufacture of machinery and equipment </c:v>
                </c:pt>
                <c:pt idx="9">
                  <c:v>Manufacture of other non-metallic mineral products</c:v>
                </c:pt>
                <c:pt idx="10">
                  <c:v>Waste collection, treatment and disposal activities; materials recovery</c:v>
                </c:pt>
                <c:pt idx="11">
                  <c:v>Manufacture of products of wood, cork, straw and wicker</c:v>
                </c:pt>
              </c:strCache>
            </c:strRef>
          </c:cat>
          <c:val>
            <c:numRef>
              <c:f>'VI 2021 ang'!$B$2:$B$13</c:f>
              <c:numCache>
                <c:formatCode>0.0_ ;[Red]\-0.0\ </c:formatCode>
                <c:ptCount val="12"/>
                <c:pt idx="0">
                  <c:v>107.4</c:v>
                </c:pt>
                <c:pt idx="1">
                  <c:v>117.3</c:v>
                </c:pt>
                <c:pt idx="2">
                  <c:v>106.2</c:v>
                </c:pt>
                <c:pt idx="3">
                  <c:v>93.1</c:v>
                </c:pt>
                <c:pt idx="4">
                  <c:v>102.5</c:v>
                </c:pt>
                <c:pt idx="5">
                  <c:v>104.7</c:v>
                </c:pt>
                <c:pt idx="6">
                  <c:v>101</c:v>
                </c:pt>
                <c:pt idx="7">
                  <c:v>112.9</c:v>
                </c:pt>
                <c:pt idx="8">
                  <c:v>87</c:v>
                </c:pt>
                <c:pt idx="9">
                  <c:v>102.5</c:v>
                </c:pt>
                <c:pt idx="10">
                  <c:v>114.3</c:v>
                </c:pt>
                <c:pt idx="11">
                  <c:v>117.7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05-4775-8EFB-97E40DC763C3}"/>
            </c:ext>
          </c:extLst>
        </c:ser>
        <c:ser>
          <c:idx val="2"/>
          <c:order val="1"/>
          <c:tx>
            <c:strRef>
              <c:f>'VI 2021 ang'!$C$1</c:f>
              <c:strCache>
                <c:ptCount val="1"/>
                <c:pt idx="0">
                  <c:v>06 2021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'VI 2021 ang'!$A$2:$A$13</c:f>
              <c:strCache>
                <c:ptCount val="12"/>
                <c:pt idx="0">
                  <c:v>Manufacture of computer, electronic and optical products</c:v>
                </c:pt>
                <c:pt idx="1">
                  <c:v>Manufacture of electrical equipment</c:v>
                </c:pt>
                <c:pt idx="2">
                  <c:v>Repair and installation of machinery and equipment</c:v>
                </c:pt>
                <c:pt idx="3">
                  <c:v>Manufacture of basic metals</c:v>
                </c:pt>
                <c:pt idx="4">
                  <c:v>Manufacture of metal products</c:v>
                </c:pt>
                <c:pt idx="5">
                  <c:v>Manufacture of rubber and plastic products</c:v>
                </c:pt>
                <c:pt idx="6">
                  <c:v>Manufacture of paper and paper products</c:v>
                </c:pt>
                <c:pt idx="7">
                  <c:v>Other manufacturing  </c:v>
                </c:pt>
                <c:pt idx="8">
                  <c:v>Manufacture of machinery and equipment </c:v>
                </c:pt>
                <c:pt idx="9">
                  <c:v>Manufacture of other non-metallic mineral products</c:v>
                </c:pt>
                <c:pt idx="10">
                  <c:v>Waste collection, treatment and disposal activities; materials recovery</c:v>
                </c:pt>
                <c:pt idx="11">
                  <c:v>Manufacture of products of wood, cork, straw and wicker</c:v>
                </c:pt>
              </c:strCache>
            </c:strRef>
          </c:cat>
          <c:val>
            <c:numRef>
              <c:f>'VI 2021 ang'!$C$2:$C$13</c:f>
              <c:numCache>
                <c:formatCode>0.0_ ;[Red]\-0.0\ </c:formatCode>
                <c:ptCount val="12"/>
                <c:pt idx="0">
                  <c:v>147.5</c:v>
                </c:pt>
                <c:pt idx="1">
                  <c:v>138.6</c:v>
                </c:pt>
                <c:pt idx="2">
                  <c:v>133.9</c:v>
                </c:pt>
                <c:pt idx="3">
                  <c:v>130.6</c:v>
                </c:pt>
                <c:pt idx="4">
                  <c:v>124.4</c:v>
                </c:pt>
                <c:pt idx="5">
                  <c:v>123.1</c:v>
                </c:pt>
                <c:pt idx="6">
                  <c:v>122.3</c:v>
                </c:pt>
                <c:pt idx="7">
                  <c:v>121.4</c:v>
                </c:pt>
                <c:pt idx="8">
                  <c:v>120</c:v>
                </c:pt>
                <c:pt idx="9">
                  <c:v>119.4</c:v>
                </c:pt>
                <c:pt idx="10">
                  <c:v>119.1</c:v>
                </c:pt>
                <c:pt idx="11">
                  <c:v>118.2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05-4775-8EFB-97E40DC763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5928000"/>
        <c:axId val="-145926912"/>
      </c:barChart>
      <c:catAx>
        <c:axId val="-1459280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45926912"/>
        <c:crossesAt val="100"/>
        <c:auto val="1"/>
        <c:lblAlgn val="ctr"/>
        <c:lblOffset val="20"/>
        <c:noMultiLvlLbl val="0"/>
      </c:catAx>
      <c:valAx>
        <c:axId val="-145926912"/>
        <c:scaling>
          <c:orientation val="minMax"/>
          <c:max val="150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45928000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0492520305313E-2"/>
          <c:y val="3.3516148689823277E-2"/>
          <c:w val="0.91255146111462604"/>
          <c:h val="0.688960340800773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'wykres słupkowy - czerwiec ang.'!$C$2</c:f>
              <c:strCache>
                <c:ptCount val="1"/>
                <c:pt idx="0">
                  <c:v>01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5F6-49E4-B41D-D909EC1A8767}"/>
              </c:ext>
            </c:extLst>
          </c:dPt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5F6-49E4-B41D-D909EC1A8767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5F6-49E4-B41D-D909EC1A8767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5F6-49E4-B41D-D909EC1A8767}"/>
              </c:ext>
            </c:extLst>
          </c:dPt>
          <c:dPt>
            <c:idx val="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5F6-49E4-B41D-D909EC1A8767}"/>
              </c:ext>
            </c:extLst>
          </c:dPt>
          <c:dPt>
            <c:idx val="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5F6-49E4-B41D-D909EC1A8767}"/>
              </c:ext>
            </c:extLst>
          </c:dPt>
          <c:dPt>
            <c:idx val="8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25F6-49E4-B41D-D909EC1A8767}"/>
              </c:ext>
            </c:extLst>
          </c:dPt>
          <c:dPt>
            <c:idx val="9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25F6-49E4-B41D-D909EC1A8767}"/>
              </c:ext>
            </c:extLst>
          </c:dPt>
          <c:dPt>
            <c:idx val="1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25F6-49E4-B41D-D909EC1A8767}"/>
              </c:ext>
            </c:extLst>
          </c:dPt>
          <c:dPt>
            <c:idx val="11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25F6-49E4-B41D-D909EC1A8767}"/>
              </c:ext>
            </c:extLst>
          </c:dPt>
          <c:dPt>
            <c:idx val="12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25F6-49E4-B41D-D909EC1A8767}"/>
              </c:ext>
            </c:extLst>
          </c:dPt>
          <c:dPt>
            <c:idx val="1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25F6-49E4-B41D-D909EC1A8767}"/>
              </c:ext>
            </c:extLst>
          </c:dPt>
          <c:dPt>
            <c:idx val="1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25F6-49E4-B41D-D909EC1A8767}"/>
              </c:ext>
            </c:extLst>
          </c:dPt>
          <c:dPt>
            <c:idx val="17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25F6-49E4-B41D-D909EC1A8767}"/>
              </c:ext>
            </c:extLst>
          </c:dPt>
          <c:dPt>
            <c:idx val="18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25F6-49E4-B41D-D909EC1A8767}"/>
              </c:ext>
            </c:extLst>
          </c:dPt>
          <c:dPt>
            <c:idx val="19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25F6-49E4-B41D-D909EC1A8767}"/>
              </c:ext>
            </c:extLst>
          </c:dPt>
          <c:dPt>
            <c:idx val="22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25F6-49E4-B41D-D909EC1A8767}"/>
              </c:ext>
            </c:extLst>
          </c:dPt>
          <c:dPt>
            <c:idx val="23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25F6-49E4-B41D-D909EC1A8767}"/>
              </c:ext>
            </c:extLst>
          </c:dPt>
          <c:dPt>
            <c:idx val="2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25F6-49E4-B41D-D909EC1A8767}"/>
              </c:ext>
            </c:extLst>
          </c:dPt>
          <c:dPt>
            <c:idx val="25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25F6-49E4-B41D-D909EC1A8767}"/>
              </c:ext>
            </c:extLst>
          </c:dPt>
          <c:dPt>
            <c:idx val="26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25F6-49E4-B41D-D909EC1A8767}"/>
              </c:ext>
            </c:extLst>
          </c:dPt>
          <c:dPt>
            <c:idx val="2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25F6-49E4-B41D-D909EC1A8767}"/>
              </c:ext>
            </c:extLst>
          </c:dPt>
          <c:dPt>
            <c:idx val="3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25F6-49E4-B41D-D909EC1A8767}"/>
              </c:ext>
            </c:extLst>
          </c:dPt>
          <c:dPt>
            <c:idx val="3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25F6-49E4-B41D-D909EC1A8767}"/>
              </c:ext>
            </c:extLst>
          </c:dPt>
          <c:dPt>
            <c:idx val="3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25F6-49E4-B41D-D909EC1A8767}"/>
              </c:ext>
            </c:extLst>
          </c:dPt>
          <c:dPt>
            <c:idx val="33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25F6-49E4-B41D-D909EC1A8767}"/>
              </c:ext>
            </c:extLst>
          </c:dPt>
          <c:dPt>
            <c:idx val="3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25F6-49E4-B41D-D909EC1A8767}"/>
              </c:ext>
            </c:extLst>
          </c:dPt>
          <c:dPt>
            <c:idx val="3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25F6-49E4-B41D-D909EC1A8767}"/>
              </c:ext>
            </c:extLst>
          </c:dPt>
          <c:dPt>
            <c:idx val="3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25F6-49E4-B41D-D909EC1A8767}"/>
              </c:ext>
            </c:extLst>
          </c:dPt>
          <c:dPt>
            <c:idx val="39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25F6-49E4-B41D-D909EC1A8767}"/>
              </c:ext>
            </c:extLst>
          </c:dPt>
          <c:dPt>
            <c:idx val="40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25F6-49E4-B41D-D909EC1A8767}"/>
              </c:ext>
            </c:extLst>
          </c:dPt>
          <c:cat>
            <c:numRef>
              <c:f>'wykres słupkowy - czerwiec ang.'!$A$3:$A$45</c:f>
              <c:numCache>
                <c:formatCode>General</c:formatCode>
                <c:ptCount val="43"/>
              </c:numCache>
            </c:numRef>
          </c:cat>
          <c:val>
            <c:numRef>
              <c:f>'wykres słupkowy - czerwiec ang.'!$C$3:$C$45</c:f>
              <c:numCache>
                <c:formatCode>0.0_ ;[Red]\-0.0\ </c:formatCode>
                <c:ptCount val="43"/>
                <c:pt idx="0">
                  <c:v>69.400000000000006</c:v>
                </c:pt>
                <c:pt idx="1">
                  <c:v>113.5</c:v>
                </c:pt>
                <c:pt idx="2">
                  <c:v>140.1</c:v>
                </c:pt>
                <c:pt idx="3">
                  <c:v>97.6</c:v>
                </c:pt>
                <c:pt idx="4">
                  <c:v>99</c:v>
                </c:pt>
                <c:pt idx="5">
                  <c:v>123.7</c:v>
                </c:pt>
                <c:pt idx="7">
                  <c:v>55.1</c:v>
                </c:pt>
                <c:pt idx="8">
                  <c:v>112.9</c:v>
                </c:pt>
                <c:pt idx="9">
                  <c:v>112.4</c:v>
                </c:pt>
                <c:pt idx="10">
                  <c:v>87.4</c:v>
                </c:pt>
                <c:pt idx="11">
                  <c:v>111.4</c:v>
                </c:pt>
                <c:pt idx="12">
                  <c:v>120.3</c:v>
                </c:pt>
                <c:pt idx="14">
                  <c:v>87.5</c:v>
                </c:pt>
                <c:pt idx="15">
                  <c:v>106.7</c:v>
                </c:pt>
                <c:pt idx="16">
                  <c:v>129.5</c:v>
                </c:pt>
                <c:pt idx="17">
                  <c:v>83.7</c:v>
                </c:pt>
                <c:pt idx="18">
                  <c:v>97.3</c:v>
                </c:pt>
                <c:pt idx="19">
                  <c:v>110.5</c:v>
                </c:pt>
                <c:pt idx="21">
                  <c:v>71</c:v>
                </c:pt>
                <c:pt idx="22">
                  <c:v>115.4</c:v>
                </c:pt>
                <c:pt idx="23">
                  <c:v>123.6</c:v>
                </c:pt>
                <c:pt idx="24">
                  <c:v>90.2</c:v>
                </c:pt>
                <c:pt idx="25">
                  <c:v>97.9</c:v>
                </c:pt>
                <c:pt idx="26">
                  <c:v>107.4</c:v>
                </c:pt>
                <c:pt idx="28">
                  <c:v>86.2</c:v>
                </c:pt>
                <c:pt idx="29">
                  <c:v>94.5</c:v>
                </c:pt>
                <c:pt idx="30">
                  <c:v>124.2</c:v>
                </c:pt>
                <c:pt idx="31">
                  <c:v>99.3</c:v>
                </c:pt>
                <c:pt idx="32">
                  <c:v>101.8</c:v>
                </c:pt>
                <c:pt idx="33">
                  <c:v>98.2</c:v>
                </c:pt>
                <c:pt idx="35">
                  <c:v>59.8</c:v>
                </c:pt>
                <c:pt idx="36">
                  <c:v>106.3</c:v>
                </c:pt>
                <c:pt idx="37">
                  <c:v>120.3</c:v>
                </c:pt>
                <c:pt idx="38">
                  <c:v>95.5</c:v>
                </c:pt>
                <c:pt idx="39">
                  <c:v>115.8</c:v>
                </c:pt>
                <c:pt idx="40">
                  <c:v>97.2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25F6-49E4-B41D-D909EC1A8767}"/>
            </c:ext>
          </c:extLst>
        </c:ser>
        <c:ser>
          <c:idx val="2"/>
          <c:order val="2"/>
          <c:tx>
            <c:strRef>
              <c:f>'wykres słupkowy - czerwiec ang.'!$D$2</c:f>
              <c:strCache>
                <c:ptCount val="1"/>
                <c:pt idx="0">
                  <c:v>02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numRef>
              <c:f>'wykres słupkowy - czerwiec ang.'!$A$3:$A$45</c:f>
              <c:numCache>
                <c:formatCode>General</c:formatCode>
                <c:ptCount val="43"/>
              </c:numCache>
            </c:numRef>
          </c:cat>
          <c:val>
            <c:numRef>
              <c:f>'wykres słupkowy - czerwiec ang.'!$D$3:$D$45</c:f>
              <c:numCache>
                <c:formatCode>General</c:formatCode>
                <c:ptCount val="4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F-25F6-49E4-B41D-D909EC1A8767}"/>
            </c:ext>
          </c:extLst>
        </c:ser>
        <c:ser>
          <c:idx val="3"/>
          <c:order val="3"/>
          <c:tx>
            <c:strRef>
              <c:f>'wykres słupkowy - czerwiec ang.'!$E$2</c:f>
              <c:strCache>
                <c:ptCount val="1"/>
                <c:pt idx="0">
                  <c:v>03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'wykres słupkowy - czerwiec ang.'!$A$3:$A$45</c:f>
              <c:numCache>
                <c:formatCode>General</c:formatCode>
                <c:ptCount val="43"/>
              </c:numCache>
            </c:numRef>
          </c:cat>
          <c:val>
            <c:numRef>
              <c:f>'wykres słupkowy - czerwiec ang.'!$E$3:$E$45</c:f>
              <c:numCache>
                <c:formatCode>General</c:formatCode>
                <c:ptCount val="4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0-25F6-49E4-B41D-D909EC1A8767}"/>
            </c:ext>
          </c:extLst>
        </c:ser>
        <c:ser>
          <c:idx val="4"/>
          <c:order val="4"/>
          <c:tx>
            <c:strRef>
              <c:f>'wykres słupkowy - czerwiec ang.'!$F$2</c:f>
              <c:strCache>
                <c:ptCount val="1"/>
                <c:pt idx="0">
                  <c:v>04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słupkowy - czerwiec ang.'!$A$3:$A$45</c:f>
              <c:numCache>
                <c:formatCode>General</c:formatCode>
                <c:ptCount val="43"/>
              </c:numCache>
            </c:numRef>
          </c:cat>
          <c:val>
            <c:numRef>
              <c:f>'wykres słupkowy - czerwiec ang.'!$F$3:$F$45</c:f>
              <c:numCache>
                <c:formatCode>General</c:formatCode>
                <c:ptCount val="4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1-25F6-49E4-B41D-D909EC1A8767}"/>
            </c:ext>
          </c:extLst>
        </c:ser>
        <c:ser>
          <c:idx val="5"/>
          <c:order val="5"/>
          <c:tx>
            <c:strRef>
              <c:f>'wykres słupkowy - czerwiec ang.'!$G$2</c:f>
              <c:strCache>
                <c:ptCount val="1"/>
                <c:pt idx="0">
                  <c:v>05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numRef>
              <c:f>'wykres słupkowy - czerwiec ang.'!$A$3:$A$45</c:f>
              <c:numCache>
                <c:formatCode>General</c:formatCode>
                <c:ptCount val="43"/>
              </c:numCache>
            </c:numRef>
          </c:cat>
          <c:val>
            <c:numRef>
              <c:f>'wykres słupkowy - czerwiec ang.'!$G$3:$G$45</c:f>
              <c:numCache>
                <c:formatCode>General</c:formatCode>
                <c:ptCount val="4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2-25F6-49E4-B41D-D909EC1A8767}"/>
            </c:ext>
          </c:extLst>
        </c:ser>
        <c:ser>
          <c:idx val="6"/>
          <c:order val="6"/>
          <c:tx>
            <c:strRef>
              <c:f>'wykres słupkowy - czerwiec ang.'!$H$2</c:f>
              <c:strCache>
                <c:ptCount val="1"/>
                <c:pt idx="0">
                  <c:v>06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numRef>
              <c:f>'wykres słupkowy - czerwiec ang.'!$A$3:$A$45</c:f>
              <c:numCache>
                <c:formatCode>General</c:formatCode>
                <c:ptCount val="43"/>
              </c:numCache>
            </c:numRef>
          </c:cat>
          <c:val>
            <c:numRef>
              <c:f>'wykres słupkowy - czerwiec ang.'!$H$3:$H$45</c:f>
              <c:numCache>
                <c:formatCode>General</c:formatCode>
                <c:ptCount val="4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3-25F6-49E4-B41D-D909EC1A87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overlap val="100"/>
        <c:axId val="-145924736"/>
        <c:axId val="-145926368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czerwiec ang.'!$B$2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czerwiec ang.'!$A$3:$A$45</c15:sqref>
                        </c15:formulaRef>
                      </c:ext>
                    </c:extLst>
                    <c:numCache>
                      <c:formatCode>General</c:formatCode>
                      <c:ptCount val="43"/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czerwiec ang.'!$B$3:$B$45</c15:sqref>
                        </c15:formulaRef>
                      </c:ext>
                    </c:extLst>
                    <c:numCache>
                      <c:formatCode>General</c:formatCode>
                      <c:ptCount val="43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44-25F6-49E4-B41D-D909EC1A8767}"/>
                  </c:ext>
                </c:extLst>
              </c15:ser>
            </c15:filteredBarSeries>
          </c:ext>
        </c:extLst>
      </c:barChart>
      <c:catAx>
        <c:axId val="-14592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45926368"/>
        <c:crossesAt val="100"/>
        <c:auto val="1"/>
        <c:lblAlgn val="ctr"/>
        <c:lblOffset val="100"/>
        <c:noMultiLvlLbl val="0"/>
      </c:catAx>
      <c:valAx>
        <c:axId val="-145926368"/>
        <c:scaling>
          <c:orientation val="minMax"/>
          <c:max val="140"/>
          <c:min val="5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592473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948683710928844"/>
          <c:y val="0.93150618672665908"/>
          <c:w val="0.45438653389123118"/>
          <c:h val="3.24214492009076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0.31951</cdr:x>
      <cdr:y>0.72707</cdr:y>
    </cdr:from>
    <cdr:to>
      <cdr:x>0.50858</cdr:x>
      <cdr:y>0.89092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="" xmlns:a16="http://schemas.microsoft.com/office/drawing/2014/main" id="{BD0D6622-5DAD-43B7-8791-C192ABDBB908}"/>
            </a:ext>
          </a:extLst>
        </cdr:cNvPr>
        <cdr:cNvSpPr txBox="1"/>
      </cdr:nvSpPr>
      <cdr:spPr>
        <a:xfrm xmlns:a="http://schemas.openxmlformats.org/drawingml/2006/main">
          <a:off x="1636683" y="3231820"/>
          <a:ext cx="968519" cy="728313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</a:t>
          </a:r>
        </a:p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of pharmaceutical products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0.04119</cdr:x>
      <cdr:y>0.72716</cdr:y>
    </cdr:from>
    <cdr:to>
      <cdr:x>0.19834</cdr:x>
      <cdr:y>0.82729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="" xmlns:a16="http://schemas.microsoft.com/office/drawing/2014/main" id="{920B724C-518B-45F1-9FD1-D890DC95E7DD}"/>
            </a:ext>
          </a:extLst>
        </cdr:cNvPr>
        <cdr:cNvSpPr txBox="1"/>
      </cdr:nvSpPr>
      <cdr:spPr>
        <a:xfrm xmlns:a="http://schemas.openxmlformats.org/drawingml/2006/main">
          <a:off x="210998" y="3181434"/>
          <a:ext cx="805002" cy="43806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beverages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0.1784</cdr:x>
      <cdr:y>0.72636</cdr:y>
    </cdr:from>
    <cdr:to>
      <cdr:x>0.3472</cdr:x>
      <cdr:y>0.87808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="" xmlns:a16="http://schemas.microsoft.com/office/drawing/2014/main" id="{D9D65981-5F6F-4BDB-A967-09D022993F6E}"/>
            </a:ext>
          </a:extLst>
        </cdr:cNvPr>
        <cdr:cNvSpPr txBox="1"/>
      </cdr:nvSpPr>
      <cdr:spPr>
        <a:xfrm xmlns:a="http://schemas.openxmlformats.org/drawingml/2006/main">
          <a:off x="913880" y="3177934"/>
          <a:ext cx="864686" cy="66381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of other transport equipment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0.48257</cdr:x>
      <cdr:y>0.72262</cdr:y>
    </cdr:from>
    <cdr:to>
      <cdr:x>0.64597</cdr:x>
      <cdr:y>0.87663</cdr:y>
    </cdr:to>
    <cdr:sp macro="" textlink="">
      <cdr:nvSpPr>
        <cdr:cNvPr id="7" name="pole tekstowe 6">
          <a:extLst xmlns:a="http://schemas.openxmlformats.org/drawingml/2006/main">
            <a:ext uri="{FF2B5EF4-FFF2-40B4-BE49-F238E27FC236}">
              <a16:creationId xmlns="" xmlns:a16="http://schemas.microsoft.com/office/drawing/2014/main" id="{43A482A1-94F6-4DB0-A098-6EB3EBD9CCC0}"/>
            </a:ext>
          </a:extLst>
        </cdr:cNvPr>
        <cdr:cNvSpPr txBox="1"/>
      </cdr:nvSpPr>
      <cdr:spPr>
        <a:xfrm xmlns:a="http://schemas.openxmlformats.org/drawingml/2006/main">
          <a:off x="2471983" y="3161570"/>
          <a:ext cx="837023" cy="67382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of machinery and equipment 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0.64271</cdr:x>
      <cdr:y>0.72361</cdr:y>
    </cdr:from>
    <cdr:to>
      <cdr:x>0.81016</cdr:x>
      <cdr:y>0.91022</cdr:y>
    </cdr:to>
    <cdr:sp macro="" textlink="">
      <cdr:nvSpPr>
        <cdr:cNvPr id="8" name="pole tekstowe 7">
          <a:extLst xmlns:a="http://schemas.openxmlformats.org/drawingml/2006/main">
            <a:ext uri="{FF2B5EF4-FFF2-40B4-BE49-F238E27FC236}">
              <a16:creationId xmlns="" xmlns:a16="http://schemas.microsoft.com/office/drawing/2014/main" id="{E2667829-AC67-447F-A19F-E67BC9D78250}"/>
            </a:ext>
          </a:extLst>
        </cdr:cNvPr>
        <cdr:cNvSpPr txBox="1"/>
      </cdr:nvSpPr>
      <cdr:spPr>
        <a:xfrm xmlns:a="http://schemas.openxmlformats.org/drawingml/2006/main">
          <a:off x="3292297" y="3216446"/>
          <a:ext cx="857770" cy="82948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of computer, electronic and optical products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0.80374</cdr:x>
      <cdr:y>0.72449</cdr:y>
    </cdr:from>
    <cdr:to>
      <cdr:x>0.9607</cdr:x>
      <cdr:y>0.86429</cdr:y>
    </cdr:to>
    <cdr:sp macro="" textlink="">
      <cdr:nvSpPr>
        <cdr:cNvPr id="4" name="pole tekstowe 3">
          <a:extLst xmlns:a="http://schemas.openxmlformats.org/drawingml/2006/main">
            <a:ext uri="{FF2B5EF4-FFF2-40B4-BE49-F238E27FC236}">
              <a16:creationId xmlns="" xmlns:a16="http://schemas.microsoft.com/office/drawing/2014/main" id="{5BE829AE-EC2B-4B59-AADA-80FE4C2C4709}"/>
            </a:ext>
          </a:extLst>
        </cdr:cNvPr>
        <cdr:cNvSpPr txBox="1"/>
      </cdr:nvSpPr>
      <cdr:spPr>
        <a:xfrm xmlns:a="http://schemas.openxmlformats.org/drawingml/2006/main">
          <a:off x="4117186" y="3220339"/>
          <a:ext cx="804064" cy="62141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Manufacture of wearing apparel 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Informacja sygnalna - czerwiec 2021 - ang.docx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5512D6DC-9E7E-4E38-934B-16E79AD8F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7D355-AE2A-4727-BCF9-A6CA184B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June 2021</dc:title>
  <dc:subject>Index numbers of sold production of industry</dc:subject>
  <dc:creator>Statistics Poland</dc:creator>
  <cp:lastPrinted>2020-06-19T06:38:00Z</cp:lastPrinted>
  <dcterms:created xsi:type="dcterms:W3CDTF">2021-07-19T11:57:00Z</dcterms:created>
  <dcterms:modified xsi:type="dcterms:W3CDTF">2021-07-19T11:57:00Z</dcterms:modified>
  <cp:category>Industry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