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19506DEB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AB018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October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14:paraId="103DA51B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0D6975" w:rsidRPr="005C1756" w:rsidRDefault="000D6975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533C439" w14:textId="77777777" w:rsidR="000D6975" w:rsidRPr="005C1756" w:rsidRDefault="000D6975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F3C078" w14:textId="31C5D9F3"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ED432D2" wp14:editId="5DAE9F91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48DF" w14:textId="61B223FD" w:rsidR="000D6975" w:rsidRPr="00EF6555" w:rsidRDefault="000D6975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+4.6 bn</w:t>
                            </w:r>
                          </w:p>
                          <w:p w14:paraId="01287399" w14:textId="77777777" w:rsidR="000D6975" w:rsidRPr="00422CBD" w:rsidRDefault="000D6975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14:paraId="07E76D3B" w14:textId="77777777" w:rsidR="000D6975" w:rsidRPr="00EF6555" w:rsidRDefault="000D6975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D432D2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14:paraId="34F048DF" w14:textId="61B223FD" w:rsidR="000D6975" w:rsidRPr="00EF6555" w:rsidRDefault="000D6975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+4.6 bn</w:t>
                      </w:r>
                    </w:p>
                    <w:p w14:paraId="01287399" w14:textId="77777777" w:rsidR="000D6975" w:rsidRPr="00422CBD" w:rsidRDefault="000D6975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14:paraId="07E76D3B" w14:textId="77777777" w:rsidR="000D6975" w:rsidRPr="00EF6555" w:rsidRDefault="000D6975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542848">
        <w:rPr>
          <w:lang w:val="en-US"/>
        </w:rPr>
        <w:t xml:space="preserve">– </w:t>
      </w:r>
      <w:r w:rsidR="00AB0186">
        <w:rPr>
          <w:lang w:val="en-US"/>
        </w:rPr>
        <w:t>October</w:t>
      </w:r>
      <w:r w:rsidR="00542848">
        <w:rPr>
          <w:lang w:val="en-US"/>
        </w:rPr>
        <w:t xml:space="preserve">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A576A2" w:rsidRPr="00A576A2">
        <w:rPr>
          <w:rFonts w:cs="Arial"/>
          <w:lang w:val="en-US"/>
        </w:rPr>
        <w:t>1</w:t>
      </w:r>
      <w:r w:rsidR="00A576A2">
        <w:rPr>
          <w:rFonts w:cs="Arial"/>
          <w:lang w:val="en-US"/>
        </w:rPr>
        <w:t> </w:t>
      </w:r>
      <w:r w:rsidR="00A576A2" w:rsidRPr="00A576A2">
        <w:rPr>
          <w:rFonts w:cs="Arial"/>
          <w:lang w:val="en-US"/>
        </w:rPr>
        <w:t>059</w:t>
      </w:r>
      <w:r w:rsidR="00A576A2">
        <w:rPr>
          <w:rFonts w:cs="Arial"/>
          <w:lang w:val="en-US"/>
        </w:rPr>
        <w:t>.</w:t>
      </w:r>
      <w:r w:rsidR="00A576A2" w:rsidRPr="00A576A2">
        <w:rPr>
          <w:rFonts w:cs="Arial"/>
          <w:lang w:val="en-US"/>
        </w:rPr>
        <w:t>1</w:t>
      </w:r>
      <w:r w:rsidR="00993FB9" w:rsidRPr="00993FB9">
        <w:rPr>
          <w:rFonts w:cs="Arial"/>
          <w:lang w:val="en-US"/>
        </w:rPr>
        <w:t xml:space="preserve">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A576A2" w:rsidRPr="00A576A2">
        <w:rPr>
          <w:rFonts w:cs="Arial"/>
          <w:lang w:val="en-US"/>
        </w:rPr>
        <w:t>1</w:t>
      </w:r>
      <w:r w:rsidR="00A576A2">
        <w:rPr>
          <w:rFonts w:cs="Arial"/>
          <w:lang w:val="en-US"/>
        </w:rPr>
        <w:t> </w:t>
      </w:r>
      <w:r w:rsidR="00A576A2" w:rsidRPr="00A576A2">
        <w:rPr>
          <w:rFonts w:cs="Arial"/>
          <w:lang w:val="en-US"/>
        </w:rPr>
        <w:t>054</w:t>
      </w:r>
      <w:r w:rsidR="00A576A2">
        <w:rPr>
          <w:rFonts w:cs="Arial"/>
          <w:lang w:val="en-US"/>
        </w:rPr>
        <w:t>.</w:t>
      </w:r>
      <w:r w:rsidR="00A576A2" w:rsidRPr="00A576A2">
        <w:rPr>
          <w:rFonts w:cs="Arial"/>
          <w:lang w:val="en-US"/>
        </w:rPr>
        <w:t xml:space="preserve">5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A576A2">
        <w:rPr>
          <w:rFonts w:cs="Arial"/>
          <w:spacing w:val="-3"/>
          <w:lang w:val="en-US"/>
        </w:rPr>
        <w:t>4</w:t>
      </w:r>
      <w:r w:rsidR="0067586D">
        <w:rPr>
          <w:rFonts w:cs="Arial"/>
          <w:spacing w:val="-3"/>
          <w:lang w:val="en-US"/>
        </w:rPr>
        <w:t>.</w:t>
      </w:r>
      <w:r w:rsidR="00A576A2">
        <w:rPr>
          <w:rFonts w:cs="Arial"/>
          <w:spacing w:val="-3"/>
          <w:lang w:val="en-US"/>
        </w:rPr>
        <w:t>6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A576A2">
        <w:rPr>
          <w:rFonts w:cs="Arial"/>
          <w:spacing w:val="-3"/>
          <w:lang w:val="en-US"/>
        </w:rPr>
        <w:t>37.7</w:t>
      </w:r>
      <w:r w:rsidR="00993FB9" w:rsidRPr="00993FB9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542848">
        <w:rPr>
          <w:rFonts w:cs="Arial"/>
          <w:lang w:val="en-US"/>
        </w:rPr>
        <w:t xml:space="preserve">increased by </w:t>
      </w:r>
      <w:r w:rsidR="00843261">
        <w:rPr>
          <w:rFonts w:cs="Arial"/>
          <w:lang w:val="en-US"/>
        </w:rPr>
        <w:t>2</w:t>
      </w:r>
      <w:r w:rsidR="00A576A2">
        <w:rPr>
          <w:rFonts w:cs="Arial"/>
          <w:lang w:val="en-US"/>
        </w:rPr>
        <w:t>2</w:t>
      </w:r>
      <w:r w:rsidR="008E184F">
        <w:rPr>
          <w:rFonts w:cs="Arial"/>
          <w:lang w:val="en-US"/>
        </w:rPr>
        <w:t>.</w:t>
      </w:r>
      <w:r w:rsidR="00A576A2">
        <w:rPr>
          <w:rFonts w:cs="Arial"/>
          <w:lang w:val="en-US"/>
        </w:rPr>
        <w:t>5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70AAF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8E184F">
        <w:rPr>
          <w:rFonts w:cs="Arial"/>
          <w:lang w:val="en-US"/>
        </w:rPr>
        <w:t>2</w:t>
      </w:r>
      <w:r w:rsidR="00A576A2">
        <w:rPr>
          <w:rFonts w:cs="Arial"/>
          <w:lang w:val="en-US"/>
        </w:rPr>
        <w:t>7</w:t>
      </w:r>
      <w:r w:rsidR="00843261">
        <w:rPr>
          <w:rFonts w:cs="Arial"/>
          <w:lang w:val="en-US"/>
        </w:rPr>
        <w:t>.</w:t>
      </w:r>
      <w:r w:rsidR="00A576A2">
        <w:rPr>
          <w:rFonts w:cs="Arial"/>
          <w:lang w:val="en-US"/>
        </w:rPr>
        <w:t>5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14:paraId="4D2B9642" w14:textId="77777777" w:rsidR="005313E7" w:rsidRPr="005313E7" w:rsidRDefault="005313E7" w:rsidP="00633014">
      <w:pPr>
        <w:pStyle w:val="LID"/>
        <w:rPr>
          <w:rFonts w:cs="Arial"/>
          <w:lang w:val="en-US"/>
        </w:rPr>
      </w:pPr>
    </w:p>
    <w:p w14:paraId="1C303393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  <w:bookmarkStart w:id="0" w:name="_GoBack"/>
      <w:bookmarkEnd w:id="0"/>
    </w:p>
    <w:p w14:paraId="003760D4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</w:p>
    <w:p w14:paraId="678A50FF" w14:textId="77777777" w:rsidR="009E073C" w:rsidRPr="00DA2A0D" w:rsidRDefault="009E073C" w:rsidP="00633014">
      <w:pPr>
        <w:pStyle w:val="LID"/>
        <w:rPr>
          <w:rFonts w:cs="Arial"/>
          <w:b w:val="0"/>
          <w:lang w:val="en-US"/>
        </w:rPr>
      </w:pPr>
    </w:p>
    <w:p w14:paraId="40523861" w14:textId="77777777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0D6975" w:rsidRPr="00070820" w:rsidRDefault="000D6975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0D6975" w:rsidRPr="00070820" w:rsidRDefault="000D6975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D49BF20" w14:textId="2CBFAC39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BF456B">
        <w:rPr>
          <w:rFonts w:cs="Arial"/>
          <w:spacing w:val="-3"/>
          <w:szCs w:val="19"/>
          <w:lang w:val="en-US"/>
        </w:rPr>
        <w:t>278</w:t>
      </w:r>
      <w:r w:rsidR="00BA6C67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0</w:t>
      </w:r>
      <w:r w:rsidR="00BA6C67" w:rsidRPr="00BA6C67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BA6C67" w:rsidRPr="00BA6C67">
        <w:rPr>
          <w:rFonts w:cs="Arial"/>
          <w:spacing w:val="-3"/>
          <w:szCs w:val="19"/>
          <w:lang w:val="en-US"/>
        </w:rPr>
        <w:t>2</w:t>
      </w:r>
      <w:r w:rsidR="00BF456B">
        <w:rPr>
          <w:rFonts w:cs="Arial"/>
          <w:spacing w:val="-3"/>
          <w:szCs w:val="19"/>
          <w:lang w:val="en-US"/>
        </w:rPr>
        <w:t>7</w:t>
      </w:r>
      <w:r w:rsidR="00BA6C67" w:rsidRPr="00BA6C67">
        <w:rPr>
          <w:rFonts w:cs="Arial"/>
          <w:spacing w:val="-3"/>
          <w:szCs w:val="19"/>
          <w:lang w:val="en-US"/>
        </w:rPr>
        <w:t>6</w:t>
      </w:r>
      <w:r w:rsidR="00BA6C67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7</w:t>
      </w:r>
      <w:r w:rsidR="00AF5519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0F0F58" w:rsidRPr="000F0F58">
        <w:rPr>
          <w:rFonts w:cs="Arial"/>
          <w:spacing w:val="-3"/>
          <w:szCs w:val="19"/>
          <w:lang w:val="en-US"/>
        </w:rPr>
        <w:t>2</w:t>
      </w:r>
      <w:r w:rsidR="00BF456B">
        <w:rPr>
          <w:rFonts w:cs="Arial"/>
          <w:spacing w:val="-3"/>
          <w:szCs w:val="19"/>
          <w:lang w:val="en-US"/>
        </w:rPr>
        <w:t>5</w:t>
      </w:r>
      <w:r w:rsidR="000F0F58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9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0F0F58" w:rsidRPr="000F0F58">
        <w:rPr>
          <w:rFonts w:cs="Arial"/>
          <w:spacing w:val="-3"/>
          <w:szCs w:val="19"/>
          <w:lang w:val="en-US"/>
        </w:rPr>
        <w:t>3</w:t>
      </w:r>
      <w:r w:rsidR="00BF456B">
        <w:rPr>
          <w:rFonts w:cs="Arial"/>
          <w:spacing w:val="-3"/>
          <w:szCs w:val="19"/>
          <w:lang w:val="en-US"/>
        </w:rPr>
        <w:t>1</w:t>
      </w:r>
      <w:r w:rsidR="000F0F58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0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BF456B">
        <w:rPr>
          <w:rFonts w:cs="Arial"/>
          <w:spacing w:val="-3"/>
          <w:szCs w:val="19"/>
          <w:lang w:val="en-US"/>
        </w:rPr>
        <w:t>1</w:t>
      </w:r>
      <w:r w:rsidR="005E045B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3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BF456B">
        <w:rPr>
          <w:rFonts w:cs="Arial"/>
          <w:szCs w:val="19"/>
          <w:lang w:val="en-US"/>
        </w:rPr>
        <w:t>9</w:t>
      </w:r>
      <w:r w:rsidR="000F0F58">
        <w:rPr>
          <w:rFonts w:cs="Arial"/>
          <w:szCs w:val="19"/>
          <w:lang w:val="en-GB"/>
        </w:rPr>
        <w:t>.</w:t>
      </w:r>
      <w:r w:rsidR="00BF456B">
        <w:rPr>
          <w:rFonts w:cs="Arial"/>
          <w:szCs w:val="19"/>
          <w:lang w:val="en-GB"/>
        </w:rPr>
        <w:t>6</w:t>
      </w:r>
      <w:r w:rsidR="000F0F58" w:rsidRPr="000F0F58">
        <w:rPr>
          <w:rFonts w:cs="Arial"/>
          <w:szCs w:val="19"/>
          <w:lang w:val="en-GB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0135F8F5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0E9C89AD" w14:textId="1700B6F2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EUR </w:t>
      </w:r>
      <w:r w:rsidRPr="00B474D7">
        <w:rPr>
          <w:rFonts w:cs="Arial"/>
          <w:spacing w:val="-3"/>
          <w:szCs w:val="19"/>
          <w:lang w:val="en-US"/>
        </w:rPr>
        <w:t xml:space="preserve">amounted to </w:t>
      </w:r>
      <w:r w:rsidR="000F0F58" w:rsidRPr="000F0F58">
        <w:rPr>
          <w:szCs w:val="19"/>
          <w:shd w:val="clear" w:color="auto" w:fill="FDFDFD"/>
          <w:lang w:val="en-GB"/>
        </w:rPr>
        <w:t>2</w:t>
      </w:r>
      <w:r w:rsidR="00BF456B">
        <w:rPr>
          <w:szCs w:val="19"/>
          <w:shd w:val="clear" w:color="auto" w:fill="FDFDFD"/>
          <w:lang w:val="en-GB"/>
        </w:rPr>
        <w:t>32</w:t>
      </w:r>
      <w:r w:rsidR="000F0F58">
        <w:rPr>
          <w:szCs w:val="19"/>
          <w:shd w:val="clear" w:color="auto" w:fill="FDFDFD"/>
          <w:lang w:val="en-GB"/>
        </w:rPr>
        <w:t>.</w:t>
      </w:r>
      <w:r w:rsidR="00BF456B">
        <w:rPr>
          <w:szCs w:val="19"/>
          <w:shd w:val="clear" w:color="auto" w:fill="FDFDFD"/>
          <w:lang w:val="en-GB"/>
        </w:rPr>
        <w:t>5</w:t>
      </w:r>
      <w:r w:rsidR="000F0F58" w:rsidRPr="000F0F58">
        <w:rPr>
          <w:szCs w:val="19"/>
          <w:shd w:val="clear" w:color="auto" w:fill="FDFDFD"/>
          <w:lang w:val="en-GB"/>
        </w:rPr>
        <w:t xml:space="preserve"> </w:t>
      </w:r>
      <w:r w:rsidRPr="00B474D7">
        <w:rPr>
          <w:rFonts w:cs="Arial"/>
          <w:szCs w:val="19"/>
          <w:lang w:val="en-US"/>
        </w:rPr>
        <w:t>bn</w:t>
      </w:r>
      <w:r w:rsidR="005F4EF3" w:rsidRPr="00B474D7">
        <w:rPr>
          <w:rFonts w:cs="Arial"/>
          <w:szCs w:val="19"/>
          <w:lang w:val="en-US"/>
        </w:rPr>
        <w:t>,</w:t>
      </w:r>
      <w:r w:rsidRPr="00B474D7">
        <w:rPr>
          <w:rFonts w:cs="Arial"/>
          <w:szCs w:val="19"/>
          <w:lang w:val="en-US"/>
        </w:rPr>
        <w:t xml:space="preserve"> while imports amounted</w:t>
      </w:r>
      <w:r w:rsidRPr="00070820">
        <w:rPr>
          <w:rFonts w:cs="Arial"/>
          <w:szCs w:val="19"/>
          <w:lang w:val="en-US"/>
        </w:rPr>
        <w:t xml:space="preserve"> to EUR </w:t>
      </w:r>
      <w:r w:rsidR="000F0F58" w:rsidRPr="000F0F58">
        <w:rPr>
          <w:szCs w:val="19"/>
          <w:shd w:val="clear" w:color="auto" w:fill="FDFDFD"/>
          <w:lang w:val="en-GB"/>
        </w:rPr>
        <w:t>2</w:t>
      </w:r>
      <w:r w:rsidR="00BF456B">
        <w:rPr>
          <w:szCs w:val="19"/>
          <w:shd w:val="clear" w:color="auto" w:fill="FDFDFD"/>
          <w:lang w:val="en-GB"/>
        </w:rPr>
        <w:t>31</w:t>
      </w:r>
      <w:r w:rsidR="000F0F58">
        <w:rPr>
          <w:szCs w:val="19"/>
          <w:shd w:val="clear" w:color="auto" w:fill="FDFDFD"/>
          <w:lang w:val="en-GB"/>
        </w:rPr>
        <w:t>.</w:t>
      </w:r>
      <w:r w:rsidR="00BF456B">
        <w:rPr>
          <w:szCs w:val="19"/>
          <w:shd w:val="clear" w:color="auto" w:fill="FDFDFD"/>
          <w:lang w:val="en-GB"/>
        </w:rPr>
        <w:t>5</w:t>
      </w:r>
      <w:r w:rsidR="000F0F58" w:rsidRPr="000F0F58">
        <w:rPr>
          <w:szCs w:val="19"/>
          <w:shd w:val="clear" w:color="auto" w:fill="FDFDFD"/>
          <w:lang w:val="en-GB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BF456B">
        <w:rPr>
          <w:rFonts w:cs="Arial"/>
          <w:spacing w:val="-3"/>
          <w:szCs w:val="19"/>
          <w:lang w:val="en-US"/>
        </w:rPr>
        <w:t>18</w:t>
      </w:r>
      <w:r w:rsidR="000F0F58">
        <w:rPr>
          <w:rFonts w:cs="Arial"/>
          <w:szCs w:val="19"/>
          <w:lang w:val="en-GB"/>
        </w:rPr>
        <w:t>.</w:t>
      </w:r>
      <w:r w:rsidR="00BF456B">
        <w:rPr>
          <w:rFonts w:cs="Arial"/>
          <w:szCs w:val="19"/>
          <w:lang w:val="en-GB"/>
        </w:rPr>
        <w:t>5</w:t>
      </w:r>
      <w:r w:rsidR="000F0F58" w:rsidRPr="000F0F58">
        <w:rPr>
          <w:rFonts w:cs="Arial"/>
          <w:szCs w:val="19"/>
          <w:lang w:val="en-GB"/>
        </w:rPr>
        <w:t xml:space="preserve">% </w:t>
      </w:r>
      <w:r w:rsidR="00DA2A0D" w:rsidRPr="00605F35">
        <w:rPr>
          <w:rFonts w:cs="Arial"/>
          <w:spacing w:val="-3"/>
          <w:szCs w:val="19"/>
          <w:lang w:val="en-US"/>
        </w:rPr>
        <w:t>and in imports of </w:t>
      </w:r>
      <w:r w:rsidR="000F0F58" w:rsidRPr="000F0F58">
        <w:rPr>
          <w:rFonts w:cs="Arial"/>
          <w:szCs w:val="19"/>
          <w:lang w:val="en-GB"/>
        </w:rPr>
        <w:t>2</w:t>
      </w:r>
      <w:r w:rsidR="00BF456B">
        <w:rPr>
          <w:rFonts w:cs="Arial"/>
          <w:szCs w:val="19"/>
          <w:lang w:val="en-GB"/>
        </w:rPr>
        <w:t>3</w:t>
      </w:r>
      <w:r w:rsidR="000F0F58">
        <w:rPr>
          <w:rFonts w:cs="Arial"/>
          <w:szCs w:val="19"/>
          <w:lang w:val="en-GB"/>
        </w:rPr>
        <w:t>.</w:t>
      </w:r>
      <w:r w:rsidR="00BF456B">
        <w:rPr>
          <w:rFonts w:cs="Arial"/>
          <w:szCs w:val="19"/>
          <w:lang w:val="en-GB"/>
        </w:rPr>
        <w:t>3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 xml:space="preserve">EUR </w:t>
      </w:r>
      <w:r w:rsidR="005E045B">
        <w:rPr>
          <w:rFonts w:cs="Arial"/>
          <w:szCs w:val="19"/>
          <w:lang w:val="en-US"/>
        </w:rPr>
        <w:t>1.</w:t>
      </w:r>
      <w:r w:rsidR="00BF456B">
        <w:rPr>
          <w:rFonts w:cs="Arial"/>
          <w:szCs w:val="19"/>
          <w:lang w:val="en-US"/>
        </w:rPr>
        <w:t>0 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9B6742">
        <w:rPr>
          <w:rFonts w:cs="Arial"/>
          <w:szCs w:val="19"/>
          <w:lang w:val="en-US"/>
        </w:rPr>
        <w:t>8</w:t>
      </w:r>
      <w:r w:rsidR="000F0F58">
        <w:rPr>
          <w:rFonts w:cs="Arial"/>
          <w:szCs w:val="19"/>
          <w:lang w:val="en-GB"/>
        </w:rPr>
        <w:t>.</w:t>
      </w:r>
      <w:r w:rsidR="009B6742">
        <w:rPr>
          <w:rFonts w:cs="Arial"/>
          <w:szCs w:val="19"/>
          <w:lang w:val="en-GB"/>
        </w:rPr>
        <w:t>4</w:t>
      </w:r>
      <w:r w:rsidR="000F0F58" w:rsidRPr="000F0F58">
        <w:rPr>
          <w:rFonts w:cs="Arial"/>
          <w:szCs w:val="19"/>
          <w:lang w:val="en-GB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14:paraId="265A6DF1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76388F73" w14:textId="77777777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0D6975" w:rsidRPr="00F63B71" w:rsidRDefault="000D6975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0D6975" w:rsidRPr="00F63B71" w:rsidRDefault="000D6975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0D6975" w:rsidRPr="00F63B71" w:rsidRDefault="000D6975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0D6975" w:rsidRPr="00F63B71" w:rsidRDefault="000D6975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72E42F9D" w14:textId="6557D285"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43261">
        <w:rPr>
          <w:rFonts w:cs="Arial"/>
          <w:szCs w:val="19"/>
          <w:lang w:val="en"/>
        </w:rPr>
        <w:t>86.</w:t>
      </w:r>
      <w:r w:rsidR="000F0F58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8E0528">
        <w:rPr>
          <w:rFonts w:cs="Arial"/>
          <w:szCs w:val="19"/>
          <w:lang w:val="en"/>
        </w:rPr>
        <w:t>74.</w:t>
      </w:r>
      <w:r w:rsidR="009B6742">
        <w:rPr>
          <w:rFonts w:cs="Arial"/>
          <w:szCs w:val="19"/>
          <w:lang w:val="en"/>
        </w:rPr>
        <w:t>7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E0528">
        <w:rPr>
          <w:rFonts w:cs="Arial"/>
          <w:szCs w:val="19"/>
          <w:lang w:val="en"/>
        </w:rPr>
        <w:t>6</w:t>
      </w:r>
      <w:r w:rsidR="00BA1F90">
        <w:rPr>
          <w:rFonts w:cs="Arial"/>
          <w:szCs w:val="19"/>
          <w:lang w:val="en"/>
        </w:rPr>
        <w:t>3.</w:t>
      </w:r>
      <w:r w:rsidR="009B6742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BA1F90">
        <w:rPr>
          <w:rFonts w:cs="Arial"/>
          <w:szCs w:val="19"/>
          <w:lang w:val="en"/>
        </w:rPr>
        <w:t>4.</w:t>
      </w:r>
      <w:r w:rsidR="009B6742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0F0F58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</w:t>
      </w:r>
      <w:r w:rsidR="009B6742">
        <w:rPr>
          <w:rFonts w:cs="Arial"/>
          <w:szCs w:val="19"/>
          <w:lang w:val="en"/>
        </w:rPr>
        <w:t>4</w:t>
      </w:r>
      <w:r w:rsidR="00232B84">
        <w:rPr>
          <w:rFonts w:cs="Arial"/>
          <w:szCs w:val="19"/>
          <w:lang w:val="en"/>
        </w:rPr>
        <w:t>.</w:t>
      </w:r>
      <w:r w:rsidR="009B6742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>%) and 6</w:t>
      </w:r>
      <w:r w:rsidR="009B6742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9B6742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</w:t>
      </w:r>
      <w:r w:rsidR="009B6742">
        <w:rPr>
          <w:rFonts w:cs="Arial"/>
          <w:szCs w:val="19"/>
          <w:lang w:val="en"/>
        </w:rPr>
        <w:t>6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FD0E3A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8E0528">
        <w:rPr>
          <w:shd w:val="clear" w:color="auto" w:fill="FFFFFF"/>
          <w:lang w:val="en-US"/>
        </w:rPr>
        <w:t>7.</w:t>
      </w:r>
      <w:r w:rsidR="009B6742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8E0528">
        <w:rPr>
          <w:shd w:val="clear" w:color="auto" w:fill="FFFFFF"/>
          <w:lang w:val="en-US"/>
        </w:rPr>
        <w:t>6</w:t>
      </w:r>
      <w:r w:rsidR="00EF5917" w:rsidRPr="001E704E">
        <w:rPr>
          <w:shd w:val="clear" w:color="auto" w:fill="FFFFFF"/>
          <w:lang w:val="en-US"/>
        </w:rPr>
        <w:t>.</w:t>
      </w:r>
      <w:r w:rsidR="008E0528">
        <w:rPr>
          <w:shd w:val="clear" w:color="auto" w:fill="FFFFFF"/>
          <w:lang w:val="en-US"/>
        </w:rPr>
        <w:t>0</w:t>
      </w:r>
      <w:r w:rsidR="004423C0">
        <w:rPr>
          <w:shd w:val="clear" w:color="auto" w:fill="FFFFFF"/>
          <w:lang w:val="en-US"/>
        </w:rPr>
        <w:t>% and 6</w:t>
      </w:r>
      <w:r w:rsidR="00EF5917" w:rsidRPr="001E704E">
        <w:rPr>
          <w:shd w:val="clear" w:color="auto" w:fill="FFFFFF"/>
          <w:lang w:val="en-US"/>
        </w:rPr>
        <w:t>.</w:t>
      </w:r>
      <w:r w:rsidR="009B6742">
        <w:rPr>
          <w:shd w:val="clear" w:color="auto" w:fill="FFFFFF"/>
          <w:lang w:val="en-US"/>
        </w:rPr>
        <w:t>2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AB0186">
        <w:rPr>
          <w:shd w:val="clear" w:color="auto" w:fill="FFFFFF"/>
          <w:lang w:val="en-US"/>
        </w:rPr>
        <w:t>October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14:paraId="370393CB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1F49B308" w14:textId="6BB30253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9B6742">
        <w:rPr>
          <w:rFonts w:cs="Arial"/>
          <w:spacing w:val="-3"/>
          <w:lang w:val="en-US"/>
        </w:rPr>
        <w:t>220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7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D736F2">
        <w:rPr>
          <w:rFonts w:cs="Arial"/>
          <w:spacing w:val="-3"/>
          <w:lang w:val="en-US"/>
        </w:rPr>
        <w:t>5</w:t>
      </w:r>
      <w:r w:rsidR="009B6742">
        <w:rPr>
          <w:rFonts w:cs="Arial"/>
          <w:spacing w:val="-3"/>
          <w:lang w:val="en-US"/>
        </w:rPr>
        <w:t>7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9</w:t>
      </w:r>
      <w:r w:rsidR="00855CBF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D736F2">
        <w:rPr>
          <w:rFonts w:cs="Arial"/>
          <w:spacing w:val="-3"/>
          <w:lang w:val="en-US"/>
        </w:rPr>
        <w:t>4</w:t>
      </w:r>
      <w:r w:rsidR="009B6742">
        <w:rPr>
          <w:rFonts w:cs="Arial"/>
          <w:spacing w:val="-3"/>
          <w:lang w:val="en-US"/>
        </w:rPr>
        <w:t>8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4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9B6742">
        <w:rPr>
          <w:rFonts w:cs="Arial"/>
          <w:spacing w:val="-3"/>
          <w:lang w:val="en-US"/>
        </w:rPr>
        <w:t>21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9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9B6742">
        <w:rPr>
          <w:rFonts w:cs="Arial"/>
          <w:spacing w:val="-3"/>
          <w:lang w:val="en-US"/>
        </w:rPr>
        <w:t>5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7</w:t>
      </w:r>
      <w:r w:rsidR="00D94524">
        <w:rPr>
          <w:rFonts w:cs="Arial"/>
          <w:spacing w:val="-3"/>
          <w:lang w:val="en-US"/>
        </w:rPr>
        <w:t xml:space="preserve"> </w:t>
      </w:r>
      <w:r w:rsidR="006B6BCF">
        <w:rPr>
          <w:rFonts w:cs="Arial"/>
          <w:spacing w:val="-3"/>
          <w:lang w:val="en-US"/>
        </w:rPr>
        <w:t xml:space="preserve">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9B6742">
        <w:rPr>
          <w:rFonts w:cs="Arial"/>
          <w:spacing w:val="-3"/>
          <w:lang w:val="en-US"/>
        </w:rPr>
        <w:t>4</w:t>
      </w:r>
      <w:r w:rsidR="00781E35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8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874AE4">
        <w:rPr>
          <w:rFonts w:cs="Arial"/>
          <w:spacing w:val="-3"/>
          <w:lang w:val="en-US"/>
        </w:rPr>
        <w:t>2</w:t>
      </w:r>
      <w:r w:rsidR="009B6742">
        <w:rPr>
          <w:rFonts w:cs="Arial"/>
          <w:spacing w:val="-3"/>
          <w:lang w:val="en-US"/>
        </w:rPr>
        <w:t>47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2</w:t>
      </w:r>
      <w:r w:rsidR="0094327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9B6742">
        <w:rPr>
          <w:rFonts w:cs="Arial"/>
          <w:spacing w:val="-3"/>
          <w:lang w:val="en-US"/>
        </w:rPr>
        <w:t>64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9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9B6742">
        <w:rPr>
          <w:rFonts w:cs="Arial"/>
          <w:spacing w:val="-3"/>
          <w:lang w:val="en-US"/>
        </w:rPr>
        <w:t>54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3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9B6742">
        <w:rPr>
          <w:rFonts w:cs="Arial"/>
          <w:spacing w:val="-3"/>
          <w:lang w:val="en-US"/>
        </w:rPr>
        <w:t>216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7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874AE4">
        <w:rPr>
          <w:rFonts w:cs="Arial"/>
          <w:spacing w:val="-3"/>
          <w:lang w:val="en-US"/>
        </w:rPr>
        <w:t>5</w:t>
      </w:r>
      <w:r w:rsidR="009B6742">
        <w:rPr>
          <w:rFonts w:cs="Arial"/>
          <w:spacing w:val="-3"/>
          <w:lang w:val="en-US"/>
        </w:rPr>
        <w:t>6</w:t>
      </w:r>
      <w:r w:rsidR="00874AE4">
        <w:rPr>
          <w:rFonts w:cs="Arial"/>
          <w:spacing w:val="-3"/>
          <w:lang w:val="en-US"/>
        </w:rPr>
        <w:t>.9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874AE4">
        <w:rPr>
          <w:rFonts w:cs="Arial"/>
          <w:spacing w:val="-3"/>
          <w:lang w:val="en-US"/>
        </w:rPr>
        <w:t>4</w:t>
      </w:r>
      <w:r w:rsidR="009B6742">
        <w:rPr>
          <w:rFonts w:cs="Arial"/>
          <w:spacing w:val="-3"/>
          <w:lang w:val="en-US"/>
        </w:rPr>
        <w:t>7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6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14:paraId="6965FD0A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08A95F3F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64B7BBF7" w14:textId="77777777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15767311" w:rsidR="004B64A7" w:rsidRPr="000C2149" w:rsidRDefault="000F397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C632D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7C292020" w:rsidR="004B64A7" w:rsidRPr="000C2149" w:rsidRDefault="00183B0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50C25A5E"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423C0">
              <w:rPr>
                <w:rFonts w:cs="Arial"/>
                <w:sz w:val="16"/>
                <w:szCs w:val="16"/>
              </w:rPr>
              <w:t xml:space="preserve"> -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357BC2" w:rsidRPr="00E33A76" w14:paraId="59C5A22F" w14:textId="77777777" w:rsidTr="005A16E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AFCDC" w14:textId="3EE8D118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1059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637F1B" w14:textId="15D351A0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0FF9F6" w14:textId="007179E0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53354" w14:textId="411F1F3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BED2A4" w14:textId="7C86063D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A3AF19" w14:textId="6D3D8A7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118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143E6" w14:textId="5D296B14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16A506" w14:textId="5A1F2360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57BC2" w:rsidRPr="00E33A76" w14:paraId="3204AD9E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025473" w14:textId="5AF3C88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913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E908D" w14:textId="68B9D0E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239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AC43B7" w14:textId="1FA32DDC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EC329" w14:textId="23EE146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81C327" w14:textId="234038AC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287F0A" w14:textId="10C26F8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9E9498" w14:textId="077F0AE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4B79610" w14:textId="238785F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357BC2" w:rsidRPr="00E33A76" w14:paraId="62E5DF04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4E3B65" w14:textId="153B33F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790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95C8B" w14:textId="345D072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702BF2" w14:textId="64BFEBFF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2A885" w14:textId="31DB65C0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7ECB5" w14:textId="2087445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E08EEE" w14:textId="6BB463B5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D81C9F" w14:textId="079EDA9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ECEE9A2" w14:textId="0486D9C4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357BC2" w:rsidRPr="00A52E81" w14:paraId="5547B3FC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A20C3" w14:textId="39B560F4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7AE7B" w14:textId="2A0E573C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BD9620" w14:textId="330BB971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35239E" w14:textId="21F8CDD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A41DA6" w14:textId="6F205250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121417" w14:textId="733EB1E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98555" w14:textId="598548F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29CD298" w14:textId="630E0D0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57BC2" w:rsidRPr="00A52E81" w14:paraId="1024F990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357BC2" w:rsidRPr="00A52E81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D4004" w14:textId="43C58C6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EDBE29" w14:textId="39D28C8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A4E32B" w14:textId="49EE59A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ABABE8" w14:textId="1C11017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EC178" w14:textId="67579E2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0D86F" w14:textId="0030160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BEADF" w14:textId="018FD372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E50F7" w14:textId="34E600B4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57BC2" w:rsidRPr="00E33A76" w14:paraId="244F4AED" w14:textId="77777777" w:rsidTr="005A16E9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357BC2" w:rsidRPr="00890348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280D03" w14:textId="3603EE3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880FF8" w14:textId="082DA69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D97BCD" w14:textId="3435EA3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6F5817" w14:textId="768CD0F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3447E" w14:textId="47A4A2A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B78352" w14:textId="62EBB834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35A9D7" w14:textId="7E9AE4B1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9C1A121" w14:textId="361FA3B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357BC2" w:rsidRPr="00E33A76" w14:paraId="1A13722B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357BC2" w:rsidRPr="00A00ADB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8D443" w14:textId="688938C3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B40D6B" w14:textId="671B6E3C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276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739E1C" w14:textId="7C2179C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8562A6" w14:textId="7327F92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127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266946" w14:textId="1DCBE5E4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131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A17CB7" w14:textId="3BDB6B3C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3A73F6" w14:textId="03F0A99F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A7F8B65" w14:textId="3F07B2DE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357BC2" w:rsidRPr="00E33A76" w14:paraId="05358BA4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6A3E53" w14:textId="4BE8FF2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E5BBEA" w14:textId="2F925E3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174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66B79A" w14:textId="2E9FFA0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9E869A" w14:textId="38E182A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9EC54C" w14:textId="430224A1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03B81E" w14:textId="01F1FDA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BB49FE" w14:textId="2320640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125437" w14:textId="41066CB1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357BC2" w:rsidRPr="00E33A76" w14:paraId="4395F4E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3A965F" w14:textId="32B4283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7AAFA" w14:textId="5E88A1D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72B4F" w14:textId="0F26862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256485" w14:textId="088D919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E0EAB" w14:textId="2D22AFB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D5937C" w14:textId="0CEF2E9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7BBF6" w14:textId="4FC18AF5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42A3E3" w14:textId="4F8578B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357BC2" w:rsidRPr="00E33A76" w14:paraId="18248C1A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C52C5A" w14:textId="7924EC0C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475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433E9B" w14:textId="13D9071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C585D8" w14:textId="6A14C30F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104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AC7886" w14:textId="4AAD601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88A57" w14:textId="3DF7F35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00765" w14:textId="782E06B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2874BA" w14:textId="2E70B43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612BE8B" w14:textId="12BF3B7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357BC2" w:rsidRPr="00E33A76" w14:paraId="73DA072E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3F831C" w14:textId="653E394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305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95B465" w14:textId="082DC3C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365DC1" w14:textId="7E0B830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B7DD" w14:textId="3FEDF61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1571C6" w14:textId="40C86AD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133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BAA6A0" w14:textId="3F05752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971EF9" w14:textId="0B56FB8F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BD794" w14:textId="6900AE6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29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357BC2" w:rsidRPr="00EC3376" w14:paraId="3D963D09" w14:textId="77777777" w:rsidTr="005A16E9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357BC2" w:rsidRPr="003B46F9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9FC398" w14:textId="036FE170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F566B" w14:textId="0084ADA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30331" w14:textId="14165FFD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E2ABF" w14:textId="29555517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1AA0DA" w14:textId="3534A072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999F43" w14:textId="67EA766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FC5E6" w14:textId="4B04228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D7EC6E" w14:textId="2BD7DB93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357BC2" w:rsidRPr="00EC3376" w14:paraId="10226BD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357BC2" w:rsidRPr="00EC33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748ABE" w14:textId="507A6167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FB8199" w14:textId="13617B8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7BDFA" w14:textId="7FB5A0BF" w:rsidR="00357BC2" w:rsidRDefault="00357BC2" w:rsidP="00357BC2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2FC8CE" w14:textId="5086E474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376E64" w14:textId="5D46EC33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92A701" w14:textId="2C849348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D9F71" w14:textId="76772BDC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C7A6FDE" w14:textId="5CC2A7F6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57BC2" w:rsidRPr="00EC3376" w14:paraId="6DAA6AA5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357BC2" w:rsidRPr="00EC33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4AEB38" w14:textId="633DB989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2E9BD5" w14:textId="708D1B22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1D2813" w14:textId="4D606DF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9737BF" w14:textId="695EF604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4261DE" w14:textId="5316CF6E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B1666E" w14:textId="54666F8F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34934" w14:textId="419D53A9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0C0F0E" w14:textId="394460EB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57BC2" w:rsidRPr="00E33A76" w14:paraId="43FEDD3A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357BC2" w:rsidRPr="00EC3376" w:rsidRDefault="00357BC2" w:rsidP="00357BC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059C25" w14:textId="371D19D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43FDE1" w14:textId="19AD9B2B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56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6F4A53" w14:textId="414F3F9E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324B9" w14:textId="397D6E6C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24AD7D" w14:textId="11D48266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207DE9" w14:textId="7F289E53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B23E4" w14:textId="6C20F9CE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CECD046" w14:textId="00020A48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57BC2" w:rsidRPr="00E33A76" w14:paraId="1D3A10F7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55A5B4" w14:textId="2D31B70F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147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C2ACC6" w14:textId="62A7D802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6B2596" w14:textId="6B46ACEA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32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DB67F" w14:textId="092BDA4F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EF929" w14:textId="50E55B80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C95742" w14:textId="776C1107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25761D" w14:textId="40BCE2C5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D31092E" w14:textId="2AED237F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57BC2" w:rsidRPr="00E33A76" w14:paraId="28B61C88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357BC2" w:rsidRPr="00E33A76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F7A03" w14:textId="5687C506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-220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A889A7" w14:textId="215AA135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-57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B586DC" w14:textId="3B6D2471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-48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392CB" w14:textId="7DECD469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234CA9" w14:textId="1BDD6899" w:rsidR="00357BC2" w:rsidRPr="00842E53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40E434" w14:textId="32F7B9EC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FA5FD" w14:textId="0F66AD5D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0FA192" w14:textId="60050B3E" w:rsidR="00357BC2" w:rsidRPr="00FD073C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357BC2" w:rsidRPr="0062578F" w14:paraId="26CCE1E2" w14:textId="77777777" w:rsidTr="005A16E9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357BC2" w:rsidRPr="003B46F9" w:rsidRDefault="00357BC2" w:rsidP="00357BC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A18F71" w14:textId="766F2598" w:rsidR="00357BC2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-21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08C0FC" w14:textId="6E242E6E" w:rsidR="00357BC2" w:rsidRPr="0062578F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E062B5" w14:textId="53761648" w:rsidR="00357BC2" w:rsidRPr="0062578F" w:rsidRDefault="00357BC2" w:rsidP="00357BC2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-4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378774" w14:textId="661D7E6D" w:rsidR="00357BC2" w:rsidRPr="0062578F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5454D8" w14:textId="42D92D94" w:rsidR="00357BC2" w:rsidRPr="0062578F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047A4EE" w14:textId="0F6B6E92" w:rsidR="00357BC2" w:rsidRPr="0062578F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8F1CB9" w14:textId="1700F293" w:rsidR="00357BC2" w:rsidRPr="0062578F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DAC05" w14:textId="7181FE5F" w:rsidR="00357BC2" w:rsidRPr="0062578F" w:rsidRDefault="00357BC2" w:rsidP="00357BC2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1D025912" w14:textId="77777777" w:rsidR="00EF6555" w:rsidRDefault="00EF6555" w:rsidP="00345F7C">
      <w:pPr>
        <w:pStyle w:val="Nagwek1"/>
        <w:rPr>
          <w:lang w:val="en-US"/>
        </w:rPr>
      </w:pPr>
    </w:p>
    <w:p w14:paraId="7E1FC354" w14:textId="77777777" w:rsidR="00BA10FF" w:rsidRDefault="00BA10FF" w:rsidP="00BA10FF">
      <w:pPr>
        <w:rPr>
          <w:lang w:val="en-US" w:eastAsia="pl-PL"/>
        </w:rPr>
      </w:pPr>
    </w:p>
    <w:p w14:paraId="23956BC6" w14:textId="77777777" w:rsidR="00E3593D" w:rsidRDefault="00E3593D" w:rsidP="00BA10FF">
      <w:pPr>
        <w:rPr>
          <w:lang w:val="en-US" w:eastAsia="pl-PL"/>
        </w:rPr>
      </w:pPr>
    </w:p>
    <w:p w14:paraId="365440F4" w14:textId="77777777" w:rsidR="00E3593D" w:rsidRPr="00BA10FF" w:rsidRDefault="00E3593D" w:rsidP="00BA10FF">
      <w:pPr>
        <w:rPr>
          <w:lang w:val="en-US" w:eastAsia="pl-PL"/>
        </w:rPr>
      </w:pPr>
    </w:p>
    <w:p w14:paraId="594CA90E" w14:textId="77777777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0D6975" w:rsidRPr="003F7B61" w:rsidRDefault="000D6975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0D6975" w:rsidRPr="003F7B61" w:rsidRDefault="000D6975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0D6975" w:rsidRPr="003F7B61" w:rsidRDefault="000D6975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0D6975" w:rsidRPr="003F7B61" w:rsidRDefault="000D6975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CFE64CF" w14:textId="4B9846EB" w:rsidR="0051626B" w:rsidRPr="001A33F3" w:rsidRDefault="00D1451F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8A7ADA">
        <w:rPr>
          <w:lang w:val="en-US"/>
        </w:rPr>
        <w:t xml:space="preserve">After </w:t>
      </w:r>
      <w:r w:rsidR="000830ED" w:rsidRPr="000830ED">
        <w:rPr>
          <w:lang w:val="en-US"/>
        </w:rPr>
        <w:t>ten months</w:t>
      </w:r>
      <w:r w:rsidR="000830ED">
        <w:rPr>
          <w:lang w:val="en-US"/>
        </w:rPr>
        <w:t xml:space="preserve"> of </w:t>
      </w:r>
      <w:r w:rsidRPr="008A7ADA">
        <w:rPr>
          <w:lang w:val="en-US"/>
        </w:rPr>
        <w:t xml:space="preserve">this year </w:t>
      </w:r>
      <w:r w:rsidR="001A33F3" w:rsidRPr="008A7ADA">
        <w:rPr>
          <w:rFonts w:cs="Arial"/>
          <w:lang w:val="en-US"/>
        </w:rPr>
        <w:t xml:space="preserve">among </w:t>
      </w:r>
      <w:r w:rsidR="00282A29" w:rsidRPr="008A7ADA">
        <w:rPr>
          <w:rFonts w:cs="Arial"/>
          <w:lang w:val="en-US"/>
        </w:rPr>
        <w:t>the main</w:t>
      </w:r>
      <w:r w:rsidR="00282A29" w:rsidRPr="001A33F3">
        <w:rPr>
          <w:rFonts w:cs="Arial"/>
          <w:lang w:val="en-US"/>
        </w:rPr>
        <w:t xml:space="preserve">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 w:rsidR="0048326A"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781E35">
        <w:rPr>
          <w:rFonts w:cs="Arial"/>
          <w:szCs w:val="19"/>
          <w:lang w:val="en-US"/>
        </w:rPr>
        <w:t xml:space="preserve"> </w:t>
      </w:r>
      <w:r w:rsidR="00A61465">
        <w:rPr>
          <w:rFonts w:cs="Arial"/>
          <w:szCs w:val="19"/>
          <w:lang w:val="en-US"/>
        </w:rPr>
        <w:t>compared to the</w:t>
      </w:r>
      <w:r w:rsidR="00781E35" w:rsidRPr="004911B3">
        <w:rPr>
          <w:rFonts w:cs="Arial"/>
          <w:szCs w:val="19"/>
          <w:lang w:val="en-US"/>
        </w:rPr>
        <w:t xml:space="preserve"> same period of the last year</w:t>
      </w:r>
      <w:r w:rsidR="0051626B" w:rsidRPr="004911B3">
        <w:rPr>
          <w:rFonts w:cs="Arial"/>
          <w:szCs w:val="19"/>
          <w:lang w:val="en-US"/>
        </w:rPr>
        <w:t>.</w:t>
      </w:r>
    </w:p>
    <w:p w14:paraId="766E5A86" w14:textId="54885A36"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EC350C">
        <w:rPr>
          <w:rFonts w:cs="Arial"/>
          <w:lang w:val="en-US"/>
        </w:rPr>
        <w:t>1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B1592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.</w:t>
      </w:r>
      <w:r w:rsidR="00EC350C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</w:t>
      </w:r>
      <w:r w:rsidR="00EC350C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AB0186">
        <w:rPr>
          <w:lang w:val="en-US"/>
        </w:rPr>
        <w:t>October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14:paraId="0293B44E" w14:textId="350ABB76"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8A7ADA">
        <w:rPr>
          <w:rFonts w:cs="Arial"/>
          <w:lang w:val="en-US"/>
        </w:rPr>
        <w:t xml:space="preserve">The share of Germany in exports </w:t>
      </w:r>
      <w:r w:rsidR="000830ED">
        <w:rPr>
          <w:rFonts w:cs="Arial"/>
          <w:lang w:val="en-US"/>
        </w:rPr>
        <w:t>decreased</w:t>
      </w:r>
      <w:r w:rsidR="00D1451F" w:rsidRPr="008A7ADA">
        <w:rPr>
          <w:rFonts w:cs="Arial"/>
          <w:lang w:val="en-US"/>
        </w:rPr>
        <w:t xml:space="preserve"> </w:t>
      </w:r>
      <w:r w:rsidRPr="008A7ADA">
        <w:rPr>
          <w:rFonts w:cs="Arial"/>
          <w:lang w:val="en-US"/>
        </w:rPr>
        <w:t xml:space="preserve">in comparison with the </w:t>
      </w:r>
      <w:r w:rsidR="00D1451F" w:rsidRPr="008A7ADA">
        <w:rPr>
          <w:rFonts w:cs="Arial"/>
          <w:lang w:val="en-US"/>
        </w:rPr>
        <w:t>c</w:t>
      </w:r>
      <w:r w:rsidRPr="008A7ADA">
        <w:rPr>
          <w:rFonts w:cs="Arial"/>
          <w:lang w:val="en-US"/>
        </w:rPr>
        <w:t xml:space="preserve">orresponding period of </w:t>
      </w:r>
      <w:r w:rsidR="00A25F4C" w:rsidRPr="008A7ADA">
        <w:rPr>
          <w:rFonts w:cs="Arial"/>
          <w:lang w:val="en-US"/>
        </w:rPr>
        <w:t xml:space="preserve">the </w:t>
      </w:r>
      <w:r w:rsidRPr="008A7ADA">
        <w:rPr>
          <w:rFonts w:cs="Arial"/>
          <w:lang w:val="en-US"/>
        </w:rPr>
        <w:t xml:space="preserve">last </w:t>
      </w:r>
      <w:r w:rsidR="00D1451F" w:rsidRPr="008A7ADA">
        <w:rPr>
          <w:rFonts w:cs="Arial"/>
          <w:lang w:val="en-US"/>
        </w:rPr>
        <w:t>year</w:t>
      </w:r>
      <w:r w:rsidR="000830ED">
        <w:rPr>
          <w:rFonts w:cs="Arial"/>
          <w:lang w:val="en-US"/>
        </w:rPr>
        <w:t xml:space="preserve"> by 0.1 pp</w:t>
      </w:r>
      <w:r w:rsidR="00D1451F" w:rsidRPr="008A7ADA">
        <w:rPr>
          <w:rFonts w:cs="Arial"/>
          <w:lang w:val="en-US"/>
        </w:rPr>
        <w:t xml:space="preserve"> </w:t>
      </w:r>
      <w:r w:rsidRPr="008A7ADA">
        <w:rPr>
          <w:rFonts w:cs="Arial"/>
          <w:lang w:val="en-US"/>
        </w:rPr>
        <w:t xml:space="preserve">and amounted to </w:t>
      </w:r>
      <w:r w:rsidR="00141776" w:rsidRPr="008A7ADA">
        <w:rPr>
          <w:rFonts w:cs="Arial"/>
          <w:lang w:val="en-US"/>
        </w:rPr>
        <w:t>2</w:t>
      </w:r>
      <w:r w:rsidR="00BA10FF" w:rsidRPr="008A7ADA">
        <w:rPr>
          <w:rFonts w:cs="Arial"/>
          <w:lang w:val="en-US"/>
        </w:rPr>
        <w:t>8</w:t>
      </w:r>
      <w:r w:rsidR="00843537" w:rsidRPr="008A7ADA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6</w:t>
      </w:r>
      <w:r w:rsidRPr="008A7ADA">
        <w:rPr>
          <w:rFonts w:cs="Arial"/>
          <w:lang w:val="en-US"/>
        </w:rPr>
        <w:t>%</w:t>
      </w:r>
      <w:r w:rsidR="00CF6598" w:rsidRPr="008A7ADA">
        <w:rPr>
          <w:rFonts w:cs="Arial"/>
          <w:lang w:val="en-US"/>
        </w:rPr>
        <w:t xml:space="preserve"> and</w:t>
      </w:r>
      <w:r w:rsidR="00CF6598">
        <w:rPr>
          <w:rFonts w:cs="Arial"/>
          <w:lang w:val="en-US"/>
        </w:rPr>
        <w:t xml:space="preserve"> </w:t>
      </w:r>
      <w:r w:rsidR="00781E35" w:rsidRPr="00781E35">
        <w:rPr>
          <w:rFonts w:cs="Arial"/>
          <w:lang w:val="en-US"/>
        </w:rPr>
        <w:t xml:space="preserve">in imports decreased by </w:t>
      </w:r>
      <w:r w:rsidR="008B0722" w:rsidRPr="00F429DA">
        <w:rPr>
          <w:rFonts w:cs="Arial"/>
          <w:lang w:val="en-US"/>
        </w:rPr>
        <w:t>0.</w:t>
      </w:r>
      <w:r w:rsidR="000830ED">
        <w:rPr>
          <w:rFonts w:cs="Arial"/>
          <w:lang w:val="en-US"/>
        </w:rPr>
        <w:t>7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C448F9" w:rsidRPr="00F429DA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1</w:t>
      </w:r>
      <w:r w:rsidRPr="00F429DA">
        <w:rPr>
          <w:rFonts w:cs="Arial"/>
          <w:lang w:val="en-US"/>
        </w:rPr>
        <w:t xml:space="preserve">%. The positive balance amounted to PLN </w:t>
      </w:r>
      <w:r w:rsidR="000830ED">
        <w:rPr>
          <w:rFonts w:cs="Arial"/>
          <w:lang w:val="en-US"/>
        </w:rPr>
        <w:t>80</w:t>
      </w:r>
      <w:r w:rsidR="005B4A7E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8</w:t>
      </w:r>
      <w:r w:rsidR="00A25F4C" w:rsidRPr="00F429DA">
        <w:rPr>
          <w:rFonts w:cs="Arial"/>
          <w:lang w:val="en-US"/>
        </w:rPr>
        <w:t xml:space="preserve"> </w:t>
      </w:r>
      <w:r w:rsidR="00EF6555" w:rsidRPr="00F429D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0830ED">
        <w:rPr>
          <w:rFonts w:cs="Arial"/>
          <w:lang w:val="en-US"/>
        </w:rPr>
        <w:t>2</w:t>
      </w:r>
      <w:r w:rsidR="00957B49">
        <w:rPr>
          <w:rFonts w:cs="Arial"/>
          <w:lang w:val="en-US"/>
        </w:rPr>
        <w:t>1</w:t>
      </w:r>
      <w:r w:rsidR="005B4A7E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2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781E35">
        <w:rPr>
          <w:rFonts w:cs="Arial"/>
          <w:lang w:val="en-US"/>
        </w:rPr>
        <w:t>1</w:t>
      </w:r>
      <w:r w:rsidR="000830ED">
        <w:rPr>
          <w:rFonts w:cs="Arial"/>
          <w:lang w:val="en-US"/>
        </w:rPr>
        <w:t>7</w:t>
      </w:r>
      <w:r w:rsidR="005B4A7E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8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0830ED">
        <w:rPr>
          <w:rFonts w:cs="Arial"/>
          <w:lang w:val="en-US"/>
        </w:rPr>
        <w:t>67</w:t>
      </w:r>
      <w:r w:rsidR="005B4A7E">
        <w:rPr>
          <w:rFonts w:cs="Arial"/>
          <w:lang w:val="en-US"/>
        </w:rPr>
        <w:t>.</w:t>
      </w:r>
      <w:r w:rsidR="000830ED">
        <w:rPr>
          <w:rFonts w:cs="Arial"/>
          <w:lang w:val="en-US"/>
        </w:rPr>
        <w:t>7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781E35">
        <w:rPr>
          <w:rFonts w:cs="Arial"/>
          <w:szCs w:val="19"/>
          <w:lang w:val="en-US"/>
        </w:rPr>
        <w:t>1</w:t>
      </w:r>
      <w:r w:rsidR="000830ED">
        <w:rPr>
          <w:rFonts w:cs="Arial"/>
          <w:szCs w:val="19"/>
          <w:lang w:val="en-US"/>
        </w:rPr>
        <w:t>7</w:t>
      </w:r>
      <w:r w:rsidR="005B4A7E">
        <w:rPr>
          <w:rFonts w:cs="Arial"/>
          <w:szCs w:val="19"/>
          <w:lang w:val="en-US"/>
        </w:rPr>
        <w:t>.</w:t>
      </w:r>
      <w:r w:rsidR="000830ED">
        <w:rPr>
          <w:rFonts w:cs="Arial"/>
          <w:szCs w:val="19"/>
          <w:lang w:val="en-US"/>
        </w:rPr>
        <w:t>2</w:t>
      </w:r>
      <w:r w:rsidR="00EC0097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5B4A7E">
        <w:rPr>
          <w:rFonts w:cs="Arial"/>
          <w:szCs w:val="19"/>
          <w:lang w:val="en-US"/>
        </w:rPr>
        <w:t>1</w:t>
      </w:r>
      <w:r w:rsidR="000830ED">
        <w:rPr>
          <w:rFonts w:cs="Arial"/>
          <w:szCs w:val="19"/>
          <w:lang w:val="en-US"/>
        </w:rPr>
        <w:t>5</w:t>
      </w:r>
      <w:r w:rsidR="005B4A7E">
        <w:rPr>
          <w:rFonts w:cs="Arial"/>
          <w:szCs w:val="19"/>
          <w:lang w:val="en-US"/>
        </w:rPr>
        <w:t>.</w:t>
      </w:r>
      <w:r w:rsidR="004A4965">
        <w:rPr>
          <w:rFonts w:cs="Arial"/>
          <w:szCs w:val="19"/>
          <w:lang w:val="en-US"/>
        </w:rPr>
        <w:t>3</w:t>
      </w:r>
      <w:r w:rsidR="005B4A7E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7778BDEB" w14:textId="77777777"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E1AD94E" w14:textId="77777777"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BA0438D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54C03F5B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 - October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17.0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 bn and EUR 3.7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14:paraId="7EF06C86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80433E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0D6975" w:rsidRPr="00DB5C76" w:rsidRDefault="000D6975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0D6975" w:rsidRPr="00DB5C76" w:rsidRDefault="000D6975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CP&#10;EgVP3wAAAAwBAAAPAAAAAAAAAAAAAAAAAGkEAABkcnMvZG93bnJldi54bWxQSwUGAAAAAAQABADz&#10;AAAAdQUAAAAA&#10;" filled="f" stroked="f">
                <v:textbox>
                  <w:txbxContent>
                    <w:p w14:paraId="04279E4C" w14:textId="54C03F5B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 - October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17.0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5 bn and EUR 3.7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14:paraId="7EF06C86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80433E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0D6975" w:rsidRPr="00DB5C76" w:rsidRDefault="000D6975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0D6975" w:rsidRPr="00DB5C76" w:rsidRDefault="000D6975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5C3C9B" w:rsidRPr="00366025" w14:paraId="6E5EE366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5BA61942" w14:textId="7BA9E036"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4D4C82">
              <w:rPr>
                <w:rFonts w:cs="Arial"/>
                <w:sz w:val="16"/>
                <w:szCs w:val="16"/>
              </w:rPr>
              <w:t>–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E23E507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1215EE2D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C3C9B" w:rsidRPr="00366025" w14:paraId="416D0BD1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618CB728" w14:textId="77777777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E5B6234" w14:textId="2F25D0FC"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10469A">
              <w:rPr>
                <w:rFonts w:cs="Arial"/>
                <w:sz w:val="16"/>
                <w:szCs w:val="16"/>
              </w:rPr>
              <w:t>–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35B94" w14:textId="0B253E36" w:rsidR="00FA3774" w:rsidRPr="000C2149" w:rsidRDefault="00357BC2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B70E33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0830ED" w:rsidRPr="00366025" w14:paraId="03DA5BD7" w14:textId="77777777" w:rsidTr="005A16E9">
        <w:tc>
          <w:tcPr>
            <w:tcW w:w="2268" w:type="dxa"/>
            <w:vAlign w:val="bottom"/>
          </w:tcPr>
          <w:p w14:paraId="402C04B7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BDBCB7" w14:textId="211C02E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302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DA952" w14:textId="51E03CB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59DE9" w14:textId="67C20C5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97B56F" w14:textId="11E9302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18293B" w14:textId="447082D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F2A854" w14:textId="0F5C299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308DEF" w14:textId="63E61C1F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2C1E77D" w14:textId="41E83BB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</w:tr>
      <w:tr w:rsidR="000830ED" w:rsidRPr="00366025" w14:paraId="1E9918C5" w14:textId="77777777" w:rsidTr="005A16E9">
        <w:tc>
          <w:tcPr>
            <w:tcW w:w="2268" w:type="dxa"/>
            <w:vAlign w:val="bottom"/>
          </w:tcPr>
          <w:p w14:paraId="6B01E7C6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57843" w14:textId="482FCC7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37A62" w14:textId="3947C4F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FAC57D" w14:textId="3773C89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77159D" w14:textId="7C73E1C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513A3" w14:textId="593A2EB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4F0165" w14:textId="4DF2803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F56DD7" w14:textId="3CBED8ED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683852F" w14:textId="6930A63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</w:tr>
      <w:tr w:rsidR="000830ED" w:rsidRPr="00366025" w14:paraId="0F91466E" w14:textId="77777777" w:rsidTr="005A16E9">
        <w:tc>
          <w:tcPr>
            <w:tcW w:w="2268" w:type="dxa"/>
            <w:vAlign w:val="bottom"/>
          </w:tcPr>
          <w:p w14:paraId="7257F5FC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84BC22" w14:textId="1161BA6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23A4C" w14:textId="60A6DED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F33632" w14:textId="68054B4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30C08" w14:textId="69E48FC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A17004" w14:textId="3B1FAE4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30C85" w14:textId="340C925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3ED3D" w14:textId="3E4197C7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480E2FF" w14:textId="465CD1CA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</w:tr>
      <w:tr w:rsidR="000830ED" w:rsidRPr="00366025" w14:paraId="6C743883" w14:textId="77777777" w:rsidTr="005A16E9">
        <w:tc>
          <w:tcPr>
            <w:tcW w:w="2268" w:type="dxa"/>
            <w:vAlign w:val="bottom"/>
          </w:tcPr>
          <w:p w14:paraId="5347974B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83EDF6" w14:textId="1647243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4CEEC6" w14:textId="62C8A01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711E3C" w14:textId="63BD879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1CAD3" w14:textId="28ADAAE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EED120" w14:textId="7E73D84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D9959D" w14:textId="4C45098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4D6B78" w14:textId="5C88C527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820C6B8" w14:textId="5530FD3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</w:tr>
      <w:tr w:rsidR="000830ED" w:rsidRPr="00366025" w14:paraId="61021D50" w14:textId="77777777" w:rsidTr="005A16E9">
        <w:tc>
          <w:tcPr>
            <w:tcW w:w="2268" w:type="dxa"/>
            <w:vAlign w:val="bottom"/>
          </w:tcPr>
          <w:p w14:paraId="41A8F838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7554A" w14:textId="63ECB08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9F9C4C" w14:textId="0CDE555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3BF417" w14:textId="14169B3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0FE029" w14:textId="0A2C998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75B83" w14:textId="178AAEF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E8987" w14:textId="196B546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8EF130" w14:textId="76989A22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C77C8D" w14:textId="4A80611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0830ED" w:rsidRPr="00366025" w14:paraId="30F7DF69" w14:textId="77777777" w:rsidTr="005A16E9">
        <w:tc>
          <w:tcPr>
            <w:tcW w:w="2268" w:type="dxa"/>
            <w:vAlign w:val="bottom"/>
          </w:tcPr>
          <w:p w14:paraId="292B7C14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43C1F8" w14:textId="09874F0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74EB23" w14:textId="7BAC892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6D5F5A" w14:textId="6C1C5FC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FDE09" w14:textId="381C4AE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25A6B0" w14:textId="49361EC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784FE2" w14:textId="031C295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D4F71" w14:textId="7814DF2A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3FD8C31" w14:textId="5D51F8C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</w:tr>
      <w:tr w:rsidR="000830ED" w:rsidRPr="00366025" w14:paraId="41F20A50" w14:textId="77777777" w:rsidTr="005A16E9">
        <w:tc>
          <w:tcPr>
            <w:tcW w:w="2268" w:type="dxa"/>
            <w:vAlign w:val="bottom"/>
          </w:tcPr>
          <w:p w14:paraId="30428E0C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0201B" w14:textId="011AA84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EC52B3" w14:textId="413D185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D5AEB" w14:textId="64BEFF7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05C48F" w14:textId="0D0D4C0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527DF7" w14:textId="2C278C2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B7224F" w14:textId="06A74BA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ABDF4D" w14:textId="6C372D24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28C6D" w14:textId="6D75D9C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</w:tr>
      <w:tr w:rsidR="000830ED" w:rsidRPr="00366025" w14:paraId="4E626E87" w14:textId="77777777" w:rsidTr="005A16E9">
        <w:tc>
          <w:tcPr>
            <w:tcW w:w="2268" w:type="dxa"/>
            <w:vAlign w:val="bottom"/>
          </w:tcPr>
          <w:p w14:paraId="7D827B4C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C10374" w14:textId="20A7457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E41E6" w14:textId="0C44C13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22D658" w14:textId="0B41A16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85B3E0" w14:textId="304A569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528446" w14:textId="0742F72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A93A7C" w14:textId="3D65153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584B5" w14:textId="703DF3A5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630EF8A" w14:textId="395CD1F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</w:tr>
      <w:tr w:rsidR="000830ED" w:rsidRPr="00366025" w14:paraId="5986B491" w14:textId="77777777" w:rsidTr="005A16E9">
        <w:tc>
          <w:tcPr>
            <w:tcW w:w="2268" w:type="dxa"/>
            <w:vAlign w:val="bottom"/>
          </w:tcPr>
          <w:p w14:paraId="31371260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8C4D8" w14:textId="7E9AEDE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44F63" w14:textId="25BFF0D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6564B" w14:textId="16C826B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B9401C" w14:textId="1FDACA1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D22E0" w14:textId="75E85353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8FC7C4" w14:textId="3E24413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F5C41" w14:textId="7B49DCDF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DB31056" w14:textId="56C4F02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0830ED" w:rsidRPr="00366025" w14:paraId="0EA1EAA4" w14:textId="77777777" w:rsidTr="005A16E9">
        <w:tc>
          <w:tcPr>
            <w:tcW w:w="2268" w:type="dxa"/>
            <w:vAlign w:val="bottom"/>
          </w:tcPr>
          <w:p w14:paraId="1FCA0C4C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468F7C" w14:textId="56BF290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FB53A7" w14:textId="7343F43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4EBB6" w14:textId="53ED8F3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367E0" w14:textId="3C0DA67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04F682" w14:textId="0962AF43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71B5EA" w14:textId="1ACF8EC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C9FF0" w14:textId="6A8D4D19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7706A11" w14:textId="59CD602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</w:tr>
      <w:tr w:rsidR="00366025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830ED" w:rsidRPr="00366025" w14:paraId="52AB274A" w14:textId="77777777" w:rsidTr="005A16E9">
        <w:tc>
          <w:tcPr>
            <w:tcW w:w="2268" w:type="dxa"/>
            <w:vAlign w:val="bottom"/>
          </w:tcPr>
          <w:p w14:paraId="7B54DAC6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59C7E2" w14:textId="67BD73B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222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5D695" w14:textId="79F126E3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15F5C9" w14:textId="16DBC00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2F55D" w14:textId="4F95545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0BC65B" w14:textId="35D00BA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C5552C" w14:textId="47945D0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130BC" w14:textId="3D5010C2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297552C" w14:textId="603975E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</w:tr>
      <w:tr w:rsidR="000830ED" w:rsidRPr="00366025" w14:paraId="001211A1" w14:textId="77777777" w:rsidTr="005A16E9">
        <w:tc>
          <w:tcPr>
            <w:tcW w:w="2268" w:type="dxa"/>
            <w:vAlign w:val="bottom"/>
          </w:tcPr>
          <w:p w14:paraId="0B0F2577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1D0911" w14:textId="632FC08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F1ABE9" w14:textId="4E46B40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D0894" w14:textId="1DCBDE6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1EBDDA" w14:textId="5AECC7A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6634DA" w14:textId="73BF99FA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752C" w14:textId="7212E64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C9FAFE" w14:textId="3CAA1CC6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AEAC3B" w14:textId="6401567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</w:tr>
      <w:tr w:rsidR="000830ED" w:rsidRPr="00366025" w14:paraId="31E0EFF9" w14:textId="77777777" w:rsidTr="005A16E9">
        <w:tc>
          <w:tcPr>
            <w:tcW w:w="2268" w:type="dxa"/>
            <w:vAlign w:val="bottom"/>
          </w:tcPr>
          <w:p w14:paraId="503AF7D2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422530" w14:textId="3AFF6FD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940C8" w14:textId="7DE65A9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572826" w14:textId="36312F5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AC29E5" w14:textId="4D6234E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D02C34" w14:textId="3AF7E45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163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3CA3F4" w14:textId="5AA029C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A920B" w14:textId="738BF0F5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57197FF" w14:textId="7563992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0830ED" w:rsidRPr="00366025" w14:paraId="007D7959" w14:textId="77777777" w:rsidTr="005A16E9">
        <w:tc>
          <w:tcPr>
            <w:tcW w:w="2268" w:type="dxa"/>
            <w:vAlign w:val="bottom"/>
          </w:tcPr>
          <w:p w14:paraId="1D62F13C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CD5319" w14:textId="35D5E62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F9F127" w14:textId="756A03F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1D71" w14:textId="3C7D6A2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673B56" w14:textId="0DE2946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5C306E" w14:textId="1708963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AB744" w14:textId="5E0DF17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5743B" w14:textId="6E9F65D2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818F50B" w14:textId="786411C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</w:tr>
      <w:tr w:rsidR="000830ED" w:rsidRPr="00366025" w14:paraId="36C7D93B" w14:textId="77777777" w:rsidTr="005A16E9">
        <w:tc>
          <w:tcPr>
            <w:tcW w:w="2268" w:type="dxa"/>
            <w:vAlign w:val="bottom"/>
          </w:tcPr>
          <w:p w14:paraId="68A4F058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A555D6" w14:textId="7F960F7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DAA6F7" w14:textId="07420F6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4442BA" w14:textId="4D1344F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C089C1" w14:textId="4CF1F189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715CBA" w14:textId="40CD3C8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EF41B" w14:textId="7CABA4C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E793EA" w14:textId="27B24681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224542" w14:textId="3CD273E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</w:tr>
      <w:tr w:rsidR="000830ED" w:rsidRPr="00366025" w14:paraId="79E0D569" w14:textId="77777777" w:rsidTr="005A16E9">
        <w:tc>
          <w:tcPr>
            <w:tcW w:w="2268" w:type="dxa"/>
            <w:vAlign w:val="bottom"/>
          </w:tcPr>
          <w:p w14:paraId="2BE5879F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90BAC7" w14:textId="73E4EDC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5A19DF" w14:textId="1851FF8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F2E9E" w14:textId="42C93F8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C3C7D" w14:textId="5BE2A4A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96020" w14:textId="6EE0E61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2987DD" w14:textId="1025C54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DF3C3" w14:textId="5942CB63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8D6ED0" w14:textId="6C816F9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</w:tr>
      <w:tr w:rsidR="000830ED" w:rsidRPr="00366025" w14:paraId="0CC70FAD" w14:textId="77777777" w:rsidTr="005A16E9">
        <w:tc>
          <w:tcPr>
            <w:tcW w:w="2268" w:type="dxa"/>
            <w:vAlign w:val="bottom"/>
          </w:tcPr>
          <w:p w14:paraId="416811A9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A4541" w14:textId="74D5A97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BFA5AD" w14:textId="0AD9CE67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43E099" w14:textId="262A53C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2613" w14:textId="4AD43B3A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D6E3C" w14:textId="174BECD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1ACAA4" w14:textId="38AC69F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CBD10" w14:textId="7E42C2A3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4DCD3A" w14:textId="2E48B3E6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</w:tr>
      <w:tr w:rsidR="000830ED" w:rsidRPr="00366025" w14:paraId="75707DBC" w14:textId="77777777" w:rsidTr="005A16E9">
        <w:tc>
          <w:tcPr>
            <w:tcW w:w="2268" w:type="dxa"/>
            <w:vAlign w:val="bottom"/>
          </w:tcPr>
          <w:p w14:paraId="4BB11F03" w14:textId="77777777" w:rsidR="000830ED" w:rsidRPr="00366025" w:rsidRDefault="000830ED" w:rsidP="000830E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F94A6" w14:textId="110C923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F686FC" w14:textId="7CE4C47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A553D9" w14:textId="1B2633D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8EB807" w14:textId="66FEE6C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69253" w14:textId="1D49838B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85352" w14:textId="727A00E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12A1C" w14:textId="63B4E9E4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794C4A" w14:textId="29C28A2D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</w:tr>
      <w:tr w:rsidR="000830ED" w:rsidRPr="00025467" w14:paraId="05E48D02" w14:textId="77777777" w:rsidTr="005A16E9">
        <w:tc>
          <w:tcPr>
            <w:tcW w:w="2268" w:type="dxa"/>
            <w:vAlign w:val="bottom"/>
          </w:tcPr>
          <w:p w14:paraId="779480BE" w14:textId="77777777" w:rsidR="000830ED" w:rsidRPr="00C448F9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BE526" w14:textId="38F839E5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29A7A" w14:textId="7F55C70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5D1296" w14:textId="523AE80E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9EDD48" w14:textId="4B9418F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9BF65D" w14:textId="7F61DF42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71425" w14:textId="7DCECC01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C986C" w14:textId="0AD52302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ED03DEE" w14:textId="58952530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</w:tr>
      <w:tr w:rsidR="000830ED" w:rsidRPr="00025467" w14:paraId="0E840032" w14:textId="77777777" w:rsidTr="005A16E9">
        <w:tc>
          <w:tcPr>
            <w:tcW w:w="2268" w:type="dxa"/>
            <w:vAlign w:val="bottom"/>
          </w:tcPr>
          <w:p w14:paraId="2C024C63" w14:textId="77777777" w:rsidR="000830ED" w:rsidRPr="00782B51" w:rsidRDefault="000830ED" w:rsidP="000830E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393074" w14:textId="329E4CA3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04BEB7" w14:textId="4CB80DBA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52D99" w14:textId="586FD5AC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832C7D" w14:textId="228E352F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4E79F3" w14:textId="0B94FB84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A91E25" w14:textId="22E14AB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63420" w14:textId="64D96774" w:rsidR="000830ED" w:rsidRPr="00D538DE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323AA2CA" w14:textId="7B817348" w:rsidR="000830ED" w:rsidRDefault="000830ED" w:rsidP="000830E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88DC776" w14:textId="77777777"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0229C4BA" w14:textId="77777777"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176CB24B" w14:textId="77777777"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000ACDB" w14:textId="77777777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74F43495" w14:textId="09414978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5D5BAC">
        <w:rPr>
          <w:rFonts w:cs="Arial"/>
          <w:spacing w:val="-3"/>
          <w:lang w:val="en-US"/>
        </w:rPr>
        <w:t>759</w:t>
      </w:r>
      <w:r w:rsidR="00B501D7">
        <w:rPr>
          <w:rFonts w:cs="Arial"/>
          <w:szCs w:val="19"/>
          <w:lang w:val="en-US"/>
        </w:rPr>
        <w:t>.</w:t>
      </w:r>
      <w:r w:rsidR="005D5BAC">
        <w:rPr>
          <w:rFonts w:cs="Arial"/>
          <w:szCs w:val="19"/>
          <w:lang w:val="en-US"/>
        </w:rPr>
        <w:t>1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FF686C">
        <w:rPr>
          <w:rFonts w:cs="Arial"/>
          <w:spacing w:val="-3"/>
          <w:lang w:val="en-US"/>
        </w:rPr>
        <w:t>702</w:t>
      </w:r>
      <w:r w:rsidR="00B501D7">
        <w:rPr>
          <w:rFonts w:cs="Arial"/>
          <w:color w:val="000000"/>
          <w:szCs w:val="19"/>
          <w:lang w:val="en-US"/>
        </w:rPr>
        <w:t>.</w:t>
      </w:r>
      <w:r w:rsidR="00FF686C">
        <w:rPr>
          <w:rFonts w:cs="Arial"/>
          <w:color w:val="000000"/>
          <w:szCs w:val="19"/>
          <w:lang w:val="en-US"/>
        </w:rPr>
        <w:t>2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F686C">
        <w:rPr>
          <w:rFonts w:cs="Arial"/>
          <w:spacing w:val="-3"/>
          <w:lang w:val="en-US"/>
        </w:rPr>
        <w:t>617</w:t>
      </w:r>
      <w:r w:rsidR="00B501D7">
        <w:rPr>
          <w:rFonts w:cs="Arial"/>
          <w:spacing w:val="-3"/>
          <w:lang w:val="en-US"/>
        </w:rPr>
        <w:t>.</w:t>
      </w:r>
      <w:r w:rsidR="00FF686C">
        <w:rPr>
          <w:rFonts w:cs="Arial"/>
          <w:spacing w:val="-3"/>
          <w:lang w:val="en-US"/>
        </w:rPr>
        <w:t>2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FF686C">
        <w:rPr>
          <w:rFonts w:cs="Arial"/>
          <w:spacing w:val="-3"/>
          <w:lang w:val="en-US"/>
        </w:rPr>
        <w:t>560</w:t>
      </w:r>
      <w:r w:rsidR="00B501D7">
        <w:rPr>
          <w:rFonts w:cs="Arial"/>
          <w:spacing w:val="-3"/>
          <w:lang w:val="en-US"/>
        </w:rPr>
        <w:t>.</w:t>
      </w:r>
      <w:r w:rsidR="00FF686C">
        <w:rPr>
          <w:rFonts w:cs="Arial"/>
          <w:spacing w:val="-3"/>
          <w:lang w:val="en-US"/>
        </w:rPr>
        <w:t>9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14:paraId="57922EF7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E2096D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77777777" w:rsidR="00310D94" w:rsidRDefault="00310D94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28AC4156"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EB459C">
              <w:rPr>
                <w:rFonts w:cs="Arial"/>
                <w:sz w:val="16"/>
                <w:szCs w:val="16"/>
                <w:lang w:val="en-GB"/>
              </w:rPr>
              <w:t>–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  <w:lang w:val="en-GB"/>
              </w:rPr>
              <w:t>X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08341DDC" w:rsidR="0051165C" w:rsidRPr="000C2149" w:rsidRDefault="00357BC2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8B7FB0"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5179E6EE" w:rsidR="0051165C" w:rsidRPr="000C2149" w:rsidRDefault="00357BC2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F686C" w:rsidRPr="0051165C" w14:paraId="684437F1" w14:textId="77777777" w:rsidTr="00871ACF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FF686C" w:rsidRPr="00A00ADB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7933050F" w14:textId="527EC595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1054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555F7A0" w14:textId="07C0A059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276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3E09939C" w14:textId="7C3828AC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231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1070A363" w14:textId="0D15C0B9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127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4C38CD07" w14:textId="0E2DA1B0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131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1E6AFF" w14:textId="37F04BBD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123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3BFB903A" w14:textId="5BD813FE" w:rsidR="00FF686C" w:rsidRPr="00C36D99" w:rsidRDefault="00FF686C" w:rsidP="00FF686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 w:rsidR="00630A8C"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3CD8E7DF" w14:textId="5C9AE474" w:rsidR="00FF686C" w:rsidRPr="00C36D99" w:rsidRDefault="00FF686C" w:rsidP="00FF686C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 w:rsidR="00630A8C"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</w:tr>
      <w:tr w:rsidR="00FF686C" w:rsidRPr="0051165C" w14:paraId="232345C9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60CBD3C" w14:textId="203F6692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759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31C450C2" w14:textId="5497BE49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199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535AF186" w14:textId="30A939A3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bottom"/>
          </w:tcPr>
          <w:p w14:paraId="62F093B8" w14:textId="282278C6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123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vAlign w:val="bottom"/>
          </w:tcPr>
          <w:p w14:paraId="425FE537" w14:textId="42A4B28C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vAlign w:val="bottom"/>
          </w:tcPr>
          <w:p w14:paraId="73E953FB" w14:textId="3358D993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118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8" w:type="dxa"/>
            <w:vAlign w:val="bottom"/>
          </w:tcPr>
          <w:p w14:paraId="5947BEB1" w14:textId="705685C7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vAlign w:val="bottom"/>
          </w:tcPr>
          <w:p w14:paraId="306B658B" w14:textId="1F53866D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72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FF686C" w:rsidRPr="00FA00B8" w14:paraId="3263382C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55BD8AE" w14:textId="0425DB0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702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5F947323" w14:textId="16ABB9AF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vAlign w:val="bottom"/>
          </w:tcPr>
          <w:p w14:paraId="5D11DD28" w14:textId="5D4561D0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115E2066" w14:textId="575B4AAA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bottom"/>
          </w:tcPr>
          <w:p w14:paraId="630DACDD" w14:textId="5CADC95D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vAlign w:val="bottom"/>
          </w:tcPr>
          <w:p w14:paraId="1EAD82E3" w14:textId="7668437A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121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vAlign w:val="bottom"/>
          </w:tcPr>
          <w:p w14:paraId="018307D3" w14:textId="04F8321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67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vAlign w:val="bottom"/>
          </w:tcPr>
          <w:p w14:paraId="1ACFD676" w14:textId="4C11595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FF686C" w:rsidRPr="00FA00B8" w14:paraId="6ADD21EF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FF686C" w:rsidRPr="00FA00B8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vAlign w:val="bottom"/>
          </w:tcPr>
          <w:p w14:paraId="6B62AF58" w14:textId="4372B88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594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43EDBC04" w14:textId="52B2D69F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bottom"/>
          </w:tcPr>
          <w:p w14:paraId="1252BD0C" w14:textId="089E2F5B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130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vAlign w:val="bottom"/>
          </w:tcPr>
          <w:p w14:paraId="0B2B35CD" w14:textId="79CFA4C6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125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vAlign w:val="bottom"/>
          </w:tcPr>
          <w:p w14:paraId="13BBB50B" w14:textId="1CA8F95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129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vAlign w:val="bottom"/>
          </w:tcPr>
          <w:p w14:paraId="231D29FC" w14:textId="5378766C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121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14:paraId="30E06ADC" w14:textId="45710369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57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1" w:type="dxa"/>
            <w:vAlign w:val="bottom"/>
          </w:tcPr>
          <w:p w14:paraId="2C704A3F" w14:textId="676B1146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FF686C" w:rsidRPr="0051165C" w14:paraId="21016E56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FF686C" w:rsidRPr="00FA00B8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14:paraId="00AC6CD0" w14:textId="59B6DE9B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211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71D70DC6" w14:textId="6663B831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55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62385732" w14:textId="3D4BFA16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vAlign w:val="bottom"/>
          </w:tcPr>
          <w:p w14:paraId="2675FEB2" w14:textId="113AB527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135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Align w:val="bottom"/>
          </w:tcPr>
          <w:p w14:paraId="17B8AADD" w14:textId="1C25FD24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vAlign w:val="bottom"/>
          </w:tcPr>
          <w:p w14:paraId="227F9C9B" w14:textId="0A880340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130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8" w:type="dxa"/>
            <w:vAlign w:val="bottom"/>
          </w:tcPr>
          <w:p w14:paraId="14A7A241" w14:textId="2E64210D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1" w:type="dxa"/>
            <w:vAlign w:val="bottom"/>
          </w:tcPr>
          <w:p w14:paraId="7E085713" w14:textId="19F368EB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20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FF686C" w:rsidRPr="0051165C" w14:paraId="7005C847" w14:textId="77777777" w:rsidTr="00871ACF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FF686C" w:rsidRPr="00BA58B2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EAD8B3C" w14:textId="45C2AEA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72C34C4B" w14:textId="70247DD1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22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4952CEBC" w14:textId="4E12F510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vAlign w:val="bottom"/>
          </w:tcPr>
          <w:p w14:paraId="08D1D4F2" w14:textId="4A65717C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vAlign w:val="bottom"/>
          </w:tcPr>
          <w:p w14:paraId="74E308CD" w14:textId="3EB2919C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160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vAlign w:val="bottom"/>
          </w:tcPr>
          <w:p w14:paraId="44D585DA" w14:textId="14D04DA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151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vAlign w:val="bottom"/>
          </w:tcPr>
          <w:p w14:paraId="4E7CCCE4" w14:textId="2937D10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vAlign w:val="bottom"/>
          </w:tcPr>
          <w:p w14:paraId="24CD38B9" w14:textId="039F636B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FF686C" w:rsidRPr="0051165C" w14:paraId="7C5BD268" w14:textId="77777777" w:rsidTr="0098610C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356082D" w14:textId="1BD3364E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vAlign w:val="bottom"/>
          </w:tcPr>
          <w:p w14:paraId="7684947D" w14:textId="26221B12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57418010" w14:textId="7D124587" w:rsidR="00FF686C" w:rsidRDefault="00FF686C" w:rsidP="00FF686C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630A8C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06DABB03" w14:textId="06CCA3AF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1045035C" w14:textId="457B2E61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429EACC6" w14:textId="56D1D562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5C57054A" w14:textId="0BD472F3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1172CE2A" w14:textId="759A508B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FF686C" w:rsidRPr="0051165C" w14:paraId="7E1667D2" w14:textId="77777777" w:rsidTr="0098610C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FBA8DF2" w14:textId="0D625F06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154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2E46CDB" w14:textId="76E44DEF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40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bottom"/>
          </w:tcPr>
          <w:p w14:paraId="5030F5A2" w14:textId="120935D1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33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vAlign w:val="bottom"/>
          </w:tcPr>
          <w:p w14:paraId="014C2D29" w14:textId="191A1221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26D212F" w14:textId="7659A544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F9EF71F" w14:textId="15B9A374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07B268B" w14:textId="26D7A919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F828ADE" w14:textId="2F73B6DF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FF686C" w:rsidRPr="0051165C" w14:paraId="084E8084" w14:textId="77777777" w:rsidTr="0098610C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793A0B0" w14:textId="02C953E1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88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588805D" w14:textId="1DF67C1D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23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bottom"/>
          </w:tcPr>
          <w:p w14:paraId="10B15684" w14:textId="7FB7599C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19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vAlign w:val="bottom"/>
          </w:tcPr>
          <w:p w14:paraId="7E50BAA0" w14:textId="6355A749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A14808F" w14:textId="50DE1E38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7F94F8A3" w14:textId="768AC53C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1138DD0" w14:textId="33DC6A83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36341D22" w14:textId="4DD3F548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FF686C" w:rsidRPr="0051165C" w14:paraId="3D5F8544" w14:textId="77777777" w:rsidTr="0098610C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07CD195" w14:textId="655F75E7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28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0F8129F5" w14:textId="646010E5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bottom"/>
          </w:tcPr>
          <w:p w14:paraId="693353E6" w14:textId="2A80E90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71268BB9" w14:textId="500716B7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6ECB2AFF" w14:textId="6D5A360E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033D5CF8" w14:textId="69EBA702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642451F6" w14:textId="23C3EC79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6069293A" w14:textId="5B1851CA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FF686C" w:rsidRPr="0051165C" w14:paraId="45847327" w14:textId="77777777" w:rsidTr="0098610C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FF686C" w:rsidRPr="0051165C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B9D52A7" w14:textId="653F7577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-126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6D78BCF0" w14:textId="28DE37A2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-33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bottom"/>
          </w:tcPr>
          <w:p w14:paraId="4BF52F15" w14:textId="242578C4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-27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vAlign w:val="bottom"/>
          </w:tcPr>
          <w:p w14:paraId="181C280D" w14:textId="15ADC967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0B393206" w14:textId="6D595632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2C40C59B" w14:textId="7209402D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4BE99257" w14:textId="7C10E409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5A9FF4F0" w14:textId="0B288F0E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FF686C" w:rsidRPr="0051165C" w14:paraId="3277A872" w14:textId="77777777" w:rsidTr="0098610C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FF686C" w:rsidRPr="00BA58B2" w:rsidRDefault="00FF686C" w:rsidP="00FF686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393431A" w14:textId="4D1E4FDD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-23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238227AB" w14:textId="2AF04518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-6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5338A230" w14:textId="718E456F" w:rsidR="00FF686C" w:rsidRDefault="00FF686C" w:rsidP="00FF686C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1C587A">
              <w:rPr>
                <w:rFonts w:cs="Arial"/>
                <w:color w:val="000000"/>
                <w:sz w:val="16"/>
                <w:szCs w:val="16"/>
              </w:rPr>
              <w:t>-5</w:t>
            </w:r>
            <w:r w:rsidR="00630A8C">
              <w:rPr>
                <w:rFonts w:cs="Arial"/>
                <w:color w:val="000000"/>
                <w:sz w:val="16"/>
                <w:szCs w:val="16"/>
              </w:rPr>
              <w:t>.</w:t>
            </w:r>
            <w:r w:rsidRPr="001C587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3EB2E7D3" w14:textId="2AC26251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0746211" w14:textId="5A16CFDE" w:rsidR="00FF686C" w:rsidRPr="00C36D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3BE30CE7" w14:textId="591562CD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072D4F6" w14:textId="4E7CDF8A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20608915" w14:textId="22B93CE4" w:rsidR="00FF686C" w:rsidRPr="00957699" w:rsidRDefault="00FF686C" w:rsidP="00FF686C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421B96E7" w:rsidR="00B92B28" w:rsidRPr="000C2149" w:rsidRDefault="00357BC2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34FD7638" w:rsidR="00B92B28" w:rsidRPr="000C2149" w:rsidRDefault="00357BC2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5F163D9F" w:rsidR="00B92B28" w:rsidRPr="000C2149" w:rsidRDefault="00357BC2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62672" w:rsidRPr="00366025" w14:paraId="11B4C489" w14:textId="77777777" w:rsidTr="00871ACF">
        <w:tc>
          <w:tcPr>
            <w:tcW w:w="2268" w:type="dxa"/>
            <w:vAlign w:val="center"/>
          </w:tcPr>
          <w:p w14:paraId="5DD4D295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89F87DA" w14:textId="06DE1C12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2B2B9B5A" w14:textId="7C1E720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73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42F3876A" w14:textId="7239BA9E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139EBE6F" w14:textId="7A8DC25A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4BFC6265" w14:textId="7E177167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2C578DC4" w14:textId="4C4BC02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35E66036" w14:textId="226201DD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6205C072" w14:textId="62030F4F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</w:tr>
      <w:tr w:rsidR="00B62672" w:rsidRPr="00366025" w14:paraId="6D0EE025" w14:textId="77777777" w:rsidTr="00871ACF">
        <w:tc>
          <w:tcPr>
            <w:tcW w:w="2268" w:type="dxa"/>
            <w:vAlign w:val="center"/>
          </w:tcPr>
          <w:p w14:paraId="5EE47D8E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7EB19CDB" w14:textId="08BB286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7EDB6974" w14:textId="60DF3616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4269768F" w14:textId="7D8D072C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62F629AF" w14:textId="43040D1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18AA0155" w14:textId="06B917D4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4D01DCCA" w14:textId="2AA7777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5B801317" w14:textId="754001B9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5B692DCC" w14:textId="109E2B73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B62672" w:rsidRPr="00366025" w14:paraId="363D4F13" w14:textId="77777777" w:rsidTr="00871ACF">
        <w:tc>
          <w:tcPr>
            <w:tcW w:w="2268" w:type="dxa"/>
            <w:vAlign w:val="center"/>
          </w:tcPr>
          <w:p w14:paraId="6EB9E100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BF9BD0D" w14:textId="4F8FAC1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66D685E5" w14:textId="16CFE26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4EDB8ADE" w14:textId="323B59F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576B36F8" w14:textId="616B9FBE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728BD82" w14:textId="2F73231F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00FAEFE9" w14:textId="659DB67B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35D25C4B" w14:textId="206AC5CC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622B67E3" w14:textId="2A3674F5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</w:tr>
      <w:tr w:rsidR="00B62672" w:rsidRPr="00366025" w14:paraId="61BB8B73" w14:textId="77777777" w:rsidTr="00871ACF">
        <w:tc>
          <w:tcPr>
            <w:tcW w:w="2268" w:type="dxa"/>
            <w:vAlign w:val="center"/>
          </w:tcPr>
          <w:p w14:paraId="690F5D0C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Russia </w:t>
            </w:r>
          </w:p>
        </w:tc>
        <w:tc>
          <w:tcPr>
            <w:tcW w:w="911" w:type="dxa"/>
            <w:vAlign w:val="bottom"/>
          </w:tcPr>
          <w:p w14:paraId="0D718AB3" w14:textId="3855FDC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57E2B9BC" w14:textId="5279A287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2FFC50CB" w14:textId="4C5ED91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DB43A02" w14:textId="4D1B29E3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06225CC3" w14:textId="1C9A70CE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158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vAlign w:val="bottom"/>
          </w:tcPr>
          <w:p w14:paraId="6F4D4608" w14:textId="7FE056D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02848CA8" w14:textId="367BF582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3214C44D" w14:textId="551164D8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B62672" w:rsidRPr="00366025" w14:paraId="655D5B60" w14:textId="77777777" w:rsidTr="00871ACF">
        <w:tc>
          <w:tcPr>
            <w:tcW w:w="2268" w:type="dxa"/>
            <w:vAlign w:val="center"/>
          </w:tcPr>
          <w:p w14:paraId="72E1A493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vAlign w:val="bottom"/>
          </w:tcPr>
          <w:p w14:paraId="55738786" w14:textId="6E8DE1A7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4C22FDB7" w14:textId="06DB458E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756C2DBE" w14:textId="41282EF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5223D12D" w14:textId="7D60EF02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431C8EA1" w14:textId="378605B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399883D1" w14:textId="170392D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2B05ADC9" w14:textId="1F345BDE" w:rsidR="00B62672" w:rsidRPr="009E6058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13E8CF17" w14:textId="5D5FFFF2" w:rsidR="00B62672" w:rsidRPr="009E6058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</w:tr>
      <w:tr w:rsidR="00B62672" w:rsidRPr="00366025" w14:paraId="3B24B404" w14:textId="77777777" w:rsidTr="00871ACF">
        <w:tc>
          <w:tcPr>
            <w:tcW w:w="2268" w:type="dxa"/>
            <w:vAlign w:val="center"/>
          </w:tcPr>
          <w:p w14:paraId="498770A7" w14:textId="12CC0923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 France</w:t>
            </w:r>
          </w:p>
        </w:tc>
        <w:tc>
          <w:tcPr>
            <w:tcW w:w="911" w:type="dxa"/>
            <w:vAlign w:val="bottom"/>
          </w:tcPr>
          <w:p w14:paraId="6BF99D64" w14:textId="39A91E7D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21806A7" w14:textId="2890987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4EC4224A" w14:textId="5F17630A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556440C1" w14:textId="5AFF03A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02151E15" w14:textId="690355F6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7F2FC9AA" w14:textId="35505106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67588E3F" w14:textId="11771E56" w:rsidR="00B62672" w:rsidRPr="00051D28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4B55F1A9" w14:textId="48C377C2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</w:tr>
      <w:tr w:rsidR="00B62672" w:rsidRPr="00366025" w14:paraId="3256B01B" w14:textId="77777777" w:rsidTr="00871ACF">
        <w:tc>
          <w:tcPr>
            <w:tcW w:w="2268" w:type="dxa"/>
            <w:vAlign w:val="center"/>
          </w:tcPr>
          <w:p w14:paraId="0A1ACC35" w14:textId="6CC7E05E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4118BD0F" w14:textId="6BB4DFD6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D19BDF1" w14:textId="246EE8AA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0F98AA0F" w14:textId="3A9EC6B2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6EC0BD50" w14:textId="50E39744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32BAB48" w14:textId="1011D83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vAlign w:val="bottom"/>
          </w:tcPr>
          <w:p w14:paraId="6D56E7DC" w14:textId="739ACDB1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3A09C2C1" w14:textId="53A07383" w:rsidR="00B62672" w:rsidRPr="00F15DA8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23814C3E" w14:textId="32E7E951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</w:tr>
      <w:tr w:rsidR="00B62672" w:rsidRPr="00366025" w14:paraId="5922DD04" w14:textId="77777777" w:rsidTr="00871ACF">
        <w:tc>
          <w:tcPr>
            <w:tcW w:w="2268" w:type="dxa"/>
            <w:vAlign w:val="center"/>
          </w:tcPr>
          <w:p w14:paraId="42AEBD85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vAlign w:val="bottom"/>
          </w:tcPr>
          <w:p w14:paraId="44A97C9F" w14:textId="2B4A651D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351EA96B" w14:textId="41C0D70F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10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7456368C" w14:textId="12D5CA6F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2A77A068" w14:textId="244CB23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4A517FE3" w14:textId="7473561F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124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33A3F398" w14:textId="4D854463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117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33C4D6AD" w14:textId="10941EC6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216C7720" w14:textId="04E9CE80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</w:tr>
      <w:tr w:rsidR="00B62672" w:rsidRPr="00366025" w14:paraId="5370525D" w14:textId="77777777" w:rsidTr="00871ACF">
        <w:tc>
          <w:tcPr>
            <w:tcW w:w="2268" w:type="dxa"/>
            <w:vAlign w:val="center"/>
          </w:tcPr>
          <w:p w14:paraId="2985CCDA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vAlign w:val="bottom"/>
          </w:tcPr>
          <w:p w14:paraId="0D109E57" w14:textId="5A34F63E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51972C99" w14:textId="35EFB61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vAlign w:val="bottom"/>
          </w:tcPr>
          <w:p w14:paraId="2F96BDE1" w14:textId="6C08FA04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vAlign w:val="bottom"/>
          </w:tcPr>
          <w:p w14:paraId="44FF217A" w14:textId="6843791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129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0AB41CC4" w14:textId="290AC8D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132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3AC03DB5" w14:textId="68A3E95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7C0C0C90" w14:textId="5D3F1EAF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754AD8E9" w14:textId="79870A23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</w:tr>
      <w:tr w:rsidR="00B62672" w:rsidRPr="00366025" w14:paraId="7A056665" w14:textId="77777777" w:rsidTr="00871ACF">
        <w:tc>
          <w:tcPr>
            <w:tcW w:w="2268" w:type="dxa"/>
            <w:vAlign w:val="center"/>
          </w:tcPr>
          <w:p w14:paraId="17148D09" w14:textId="77777777" w:rsidR="00B62672" w:rsidRPr="0038490F" w:rsidRDefault="00B62672" w:rsidP="00B6267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0A733E2E" w14:textId="3A9E1B6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vAlign w:val="bottom"/>
          </w:tcPr>
          <w:p w14:paraId="02252F20" w14:textId="1685D794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6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678D8BE1" w14:textId="0B774E05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3C3C2BDB" w14:textId="34497FB0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125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6B6B375D" w14:textId="5AFF1F7C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128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0B37DD94" w14:textId="0C6E0229" w:rsidR="00B62672" w:rsidRPr="006C40EF" w:rsidRDefault="00B62672" w:rsidP="00B6267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121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vAlign w:val="center"/>
          </w:tcPr>
          <w:p w14:paraId="793C34BA" w14:textId="373B9CE6" w:rsidR="00B62672" w:rsidRPr="00386DF6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15BFCC18" w14:textId="41694A1C" w:rsidR="00B62672" w:rsidRPr="006C40EF" w:rsidRDefault="00B62672" w:rsidP="00B62672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630A8C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C361AF1" w14:textId="77777777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02B458E9" w14:textId="57C36448"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731A52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9852F6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B83CF0">
        <w:rPr>
          <w:rFonts w:cs="Arial"/>
          <w:lang w:val="en-US"/>
        </w:rPr>
        <w:t>3</w:t>
      </w:r>
      <w:r w:rsidR="00755490">
        <w:rPr>
          <w:rFonts w:cs="Arial"/>
          <w:lang w:val="en-US"/>
        </w:rPr>
        <w:t xml:space="preserve"> </w:t>
      </w:r>
      <w:r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</w:t>
      </w:r>
      <w:r w:rsidR="00B62672">
        <w:rPr>
          <w:rFonts w:cs="Arial"/>
          <w:lang w:val="en-US"/>
        </w:rPr>
        <w:t xml:space="preserve">France by 0.5 </w:t>
      </w:r>
      <w:r w:rsidR="00B62672" w:rsidRPr="00CB2E8F">
        <w:rPr>
          <w:rFonts w:cs="Arial"/>
          <w:lang w:val="en-US"/>
        </w:rPr>
        <w:t>pp</w:t>
      </w:r>
      <w:r w:rsidR="00B62672" w:rsidRPr="00B62672">
        <w:rPr>
          <w:lang w:val="en-GB"/>
        </w:rPr>
        <w:t xml:space="preserve"> </w:t>
      </w:r>
      <w:r w:rsidRPr="003459D7">
        <w:rPr>
          <w:rFonts w:cs="Arial"/>
          <w:lang w:val="en-US"/>
        </w:rPr>
        <w:t>and</w:t>
      </w:r>
      <w:r w:rsidRPr="00CB2E8F">
        <w:rPr>
          <w:rFonts w:cs="Arial"/>
          <w:lang w:val="en-US"/>
        </w:rPr>
        <w:t xml:space="preserve"> </w:t>
      </w:r>
      <w:r w:rsidR="00B62672" w:rsidRPr="00B62672">
        <w:rPr>
          <w:rFonts w:cs="Arial"/>
          <w:lang w:val="en-US"/>
        </w:rPr>
        <w:t>Czechia by 0.5 pp</w:t>
      </w:r>
      <w:r w:rsidRPr="00CB2E8F">
        <w:rPr>
          <w:rFonts w:cs="Arial"/>
          <w:lang w:val="en-US"/>
        </w:rPr>
        <w:t>.</w:t>
      </w:r>
      <w:r w:rsidR="00C03108">
        <w:rPr>
          <w:rFonts w:cs="Arial"/>
          <w:lang w:val="en-US"/>
        </w:rPr>
        <w:t xml:space="preserve"> </w:t>
      </w:r>
    </w:p>
    <w:p w14:paraId="5BC38F73" w14:textId="3F0345FD" w:rsidR="00546F85" w:rsidRDefault="000B741F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3407CF0D">
                <wp:simplePos x="0" y="0"/>
                <wp:positionH relativeFrom="page">
                  <wp:posOffset>5815076</wp:posOffset>
                </wp:positionH>
                <wp:positionV relativeFrom="paragraph">
                  <wp:posOffset>1389736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381AB06E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9786A">
                              <w:rPr>
                                <w:lang w:val="en-US"/>
                              </w:rPr>
                              <w:t>4</w:t>
                            </w:r>
                            <w:r w:rsidRPr="0059786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8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093ACDD4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0D6975" w:rsidRPr="00193D62" w:rsidRDefault="000D6975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0D6975" w:rsidRPr="00193D62" w:rsidRDefault="000D6975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style="position:absolute;margin-left:457.9pt;margin-top:109.4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5/pFn4AAAAAwBAAAPAAAAAAAAAAAAAAAAAG4EAABkcnMvZG93bnJldi54bWxQSwUGAAAA&#10;AAQABADzAAAAewUAAAAA&#10;" filled="f" stroked="f">
                <v:textbox>
                  <w:txbxContent>
                    <w:p w14:paraId="3F49B1E7" w14:textId="381AB06E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Pr="0059786A">
                        <w:rPr>
                          <w:lang w:val="en-US"/>
                        </w:rPr>
                        <w:t>4</w:t>
                      </w:r>
                      <w:r w:rsidRPr="0059786A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8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093ACDD4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0D6975" w:rsidRPr="00193D62" w:rsidRDefault="000D6975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0D6975" w:rsidRPr="00193D62" w:rsidRDefault="000D6975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DE094F3" w14:textId="279D1501"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30066D">
        <w:rPr>
          <w:lang w:val="en-US"/>
        </w:rPr>
        <w:t>ten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59786A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>in exports</w:t>
      </w:r>
      <w:r w:rsidR="00E412A2">
        <w:rPr>
          <w:spacing w:val="-3"/>
          <w:szCs w:val="19"/>
          <w:lang w:val="en-US"/>
        </w:rPr>
        <w:t xml:space="preserve"> and imports</w:t>
      </w:r>
      <w:r w:rsidR="00B62672">
        <w:rPr>
          <w:spacing w:val="-3"/>
          <w:szCs w:val="19"/>
          <w:lang w:val="en-US"/>
        </w:rPr>
        <w:t xml:space="preserve"> </w:t>
      </w:r>
      <w:r w:rsidR="00B62672" w:rsidRPr="005F57B5">
        <w:rPr>
          <w:spacing w:val="-3"/>
          <w:szCs w:val="19"/>
          <w:lang w:val="en-US"/>
        </w:rPr>
        <w:t xml:space="preserve">except </w:t>
      </w:r>
      <w:r w:rsidR="005F57B5" w:rsidRPr="005F57B5">
        <w:rPr>
          <w:spacing w:val="-3"/>
          <w:szCs w:val="19"/>
          <w:lang w:val="en-US"/>
        </w:rPr>
        <w:t xml:space="preserve">for </w:t>
      </w:r>
      <w:r w:rsidR="00B62672" w:rsidRPr="005F57B5">
        <w:rPr>
          <w:spacing w:val="-3"/>
          <w:szCs w:val="19"/>
          <w:lang w:val="en-US"/>
        </w:rPr>
        <w:t xml:space="preserve">beverages and tobacco where </w:t>
      </w:r>
      <w:r w:rsidR="0030066D" w:rsidRPr="005F57B5">
        <w:rPr>
          <w:spacing w:val="-3"/>
          <w:szCs w:val="19"/>
          <w:lang w:val="en-US"/>
        </w:rPr>
        <w:t xml:space="preserve">a slight </w:t>
      </w:r>
      <w:r w:rsidR="00B62672" w:rsidRPr="005F57B5">
        <w:rPr>
          <w:spacing w:val="-3"/>
          <w:szCs w:val="19"/>
          <w:lang w:val="en-US"/>
        </w:rPr>
        <w:t>decrease</w:t>
      </w:r>
      <w:r w:rsidR="0030066D" w:rsidRPr="005F57B5">
        <w:rPr>
          <w:spacing w:val="-3"/>
          <w:szCs w:val="19"/>
          <w:lang w:val="en-US"/>
        </w:rPr>
        <w:t xml:space="preserve"> was observed</w:t>
      </w:r>
      <w:r w:rsidR="00B62672" w:rsidRPr="005F57B5">
        <w:rPr>
          <w:spacing w:val="-3"/>
          <w:szCs w:val="19"/>
          <w:lang w:val="en-US"/>
        </w:rPr>
        <w:t>.</w:t>
      </w:r>
    </w:p>
    <w:p w14:paraId="7BBEF887" w14:textId="7BB0B1BA" w:rsidR="00506302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506302" w:rsidRPr="00C306F4">
        <w:rPr>
          <w:spacing w:val="-3"/>
          <w:szCs w:val="19"/>
          <w:lang w:val="en-US"/>
        </w:rPr>
        <w:t>mineral fuels, lubricants and</w:t>
      </w:r>
      <w:r w:rsidR="00506302">
        <w:rPr>
          <w:spacing w:val="-3"/>
          <w:szCs w:val="19"/>
          <w:lang w:val="en-US"/>
        </w:rPr>
        <w:t xml:space="preserve"> related materials (by </w:t>
      </w:r>
      <w:r w:rsidR="0030066D">
        <w:rPr>
          <w:spacing w:val="-3"/>
          <w:szCs w:val="19"/>
          <w:lang w:val="en-US"/>
        </w:rPr>
        <w:t>58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5</w:t>
      </w:r>
      <w:r w:rsidR="00506302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 xml:space="preserve">animal and </w:t>
      </w:r>
      <w:r w:rsidR="005364B8" w:rsidRPr="00D515E8">
        <w:rPr>
          <w:spacing w:val="-3"/>
          <w:szCs w:val="19"/>
          <w:lang w:val="en-US"/>
        </w:rPr>
        <w:t>vegetable oils, fats and waxes</w:t>
      </w:r>
      <w:r w:rsidR="005364B8">
        <w:rPr>
          <w:spacing w:val="-3"/>
          <w:szCs w:val="19"/>
          <w:lang w:val="en-US"/>
        </w:rPr>
        <w:t xml:space="preserve"> (by </w:t>
      </w:r>
      <w:r w:rsidR="0030066D">
        <w:rPr>
          <w:spacing w:val="-3"/>
          <w:szCs w:val="19"/>
          <w:lang w:val="en-US"/>
        </w:rPr>
        <w:t>44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8</w:t>
      </w:r>
      <w:r w:rsidR="005364B8">
        <w:rPr>
          <w:spacing w:val="-3"/>
          <w:szCs w:val="19"/>
          <w:lang w:val="en-US"/>
        </w:rPr>
        <w:t>%),</w:t>
      </w:r>
      <w:r w:rsidR="005364B8" w:rsidRPr="00FD3454">
        <w:rPr>
          <w:spacing w:val="-3"/>
          <w:szCs w:val="19"/>
          <w:lang w:val="en-US"/>
        </w:rPr>
        <w:t xml:space="preserve"> </w:t>
      </w:r>
      <w:r w:rsidR="00A3190C">
        <w:rPr>
          <w:spacing w:val="-3"/>
          <w:szCs w:val="19"/>
          <w:lang w:val="en-US"/>
        </w:rPr>
        <w:t>crude materials inedible, except fuels (by 3</w:t>
      </w:r>
      <w:r w:rsidR="0030066D">
        <w:rPr>
          <w:spacing w:val="-3"/>
          <w:szCs w:val="19"/>
          <w:lang w:val="en-US"/>
        </w:rPr>
        <w:t>4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9</w:t>
      </w:r>
      <w:r w:rsidR="00506302">
        <w:rPr>
          <w:spacing w:val="-3"/>
          <w:szCs w:val="19"/>
          <w:lang w:val="en-US"/>
        </w:rPr>
        <w:t>%),</w:t>
      </w:r>
      <w:r w:rsidR="003A4F03">
        <w:rPr>
          <w:spacing w:val="-3"/>
          <w:szCs w:val="19"/>
          <w:lang w:val="en-US"/>
        </w:rPr>
        <w:t xml:space="preserve"> </w:t>
      </w:r>
      <w:r w:rsidR="003A4F03" w:rsidRPr="00C1268A">
        <w:rPr>
          <w:spacing w:val="-3"/>
          <w:szCs w:val="19"/>
          <w:lang w:val="en-US"/>
        </w:rPr>
        <w:t>manufactured goods classified chiefly by material (by 2</w:t>
      </w:r>
      <w:r w:rsidR="0030066D">
        <w:rPr>
          <w:spacing w:val="-3"/>
          <w:szCs w:val="19"/>
          <w:lang w:val="en-US"/>
        </w:rPr>
        <w:t>7</w:t>
      </w:r>
      <w:r w:rsidR="003A4F03" w:rsidRPr="00C1268A">
        <w:rPr>
          <w:spacing w:val="-3"/>
          <w:szCs w:val="19"/>
          <w:lang w:val="en-US"/>
        </w:rPr>
        <w:t>.6%),</w:t>
      </w:r>
      <w:r w:rsidR="00506302" w:rsidRPr="00C1268A">
        <w:rPr>
          <w:spacing w:val="-3"/>
          <w:szCs w:val="19"/>
          <w:lang w:val="en-US"/>
        </w:rPr>
        <w:t xml:space="preserve"> </w:t>
      </w:r>
      <w:r w:rsidR="00796DCA" w:rsidRPr="00C1268A">
        <w:rPr>
          <w:spacing w:val="-3"/>
          <w:szCs w:val="19"/>
          <w:lang w:val="en-US"/>
        </w:rPr>
        <w:t xml:space="preserve">machinery and transport equipment (by </w:t>
      </w:r>
      <w:r w:rsidR="003A4F03" w:rsidRPr="00C1268A">
        <w:rPr>
          <w:spacing w:val="-3"/>
          <w:szCs w:val="19"/>
          <w:lang w:val="en-US"/>
        </w:rPr>
        <w:t>2</w:t>
      </w:r>
      <w:r w:rsidR="0030066D">
        <w:rPr>
          <w:spacing w:val="-3"/>
          <w:szCs w:val="19"/>
          <w:lang w:val="en-US"/>
        </w:rPr>
        <w:t>2</w:t>
      </w:r>
      <w:r w:rsidR="00506302" w:rsidRPr="00C1268A">
        <w:rPr>
          <w:spacing w:val="-3"/>
          <w:szCs w:val="19"/>
          <w:lang w:val="en-US"/>
        </w:rPr>
        <w:t>.</w:t>
      </w:r>
      <w:r w:rsidR="003A4F03" w:rsidRPr="00C1268A">
        <w:rPr>
          <w:spacing w:val="-3"/>
          <w:szCs w:val="19"/>
          <w:lang w:val="en-US"/>
        </w:rPr>
        <w:t>8</w:t>
      </w:r>
      <w:r w:rsidR="00796DCA" w:rsidRPr="00C1268A">
        <w:rPr>
          <w:spacing w:val="-3"/>
          <w:szCs w:val="19"/>
          <w:lang w:val="en-US"/>
        </w:rPr>
        <w:t>%),</w:t>
      </w:r>
      <w:r w:rsidR="00796DCA">
        <w:rPr>
          <w:spacing w:val="-3"/>
          <w:szCs w:val="19"/>
          <w:lang w:val="en-US"/>
        </w:rPr>
        <w:t xml:space="preserve"> </w:t>
      </w:r>
      <w:r w:rsidR="001519B0">
        <w:rPr>
          <w:spacing w:val="-3"/>
          <w:szCs w:val="19"/>
          <w:lang w:val="en-US"/>
        </w:rPr>
        <w:t xml:space="preserve">miscellaneous manufactured articles (by </w:t>
      </w:r>
      <w:r w:rsidR="002A1B9E">
        <w:rPr>
          <w:spacing w:val="-3"/>
          <w:szCs w:val="19"/>
          <w:lang w:val="en-US"/>
        </w:rPr>
        <w:t>2</w:t>
      </w:r>
      <w:r w:rsidR="0030066D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1</w:t>
      </w:r>
      <w:r w:rsidR="001519B0">
        <w:rPr>
          <w:spacing w:val="-3"/>
          <w:szCs w:val="19"/>
          <w:lang w:val="en-US"/>
        </w:rPr>
        <w:t>%),</w:t>
      </w:r>
      <w:r w:rsidR="00D76DE9">
        <w:rPr>
          <w:spacing w:val="-3"/>
          <w:szCs w:val="19"/>
          <w:lang w:val="en-US"/>
        </w:rPr>
        <w:t xml:space="preserve"> </w:t>
      </w:r>
      <w:r w:rsidR="00EE13AC">
        <w:rPr>
          <w:spacing w:val="-3"/>
          <w:szCs w:val="19"/>
          <w:lang w:val="en-US"/>
        </w:rPr>
        <w:t>chem</w:t>
      </w:r>
      <w:r w:rsidR="00C520FD">
        <w:rPr>
          <w:spacing w:val="-3"/>
          <w:szCs w:val="19"/>
          <w:lang w:val="en-US"/>
        </w:rPr>
        <w:t xml:space="preserve">icals and related products (by </w:t>
      </w:r>
      <w:r w:rsidR="005364B8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2.</w:t>
      </w:r>
      <w:r w:rsidR="0030066D">
        <w:rPr>
          <w:spacing w:val="-3"/>
          <w:szCs w:val="19"/>
          <w:lang w:val="en-US"/>
        </w:rPr>
        <w:t>1</w:t>
      </w:r>
      <w:r w:rsidR="00EE13AC">
        <w:rPr>
          <w:spacing w:val="-3"/>
          <w:szCs w:val="19"/>
          <w:lang w:val="en-US"/>
        </w:rPr>
        <w:t>%)</w:t>
      </w:r>
      <w:r w:rsidR="001519B0">
        <w:rPr>
          <w:spacing w:val="-3"/>
          <w:szCs w:val="19"/>
          <w:lang w:val="en-US"/>
        </w:rPr>
        <w:t>,</w:t>
      </w:r>
      <w:r w:rsidR="00C520FD">
        <w:rPr>
          <w:spacing w:val="-3"/>
          <w:szCs w:val="19"/>
          <w:lang w:val="en-US"/>
        </w:rPr>
        <w:t xml:space="preserve"> </w:t>
      </w:r>
      <w:r w:rsidR="008F6733">
        <w:rPr>
          <w:spacing w:val="-3"/>
          <w:szCs w:val="19"/>
          <w:lang w:val="en-US"/>
        </w:rPr>
        <w:t xml:space="preserve">food and live animals (by </w:t>
      </w:r>
      <w:r w:rsidR="00506302">
        <w:rPr>
          <w:spacing w:val="-3"/>
          <w:szCs w:val="19"/>
          <w:lang w:val="en-US"/>
        </w:rPr>
        <w:t>1</w:t>
      </w:r>
      <w:r w:rsidR="003A4F03">
        <w:rPr>
          <w:spacing w:val="-3"/>
          <w:szCs w:val="19"/>
          <w:lang w:val="en-US"/>
        </w:rPr>
        <w:t>2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2</w:t>
      </w:r>
      <w:r w:rsidR="00EE13AC">
        <w:rPr>
          <w:spacing w:val="-3"/>
          <w:szCs w:val="19"/>
          <w:lang w:val="en-US"/>
        </w:rPr>
        <w:t>%)</w:t>
      </w:r>
      <w:r w:rsidR="0098610C">
        <w:rPr>
          <w:spacing w:val="-3"/>
          <w:szCs w:val="19"/>
          <w:lang w:val="en-US"/>
        </w:rPr>
        <w:t xml:space="preserve"> </w:t>
      </w:r>
      <w:r w:rsidR="00512FEF">
        <w:rPr>
          <w:spacing w:val="-3"/>
          <w:szCs w:val="19"/>
          <w:lang w:val="en-US"/>
        </w:rPr>
        <w:t xml:space="preserve">and </w:t>
      </w:r>
      <w:r w:rsidR="00506302">
        <w:rPr>
          <w:spacing w:val="-3"/>
          <w:szCs w:val="19"/>
          <w:lang w:val="en-US"/>
        </w:rPr>
        <w:t>commodities and transactio</w:t>
      </w:r>
      <w:r w:rsidR="00506302" w:rsidRPr="006F601B">
        <w:rPr>
          <w:spacing w:val="-3"/>
          <w:szCs w:val="19"/>
          <w:lang w:val="en-US"/>
        </w:rPr>
        <w:t>n</w:t>
      </w:r>
      <w:r w:rsidR="00506302">
        <w:rPr>
          <w:spacing w:val="-3"/>
          <w:szCs w:val="19"/>
          <w:lang w:val="en-US"/>
        </w:rPr>
        <w:t xml:space="preserve"> not classified elsewhere in the SITC (by </w:t>
      </w:r>
      <w:r w:rsidR="0030066D">
        <w:rPr>
          <w:spacing w:val="-3"/>
          <w:szCs w:val="19"/>
          <w:lang w:val="en-US"/>
        </w:rPr>
        <w:t>9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8</w:t>
      </w:r>
      <w:r w:rsidR="00506302">
        <w:rPr>
          <w:spacing w:val="-3"/>
          <w:szCs w:val="19"/>
          <w:lang w:val="en-US"/>
        </w:rPr>
        <w:t xml:space="preserve">%) </w:t>
      </w:r>
      <w:r w:rsidR="00512FEF">
        <w:rPr>
          <w:spacing w:val="-3"/>
          <w:szCs w:val="19"/>
          <w:lang w:val="en-US"/>
        </w:rPr>
        <w:t>while a</w:t>
      </w:r>
      <w:r w:rsidR="00512FEF" w:rsidRPr="005F57B5">
        <w:rPr>
          <w:spacing w:val="-3"/>
          <w:szCs w:val="19"/>
          <w:lang w:val="en-US"/>
        </w:rPr>
        <w:t xml:space="preserve"> </w:t>
      </w:r>
      <w:r w:rsidR="0030066D" w:rsidRPr="005F57B5">
        <w:rPr>
          <w:spacing w:val="-3"/>
          <w:szCs w:val="19"/>
          <w:lang w:val="en-US"/>
        </w:rPr>
        <w:t>decrease occurred in</w:t>
      </w:r>
      <w:r w:rsidR="006D2044" w:rsidRPr="005F57B5">
        <w:rPr>
          <w:spacing w:val="-3"/>
          <w:szCs w:val="19"/>
          <w:lang w:val="en-US"/>
        </w:rPr>
        <w:t xml:space="preserve"> beverages and tobacco</w:t>
      </w:r>
      <w:r w:rsidR="008F6733" w:rsidRPr="005F57B5">
        <w:rPr>
          <w:spacing w:val="-3"/>
          <w:szCs w:val="19"/>
          <w:lang w:val="en-US"/>
        </w:rPr>
        <w:t xml:space="preserve"> (by </w:t>
      </w:r>
      <w:r w:rsidR="003A4F03" w:rsidRPr="005F57B5">
        <w:rPr>
          <w:spacing w:val="-3"/>
          <w:szCs w:val="19"/>
          <w:lang w:val="en-US"/>
        </w:rPr>
        <w:t>0</w:t>
      </w:r>
      <w:r w:rsidR="00506302" w:rsidRPr="005F57B5">
        <w:rPr>
          <w:spacing w:val="-3"/>
          <w:szCs w:val="19"/>
          <w:lang w:val="en-US"/>
        </w:rPr>
        <w:t>.</w:t>
      </w:r>
      <w:r w:rsidR="00C20265" w:rsidRPr="005F57B5">
        <w:rPr>
          <w:spacing w:val="-3"/>
          <w:szCs w:val="19"/>
          <w:lang w:val="en-US"/>
        </w:rPr>
        <w:t>8</w:t>
      </w:r>
      <w:r w:rsidR="008F6733" w:rsidRPr="005F57B5">
        <w:rPr>
          <w:spacing w:val="-3"/>
          <w:szCs w:val="19"/>
          <w:lang w:val="en-US"/>
        </w:rPr>
        <w:t xml:space="preserve"> </w:t>
      </w:r>
      <w:r w:rsidR="006D2044" w:rsidRPr="005F57B5">
        <w:rPr>
          <w:spacing w:val="-3"/>
          <w:szCs w:val="19"/>
          <w:lang w:val="en-US"/>
        </w:rPr>
        <w:t>%)</w:t>
      </w:r>
      <w:r w:rsidR="00506302" w:rsidRPr="005F57B5">
        <w:rPr>
          <w:spacing w:val="-3"/>
          <w:szCs w:val="19"/>
          <w:lang w:val="en-US"/>
        </w:rPr>
        <w:t>.</w:t>
      </w:r>
    </w:p>
    <w:p w14:paraId="12FC0953" w14:textId="4054BCFF" w:rsidR="00D76DE9" w:rsidRDefault="006D2044" w:rsidP="006B631B">
      <w:pPr>
        <w:spacing w:before="40" w:after="0"/>
        <w:rPr>
          <w:spacing w:val="-3"/>
          <w:szCs w:val="19"/>
          <w:lang w:val="en-US"/>
        </w:rPr>
      </w:pPr>
      <w:r>
        <w:rPr>
          <w:spacing w:val="-3"/>
          <w:szCs w:val="19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import</w:t>
      </w:r>
      <w:r w:rsidR="00D1022A" w:rsidRPr="003A4F03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="00AD195B"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3A4F03">
        <w:rPr>
          <w:spacing w:val="-3"/>
          <w:szCs w:val="19"/>
          <w:lang w:val="en-US"/>
        </w:rPr>
        <w:t>1</w:t>
      </w:r>
      <w:r w:rsidR="00C20265">
        <w:rPr>
          <w:spacing w:val="-3"/>
          <w:szCs w:val="19"/>
          <w:lang w:val="en-US"/>
        </w:rPr>
        <w:t>55</w:t>
      </w:r>
      <w:r w:rsidR="00434ABB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3</w:t>
      </w:r>
      <w:r w:rsidR="00D10F47">
        <w:rPr>
          <w:spacing w:val="-3"/>
          <w:szCs w:val="19"/>
          <w:lang w:val="en-US"/>
        </w:rPr>
        <w:t xml:space="preserve">%), </w:t>
      </w:r>
      <w:r w:rsidR="00C20265">
        <w:rPr>
          <w:spacing w:val="-3"/>
          <w:szCs w:val="19"/>
          <w:lang w:val="en-US"/>
        </w:rPr>
        <w:t>mineral fuels, lubricants and related materials (by 42.8%),</w:t>
      </w:r>
      <w:r w:rsidR="00C20265" w:rsidRPr="00157D49">
        <w:rPr>
          <w:spacing w:val="-3"/>
          <w:szCs w:val="19"/>
          <w:lang w:val="en-US"/>
        </w:rPr>
        <w:t xml:space="preserve">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C20265">
        <w:rPr>
          <w:spacing w:val="-3"/>
          <w:szCs w:val="19"/>
          <w:lang w:val="en-US"/>
        </w:rPr>
        <w:t>7</w:t>
      </w:r>
      <w:r w:rsidR="00434ABB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6</w:t>
      </w:r>
      <w:r w:rsidR="008C0C51">
        <w:rPr>
          <w:spacing w:val="-3"/>
          <w:szCs w:val="19"/>
          <w:lang w:val="en-US"/>
        </w:rPr>
        <w:t xml:space="preserve">%), </w:t>
      </w:r>
      <w:r w:rsidR="00434ABB">
        <w:rPr>
          <w:spacing w:val="-3"/>
          <w:szCs w:val="19"/>
          <w:lang w:val="en-US"/>
        </w:rPr>
        <w:t xml:space="preserve">crude </w:t>
      </w:r>
      <w:r w:rsidR="00434ABB" w:rsidRPr="001A78FA">
        <w:rPr>
          <w:spacing w:val="-3"/>
          <w:szCs w:val="19"/>
          <w:lang w:val="en-US"/>
        </w:rPr>
        <w:t>materials inedible</w:t>
      </w:r>
      <w:r w:rsidR="00434ABB">
        <w:rPr>
          <w:spacing w:val="-3"/>
          <w:szCs w:val="19"/>
          <w:lang w:val="en-US"/>
        </w:rPr>
        <w:t xml:space="preserve">, except fuels (by </w:t>
      </w:r>
      <w:r w:rsidR="00C20265">
        <w:rPr>
          <w:spacing w:val="-3"/>
          <w:szCs w:val="19"/>
          <w:lang w:val="en-US"/>
        </w:rPr>
        <w:t>35</w:t>
      </w:r>
      <w:r w:rsidR="00434ABB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1</w:t>
      </w:r>
      <w:r w:rsidR="00434ABB">
        <w:rPr>
          <w:spacing w:val="-3"/>
          <w:szCs w:val="19"/>
          <w:lang w:val="en-US"/>
        </w:rPr>
        <w:t xml:space="preserve">%), </w:t>
      </w:r>
      <w:r w:rsidR="00C20265">
        <w:rPr>
          <w:spacing w:val="-3"/>
          <w:szCs w:val="19"/>
          <w:lang w:val="en-US"/>
        </w:rPr>
        <w:t xml:space="preserve">animal and </w:t>
      </w:r>
      <w:r w:rsidR="00C20265" w:rsidRPr="00D515E8">
        <w:rPr>
          <w:spacing w:val="-3"/>
          <w:szCs w:val="19"/>
          <w:lang w:val="en-US"/>
        </w:rPr>
        <w:t>vegetable oils, fats and waxes</w:t>
      </w:r>
      <w:r w:rsidR="00C20265">
        <w:rPr>
          <w:spacing w:val="-3"/>
          <w:szCs w:val="19"/>
          <w:lang w:val="en-US"/>
        </w:rPr>
        <w:t xml:space="preserve"> (by 31.9%), </w:t>
      </w:r>
      <w:r w:rsidR="00434ABB">
        <w:rPr>
          <w:spacing w:val="-3"/>
          <w:szCs w:val="19"/>
          <w:lang w:val="en-US"/>
        </w:rPr>
        <w:t>chemicals and related products (by 29.</w:t>
      </w:r>
      <w:r w:rsidR="00C20265">
        <w:rPr>
          <w:spacing w:val="-3"/>
          <w:szCs w:val="19"/>
          <w:lang w:val="en-US"/>
        </w:rPr>
        <w:t>3</w:t>
      </w:r>
      <w:r w:rsidR="00434ABB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 xml:space="preserve">machinery and transport equipment (by </w:t>
      </w:r>
      <w:r w:rsidR="00C1268A">
        <w:rPr>
          <w:spacing w:val="-3"/>
          <w:szCs w:val="19"/>
          <w:lang w:val="en-US"/>
        </w:rPr>
        <w:t>2</w:t>
      </w:r>
      <w:r w:rsidR="00C20265">
        <w:rPr>
          <w:spacing w:val="-3"/>
          <w:szCs w:val="19"/>
          <w:lang w:val="en-US"/>
        </w:rPr>
        <w:t>3</w:t>
      </w:r>
      <w:r w:rsidR="008C0C51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6</w:t>
      </w:r>
      <w:r w:rsidR="008C0C51">
        <w:rPr>
          <w:spacing w:val="-3"/>
          <w:szCs w:val="19"/>
          <w:lang w:val="en-US"/>
        </w:rPr>
        <w:t xml:space="preserve">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</w:t>
      </w:r>
      <w:r w:rsidR="00C20265">
        <w:rPr>
          <w:spacing w:val="-3"/>
          <w:szCs w:val="19"/>
          <w:lang w:val="en-US"/>
        </w:rPr>
        <w:t>0</w:t>
      </w:r>
      <w:r w:rsidR="00434ABB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7</w:t>
      </w:r>
      <w:r w:rsidR="001F18ED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</w:t>
      </w:r>
      <w:r w:rsidR="00C1268A" w:rsidRPr="00C1268A">
        <w:rPr>
          <w:spacing w:val="-3"/>
          <w:szCs w:val="19"/>
          <w:lang w:val="en-US"/>
        </w:rPr>
        <w:t xml:space="preserve"> </w:t>
      </w:r>
      <w:r w:rsidR="00C1268A">
        <w:rPr>
          <w:spacing w:val="-3"/>
          <w:szCs w:val="19"/>
          <w:lang w:val="en-US"/>
        </w:rPr>
        <w:t>food and live animals (by 7.7%) and</w:t>
      </w:r>
      <w:r w:rsidR="00157D49">
        <w:rPr>
          <w:spacing w:val="-3"/>
          <w:szCs w:val="19"/>
          <w:lang w:val="en-US"/>
        </w:rPr>
        <w:t xml:space="preserve"> beverages and tob</w:t>
      </w:r>
      <w:r w:rsidR="005364B8">
        <w:rPr>
          <w:spacing w:val="-3"/>
          <w:szCs w:val="19"/>
          <w:lang w:val="en-US"/>
        </w:rPr>
        <w:t xml:space="preserve">acco (by </w:t>
      </w:r>
      <w:r w:rsidR="00C1268A">
        <w:rPr>
          <w:spacing w:val="-3"/>
          <w:szCs w:val="19"/>
          <w:lang w:val="en-US"/>
        </w:rPr>
        <w:t>4</w:t>
      </w:r>
      <w:r w:rsidR="00A14EA7">
        <w:rPr>
          <w:spacing w:val="-3"/>
          <w:szCs w:val="19"/>
          <w:lang w:val="en-US"/>
        </w:rPr>
        <w:t>.</w:t>
      </w:r>
      <w:r w:rsidR="00C20265">
        <w:rPr>
          <w:spacing w:val="-3"/>
          <w:szCs w:val="19"/>
          <w:lang w:val="en-US"/>
        </w:rPr>
        <w:t>3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>.</w:t>
      </w:r>
    </w:p>
    <w:p w14:paraId="69FE69C0" w14:textId="77777777"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14:paraId="602BD838" w14:textId="03F371F6"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1F7AA631" wp14:editId="1BDD7256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09D01F7A" wp14:editId="1AC826D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357BC2">
        <w:rPr>
          <w:shd w:val="clear" w:color="auto" w:fill="FFFFFF"/>
          <w:lang w:val="en-US"/>
        </w:rPr>
        <w:t>I - X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14:paraId="0D12C4A6" w14:textId="77777777" w:rsidR="00AD195B" w:rsidRDefault="00AD195B" w:rsidP="00366025">
      <w:pPr>
        <w:rPr>
          <w:rFonts w:cs="Arial"/>
          <w:lang w:val="en-US"/>
        </w:rPr>
      </w:pPr>
    </w:p>
    <w:p w14:paraId="240EC1CA" w14:textId="77777777" w:rsidR="00AD195B" w:rsidRDefault="00AD195B" w:rsidP="00366025">
      <w:pPr>
        <w:rPr>
          <w:rFonts w:cs="Arial"/>
          <w:lang w:val="en-US"/>
        </w:rPr>
      </w:pPr>
    </w:p>
    <w:p w14:paraId="652D1FAC" w14:textId="77777777" w:rsidR="00AD195B" w:rsidRDefault="00AD195B" w:rsidP="00366025">
      <w:pPr>
        <w:rPr>
          <w:rFonts w:cs="Arial"/>
          <w:lang w:val="en-US"/>
        </w:rPr>
      </w:pPr>
    </w:p>
    <w:p w14:paraId="0F24F9A8" w14:textId="77777777" w:rsidR="00AD195B" w:rsidRDefault="00AD195B" w:rsidP="00366025">
      <w:pPr>
        <w:rPr>
          <w:rFonts w:cs="Arial"/>
          <w:lang w:val="en-US"/>
        </w:rPr>
      </w:pPr>
    </w:p>
    <w:p w14:paraId="188A524A" w14:textId="77777777" w:rsidR="00AD195B" w:rsidRDefault="00AD195B" w:rsidP="00366025">
      <w:pPr>
        <w:rPr>
          <w:rFonts w:cs="Arial"/>
          <w:lang w:val="en-US"/>
        </w:rPr>
      </w:pPr>
    </w:p>
    <w:p w14:paraId="0D839376" w14:textId="77777777" w:rsidR="00AD195B" w:rsidRDefault="00AD195B" w:rsidP="00366025">
      <w:pPr>
        <w:rPr>
          <w:rFonts w:cs="Arial"/>
          <w:lang w:val="en-US"/>
        </w:rPr>
      </w:pPr>
    </w:p>
    <w:p w14:paraId="0BBCE0A6" w14:textId="77777777" w:rsidR="00AD195B" w:rsidRDefault="00AD195B" w:rsidP="00366025">
      <w:pPr>
        <w:rPr>
          <w:rFonts w:cs="Arial"/>
          <w:lang w:val="en-US"/>
        </w:rPr>
      </w:pPr>
    </w:p>
    <w:p w14:paraId="6802FE6B" w14:textId="77777777" w:rsidR="00AD195B" w:rsidRDefault="00AD195B" w:rsidP="00366025">
      <w:pPr>
        <w:rPr>
          <w:rFonts w:cs="Arial"/>
          <w:lang w:val="en-US"/>
        </w:rPr>
      </w:pPr>
    </w:p>
    <w:p w14:paraId="55E73EF6" w14:textId="77777777" w:rsidR="00AD195B" w:rsidRDefault="00AD195B" w:rsidP="00366025">
      <w:pPr>
        <w:rPr>
          <w:rFonts w:cs="Arial"/>
          <w:lang w:val="en-US"/>
        </w:rPr>
      </w:pPr>
    </w:p>
    <w:p w14:paraId="23675962" w14:textId="77777777" w:rsidR="00AD195B" w:rsidRDefault="00AD195B" w:rsidP="00366025">
      <w:pPr>
        <w:rPr>
          <w:rFonts w:cs="Arial"/>
          <w:lang w:val="en-US"/>
        </w:rPr>
      </w:pPr>
    </w:p>
    <w:p w14:paraId="4EDCBB4C" w14:textId="77777777" w:rsidR="00AD195B" w:rsidRDefault="00AD195B" w:rsidP="00366025">
      <w:pPr>
        <w:rPr>
          <w:rFonts w:cs="Arial"/>
          <w:lang w:val="en-US"/>
        </w:rPr>
      </w:pPr>
    </w:p>
    <w:p w14:paraId="050A4361" w14:textId="77777777" w:rsidR="00AD195B" w:rsidRDefault="00AD195B" w:rsidP="00366025">
      <w:pPr>
        <w:rPr>
          <w:rFonts w:cs="Arial"/>
          <w:lang w:val="en-US"/>
        </w:rPr>
      </w:pPr>
    </w:p>
    <w:p w14:paraId="75C7A1DF" w14:textId="79A3CA35"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A28133A" wp14:editId="2809FCD0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357BC2">
        <w:rPr>
          <w:b/>
          <w:shd w:val="clear" w:color="auto" w:fill="FFFFFF"/>
          <w:lang w:val="en-US"/>
        </w:rPr>
        <w:t>I - X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14:paraId="0699ECB7" w14:textId="77777777" w:rsidR="00AD195B" w:rsidRDefault="00AD195B" w:rsidP="00366025">
      <w:pPr>
        <w:rPr>
          <w:rFonts w:cs="Arial"/>
          <w:lang w:val="en-US"/>
        </w:rPr>
      </w:pPr>
    </w:p>
    <w:p w14:paraId="5A1ACFF7" w14:textId="77777777" w:rsidR="00AD195B" w:rsidRDefault="00AD195B" w:rsidP="00366025">
      <w:pPr>
        <w:rPr>
          <w:rFonts w:cs="Arial"/>
          <w:lang w:val="en-US"/>
        </w:rPr>
      </w:pPr>
    </w:p>
    <w:p w14:paraId="51A92C5E" w14:textId="77777777" w:rsidR="00F22AFC" w:rsidRDefault="00F22AFC" w:rsidP="00366025">
      <w:pPr>
        <w:rPr>
          <w:rFonts w:cs="Arial"/>
          <w:lang w:val="en-US"/>
        </w:rPr>
      </w:pPr>
    </w:p>
    <w:p w14:paraId="6217F2BB" w14:textId="77777777" w:rsidR="00F22AFC" w:rsidRDefault="00F22AFC" w:rsidP="00366025">
      <w:pPr>
        <w:rPr>
          <w:rFonts w:cs="Arial"/>
          <w:lang w:val="en-US"/>
        </w:rPr>
      </w:pPr>
    </w:p>
    <w:p w14:paraId="4BC7CEF1" w14:textId="77777777" w:rsidR="00F22AFC" w:rsidRDefault="00F22AFC" w:rsidP="00366025">
      <w:pPr>
        <w:rPr>
          <w:rFonts w:cs="Arial"/>
          <w:lang w:val="en-US"/>
        </w:rPr>
      </w:pPr>
    </w:p>
    <w:p w14:paraId="4B5AD9AD" w14:textId="77777777" w:rsidR="00F22AFC" w:rsidRDefault="00F22AFC" w:rsidP="00366025">
      <w:pPr>
        <w:rPr>
          <w:rFonts w:cs="Arial"/>
          <w:lang w:val="en-US"/>
        </w:rPr>
      </w:pPr>
    </w:p>
    <w:p w14:paraId="775DB1CA" w14:textId="77777777" w:rsidR="00F22AFC" w:rsidRDefault="00F22AFC" w:rsidP="00366025">
      <w:pPr>
        <w:rPr>
          <w:rFonts w:cs="Arial"/>
          <w:lang w:val="en-US"/>
        </w:rPr>
      </w:pPr>
    </w:p>
    <w:p w14:paraId="607A7A75" w14:textId="77777777" w:rsidR="00F22AFC" w:rsidRDefault="00F22AFC" w:rsidP="00366025">
      <w:pPr>
        <w:rPr>
          <w:rFonts w:cs="Arial"/>
          <w:lang w:val="en-US"/>
        </w:rPr>
      </w:pPr>
    </w:p>
    <w:p w14:paraId="55B8BFE2" w14:textId="77777777" w:rsidR="00F22AFC" w:rsidRDefault="00F22AFC" w:rsidP="00366025">
      <w:pPr>
        <w:rPr>
          <w:rFonts w:cs="Arial"/>
          <w:lang w:val="en-US"/>
        </w:rPr>
      </w:pPr>
    </w:p>
    <w:p w14:paraId="2BA611BA" w14:textId="77777777" w:rsidR="00F22AFC" w:rsidRDefault="00F22AFC" w:rsidP="00366025">
      <w:pPr>
        <w:rPr>
          <w:rFonts w:cs="Arial"/>
          <w:lang w:val="en-US"/>
        </w:rPr>
      </w:pPr>
    </w:p>
    <w:p w14:paraId="1D02D122" w14:textId="77777777" w:rsidR="00F22AFC" w:rsidRDefault="00F22AFC" w:rsidP="00366025">
      <w:pPr>
        <w:rPr>
          <w:rFonts w:cs="Arial"/>
          <w:lang w:val="en-US"/>
        </w:rPr>
      </w:pPr>
    </w:p>
    <w:p w14:paraId="101DC08C" w14:textId="77777777" w:rsidR="00F22AFC" w:rsidRDefault="00F22AFC" w:rsidP="00366025">
      <w:pPr>
        <w:rPr>
          <w:rFonts w:cs="Arial"/>
          <w:lang w:val="en-US"/>
        </w:rPr>
      </w:pPr>
    </w:p>
    <w:p w14:paraId="6070815E" w14:textId="77777777"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4D2C26C8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98610C" w14:paraId="09F41354" w14:textId="77777777" w:rsidTr="00E23337">
        <w:trPr>
          <w:trHeight w:val="1912"/>
        </w:trPr>
        <w:tc>
          <w:tcPr>
            <w:tcW w:w="4379" w:type="dxa"/>
          </w:tcPr>
          <w:p w14:paraId="31D8ACC9" w14:textId="77777777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60696499" w14:textId="77777777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464529A8" w14:textId="77777777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665BF755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712C67E5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4F9AAB3C" w14:textId="77777777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7BA7FE20" w14:textId="77777777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76CD0FF3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33E9E712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2F5278E1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3962AD8" w14:textId="77777777" w:rsidR="000470AA" w:rsidRPr="000C2149" w:rsidRDefault="000470AA" w:rsidP="000470AA">
      <w:pPr>
        <w:rPr>
          <w:sz w:val="20"/>
          <w:lang w:val="en-US"/>
        </w:rPr>
      </w:pPr>
    </w:p>
    <w:p w14:paraId="62F69C8C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98610C" w14:paraId="505B308C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9E09F45" w14:textId="7777777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294AEFF0" w14:textId="77777777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3AE383CF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54469D3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A42F6C8" wp14:editId="56023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C9CA462" w14:textId="77777777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02FEF67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56248E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693517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EF6D3B2" wp14:editId="4E241E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CA8CE4B" w14:textId="77777777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2192FD1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A418680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ED1A57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AC1F8C1" wp14:editId="5E70DB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BC64D5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F04D0DC" w14:textId="425079C1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A0CF95" wp14:editId="76484F0F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7E36" w14:textId="77777777" w:rsidR="000D6975" w:rsidRDefault="000D697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EACA6AD" w14:textId="77777777" w:rsidR="000D6975" w:rsidRPr="00856331" w:rsidRDefault="000D6975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1082F226" w14:textId="77777777" w:rsidR="000D6975" w:rsidRPr="00D3514F" w:rsidRDefault="003970F9" w:rsidP="00925599">
                            <w:pPr>
                              <w:rPr>
                                <w:color w:val="00138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0D6975" w:rsidRPr="00D3514F">
                                <w:rPr>
                                  <w:rStyle w:val="Hipercze"/>
                                  <w:rFonts w:cstheme="minorBidi"/>
                                  <w:color w:val="001381"/>
                                  <w:sz w:val="18"/>
                                  <w:szCs w:val="18"/>
                                  <w:lang w:val="en-US"/>
                                </w:rPr>
                                <w:t>Yearbook of Foreign Trade Statistics of Poland 2021</w:t>
                              </w:r>
                            </w:hyperlink>
                          </w:p>
                          <w:p w14:paraId="0A90513B" w14:textId="77777777" w:rsidR="000D6975" w:rsidRPr="008F545D" w:rsidRDefault="000D6975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begin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instrText xml:space="preserve"> HYPERLINK "https://stat.gov.pl/en/topics/prices-trade/trade/foreign-trade-mirror-and-asymmetry-statistics,12,1.html" </w:instrText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separate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Foreign trade. Mirror and asymmetry statistics</w:t>
                            </w:r>
                          </w:p>
                          <w:p w14:paraId="5D890B77" w14:textId="77777777" w:rsidR="000D6975" w:rsidRPr="00235F0F" w:rsidRDefault="000D6975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end"/>
                            </w: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6D89B58F" w14:textId="77777777" w:rsidR="000D6975" w:rsidRDefault="003970F9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0D6975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7072D47" w14:textId="77777777" w:rsidR="000D6975" w:rsidRPr="009E073C" w:rsidRDefault="003970F9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="000D6975" w:rsidRPr="009E073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14:paraId="4960E039" w14:textId="77777777" w:rsidR="000D6975" w:rsidRPr="00466489" w:rsidRDefault="000D6975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2486C5F9" w14:textId="77777777" w:rsidR="000D6975" w:rsidRPr="00A00ADB" w:rsidRDefault="000D69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61659E13" w14:textId="77777777" w:rsidR="000D6975" w:rsidRPr="00AD195B" w:rsidRDefault="000D6975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126E16B9" w14:textId="77777777" w:rsidR="000D6975" w:rsidRPr="00AD195B" w:rsidRDefault="000D6975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246A6630" w14:textId="77777777" w:rsidR="000D6975" w:rsidRPr="000C2149" w:rsidRDefault="000D69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0DF1502" w14:textId="77777777" w:rsidR="000D6975" w:rsidRPr="000C2149" w:rsidRDefault="000D69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2935B1D7" w14:textId="77777777" w:rsidR="000D6975" w:rsidRPr="008C0C51" w:rsidRDefault="003970F9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0D6975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0D6975"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0BF43CDB" w14:textId="77777777" w:rsidR="000D6975" w:rsidRPr="008C0C51" w:rsidRDefault="003970F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0D6975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33CF566E" w14:textId="77777777" w:rsidR="000D6975" w:rsidRPr="008C0C51" w:rsidRDefault="003970F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0D6975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34338EA2" w14:textId="77777777" w:rsidR="000D6975" w:rsidRPr="00AD195B" w:rsidRDefault="000D697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38F39A12" w14:textId="77777777" w:rsidR="000D6975" w:rsidRPr="00B86308" w:rsidRDefault="000D697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0CF9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2C2E7E36" w14:textId="77777777" w:rsidR="000D6975" w:rsidRDefault="000D6975" w:rsidP="00AB6D25">
                      <w:pPr>
                        <w:rPr>
                          <w:b/>
                        </w:rPr>
                      </w:pPr>
                    </w:p>
                    <w:p w14:paraId="0EACA6AD" w14:textId="77777777" w:rsidR="000D6975" w:rsidRPr="00856331" w:rsidRDefault="000D6975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1082F226" w14:textId="77777777" w:rsidR="000D6975" w:rsidRPr="00D3514F" w:rsidRDefault="003970F9" w:rsidP="00925599">
                      <w:pPr>
                        <w:rPr>
                          <w:color w:val="00138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0D6975" w:rsidRPr="00D3514F">
                          <w:rPr>
                            <w:rStyle w:val="Hipercze"/>
                            <w:rFonts w:cstheme="minorBidi"/>
                            <w:color w:val="001381"/>
                            <w:sz w:val="18"/>
                            <w:szCs w:val="18"/>
                            <w:lang w:val="en-US"/>
                          </w:rPr>
                          <w:t>Yearbook of Foreign Trade Statistics of Poland 2021</w:t>
                        </w:r>
                      </w:hyperlink>
                    </w:p>
                    <w:p w14:paraId="0A90513B" w14:textId="77777777" w:rsidR="000D6975" w:rsidRPr="008F545D" w:rsidRDefault="000D6975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begin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instrText xml:space="preserve"> HYPERLINK "https://stat.gov.pl/en/topics/prices-trade/trade/foreign-trade-mirror-and-asymmetry-statistics,12,1.html" </w:instrText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separate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Foreign trade. Mirror and asymmetry statistics</w:t>
                      </w:r>
                    </w:p>
                    <w:p w14:paraId="5D890B77" w14:textId="77777777" w:rsidR="000D6975" w:rsidRPr="00235F0F" w:rsidRDefault="000D6975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6D89B58F" w14:textId="77777777" w:rsidR="000D6975" w:rsidRDefault="003970F9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="000D6975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7072D47" w14:textId="77777777" w:rsidR="000D6975" w:rsidRPr="009E073C" w:rsidRDefault="003970F9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="000D6975" w:rsidRPr="009E073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14:paraId="4960E039" w14:textId="77777777" w:rsidR="000D6975" w:rsidRPr="00466489" w:rsidRDefault="000D6975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2486C5F9" w14:textId="77777777" w:rsidR="000D6975" w:rsidRPr="00A00ADB" w:rsidRDefault="000D697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61659E13" w14:textId="77777777" w:rsidR="000D6975" w:rsidRPr="00AD195B" w:rsidRDefault="000D6975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126E16B9" w14:textId="77777777" w:rsidR="000D6975" w:rsidRPr="00AD195B" w:rsidRDefault="000D6975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246A6630" w14:textId="77777777" w:rsidR="000D6975" w:rsidRPr="000C2149" w:rsidRDefault="000D697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0DF1502" w14:textId="77777777" w:rsidR="000D6975" w:rsidRPr="000C2149" w:rsidRDefault="000D697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2935B1D7" w14:textId="77777777" w:rsidR="000D6975" w:rsidRPr="008C0C51" w:rsidRDefault="003970F9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0D6975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0D6975"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0BF43CDB" w14:textId="77777777" w:rsidR="000D6975" w:rsidRPr="008C0C51" w:rsidRDefault="003970F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0D6975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33CF566E" w14:textId="77777777" w:rsidR="000D6975" w:rsidRPr="008C0C51" w:rsidRDefault="003970F9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0D6975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34338EA2" w14:textId="77777777" w:rsidR="000D6975" w:rsidRPr="00AD195B" w:rsidRDefault="000D697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38F39A12" w14:textId="77777777" w:rsidR="000D6975" w:rsidRPr="00B86308" w:rsidRDefault="000D697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DB56E" w14:textId="77777777" w:rsidR="003970F9" w:rsidRDefault="003970F9" w:rsidP="000662E2">
      <w:pPr>
        <w:spacing w:after="0" w:line="240" w:lineRule="auto"/>
      </w:pPr>
      <w:r>
        <w:separator/>
      </w:r>
    </w:p>
  </w:endnote>
  <w:endnote w:type="continuationSeparator" w:id="0">
    <w:p w14:paraId="58EA850A" w14:textId="77777777" w:rsidR="003970F9" w:rsidRDefault="003970F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0D6975" w:rsidRDefault="000D6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0C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0D6975" w:rsidRDefault="000D69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0D6975" w:rsidRDefault="000D6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0C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0D6975" w:rsidRDefault="000D6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8AF6F" w14:textId="77777777" w:rsidR="003970F9" w:rsidRDefault="003970F9" w:rsidP="000662E2">
      <w:pPr>
        <w:spacing w:after="0" w:line="240" w:lineRule="auto"/>
      </w:pPr>
      <w:r>
        <w:separator/>
      </w:r>
    </w:p>
  </w:footnote>
  <w:footnote w:type="continuationSeparator" w:id="0">
    <w:p w14:paraId="403EFCCA" w14:textId="77777777" w:rsidR="003970F9" w:rsidRDefault="003970F9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0D6975" w:rsidRPr="00AD195B" w:rsidRDefault="000D6975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4956456D" w14:textId="77777777" w:rsidR="000D6975" w:rsidRPr="00AD195B" w:rsidRDefault="000D6975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0D6975" w:rsidRPr="00AD195B" w:rsidRDefault="000D6975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1194E0" w14:textId="77777777" w:rsidR="000D6975" w:rsidRPr="00AD195B" w:rsidRDefault="000D6975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0D6975" w:rsidRDefault="000D69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0D6975" w:rsidRDefault="000D69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0D6975" w:rsidRDefault="000D697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0D0B2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0D6975" w:rsidRPr="003C6C8D" w:rsidRDefault="000D6975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0D6975" w:rsidRPr="003C6C8D" w:rsidRDefault="000D6975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1C94F26F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0D6975" w:rsidRDefault="000D697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452958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3D90D852" w:rsidR="000D6975" w:rsidRPr="00C97596" w:rsidRDefault="000D697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15.12.2021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422A680" w14:textId="3D90D852" w:rsidR="000D6975" w:rsidRPr="00C97596" w:rsidRDefault="000D697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15.12.2021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0D6975" w:rsidRDefault="000D6975">
    <w:pPr>
      <w:pStyle w:val="Nagwek"/>
    </w:pPr>
  </w:p>
  <w:p w14:paraId="0A165AB8" w14:textId="77777777" w:rsidR="000D6975" w:rsidRDefault="000D6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31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4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6273"/>
    <w:rsid w:val="001D6601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7611"/>
    <w:rsid w:val="00357BC2"/>
    <w:rsid w:val="003604DE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1EDE"/>
    <w:rsid w:val="00433EA8"/>
    <w:rsid w:val="00434ABB"/>
    <w:rsid w:val="00434D16"/>
    <w:rsid w:val="00437395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A8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62C88"/>
    <w:rsid w:val="005676E4"/>
    <w:rsid w:val="005700CF"/>
    <w:rsid w:val="0057042D"/>
    <w:rsid w:val="0057094E"/>
    <w:rsid w:val="00572459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2003"/>
    <w:rsid w:val="00594C60"/>
    <w:rsid w:val="0059786A"/>
    <w:rsid w:val="005A16E9"/>
    <w:rsid w:val="005A698C"/>
    <w:rsid w:val="005A729A"/>
    <w:rsid w:val="005B4A7E"/>
    <w:rsid w:val="005B53FF"/>
    <w:rsid w:val="005B5C39"/>
    <w:rsid w:val="005B77C2"/>
    <w:rsid w:val="005B79E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0A8C"/>
    <w:rsid w:val="00633014"/>
    <w:rsid w:val="006332BB"/>
    <w:rsid w:val="0063437B"/>
    <w:rsid w:val="006401A1"/>
    <w:rsid w:val="00640AF6"/>
    <w:rsid w:val="00641F00"/>
    <w:rsid w:val="0064284B"/>
    <w:rsid w:val="006449DD"/>
    <w:rsid w:val="00644AB0"/>
    <w:rsid w:val="00644C06"/>
    <w:rsid w:val="006451E4"/>
    <w:rsid w:val="00645E17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5CBF"/>
    <w:rsid w:val="0085612A"/>
    <w:rsid w:val="008561FB"/>
    <w:rsid w:val="00856331"/>
    <w:rsid w:val="008575B5"/>
    <w:rsid w:val="00857CB3"/>
    <w:rsid w:val="008632BB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8F4"/>
    <w:rsid w:val="00886332"/>
    <w:rsid w:val="00890348"/>
    <w:rsid w:val="00890E18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3830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42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D1C"/>
    <w:rsid w:val="00AA710D"/>
    <w:rsid w:val="00AB0186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B6C"/>
    <w:rsid w:val="00C22105"/>
    <w:rsid w:val="00C244B6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1DD8"/>
    <w:rsid w:val="00D44A6F"/>
    <w:rsid w:val="00D45E4A"/>
    <w:rsid w:val="00D47D30"/>
    <w:rsid w:val="00D515E8"/>
    <w:rsid w:val="00D53921"/>
    <w:rsid w:val="00D54AAC"/>
    <w:rsid w:val="00D616D2"/>
    <w:rsid w:val="00D6284F"/>
    <w:rsid w:val="00D63811"/>
    <w:rsid w:val="00D63B5F"/>
    <w:rsid w:val="00D65891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4B8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7199"/>
    <w:rsid w:val="00EF28C9"/>
    <w:rsid w:val="00EF2954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74D4"/>
    <w:rsid w:val="00FE7DA8"/>
    <w:rsid w:val="00FF1498"/>
    <w:rsid w:val="00FF225C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s://stat.gov.pl/en/topics/statistical-yearbooks/statistical-yearbooks/yearbook-of-foreign-trade-statistics-2021,9,15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statistical-yearbooks/statistical-yearbooks/yearbook-of-foreign-trade-statistics-2021,9,15.html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https://stat.gov.pl/en/topics/prices-trade/trade/foreign-trade-2020-poland-in-the-world,6,14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prices-trade/trade/foreign-trade-2020-poland-in-the-world,6,14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ubienieckil\Desktop\INF%20SYGN\I-IX%202021\Towary%20SITC_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1.9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9BD-46CA-AE4D-B3FF21085F3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37.299999999999997</c:v>
                </c:pt>
                <c:pt idx="3">
                  <c:v>18.5</c:v>
                </c:pt>
                <c:pt idx="4">
                  <c:v>9.6999999999999993</c:v>
                </c:pt>
                <c:pt idx="5">
                  <c:v>0.2</c:v>
                </c:pt>
                <c:pt idx="6">
                  <c:v>1.9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2381776"/>
        <c:axId val="182380688"/>
      </c:barChart>
      <c:catAx>
        <c:axId val="182381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380688"/>
        <c:crosses val="autoZero"/>
        <c:auto val="1"/>
        <c:lblAlgn val="ctr"/>
        <c:lblOffset val="100"/>
        <c:noMultiLvlLbl val="0"/>
      </c:catAx>
      <c:valAx>
        <c:axId val="1823806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238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6.7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826-43B7-B097-028825E42B2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2369264"/>
        <c:axId val="182382864"/>
      </c:barChart>
      <c:catAx>
        <c:axId val="182369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382864"/>
        <c:crosses val="autoZero"/>
        <c:auto val="1"/>
        <c:lblAlgn val="ctr"/>
        <c:lblOffset val="100"/>
        <c:noMultiLvlLbl val="0"/>
      </c:catAx>
      <c:valAx>
        <c:axId val="1823828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82369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E8A46A-3BA6-47CA-BE84-891407CC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1435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2021-11-15T19:51:00Z</dcterms:created>
  <dcterms:modified xsi:type="dcterms:W3CDTF">2021-12-10T22:35:00Z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