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D58DC" w14:textId="77777777" w:rsidR="009A0F70" w:rsidRDefault="009A0F70" w:rsidP="00074DD8">
      <w:pPr>
        <w:pStyle w:val="tytuinformacji"/>
        <w:rPr>
          <w:shd w:val="clear" w:color="auto" w:fill="FFFFFF"/>
          <w:lang w:val="en-US"/>
        </w:rPr>
      </w:pPr>
    </w:p>
    <w:p w14:paraId="2796E5C9" w14:textId="77777777" w:rsidR="009A0F70" w:rsidRDefault="009A0F70" w:rsidP="009A0F70">
      <w:pPr>
        <w:pStyle w:val="tytuinformacji"/>
        <w:jc w:val="both"/>
        <w:rPr>
          <w:shd w:val="clear" w:color="auto" w:fill="FFFFFF"/>
          <w:lang w:val="en-US"/>
        </w:rPr>
      </w:pPr>
    </w:p>
    <w:p w14:paraId="63AC135F" w14:textId="606B930C" w:rsidR="0098135C" w:rsidRPr="006415B3" w:rsidRDefault="00EC24AD" w:rsidP="009A0F70">
      <w:pPr>
        <w:pStyle w:val="tytuinformacji"/>
        <w:jc w:val="both"/>
        <w:rPr>
          <w:shd w:val="clear" w:color="auto" w:fill="FFFFFF"/>
          <w:lang w:val="en-US"/>
        </w:rPr>
      </w:pPr>
      <w:r w:rsidRPr="006415B3">
        <w:rPr>
          <w:shd w:val="clear" w:color="auto" w:fill="FFFFFF"/>
          <w:lang w:val="en-US"/>
        </w:rPr>
        <w:t>Consumer tendency</w:t>
      </w:r>
      <w:r w:rsidR="00AB61B2">
        <w:rPr>
          <w:shd w:val="clear" w:color="auto" w:fill="FFFFFF"/>
          <w:lang w:val="en-US"/>
        </w:rPr>
        <w:t xml:space="preserve"> </w:t>
      </w:r>
      <w:r w:rsidR="00530074" w:rsidRPr="006415B3">
        <w:rPr>
          <w:shd w:val="clear" w:color="auto" w:fill="FFFFFF"/>
          <w:lang w:val="en-US"/>
        </w:rPr>
        <w:t xml:space="preserve">– </w:t>
      </w:r>
      <w:r w:rsidR="00CC242D">
        <w:rPr>
          <w:shd w:val="clear" w:color="auto" w:fill="FFFFFF"/>
          <w:lang w:val="en-US"/>
        </w:rPr>
        <w:t>January 2021</w:t>
      </w:r>
    </w:p>
    <w:p w14:paraId="5B70122E" w14:textId="62B6DAC3" w:rsidR="00393761" w:rsidRPr="006415B3" w:rsidRDefault="00393761" w:rsidP="00074DD8">
      <w:pPr>
        <w:pStyle w:val="tytuinformacji"/>
        <w:rPr>
          <w:sz w:val="32"/>
          <w:lang w:val="en-US"/>
        </w:rPr>
      </w:pPr>
    </w:p>
    <w:p w14:paraId="75765369" w14:textId="59F447DF" w:rsidR="00CF2E4C" w:rsidRPr="00296B99" w:rsidRDefault="00E715FF" w:rsidP="00296B99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C9802B9" wp14:editId="0244E066">
                <wp:simplePos x="0" y="0"/>
                <wp:positionH relativeFrom="margin">
                  <wp:posOffset>8255</wp:posOffset>
                </wp:positionH>
                <wp:positionV relativeFrom="paragraph">
                  <wp:posOffset>114300</wp:posOffset>
                </wp:positionV>
                <wp:extent cx="213931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3948" w14:textId="5EA2BF54" w:rsidR="00DC60D9" w:rsidRPr="00765FC9" w:rsidRDefault="00DC60D9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4C8B9AE" wp14:editId="4EF9C260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r w:rsidRPr="00B7719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>0.2 p. p.</w:t>
                            </w:r>
                          </w:p>
                          <w:p w14:paraId="489D473D" w14:textId="77777777" w:rsidR="00DC60D9" w:rsidRPr="006415B3" w:rsidRDefault="00DC60D9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415B3">
                              <w:rPr>
                                <w:lang w:val="en-US"/>
                              </w:rPr>
                              <w:t>Change in current consumer confidence indicator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802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65pt;margin-top:9pt;width:168.45pt;height:82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" fillcolor="#001d77" stroked="f">
                <v:textbox>
                  <w:txbxContent>
                    <w:p w14:paraId="13373948" w14:textId="5EA2BF54" w:rsidR="00DC60D9" w:rsidRPr="00765FC9" w:rsidRDefault="00DC60D9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4C8B9AE" wp14:editId="4EF9C260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</w:t>
                      </w:r>
                      <w:r w:rsidRPr="00B7719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>0.2 p. p.</w:t>
                      </w:r>
                    </w:p>
                    <w:p w14:paraId="489D473D" w14:textId="77777777" w:rsidR="00DC60D9" w:rsidRPr="006415B3" w:rsidRDefault="00DC60D9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6415B3">
                        <w:rPr>
                          <w:lang w:val="en-US"/>
                        </w:rPr>
                        <w:t>Change in current consumer confidence indicator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In </w:t>
      </w:r>
      <w:r w:rsidR="00CC242D">
        <w:rPr>
          <w:b/>
          <w:color w:val="auto"/>
          <w:sz w:val="19"/>
          <w:szCs w:val="19"/>
          <w:lang w:val="en-US"/>
        </w:rPr>
        <w:t>January 2021</w:t>
      </w:r>
      <w:r w:rsidR="000A220F">
        <w:rPr>
          <w:b/>
          <w:color w:val="auto"/>
          <w:sz w:val="19"/>
          <w:szCs w:val="19"/>
          <w:lang w:val="en-US"/>
        </w:rPr>
        <w:t xml:space="preserve">, there was </w:t>
      </w:r>
      <w:r w:rsidR="001542EA" w:rsidRPr="001542EA">
        <w:rPr>
          <w:b/>
          <w:color w:val="auto"/>
          <w:sz w:val="19"/>
          <w:szCs w:val="19"/>
          <w:lang w:val="en-US"/>
        </w:rPr>
        <w:t>a</w:t>
      </w:r>
      <w:r w:rsidR="001670D0">
        <w:rPr>
          <w:b/>
          <w:color w:val="auto"/>
          <w:sz w:val="19"/>
          <w:szCs w:val="19"/>
          <w:lang w:val="en-US"/>
        </w:rPr>
        <w:t>n</w:t>
      </w:r>
      <w:r w:rsidR="001542EA" w:rsidRPr="001542EA">
        <w:rPr>
          <w:b/>
          <w:color w:val="auto"/>
          <w:sz w:val="19"/>
          <w:szCs w:val="19"/>
          <w:lang w:val="en-US"/>
        </w:rPr>
        <w:t xml:space="preserve"> </w:t>
      </w:r>
      <w:r w:rsidR="00A37721">
        <w:rPr>
          <w:b/>
          <w:color w:val="auto"/>
          <w:sz w:val="19"/>
          <w:szCs w:val="19"/>
          <w:lang w:val="en-US"/>
        </w:rPr>
        <w:t>improvement</w:t>
      </w:r>
      <w:r w:rsidR="00C9796A" w:rsidRPr="007E442A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>in both current and futu</w:t>
      </w:r>
      <w:r w:rsidR="000A220F">
        <w:rPr>
          <w:b/>
          <w:color w:val="auto"/>
          <w:sz w:val="19"/>
          <w:szCs w:val="19"/>
          <w:lang w:val="en-US"/>
        </w:rPr>
        <w:t xml:space="preserve">re consumer sentiment moods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compared to the previous month. The current consumer confidence indicator, synthetically describing the current trends in individual consumption, was </w:t>
      </w:r>
      <w:r w:rsidR="001D4F73">
        <w:rPr>
          <w:b/>
          <w:color w:val="auto"/>
          <w:sz w:val="19"/>
          <w:szCs w:val="19"/>
          <w:lang w:val="en-US"/>
        </w:rPr>
        <w:t>-25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1D4F73">
        <w:rPr>
          <w:b/>
          <w:color w:val="auto"/>
          <w:sz w:val="19"/>
          <w:szCs w:val="19"/>
          <w:lang w:val="en-US"/>
        </w:rPr>
        <w:t>1</w:t>
      </w:r>
      <w:r w:rsidR="002C328D" w:rsidRPr="00494D6C">
        <w:rPr>
          <w:b/>
          <w:i/>
          <w:color w:val="auto"/>
          <w:sz w:val="20"/>
          <w:szCs w:val="20"/>
          <w:vertAlign w:val="superscript"/>
        </w:rPr>
        <w:footnoteReference w:id="1"/>
      </w:r>
      <w:r w:rsidR="00E20DF5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which was by </w:t>
      </w:r>
      <w:r w:rsidR="001D4F73">
        <w:rPr>
          <w:b/>
          <w:color w:val="auto"/>
          <w:sz w:val="19"/>
          <w:szCs w:val="19"/>
          <w:lang w:val="en-US"/>
        </w:rPr>
        <w:t>0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1D4F73">
        <w:rPr>
          <w:b/>
          <w:color w:val="auto"/>
          <w:sz w:val="19"/>
          <w:szCs w:val="19"/>
          <w:lang w:val="en-US"/>
        </w:rPr>
        <w:t>2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p.p. </w:t>
      </w:r>
      <w:r w:rsidR="001D4F73">
        <w:rPr>
          <w:b/>
          <w:color w:val="auto"/>
          <w:sz w:val="19"/>
          <w:szCs w:val="19"/>
          <w:lang w:val="en-US"/>
        </w:rPr>
        <w:t>lower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in relation to last month.</w:t>
      </w:r>
    </w:p>
    <w:p w14:paraId="576AE824" w14:textId="52985BE8" w:rsidR="00A217E6" w:rsidRPr="00854E1D" w:rsidRDefault="00F54C16" w:rsidP="00F54C16">
      <w:pPr>
        <w:pStyle w:val="Nagwek1"/>
        <w:tabs>
          <w:tab w:val="left" w:pos="6330"/>
        </w:tabs>
        <w:rPr>
          <w:lang w:val="en-US"/>
        </w:rPr>
      </w:pPr>
      <w:r w:rsidRPr="00854E1D">
        <w:rPr>
          <w:lang w:val="en-US"/>
        </w:rPr>
        <w:tab/>
      </w:r>
    </w:p>
    <w:p w14:paraId="3B5896CD" w14:textId="00C0E39E" w:rsidR="00C22105" w:rsidRPr="001D2EBF" w:rsidRDefault="00E715FF" w:rsidP="00074DD8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EAD48C6" wp14:editId="219E6A42">
                <wp:simplePos x="0" y="0"/>
                <wp:positionH relativeFrom="column">
                  <wp:posOffset>5229225</wp:posOffset>
                </wp:positionH>
                <wp:positionV relativeFrom="paragraph">
                  <wp:posOffset>154940</wp:posOffset>
                </wp:positionV>
                <wp:extent cx="1725295" cy="914400"/>
                <wp:effectExtent l="0" t="0" r="0" b="0"/>
                <wp:wrapTight wrapText="bothSides">
                  <wp:wrapPolygon edited="0">
                    <wp:start x="715" y="0"/>
                    <wp:lineTo x="715" y="21150"/>
                    <wp:lineTo x="20749" y="2115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A800" w14:textId="40ABEC24" w:rsidR="00DC60D9" w:rsidRPr="0070713F" w:rsidRDefault="00DC60D9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>Current consumer co</w:t>
                            </w:r>
                            <w:r>
                              <w:rPr>
                                <w:lang w:val="en-US"/>
                              </w:rPr>
                              <w:t>nfidence indicator is lower by 0.2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percentage point</w:t>
                            </w:r>
                            <w:r>
                              <w:rPr>
                                <w:lang w:val="en-US"/>
                              </w:rPr>
                              <w:t>s compared to the previous month</w:t>
                            </w:r>
                          </w:p>
                          <w:p w14:paraId="6F4DF086" w14:textId="77777777" w:rsidR="00DC60D9" w:rsidRPr="0070713F" w:rsidRDefault="00DC60D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48C6" id="_x0000_s1027" type="#_x0000_t202" style="position:absolute;margin-left:411.75pt;margin-top:12.2pt;width:135.85pt;height:1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" filled="f" stroked="f">
                <v:textbox>
                  <w:txbxContent>
                    <w:p w14:paraId="4E24A800" w14:textId="40ABEC24" w:rsidR="00DC60D9" w:rsidRPr="0070713F" w:rsidRDefault="00DC60D9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>Current consumer co</w:t>
                      </w:r>
                      <w:r>
                        <w:rPr>
                          <w:lang w:val="en-US"/>
                        </w:rPr>
                        <w:t>nfidence indicator is lower by 0.2</w:t>
                      </w:r>
                      <w:r w:rsidRPr="0070713F">
                        <w:rPr>
                          <w:lang w:val="en-US"/>
                        </w:rPr>
                        <w:t xml:space="preserve"> percentage point</w:t>
                      </w:r>
                      <w:r>
                        <w:rPr>
                          <w:lang w:val="en-US"/>
                        </w:rPr>
                        <w:t>s compared to the previous month</w:t>
                      </w:r>
                    </w:p>
                    <w:p w14:paraId="6F4DF086" w14:textId="77777777" w:rsidR="00DC60D9" w:rsidRPr="0070713F" w:rsidRDefault="00DC60D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lang w:val="en-US"/>
        </w:rPr>
        <w:t xml:space="preserve">Current consumer confidence indicator in </w:t>
      </w:r>
      <w:r w:rsidR="001D4F73">
        <w:rPr>
          <w:lang w:val="en-US"/>
        </w:rPr>
        <w:t>January 2021</w:t>
      </w:r>
    </w:p>
    <w:p w14:paraId="0FB691B2" w14:textId="0757B173" w:rsidR="00387609" w:rsidRPr="00DC60D9" w:rsidRDefault="00AC7681" w:rsidP="00DC60D9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</w:pP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Among the components of the indicator,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a lower value than a month before was recorded for the 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evaluations of the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current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economic situation of the country and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the future financial situation of the household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(de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creases by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2.9 percentage points and 1.2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percentage points, respectively). 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Higher values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reached 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the evaluation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s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of the current financial situation of the household and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the future 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economic situation of the country 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(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increases by 2.1 percentage points and 1.0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percentage points, respectively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).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Only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the evaluation</w:t>
      </w:r>
      <w:r w:rsid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of</w:t>
      </w:r>
      <w:r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the current possibilit</w:t>
      </w:r>
      <w:r w:rsid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y of making important purchases</w:t>
      </w:r>
      <w:r w:rsidR="00DC60D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 xml:space="preserve"> remained unchanged</w:t>
      </w:r>
      <w:r w:rsidR="00387609" w:rsidRPr="00DC60D9">
        <w:rPr>
          <w:rFonts w:ascii="Fira Sans" w:hAnsi="Fira Sans" w:cstheme="minorBidi"/>
          <w:color w:val="auto"/>
          <w:sz w:val="19"/>
          <w:szCs w:val="22"/>
          <w:shd w:val="clear" w:color="auto" w:fill="FFFFFF"/>
          <w:lang w:val="en-US"/>
        </w:rPr>
        <w:t>.</w:t>
      </w:r>
      <w:r w:rsidRPr="00AC7681">
        <w:rPr>
          <w:rFonts w:cs="Fira Sans"/>
          <w:szCs w:val="19"/>
          <w:lang w:val="en-US"/>
        </w:rPr>
        <w:t xml:space="preserve"> </w:t>
      </w:r>
    </w:p>
    <w:p w14:paraId="5C96AB34" w14:textId="68931B9A" w:rsidR="007E442A" w:rsidRDefault="007E442A" w:rsidP="00AC7681">
      <w:pPr>
        <w:rPr>
          <w:lang w:val="en-US"/>
        </w:rPr>
      </w:pPr>
      <w:r w:rsidRPr="00757001">
        <w:rPr>
          <w:lang w:val="en-US"/>
        </w:rPr>
        <w:t>Referring to</w:t>
      </w:r>
      <w:r w:rsidR="002168D3">
        <w:rPr>
          <w:lang w:val="en-US"/>
        </w:rPr>
        <w:t xml:space="preserve"> </w:t>
      </w:r>
      <w:r w:rsidR="001D4F73">
        <w:rPr>
          <w:lang w:val="en-US"/>
        </w:rPr>
        <w:t>January 2020</w:t>
      </w:r>
      <w:r w:rsidRPr="00757001">
        <w:rPr>
          <w:lang w:val="en-US"/>
        </w:rPr>
        <w:t>, the current value of current consumer confidence i</w:t>
      </w:r>
      <w:r>
        <w:rPr>
          <w:lang w:val="en-US"/>
        </w:rPr>
        <w:t>ndicator</w:t>
      </w:r>
      <w:r w:rsidRPr="00757001">
        <w:rPr>
          <w:lang w:val="en-US"/>
        </w:rPr>
        <w:t xml:space="preserve"> is lower by </w:t>
      </w:r>
      <w:r w:rsidR="001D4F73">
        <w:rPr>
          <w:lang w:val="en-US"/>
        </w:rPr>
        <w:t>28</w:t>
      </w:r>
      <w:r w:rsidR="00E96C00">
        <w:rPr>
          <w:lang w:val="en-US"/>
        </w:rPr>
        <w:t>.</w:t>
      </w:r>
      <w:r w:rsidR="001D4F73">
        <w:rPr>
          <w:lang w:val="en-US"/>
        </w:rPr>
        <w:t>8</w:t>
      </w:r>
      <w:r w:rsidRPr="00757001">
        <w:rPr>
          <w:lang w:val="en-US"/>
        </w:rPr>
        <w:t xml:space="preserve"> percentage points.</w:t>
      </w:r>
    </w:p>
    <w:p w14:paraId="1B32E12E" w14:textId="21E2174B" w:rsidR="00C074FD" w:rsidRPr="001D2EBF" w:rsidRDefault="00E715FF" w:rsidP="00C074FD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8CDBE67" wp14:editId="058C9F93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AC67" w14:textId="273958A2" w:rsidR="00DC60D9" w:rsidRPr="0070713F" w:rsidRDefault="00DC60D9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 xml:space="preserve">Leading consumer confidence indicator </w:t>
                            </w:r>
                            <w:r>
                              <w:rPr>
                                <w:lang w:val="en-US"/>
                              </w:rPr>
                              <w:t>increased by 1.5 percentage points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compared to the previous month</w:t>
                            </w:r>
                          </w:p>
                          <w:p w14:paraId="19CAC449" w14:textId="77777777" w:rsidR="00DC60D9" w:rsidRPr="0070713F" w:rsidRDefault="00DC60D9" w:rsidP="00C074F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D8E855" w14:textId="77777777" w:rsidR="00DC60D9" w:rsidRPr="0070713F" w:rsidRDefault="00DC60D9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BE67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5A08AC67" w14:textId="273958A2" w:rsidR="00DC60D9" w:rsidRPr="0070713F" w:rsidRDefault="00DC60D9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 xml:space="preserve">Leading consumer confidence indicator </w:t>
                      </w:r>
                      <w:r>
                        <w:rPr>
                          <w:lang w:val="en-US"/>
                        </w:rPr>
                        <w:t>increased by 1.5 percentage points</w:t>
                      </w:r>
                      <w:r w:rsidRPr="0070713F">
                        <w:rPr>
                          <w:lang w:val="en-US"/>
                        </w:rPr>
                        <w:t xml:space="preserve"> compared to the previous month</w:t>
                      </w:r>
                    </w:p>
                    <w:p w14:paraId="19CAC449" w14:textId="77777777" w:rsidR="00DC60D9" w:rsidRPr="0070713F" w:rsidRDefault="00DC60D9" w:rsidP="00C074FD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D8E855" w14:textId="77777777" w:rsidR="00DC60D9" w:rsidRPr="0070713F" w:rsidRDefault="00DC60D9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rFonts w:ascii="Fira Sans" w:hAnsi="Fira Sans"/>
          <w:b/>
          <w:noProof/>
          <w:spacing w:val="-2"/>
          <w:szCs w:val="19"/>
          <w:lang w:val="en-US"/>
        </w:rPr>
        <w:t>Leading</w:t>
      </w:r>
      <w:r w:rsidR="00855AC3">
        <w:rPr>
          <w:rFonts w:ascii="Fira Sans" w:hAnsi="Fira Sans"/>
          <w:b/>
          <w:noProof/>
          <w:spacing w:val="-2"/>
          <w:szCs w:val="19"/>
          <w:lang w:val="en-US"/>
        </w:rPr>
        <w:t xml:space="preserve"> </w:t>
      </w:r>
      <w:r w:rsidR="001D2EBF" w:rsidRPr="001D2EBF">
        <w:rPr>
          <w:lang w:val="en-US"/>
        </w:rPr>
        <w:t>consumer confi</w:t>
      </w:r>
      <w:r w:rsidR="00F547C7">
        <w:rPr>
          <w:lang w:val="en-US"/>
        </w:rPr>
        <w:t xml:space="preserve">dence indicator in </w:t>
      </w:r>
      <w:r w:rsidR="001D4F73">
        <w:rPr>
          <w:lang w:val="en-US"/>
        </w:rPr>
        <w:t>January 2021</w:t>
      </w:r>
    </w:p>
    <w:p w14:paraId="09F55BC9" w14:textId="2D0DDE9F" w:rsidR="007E442A" w:rsidRPr="007E442A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>The leading consumer confidence indicator, synthetically describing trends in individual consumption that are expected in t</w:t>
      </w:r>
      <w:r w:rsidR="000A6AAA">
        <w:rPr>
          <w:shd w:val="clear" w:color="auto" w:fill="FFFFFF"/>
          <w:lang w:val="en-US"/>
        </w:rPr>
        <w:t>he coming months, in</w:t>
      </w:r>
      <w:r w:rsidR="00FE43A0">
        <w:rPr>
          <w:shd w:val="clear" w:color="auto" w:fill="FFFFFF"/>
          <w:lang w:val="en-US"/>
        </w:rPr>
        <w:t xml:space="preserve">creased by </w:t>
      </w:r>
      <w:r w:rsidR="001D4F73">
        <w:rPr>
          <w:shd w:val="clear" w:color="auto" w:fill="FFFFFF"/>
          <w:lang w:val="en-US"/>
        </w:rPr>
        <w:t>1.5</w:t>
      </w:r>
      <w:r w:rsidRPr="007E442A">
        <w:rPr>
          <w:shd w:val="clear" w:color="auto" w:fill="FFFFFF"/>
          <w:lang w:val="en-US"/>
        </w:rPr>
        <w:t xml:space="preserve"> percentage points in relation to the previous mont</w:t>
      </w:r>
      <w:r w:rsidR="00494D6C">
        <w:rPr>
          <w:shd w:val="clear" w:color="auto" w:fill="FFFFFF"/>
          <w:lang w:val="en-US"/>
        </w:rPr>
        <w:t>h, and was at the level of -</w:t>
      </w:r>
      <w:r w:rsidR="001D4F73">
        <w:rPr>
          <w:shd w:val="clear" w:color="auto" w:fill="FFFFFF"/>
          <w:lang w:val="en-US"/>
        </w:rPr>
        <w:t>22</w:t>
      </w:r>
      <w:r w:rsidR="00494D6C">
        <w:rPr>
          <w:shd w:val="clear" w:color="auto" w:fill="FFFFFF"/>
          <w:lang w:val="en-US"/>
        </w:rPr>
        <w:t>.</w:t>
      </w:r>
      <w:r w:rsidR="001D4F73">
        <w:rPr>
          <w:shd w:val="clear" w:color="auto" w:fill="FFFFFF"/>
          <w:lang w:val="en-US"/>
        </w:rPr>
        <w:t>7</w:t>
      </w:r>
      <w:r w:rsidR="007D08EE">
        <w:rPr>
          <w:shd w:val="clear" w:color="auto" w:fill="FFFFFF"/>
          <w:vertAlign w:val="superscript"/>
          <w:lang w:val="en-US"/>
        </w:rPr>
        <w:t>a</w:t>
      </w:r>
      <w:r w:rsidRPr="007E442A">
        <w:rPr>
          <w:shd w:val="clear" w:color="auto" w:fill="FFFFFF"/>
          <w:lang w:val="en-US"/>
        </w:rPr>
        <w:t>.</w:t>
      </w:r>
    </w:p>
    <w:p w14:paraId="65AFCCB9" w14:textId="1FE9A981" w:rsidR="00975904" w:rsidRPr="00975904" w:rsidRDefault="00975904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>The increase in the value of the indicator was most influenced by the evaluations of the future level of unemployment and possib</w:t>
      </w:r>
      <w:r>
        <w:rPr>
          <w:shd w:val="clear" w:color="auto" w:fill="FFFFFF"/>
          <w:lang w:val="en-US"/>
        </w:rPr>
        <w:t>ility of future money saving (increases by 2.9 percentage points and 2.8</w:t>
      </w:r>
      <w:r w:rsidRPr="00DC60D9">
        <w:rPr>
          <w:shd w:val="clear" w:color="auto" w:fill="FFFFFF"/>
          <w:lang w:val="en-US"/>
        </w:rPr>
        <w:t xml:space="preserve"> percentage points, respectively</w:t>
      </w:r>
      <w:r w:rsidRPr="007E442A">
        <w:rPr>
          <w:shd w:val="clear" w:color="auto" w:fill="FFFFFF"/>
          <w:lang w:val="en-US"/>
        </w:rPr>
        <w:t>).</w:t>
      </w:r>
      <w:r w:rsidR="002D3258">
        <w:rPr>
          <w:shd w:val="clear" w:color="auto" w:fill="FFFFFF"/>
          <w:lang w:val="en-US"/>
        </w:rPr>
        <w:t xml:space="preserve"> </w:t>
      </w:r>
      <w:r w:rsidR="002D3258">
        <w:rPr>
          <w:lang w:val="en-US"/>
        </w:rPr>
        <w:t>There was also</w:t>
      </w:r>
      <w:r w:rsidR="002D3258" w:rsidRPr="00813BA8">
        <w:rPr>
          <w:lang w:val="en-US"/>
        </w:rPr>
        <w:t xml:space="preserve"> </w:t>
      </w:r>
      <w:r w:rsidR="002D3258">
        <w:rPr>
          <w:lang w:val="en-US"/>
        </w:rPr>
        <w:t>a</w:t>
      </w:r>
      <w:r w:rsidR="002D3258" w:rsidRPr="00E14F7C">
        <w:rPr>
          <w:lang w:val="en-US"/>
        </w:rPr>
        <w:t xml:space="preserve">n increase in the evaluation of the </w:t>
      </w:r>
      <w:r w:rsidR="002D3258" w:rsidRPr="00DC60D9">
        <w:rPr>
          <w:shd w:val="clear" w:color="auto" w:fill="FFFFFF"/>
          <w:lang w:val="en-US"/>
        </w:rPr>
        <w:t xml:space="preserve">future economic situation of the country </w:t>
      </w:r>
      <w:r w:rsidR="002D3258">
        <w:rPr>
          <w:lang w:val="en-US"/>
        </w:rPr>
        <w:t>(by 1.0</w:t>
      </w:r>
      <w:r w:rsidR="002D3258" w:rsidRPr="00E14F7C">
        <w:rPr>
          <w:lang w:val="en-US"/>
        </w:rPr>
        <w:t xml:space="preserve"> percentage points</w:t>
      </w:r>
      <w:r w:rsidR="002D3258">
        <w:rPr>
          <w:lang w:val="en-US"/>
        </w:rPr>
        <w:t>)</w:t>
      </w:r>
      <w:r w:rsidR="002D3258" w:rsidRPr="00E14F7C">
        <w:rPr>
          <w:lang w:val="en-US"/>
        </w:rPr>
        <w:t xml:space="preserve">. </w:t>
      </w:r>
      <w:r w:rsidRPr="00975904">
        <w:rPr>
          <w:shd w:val="clear" w:color="auto" w:fill="FFFFFF"/>
          <w:lang w:val="en-US"/>
        </w:rPr>
        <w:t>A lower value than a month before was recorded</w:t>
      </w:r>
      <w:r w:rsidR="002D3258">
        <w:rPr>
          <w:shd w:val="clear" w:color="auto" w:fill="FFFFFF"/>
          <w:lang w:val="en-US"/>
        </w:rPr>
        <w:t xml:space="preserve"> only</w:t>
      </w:r>
      <w:r w:rsidRPr="00975904">
        <w:rPr>
          <w:shd w:val="clear" w:color="auto" w:fill="FFFFFF"/>
          <w:lang w:val="en-US"/>
        </w:rPr>
        <w:t xml:space="preserve"> for the </w:t>
      </w:r>
      <w:r>
        <w:rPr>
          <w:shd w:val="clear" w:color="auto" w:fill="FFFFFF"/>
          <w:lang w:val="en-US"/>
        </w:rPr>
        <w:t>evaluation</w:t>
      </w:r>
      <w:r w:rsidRPr="00975904">
        <w:rPr>
          <w:shd w:val="clear" w:color="auto" w:fill="FFFFFF"/>
          <w:lang w:val="en-US"/>
        </w:rPr>
        <w:t xml:space="preserve"> of the future financial </w:t>
      </w:r>
      <w:r>
        <w:rPr>
          <w:shd w:val="clear" w:color="auto" w:fill="FFFFFF"/>
          <w:lang w:val="en-US"/>
        </w:rPr>
        <w:t>situation</w:t>
      </w:r>
      <w:r w:rsidRPr="00975904">
        <w:rPr>
          <w:shd w:val="clear" w:color="auto" w:fill="FFFFFF"/>
          <w:lang w:val="en-US"/>
        </w:rPr>
        <w:t xml:space="preserve"> of the household (a decrease by 1.2 percentage points).</w:t>
      </w:r>
    </w:p>
    <w:p w14:paraId="4E41FCEF" w14:textId="244DD0EA" w:rsidR="00511A17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 xml:space="preserve">In </w:t>
      </w:r>
      <w:r w:rsidR="001D4F73">
        <w:rPr>
          <w:shd w:val="clear" w:color="auto" w:fill="FFFFFF"/>
          <w:lang w:val="en-US"/>
        </w:rPr>
        <w:t>January</w:t>
      </w:r>
      <w:r w:rsidRPr="007E442A">
        <w:rPr>
          <w:shd w:val="clear" w:color="auto" w:fill="FFFFFF"/>
          <w:lang w:val="en-US"/>
        </w:rPr>
        <w:t xml:space="preserve"> this year leading consumer confidence indi</w:t>
      </w:r>
      <w:r w:rsidR="00E96C00">
        <w:rPr>
          <w:shd w:val="clear" w:color="auto" w:fill="FFFFFF"/>
          <w:lang w:val="en-US"/>
        </w:rPr>
        <w:t xml:space="preserve">cator reached a value lower by </w:t>
      </w:r>
      <w:r w:rsidR="001D4F73">
        <w:rPr>
          <w:shd w:val="clear" w:color="auto" w:fill="FFFFFF"/>
          <w:lang w:val="en-US"/>
        </w:rPr>
        <w:t>22</w:t>
      </w:r>
      <w:r w:rsidR="00E96C00">
        <w:rPr>
          <w:shd w:val="clear" w:color="auto" w:fill="FFFFFF"/>
          <w:lang w:val="en-US"/>
        </w:rPr>
        <w:t>.</w:t>
      </w:r>
      <w:r w:rsidR="001D4F73">
        <w:rPr>
          <w:shd w:val="clear" w:color="auto" w:fill="FFFFFF"/>
          <w:lang w:val="en-US"/>
        </w:rPr>
        <w:t>1</w:t>
      </w:r>
      <w:r w:rsidRPr="007E442A">
        <w:rPr>
          <w:shd w:val="clear" w:color="auto" w:fill="FFFFFF"/>
          <w:lang w:val="en-US"/>
        </w:rPr>
        <w:t xml:space="preserve"> percentage points than in</w:t>
      </w:r>
      <w:r w:rsidR="001D4F73">
        <w:rPr>
          <w:shd w:val="clear" w:color="auto" w:fill="FFFFFF"/>
          <w:lang w:val="en-US"/>
        </w:rPr>
        <w:t xml:space="preserve"> the corresponding month of 2020</w:t>
      </w:r>
      <w:r w:rsidRPr="007E442A">
        <w:rPr>
          <w:shd w:val="clear" w:color="auto" w:fill="FFFFFF"/>
          <w:lang w:val="en-US"/>
        </w:rPr>
        <w:t>.</w:t>
      </w:r>
    </w:p>
    <w:p w14:paraId="1D12F7B9" w14:textId="5647B80D" w:rsidR="00511A17" w:rsidRDefault="00511A17" w:rsidP="00855AC3">
      <w:pPr>
        <w:rPr>
          <w:shd w:val="clear" w:color="auto" w:fill="FFFFFF"/>
          <w:lang w:val="en-US"/>
        </w:rPr>
      </w:pPr>
    </w:p>
    <w:p w14:paraId="45B140AA" w14:textId="7B37D38B" w:rsidR="006F7CA1" w:rsidRPr="00511A17" w:rsidRDefault="00600F8E" w:rsidP="00511A17">
      <w:pPr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</w:pPr>
      <w:r w:rsidRPr="00511A17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A02AD5" wp14:editId="3DB64543">
                <wp:simplePos x="0" y="0"/>
                <wp:positionH relativeFrom="column">
                  <wp:posOffset>5260423</wp:posOffset>
                </wp:positionH>
                <wp:positionV relativeFrom="paragraph">
                  <wp:posOffset>-250438</wp:posOffset>
                </wp:positionV>
                <wp:extent cx="1725295" cy="1116330"/>
                <wp:effectExtent l="0" t="0" r="0" b="0"/>
                <wp:wrapTight wrapText="bothSides">
                  <wp:wrapPolygon edited="0">
                    <wp:start x="715" y="0"/>
                    <wp:lineTo x="715" y="21010"/>
                    <wp:lineTo x="20749" y="2101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00D49" w14:textId="66FA6FC2" w:rsidR="00DC60D9" w:rsidRPr="004153C0" w:rsidRDefault="00DC60D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88.1</w:t>
                            </w:r>
                            <w:r w:rsidRPr="00AA3FD1">
                              <w:rPr>
                                <w:lang w:val="en-US"/>
                              </w:rPr>
                              <w:t>% of respondents, the current epidemiological situation had a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A3FD1">
                              <w:rPr>
                                <w:lang w:val="en-US"/>
                              </w:rPr>
                              <w:t xml:space="preserve"> impact on the answers to questions about the consumer </w:t>
                            </w:r>
                            <w:r>
                              <w:rPr>
                                <w:lang w:val="en-US"/>
                              </w:rPr>
                              <w:t>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2AD5" id="_x0000_s1029" type="#_x0000_t202" style="position:absolute;left:0;text-align:left;margin-left:414.2pt;margin-top:-19.7pt;width:135.85pt;height:87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" filled="f" stroked="f">
                <v:textbox>
                  <w:txbxContent>
                    <w:p w14:paraId="05400D49" w14:textId="66FA6FC2" w:rsidR="00DC60D9" w:rsidRPr="004153C0" w:rsidRDefault="00DC60D9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88.1</w:t>
                      </w:r>
                      <w:r w:rsidRPr="00AA3FD1">
                        <w:rPr>
                          <w:lang w:val="en-US"/>
                        </w:rPr>
                        <w:t>% of respondents, the current epidemiological situation had a</w:t>
                      </w:r>
                      <w:r>
                        <w:rPr>
                          <w:lang w:val="en-US"/>
                        </w:rPr>
                        <w:t>n</w:t>
                      </w:r>
                      <w:r w:rsidRPr="00AA3FD1">
                        <w:rPr>
                          <w:lang w:val="en-US"/>
                        </w:rPr>
                        <w:t xml:space="preserve"> impact on the answers to questions about the consumer </w:t>
                      </w:r>
                      <w:r>
                        <w:rPr>
                          <w:lang w:val="en-US"/>
                        </w:rPr>
                        <w:t>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7CA1" w:rsidRPr="00511A17"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  <w:t xml:space="preserve">For </w:t>
      </w:r>
      <w:r w:rsidR="001D4F73"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  <w:t>88.1</w:t>
      </w:r>
      <w:r w:rsidR="006F7CA1" w:rsidRPr="00511A17"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  <w:t>% of respondents, the current epidemiological situation had an impact on responses regarding the consumer tendency (</w:t>
      </w:r>
      <w:r w:rsidR="00AF1237" w:rsidRPr="00511A17"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  <w:t>answers to additional questions in connection with the threat coronavirus COVID-19 are presented in the annex</w:t>
      </w:r>
      <w:r w:rsidR="006F7CA1" w:rsidRPr="00511A17">
        <w:rPr>
          <w:rFonts w:ascii="Fira Sans SemiBold" w:eastAsia="Times New Roman" w:hAnsi="Fira Sans SemiBold" w:cs="Times New Roman"/>
          <w:bCs/>
          <w:color w:val="001D77"/>
          <w:szCs w:val="24"/>
          <w:lang w:val="en-US" w:eastAsia="pl-PL"/>
        </w:rPr>
        <w:t xml:space="preserve">). </w:t>
      </w:r>
    </w:p>
    <w:p w14:paraId="25E1EEC2" w14:textId="67915A4C" w:rsidR="00E36B2A" w:rsidRPr="00765FC9" w:rsidRDefault="00511A17" w:rsidP="00511A17">
      <w:pPr>
        <w:spacing w:before="0" w:after="160" w:line="259" w:lineRule="auto"/>
        <w:rPr>
          <w:rFonts w:cs="Arial"/>
          <w:spacing w:val="-2"/>
          <w:sz w:val="18"/>
          <w:szCs w:val="18"/>
          <w:lang w:val="en-US"/>
        </w:rPr>
      </w:pPr>
      <w:r>
        <w:rPr>
          <w:rFonts w:cs="Arial"/>
          <w:spacing w:val="-2"/>
          <w:sz w:val="18"/>
          <w:szCs w:val="18"/>
          <w:lang w:val="en-US"/>
        </w:rPr>
        <w:br w:type="page"/>
      </w:r>
    </w:p>
    <w:tbl>
      <w:tblPr>
        <w:tblStyle w:val="Siatkatabelijasna1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48F09E4C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7D6EECAB" w14:textId="77777777" w:rsidR="00351316" w:rsidRPr="009C7251" w:rsidRDefault="00B5609E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Survey</w:t>
            </w:r>
            <w:proofErr w:type="spellEnd"/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period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237A694A" w14:textId="77777777" w:rsidR="00351316" w:rsidRPr="00B5609E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2A25F774" w14:textId="77777777" w:rsidR="00351316" w:rsidRPr="00B5609E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general economic situation of the country 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D92E021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major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purchases</w:t>
            </w:r>
            <w:proofErr w:type="spellEnd"/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56AD144C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</w:t>
            </w:r>
            <w:proofErr w:type="spellEnd"/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proofErr w:type="spellEnd"/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proofErr w:type="spellEnd"/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  <w:proofErr w:type="spellEnd"/>
          </w:p>
        </w:tc>
      </w:tr>
      <w:tr w:rsidR="00E37334" w:rsidRPr="00B36753" w14:paraId="743A0E48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51F598A8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5EE5712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8F38E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88727A7" w14:textId="65E1E5A8" w:rsidR="00E37334" w:rsidRPr="00E37334" w:rsidRDefault="00EC24AD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Year</w:t>
            </w:r>
            <w:proofErr w:type="spellEnd"/>
            <w:r w:rsidR="00BB290B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</w:t>
            </w:r>
            <w:r w:rsidR="007B1A0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Quarter</w:t>
            </w:r>
            <w:proofErr w:type="spellEnd"/>
          </w:p>
          <w:p w14:paraId="1408DF74" w14:textId="77777777" w:rsidR="00E37334" w:rsidRPr="009C7251" w:rsidRDefault="00EC24AD" w:rsidP="00EC24AD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1107" w:type="dxa"/>
            <w:vAlign w:val="center"/>
          </w:tcPr>
          <w:p w14:paraId="337117F1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over the last 12 </w:t>
            </w:r>
            <w:r w:rsidR="00B36753"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</w: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months</w:t>
            </w:r>
          </w:p>
        </w:tc>
        <w:tc>
          <w:tcPr>
            <w:tcW w:w="1105" w:type="dxa"/>
            <w:vAlign w:val="center"/>
          </w:tcPr>
          <w:p w14:paraId="14B0583D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973" w:type="dxa"/>
            <w:vAlign w:val="center"/>
          </w:tcPr>
          <w:p w14:paraId="4C35CDEA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last 12 months</w:t>
            </w:r>
          </w:p>
        </w:tc>
        <w:tc>
          <w:tcPr>
            <w:tcW w:w="1089" w:type="dxa"/>
            <w:vAlign w:val="center"/>
          </w:tcPr>
          <w:p w14:paraId="472954DC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1130" w:type="dxa"/>
            <w:vMerge/>
            <w:vAlign w:val="center"/>
          </w:tcPr>
          <w:p w14:paraId="17A9675F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vMerge/>
            <w:vAlign w:val="center"/>
          </w:tcPr>
          <w:p w14:paraId="58EF6D1E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B36753" w14:paraId="4C2BC934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7242E00E" w14:textId="77777777" w:rsidR="00E37334" w:rsidRPr="00B36753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0A9A7BB1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6387D97D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6DAF8658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01C1DA6E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04E55634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D28AAC2" w14:textId="77777777" w:rsidR="00E37334" w:rsidRPr="00B36753" w:rsidRDefault="00E37334" w:rsidP="00A201E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B77197" w14:paraId="6DD622B4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46D2C0CF" w14:textId="77777777" w:rsidR="00E37334" w:rsidRPr="00B36753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E3B94C7" w14:textId="77777777" w:rsidR="00E37334" w:rsidRPr="003368CA" w:rsidRDefault="003368CA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</w:t>
            </w:r>
            <w:r w:rsidR="00771080"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in percent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6EC74605" w14:textId="77777777" w:rsidR="00E37334" w:rsidRPr="003368CA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FA5128" w14:paraId="6F982240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4AFE3B04" w14:textId="77777777" w:rsidR="00E37334" w:rsidRPr="003368CA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162AEA63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076E9AF4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93B44F4" w14:textId="77777777" w:rsidR="00E37334" w:rsidRPr="00FA5128" w:rsidRDefault="00B5609E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  <w:proofErr w:type="spellEnd"/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1D114F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D1E16C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465CC25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1C14213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22658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9CFD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B6DAA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EF958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954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381B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D41A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</w:tr>
      <w:tr w:rsidR="00351316" w:rsidRPr="00FA5128" w14:paraId="0ED13585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B4AAAB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84451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5B3A9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E314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9989A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425FE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565D60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2B8E6BD2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AFEFA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E72E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DDDA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0B82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B396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F50AE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BAF9FB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</w:tr>
      <w:tr w:rsidR="00351316" w:rsidRPr="00FA5128" w14:paraId="239AD5D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1CB304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08F21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3BEF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72870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B2709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5CC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8D662D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</w:tr>
      <w:tr w:rsidR="00351316" w:rsidRPr="00FA5128" w14:paraId="1B60E09C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60A0C4C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670C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0C8A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F548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9AF4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AC093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EA8E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377C585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E95779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9E1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EDD3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DE99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BCFE9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7ED3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8F174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</w:tr>
      <w:tr w:rsidR="005357E1" w:rsidRPr="00FA5128" w14:paraId="2B68EC6D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566DE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C4194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09ABA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0A113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440B2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6CC7A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833845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</w:tr>
      <w:tr w:rsidR="004E61ED" w:rsidRPr="00FA5128" w14:paraId="53660D6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42DDDF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6B0C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F839A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C97FF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3EB93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552DD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CC019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</w:tr>
      <w:tr w:rsidR="005357E1" w:rsidRPr="00FA5128" w14:paraId="61E8E9B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DAB00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35CC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EF8E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95F8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12478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015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523C8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</w:tr>
      <w:tr w:rsidR="004E61ED" w:rsidRPr="00FA5128" w14:paraId="46A2CEB3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5B408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6C76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D27F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21AC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8F53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3308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BAA12D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</w:tr>
      <w:tr w:rsidR="005357E1" w:rsidRPr="00FA5128" w14:paraId="115D16BF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E0933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7BF42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515F5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C3862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FDDE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91E3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18B1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</w:tr>
      <w:tr w:rsidR="00434891" w:rsidRPr="00FA5128" w14:paraId="3E170835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E622C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490215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E1C024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94D6C2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F945D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EB93F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9959C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52D1A3E1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2A0F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05D0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23C92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9A9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2B95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63153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3F274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65118E" w:rsidRPr="00FA5128" w14:paraId="35370220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52F42" w14:textId="0531A921" w:rsidR="0065118E" w:rsidRDefault="0065118E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129985" w14:textId="1E187F32" w:rsidR="0065118E" w:rsidRDefault="00941C2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-6.5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98530B" w14:textId="2CD46487" w:rsidR="0065118E" w:rsidRDefault="00941C2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B69621" w14:textId="6B214DD5" w:rsidR="0065118E" w:rsidRDefault="00941C2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AA2E42" w14:textId="77B3C675" w:rsidR="0065118E" w:rsidRDefault="00941C2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-29.1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D4B48" w14:textId="46D16DDD" w:rsidR="0065118E" w:rsidRDefault="00941C2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-13.4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5FDD090" w14:textId="6B709EC2" w:rsidR="0065118E" w:rsidRDefault="00941C2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-16.4</w:t>
            </w:r>
          </w:p>
        </w:tc>
      </w:tr>
      <w:tr w:rsidR="005357E1" w:rsidRPr="00FA5128" w14:paraId="2EDA85C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4F88E294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91A9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2CD5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AF97CD9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proofErr w:type="spellStart"/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  <w:proofErr w:type="spellEnd"/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0378891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7F06B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31140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81A96" w:rsidRPr="00FA5128" w14:paraId="306533B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F8E74C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7CE0E12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FEC2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AA81E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6062B0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B6C0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15CB6C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9EC91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2.1</w:t>
            </w:r>
          </w:p>
        </w:tc>
      </w:tr>
      <w:tr w:rsidR="000E2304" w:rsidRPr="00FA5128" w14:paraId="7E38ACD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98B576" w14:textId="77777777" w:rsidR="000E2304" w:rsidRDefault="000E2304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D762DD4" w14:textId="5F4C30FD" w:rsidR="000E2304" w:rsidRDefault="000E2304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C92689" w14:textId="6878E36F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D83932" w14:textId="00BA09DF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1734CB" w14:textId="7C195CBE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-32.3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510C83" w14:textId="7407CFB8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9E358" w14:textId="6AB8C465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-34.0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E737413" w14:textId="4D534EF3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-28.7</w:t>
            </w:r>
          </w:p>
        </w:tc>
      </w:tr>
      <w:tr w:rsidR="005F4AA3" w:rsidRPr="00FA5128" w14:paraId="32C5C15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DB42251" w14:textId="77777777" w:rsidR="005F4AA3" w:rsidRDefault="005F4AA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29560A1" w14:textId="67983AEB" w:rsidR="005F4AA3" w:rsidRDefault="005F4AA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A8ED36" w14:textId="01BAF547" w:rsidR="005F4AA3" w:rsidRDefault="002B1C80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A0F999" w14:textId="7C604828" w:rsidR="005F4AA3" w:rsidRDefault="002B1C80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-4.6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943947" w14:textId="14BD1C8C" w:rsidR="005F4AA3" w:rsidRDefault="002B1C80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-27.8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661256" w14:textId="35FCF490" w:rsidR="005F4AA3" w:rsidRDefault="002B1C80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-21.7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DA5A43" w14:textId="443EF9A6" w:rsidR="005F4AA3" w:rsidRDefault="002B1C80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-12.7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C5A132" w14:textId="3EFC3E21" w:rsidR="005F4AA3" w:rsidRDefault="002B1C80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-14.6</w:t>
            </w:r>
          </w:p>
        </w:tc>
      </w:tr>
      <w:tr w:rsidR="0065118E" w:rsidRPr="00FA5128" w14:paraId="6D5FC5C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DB42DD3" w14:textId="77777777" w:rsidR="0065118E" w:rsidRDefault="0065118E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44EBB50" w14:textId="5D31FDBA" w:rsidR="0065118E" w:rsidRDefault="0065118E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74C6BA" w14:textId="50BEC5F4" w:rsidR="0065118E" w:rsidRDefault="00941C24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-12.4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F89F2A" w14:textId="41BD09A4" w:rsidR="0065118E" w:rsidRDefault="00941C24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FF070C" w14:textId="0C27B6EB" w:rsidR="0065118E" w:rsidRDefault="00941C24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-41.9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BE0358" w14:textId="6AA0FCC8" w:rsidR="0065118E" w:rsidRDefault="00941C24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-38.0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93125A" w14:textId="3D0E7353" w:rsidR="0065118E" w:rsidRDefault="00941C24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033C6D5" w14:textId="6E6B1BDA" w:rsidR="0065118E" w:rsidRDefault="00941C24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-24.7</w:t>
            </w:r>
          </w:p>
        </w:tc>
      </w:tr>
      <w:tr w:rsidR="005357E1" w:rsidRPr="00FA5128" w14:paraId="483D1513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357EDB49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AF628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62A052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AD18C5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proofErr w:type="spellStart"/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  <w:proofErr w:type="spellEnd"/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9C13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96E9D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9521C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B3C2C" w:rsidRPr="00FA5128" w14:paraId="3C68D45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0FC8E9E" w14:textId="77777777" w:rsidR="001B3C2C" w:rsidRDefault="001B3C2C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815E6" w14:textId="77777777" w:rsidR="001B3C2C" w:rsidRDefault="001B3C2C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CCB82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C8017B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EDC1EC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35467D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DDF563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1BB7D9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</w:tr>
      <w:tr w:rsidR="00A05D76" w:rsidRPr="00FA5128" w14:paraId="6749581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CA75657" w14:textId="77777777" w:rsidR="00A05D76" w:rsidRDefault="00A05D76" w:rsidP="00A05D7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812AF" w14:textId="77777777" w:rsidR="00A05D76" w:rsidRDefault="00A05D76" w:rsidP="00A05D7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19D8F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67CEB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D33AE1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86BF27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006D9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F377D8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481A96" w:rsidRPr="00FA5128" w14:paraId="676C99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3C5FE52" w14:textId="77777777" w:rsidR="00481A96" w:rsidRDefault="00481A96" w:rsidP="00481A9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BA4297" w14:textId="77777777" w:rsidR="00481A96" w:rsidRDefault="00481A96" w:rsidP="00481A9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97A8A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ED840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BADA1B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4E02E4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1D0CC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844187E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924BD4" w:rsidRPr="00FA5128" w14:paraId="0308B9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B1D5EC4" w14:textId="77777777" w:rsidR="00924BD4" w:rsidRDefault="00924BD4" w:rsidP="00924BD4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C9736D" w14:textId="7ECEF1F4" w:rsidR="00924BD4" w:rsidRDefault="00924BD4" w:rsidP="00924BD4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5DD791" w14:textId="4CEDDD8B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23ADA5" w14:textId="180B5F87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C94FDB" w14:textId="075C7FAF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09783F" w14:textId="029B148D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56F41C" w14:textId="12700CA3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FDFAD50" w14:textId="6FA19185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-36.4</w:t>
            </w:r>
          </w:p>
        </w:tc>
      </w:tr>
      <w:tr w:rsidR="0073770F" w:rsidRPr="00FA5128" w14:paraId="31AE219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DBD81D9" w14:textId="77777777" w:rsidR="0073770F" w:rsidRDefault="0073770F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2F4F" w14:textId="004CAE5A" w:rsidR="0073770F" w:rsidRDefault="0073770F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C2D37F" w14:textId="5E7BE5CD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389B42" w14:textId="7868B242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910F0" w14:textId="7D333CEF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FB987C" w14:textId="20F0F4E0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15A9F6" w14:textId="26596584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5FED6" w14:textId="41F286D8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</w:tr>
      <w:tr w:rsidR="000E2304" w:rsidRPr="00FA5128" w14:paraId="38EDD3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466F7C8" w14:textId="77777777" w:rsidR="000E2304" w:rsidRDefault="000E2304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3C9D3B" w14:textId="16DE6AD8" w:rsidR="000E2304" w:rsidRDefault="000E2304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68B7A6" w14:textId="657CF9A1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5A45A1" w14:textId="06817BFE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2E01AA" w14:textId="307E8555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0297DF" w14:textId="00CDE15A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8919EE" w14:textId="754AFA81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B4AA16" w14:textId="58792BA3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-19.4</w:t>
            </w:r>
          </w:p>
        </w:tc>
      </w:tr>
      <w:tr w:rsidR="008B2B6A" w:rsidRPr="00FA5128" w14:paraId="17DEDCF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E3BD13C" w14:textId="77777777" w:rsidR="008B2B6A" w:rsidRDefault="008B2B6A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D697FB" w14:textId="5BD03A56" w:rsidR="008B2B6A" w:rsidRDefault="008B2B6A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913FF6" w14:textId="3E22965E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4FC105" w14:textId="4FEF6705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ACB202" w14:textId="2E50179D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35E4B8" w14:textId="51A6B1FC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94598F" w14:textId="0306E31F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33CA050" w14:textId="3A43D62F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-13.4</w:t>
            </w:r>
          </w:p>
        </w:tc>
      </w:tr>
      <w:tr w:rsidR="00462CA0" w:rsidRPr="00FA5128" w14:paraId="27F97D3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8C8A536" w14:textId="77777777" w:rsidR="00462CA0" w:rsidRDefault="00462CA0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76FE7B" w14:textId="2946A065" w:rsidR="00462CA0" w:rsidRDefault="00462CA0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0D83D0" w14:textId="624D0A59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-4.4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866ED9" w14:textId="4092D64B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573BB8" w14:textId="5C33CC8B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9AE738" w14:textId="4A3ACD68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A54654" w14:textId="4CE6F19C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-12.6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687EF71" w14:textId="52CFDDEA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-15.2</w:t>
            </w:r>
          </w:p>
        </w:tc>
      </w:tr>
      <w:tr w:rsidR="005F4AA3" w:rsidRPr="00FA5128" w14:paraId="5AD4B10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283A4" w14:textId="77777777" w:rsidR="005F4AA3" w:rsidRDefault="005F4AA3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80E660" w14:textId="2C97DECA" w:rsidR="005F4AA3" w:rsidRDefault="005F4AA3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12A266" w14:textId="6DE8563F" w:rsidR="005F4AA3" w:rsidRDefault="002B1C80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ED25BA" w14:textId="05419C10" w:rsidR="005F4AA3" w:rsidRDefault="002B1C80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CD4862" w14:textId="410CB7F4" w:rsidR="005F4AA3" w:rsidRDefault="002B1C80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5E9C17" w14:textId="1FF9D094" w:rsidR="005F4AA3" w:rsidRDefault="002B1C80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-22.4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96D295" w14:textId="4DC37570" w:rsidR="005F4AA3" w:rsidRDefault="002B1C80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51968C2" w14:textId="5E7D21F4" w:rsidR="005F4AA3" w:rsidRDefault="002B1C80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-15.0</w:t>
            </w:r>
          </w:p>
        </w:tc>
      </w:tr>
      <w:tr w:rsidR="00904AAB" w:rsidRPr="00FA5128" w14:paraId="4E5479D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5F302D" w14:textId="77777777" w:rsidR="00904AAB" w:rsidRDefault="00904AAB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C7DCBA" w14:textId="19D435BB" w:rsidR="00904AAB" w:rsidRDefault="00904AAB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6BB61F" w14:textId="0C75A85F" w:rsidR="00904AAB" w:rsidRDefault="0006561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36905D" w14:textId="18C90986" w:rsidR="00904AAB" w:rsidRDefault="0006561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4D1619" w14:textId="737F1851" w:rsidR="00904AAB" w:rsidRDefault="0006561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-33.7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55C6E0" w14:textId="6DD4D5EE" w:rsidR="00904AAB" w:rsidRDefault="0006561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-31.4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BB5AB7" w14:textId="19200B11" w:rsidR="00904AAB" w:rsidRDefault="0006561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-17.1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293E212" w14:textId="7D554B89" w:rsidR="00904AAB" w:rsidRDefault="0006561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-20.0</w:t>
            </w:r>
          </w:p>
        </w:tc>
      </w:tr>
      <w:tr w:rsidR="00C91335" w:rsidRPr="00FA5128" w14:paraId="32729FC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00E9D21" w14:textId="77777777" w:rsidR="00C91335" w:rsidRDefault="00C91335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AEC7F1" w14:textId="7267EC4E" w:rsidR="00C91335" w:rsidRDefault="00C91335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3930EE" w14:textId="5046A3EA" w:rsidR="00C91335" w:rsidRDefault="00906A28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-13.2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170621" w14:textId="410B2E96" w:rsidR="00C91335" w:rsidRDefault="00906A28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5320DD" w14:textId="6506FD84" w:rsidR="00C91335" w:rsidRDefault="00906A28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-46.2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20A84E" w14:textId="5838A6AA" w:rsidR="00C91335" w:rsidRDefault="00906A28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-45.9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E5B95C" w14:textId="105EAF50" w:rsidR="00C91335" w:rsidRDefault="00906A28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-25.1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D04F689" w14:textId="1B784497" w:rsidR="00C91335" w:rsidRDefault="00906A28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-29.2</w:t>
            </w:r>
          </w:p>
        </w:tc>
      </w:tr>
      <w:tr w:rsidR="0065118E" w:rsidRPr="00FA5128" w14:paraId="5556FCE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9590DB0" w14:textId="77777777" w:rsidR="0065118E" w:rsidRDefault="0065118E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6F07D4" w14:textId="61DF9EE3" w:rsidR="0065118E" w:rsidRDefault="0065118E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C49A0" w14:textId="3A1B42A9" w:rsidR="0065118E" w:rsidRDefault="00941C2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F15178" w14:textId="42D92D61" w:rsidR="0065118E" w:rsidRDefault="00941C2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F5A55" w14:textId="20AEAFDE" w:rsidR="0065118E" w:rsidRDefault="00941C2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-45.7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C964BE" w14:textId="689D9204" w:rsidR="0065118E" w:rsidRDefault="00941C2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2A9C39" w14:textId="7FF79065" w:rsidR="0065118E" w:rsidRDefault="00941C2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-17.1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9B81052" w14:textId="576B76F0" w:rsidR="0065118E" w:rsidRDefault="00941C2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-24.9</w:t>
            </w:r>
          </w:p>
        </w:tc>
      </w:tr>
      <w:tr w:rsidR="00A50FDC" w:rsidRPr="00FA5128" w14:paraId="25F1B55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FEE9259" w14:textId="44C6E914" w:rsidR="00A50FDC" w:rsidRDefault="00A50FDC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2021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71221E" w14:textId="1DE884A0" w:rsidR="00A50FDC" w:rsidRDefault="00A50FDC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36C52C" w14:textId="7C34B83A" w:rsidR="00A50FDC" w:rsidRDefault="00A50FDC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-12.9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36EE98" w14:textId="0D8C7B90" w:rsidR="00A50FDC" w:rsidRDefault="00A50FDC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6C0D3E" w14:textId="616D0BC4" w:rsidR="00A50FDC" w:rsidRDefault="00A50FDC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44DD0F" w14:textId="2F6950D8" w:rsidR="00A50FDC" w:rsidRDefault="00A50FDC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E18AFA" w14:textId="764F44DC" w:rsidR="00A50FDC" w:rsidRDefault="00A50FDC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-17.1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E9D5C7A" w14:textId="5A119652" w:rsidR="00A50FDC" w:rsidRDefault="00A50FDC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-25.1</w:t>
            </w:r>
          </w:p>
        </w:tc>
      </w:tr>
      <w:tr w:rsidR="0073770F" w:rsidRPr="00FA5128" w14:paraId="52C8A062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05E15" w14:textId="77777777" w:rsidR="0073770F" w:rsidRPr="007443DC" w:rsidRDefault="0073770F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363C79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BAB690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6FA8C86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EDE531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7E73F3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F330161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7D528D5" w14:textId="1294ED7C" w:rsidR="00712785" w:rsidRPr="00C77038" w:rsidRDefault="00E715FF" w:rsidP="00C77038">
      <w:pPr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80E5387" wp14:editId="1EDCAAE6">
                <wp:simplePos x="0" y="0"/>
                <wp:positionH relativeFrom="column">
                  <wp:posOffset>5238750</wp:posOffset>
                </wp:positionH>
                <wp:positionV relativeFrom="paragraph">
                  <wp:posOffset>177800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9341" w14:textId="77777777" w:rsidR="00DC60D9" w:rsidRPr="00757A63" w:rsidRDefault="00DC60D9" w:rsidP="00757A6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57A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Current consumer confidence indicator is the average of balances of evaluations changes in the household's financial condition, changes in general economic situation of the country and currently made major purchases</w:t>
                            </w:r>
                          </w:p>
                          <w:p w14:paraId="6751F7C8" w14:textId="77777777" w:rsidR="00DC60D9" w:rsidRPr="00757A63" w:rsidRDefault="00DC60D9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5387" id="Pole tekstowe 12" o:spid="_x0000_s1030" type="#_x0000_t202" style="position:absolute;margin-left:412.5pt;margin-top:14pt;width:135.85pt;height:123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" filled="f" stroked="f">
                <v:textbox>
                  <w:txbxContent>
                    <w:p w14:paraId="43C49341" w14:textId="77777777" w:rsidR="00DC60D9" w:rsidRPr="00757A63" w:rsidRDefault="00DC60D9" w:rsidP="00757A6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57A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Current consumer confidence indicator is the average of balances of evaluations changes in the household's financial condition, changes in general economic situation of the country and currently made major purchases</w:t>
                      </w:r>
                    </w:p>
                    <w:p w14:paraId="6751F7C8" w14:textId="77777777" w:rsidR="00DC60D9" w:rsidRPr="00757A63" w:rsidRDefault="00DC60D9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Table</w:t>
      </w:r>
      <w:r w:rsidR="00C074FD" w:rsidRPr="008F7A73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Current consumer confidence indicator</w:t>
      </w:r>
      <w:r w:rsidR="00712785" w:rsidRPr="008F7A73">
        <w:rPr>
          <w:lang w:val="en-US"/>
        </w:rPr>
        <w:br w:type="page"/>
      </w:r>
    </w:p>
    <w:p w14:paraId="178C1660" w14:textId="7550E7A9" w:rsidR="00FD7BD2" w:rsidRPr="00D456AB" w:rsidRDefault="005F4EA6" w:rsidP="00072F74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50560" behindDoc="0" locked="0" layoutInCell="1" allowOverlap="1" wp14:anchorId="18A74148" wp14:editId="3318C821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F0494">
        <w:rPr>
          <w:lang w:val="en-US"/>
        </w:rPr>
        <w:t>Chart</w:t>
      </w:r>
      <w:r w:rsidR="00BB290B">
        <w:rPr>
          <w:lang w:val="en-US"/>
        </w:rPr>
        <w:t xml:space="preserve"> </w:t>
      </w:r>
      <w:r w:rsidR="00074DD8" w:rsidRPr="00FF0494">
        <w:rPr>
          <w:lang w:val="en-US"/>
        </w:rPr>
        <w:t>1</w:t>
      </w:r>
      <w:r w:rsidR="008F4441" w:rsidRPr="00FF0494">
        <w:rPr>
          <w:lang w:val="en-US"/>
        </w:rPr>
        <w:t>.</w:t>
      </w:r>
      <w:r w:rsidR="00BB290B">
        <w:rPr>
          <w:lang w:val="en-US"/>
        </w:rPr>
        <w:t xml:space="preserve"> </w:t>
      </w:r>
      <w:r w:rsidR="00D456AB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E844F0">
        <w:rPr>
          <w:shd w:val="clear" w:color="auto" w:fill="FFFFFF"/>
          <w:lang w:val="en-US"/>
        </w:rPr>
        <w:t xml:space="preserve"> 2018–2021</w:t>
      </w:r>
    </w:p>
    <w:p w14:paraId="74430DAE" w14:textId="0B7007EE" w:rsidR="00FD7BD2" w:rsidRPr="00D456AB" w:rsidRDefault="00FD7BD2" w:rsidP="00FD7BD2">
      <w:pPr>
        <w:rPr>
          <w:lang w:val="en-US"/>
        </w:rPr>
      </w:pPr>
    </w:p>
    <w:p w14:paraId="4B70BDE0" w14:textId="72F9CBC0" w:rsidR="00053B77" w:rsidRPr="008A1107" w:rsidRDefault="00BB290B" w:rsidP="00053B77">
      <w:pPr>
        <w:pStyle w:val="tytuwykresu"/>
        <w:ind w:left="851" w:hanging="851"/>
        <w:rPr>
          <w:shd w:val="clear" w:color="auto" w:fill="FFFFFF"/>
          <w:lang w:val="en-US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652608" behindDoc="0" locked="0" layoutInCell="1" allowOverlap="1" wp14:anchorId="43C43372" wp14:editId="6C9DB433">
            <wp:simplePos x="0" y="0"/>
            <wp:positionH relativeFrom="margin">
              <wp:posOffset>-4445</wp:posOffset>
            </wp:positionH>
            <wp:positionV relativeFrom="margin">
              <wp:posOffset>4784090</wp:posOffset>
            </wp:positionV>
            <wp:extent cx="5122545" cy="415798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FF0494">
        <w:rPr>
          <w:lang w:val="en-US"/>
        </w:rPr>
        <w:t>Chart</w:t>
      </w:r>
      <w:r w:rsidR="00053B77" w:rsidRPr="00FF0494">
        <w:rPr>
          <w:lang w:val="en-US"/>
        </w:rPr>
        <w:t xml:space="preserve"> 2.</w:t>
      </w:r>
      <w:r>
        <w:rPr>
          <w:lang w:val="en-US"/>
        </w:rPr>
        <w:t xml:space="preserve"> </w:t>
      </w:r>
      <w:r w:rsidR="008A1107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3F312958" w14:textId="77777777" w:rsidR="00B35A63" w:rsidRPr="008A1107" w:rsidRDefault="00FD7BD2" w:rsidP="00A866F2">
      <w:pPr>
        <w:tabs>
          <w:tab w:val="left" w:pos="3218"/>
        </w:tabs>
        <w:rPr>
          <w:lang w:val="en-US"/>
        </w:rPr>
      </w:pPr>
      <w:r w:rsidRPr="008A1107">
        <w:rPr>
          <w:lang w:val="en-US"/>
        </w:rPr>
        <w:tab/>
      </w:r>
    </w:p>
    <w:tbl>
      <w:tblPr>
        <w:tblStyle w:val="Siatkatabelijasna1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DCB0BFF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5C0BEF2E" w14:textId="77777777" w:rsidR="00A866F2" w:rsidRPr="00FF0494" w:rsidRDefault="00F37F18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lastRenderedPageBreak/>
              <w:t>Survey period</w:t>
            </w:r>
          </w:p>
          <w:p w14:paraId="50E3AC39" w14:textId="77777777" w:rsidR="00A866F2" w:rsidRPr="00FF049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4952F1DB" w14:textId="77777777" w:rsidR="00F37F18" w:rsidRPr="00FF0494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 xml:space="preserve">Year     Quarter </w:t>
            </w:r>
          </w:p>
          <w:p w14:paraId="0E152EA9" w14:textId="77777777" w:rsidR="00A866F2" w:rsidRPr="00765FC9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765FC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DABC38A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21795D2D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general economic situation of the country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47F84B3C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unemployment 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(</w:t>
            </w: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with inverted sign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970"/>
            </w:tblGrid>
            <w:tr w:rsidR="00F37F18" w:rsidRPr="00B77197" w14:paraId="73D21998" w14:textId="77777777" w:rsidTr="00F37F18">
              <w:trPr>
                <w:gridAfter w:val="1"/>
                <w:wAfter w:w="8618" w:type="dxa"/>
                <w:trHeight w:val="285"/>
              </w:trPr>
              <w:tc>
                <w:tcPr>
                  <w:tcW w:w="1134" w:type="dxa"/>
                  <w:shd w:val="clear" w:color="auto" w:fill="FFFFFF"/>
                  <w:hideMark/>
                </w:tcPr>
                <w:p w14:paraId="1B6B0601" w14:textId="77777777" w:rsidR="00F37F18" w:rsidRPr="00F37F18" w:rsidRDefault="00F37F18" w:rsidP="00F7195E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pl-PL"/>
                    </w:rPr>
                  </w:pPr>
                </w:p>
              </w:tc>
            </w:tr>
            <w:tr w:rsidR="00F37F18" w:rsidRPr="00B77197" w14:paraId="47457ABA" w14:textId="77777777" w:rsidTr="00F37F18">
              <w:trPr>
                <w:trHeight w:val="280"/>
              </w:trPr>
              <w:tc>
                <w:tcPr>
                  <w:tcW w:w="0" w:type="auto"/>
                  <w:hideMark/>
                </w:tcPr>
                <w:p w14:paraId="5E2CD620" w14:textId="77777777" w:rsidR="00F37F18" w:rsidRPr="00F37F18" w:rsidRDefault="00F37F18" w:rsidP="00F7195E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8618" w:type="dxa"/>
                  <w:shd w:val="clear" w:color="auto" w:fill="FFFFFF"/>
                  <w:hideMark/>
                </w:tcPr>
                <w:p w14:paraId="791F77D7" w14:textId="77777777" w:rsidR="00F37F18" w:rsidRPr="00F37F18" w:rsidRDefault="00F37F18" w:rsidP="00F7195E">
                  <w:pPr>
                    <w:framePr w:hSpace="141" w:wrap="around" w:vAnchor="text" w:hAnchor="margin" w:y="596"/>
                    <w:spacing w:before="0" w:after="0" w:line="240" w:lineRule="auto"/>
                    <w:jc w:val="center"/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F37F18"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  <w:t>Propensity to save (in future)</w:t>
                  </w:r>
                </w:p>
              </w:tc>
            </w:tr>
          </w:tbl>
          <w:p w14:paraId="4F8202B8" w14:textId="77777777" w:rsidR="00A866F2" w:rsidRPr="00F37F1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49AF1BD1" w14:textId="77777777" w:rsidR="00A866F2" w:rsidRPr="00FA512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Leading</w:t>
            </w:r>
            <w:proofErr w:type="spellEnd"/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proofErr w:type="spellEnd"/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proofErr w:type="spellEnd"/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  <w:proofErr w:type="spellEnd"/>
          </w:p>
        </w:tc>
      </w:tr>
      <w:tr w:rsidR="00A866F2" w:rsidRPr="00FA5128" w14:paraId="650E97CC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51982521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4D5479E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1529501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CF16394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38628F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4CDD68E9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B77197" w14:paraId="5219ECA6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7BE24F30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3404DBB9" w14:textId="77777777" w:rsidR="002A3665" w:rsidRPr="003368CA" w:rsidRDefault="003368CA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 in percent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396E28A4" w14:textId="77777777" w:rsidR="002A3665" w:rsidRPr="003368CA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63004" w:rsidRPr="00FA5128" w14:paraId="7CA149E1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47988AAD" w14:textId="77777777" w:rsidR="00C63004" w:rsidRPr="003368CA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20CD7AE" w14:textId="77777777" w:rsidR="00C63004" w:rsidRPr="00FA5128" w:rsidRDefault="00745D08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01BAF6F8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52E05EF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29C290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DE34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95C47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F5A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6B6C8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A301D4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3C8E1B0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A84E0D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C7092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B74B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E4C70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B333A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D2442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</w:tr>
      <w:tr w:rsidR="002A3665" w:rsidRPr="00FA5128" w14:paraId="2AF9DF88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2AFF3F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2E76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7CB38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FFEFD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A04AD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36313C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56B2569C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F012704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42B0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7FB53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88C0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018CB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B7F1E1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9E2C24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12B17B10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CAC6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3BF3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E695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F101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C79D1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5F3188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B447489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379B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61C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6BE3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0E141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4DB0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124420D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A0182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F8924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10EB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1F378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1C7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2751F7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2A3665" w:rsidRPr="00FA5128" w14:paraId="636D45AD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DD75D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E82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75B9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629F5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886C4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ADDFB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C63004" w:rsidRPr="00FA5128" w14:paraId="139C10A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16ECE4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8ADF0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9A5D6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E97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1758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6BB89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4BF0795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369ED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995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D843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719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2372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59DF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</w:tr>
      <w:tr w:rsidR="00C63004" w:rsidRPr="00FA5128" w14:paraId="2ECECFE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6CBEB3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DCB1A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8C26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6644E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F26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2F11E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4DB9DF2D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B2DA8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E3643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8878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7773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9B7E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5923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</w:tr>
      <w:tr w:rsidR="00BA728E" w:rsidRPr="00FA5128" w14:paraId="135F1984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9C29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AB06D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CF3637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5FB61F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DA8A7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FE005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</w:tr>
      <w:tr w:rsidR="00730701" w:rsidRPr="00FA5128" w14:paraId="50F897FE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629A9F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D28C0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36A5F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24995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1AE4B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C3FE1E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266BFD" w:rsidRPr="00FA5128" w14:paraId="6D5A2F45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E52E38" w14:textId="138D7028" w:rsidR="00266BFD" w:rsidRDefault="00266BFD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2B0B42" w14:textId="7DEF106C" w:rsidR="00266BFD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5BD8FE" w14:textId="5755F060" w:rsidR="00266BFD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-29.1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A03F0C" w14:textId="16F37782" w:rsidR="00266BFD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-39.4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9F80BC" w14:textId="495C93D0" w:rsidR="00266BFD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11A69D1" w14:textId="7F9F705F" w:rsidR="00266BFD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-19.5</w:t>
            </w:r>
          </w:p>
        </w:tc>
      </w:tr>
      <w:tr w:rsidR="00C63004" w:rsidRPr="00FA5128" w14:paraId="5CC31AA9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6BEBD5F8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17C7E1C" w14:textId="77777777" w:rsidR="00C63004" w:rsidRPr="007443DC" w:rsidRDefault="00745D08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proofErr w:type="spellStart"/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  <w:proofErr w:type="spellEnd"/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FFECB1E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A14B1D" w:rsidRPr="00FA5128" w14:paraId="5907EAC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E573B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393F0D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8A5F8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7EF9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2FC4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05D09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1F262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-1.7</w:t>
            </w:r>
          </w:p>
        </w:tc>
      </w:tr>
      <w:tr w:rsidR="00C77038" w:rsidRPr="00FA5128" w14:paraId="6CE91BC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724D53C" w14:textId="77777777" w:rsidR="00C77038" w:rsidRDefault="00C77038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507EF" w14:textId="45DB0FC2" w:rsidR="00C77038" w:rsidRDefault="00C77038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DE2AF2" w14:textId="197DA7BA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227EEC" w14:textId="483B6ABD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6C0AFD" w14:textId="2A7AAAFB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-68.9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EE4AED" w14:textId="3EFE1C40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3BD36B8" w14:textId="358E9E83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-36.3</w:t>
            </w:r>
          </w:p>
        </w:tc>
      </w:tr>
      <w:tr w:rsidR="00EA729D" w:rsidRPr="00FA5128" w14:paraId="345825D2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881733D" w14:textId="77777777" w:rsidR="00EA729D" w:rsidRDefault="00EA729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92ECCF1" w14:textId="34AFC7A0" w:rsidR="00EA729D" w:rsidRDefault="00EA729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7914F6" w14:textId="7F77BD4F" w:rsidR="00EA729D" w:rsidRDefault="00273F9C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-4.6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26124A" w14:textId="2FA68B38" w:rsidR="00EA729D" w:rsidRDefault="00273F9C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-21.7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84A2B" w14:textId="23379F37" w:rsidR="00EA729D" w:rsidRDefault="00273F9C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6230AF" w14:textId="27E3B97A" w:rsidR="00EA729D" w:rsidRDefault="00273F9C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4F273FB" w14:textId="664F5582" w:rsidR="00EA729D" w:rsidRDefault="00273F9C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-15.3</w:t>
            </w:r>
          </w:p>
        </w:tc>
      </w:tr>
      <w:tr w:rsidR="00266BFD" w:rsidRPr="00FA5128" w14:paraId="649A014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37C0801" w14:textId="77777777" w:rsidR="00266BFD" w:rsidRDefault="00266BF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84BCEF4" w14:textId="34145F3C" w:rsidR="00266BFD" w:rsidRDefault="00266BF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4F3025" w14:textId="673C8D97" w:rsidR="00266BFD" w:rsidRDefault="00D61CC5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F6DC8D" w14:textId="1910D411" w:rsidR="00266BFD" w:rsidRDefault="00D61CC5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-38.0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77D049" w14:textId="35A44D78" w:rsidR="00266BFD" w:rsidRDefault="00D61CC5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7E49CC" w14:textId="7B3CBE65" w:rsidR="00266BFD" w:rsidRDefault="00D61CC5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2E209AC" w14:textId="646125AB" w:rsidR="00266BFD" w:rsidRDefault="00D61CC5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-24.5</w:t>
            </w:r>
          </w:p>
        </w:tc>
      </w:tr>
      <w:tr w:rsidR="00A14B1D" w:rsidRPr="00FA5128" w14:paraId="6A837326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1FC6C61D" w14:textId="77777777" w:rsidR="00A14B1D" w:rsidRPr="007443DC" w:rsidRDefault="00A14B1D" w:rsidP="00A14B1D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7AAF6A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proofErr w:type="spellStart"/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  <w:proofErr w:type="spellEnd"/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4C4BC9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A14B1D" w:rsidRPr="00FA5128" w14:paraId="10F5147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A9EF8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8144EB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3DC7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16D68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31412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9E3B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B59D9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</w:tr>
      <w:tr w:rsidR="00A14B1D" w:rsidRPr="00FA5128" w14:paraId="018D5E6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51FDD5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7BFAD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52AED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0AF83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E2904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C5FC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7BC04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-2.2</w:t>
            </w:r>
          </w:p>
        </w:tc>
      </w:tr>
      <w:tr w:rsidR="00D96A8F" w:rsidRPr="00FA5128" w14:paraId="731C729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76B8F1A" w14:textId="77777777" w:rsidR="00D96A8F" w:rsidRDefault="00D96A8F" w:rsidP="00D96A8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5DB1AF" w14:textId="77777777" w:rsidR="00D96A8F" w:rsidRDefault="00D96A8F" w:rsidP="00D96A8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7678B9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025A2D" w14:textId="25954A98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</w:t>
            </w:r>
            <w:r w:rsidR="00FD387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4A4BAF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466286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3E8260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-2.3</w:t>
            </w:r>
          </w:p>
        </w:tc>
      </w:tr>
      <w:tr w:rsidR="00F76099" w:rsidRPr="00FA5128" w14:paraId="6DB19BE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EA46504" w14:textId="77777777" w:rsidR="00F76099" w:rsidRDefault="00F76099" w:rsidP="00F76099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C4075F" w14:textId="4BD3E44D" w:rsidR="00F76099" w:rsidRDefault="00F76099" w:rsidP="00F76099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5B94D7" w14:textId="6EF9D27E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C0F6" w14:textId="010D20AA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1C9ACC" w14:textId="6FAADB05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B60A5" w14:textId="08A130AD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67804C" w14:textId="2AD52468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-47.7</w:t>
            </w:r>
          </w:p>
        </w:tc>
      </w:tr>
      <w:tr w:rsidR="002F0C9E" w:rsidRPr="00FA5128" w14:paraId="745A397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9EA818E" w14:textId="77777777" w:rsidR="002F0C9E" w:rsidRDefault="002F0C9E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78DC8E" w14:textId="445B4546" w:rsidR="002F0C9E" w:rsidRDefault="002F0C9E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B227BA" w14:textId="56F8CA5A" w:rsidR="002F0C9E" w:rsidRDefault="001834F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AD2E0" w14:textId="48C4E322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68C015" w14:textId="760B6A76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-73.2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D9DE6" w14:textId="337047D8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2BF6A35" w14:textId="08065BEC" w:rsidR="002F0C9E" w:rsidRDefault="001834F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-37.3</w:t>
            </w:r>
          </w:p>
        </w:tc>
      </w:tr>
      <w:tr w:rsidR="00C77038" w:rsidRPr="00FA5128" w14:paraId="4ABD4CD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754478C" w14:textId="77777777" w:rsidR="00C77038" w:rsidRDefault="00C77038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499DD4" w14:textId="5B3AA103" w:rsidR="00C77038" w:rsidRDefault="00C77038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388AEF" w14:textId="1DF09761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36C026" w14:textId="31EC1578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765D07" w14:textId="49005D08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-55.8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DBAC9D" w14:textId="2DFDDDD7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A79B910" w14:textId="7F344416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-23.9</w:t>
            </w:r>
          </w:p>
        </w:tc>
      </w:tr>
      <w:tr w:rsidR="009924F7" w:rsidRPr="00FA5128" w14:paraId="5B17A8B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FE91223" w14:textId="77777777" w:rsidR="009924F7" w:rsidRDefault="009924F7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69B25D" w14:textId="35AFE755" w:rsidR="009924F7" w:rsidRDefault="009924F7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EC77F8" w14:textId="6E6BBB4C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34B4B" w14:textId="35FD439A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2C7328" w14:textId="5017417D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-37.0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4AA97D" w14:textId="27382A62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854DFBA" w14:textId="30BEC081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-13.6</w:t>
            </w:r>
          </w:p>
        </w:tc>
      </w:tr>
      <w:tr w:rsidR="003B1F93" w:rsidRPr="00FA5128" w14:paraId="5BFD67E2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48F531" w14:textId="77777777" w:rsidR="003B1F93" w:rsidRDefault="003B1F93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F303F7" w14:textId="238732AD" w:rsidR="003B1F93" w:rsidRDefault="003B1F93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EBBFD2" w14:textId="5E972ECF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2AC022" w14:textId="68EB94D0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19B5A2" w14:textId="30B8D2B2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5A0D87" w14:textId="3D77B60E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AC5A952" w14:textId="34900430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-16.5</w:t>
            </w:r>
          </w:p>
        </w:tc>
      </w:tr>
      <w:tr w:rsidR="00EA729D" w:rsidRPr="00FA5128" w14:paraId="2B95E6B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27C9F51" w14:textId="77777777" w:rsidR="00EA729D" w:rsidRDefault="00EA729D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F8ACC9" w14:textId="30C14EFA" w:rsidR="00EA729D" w:rsidRDefault="00EA729D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096400" w14:textId="157ADE3B" w:rsidR="00EA729D" w:rsidRDefault="0069585C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4E2AB1" w14:textId="25AC2A3E" w:rsidR="00EA729D" w:rsidRDefault="0069585C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-22.4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C8A836" w14:textId="58DD57D3" w:rsidR="00EA729D" w:rsidRDefault="0069585C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-38.2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E9E646" w14:textId="3E7F288C" w:rsidR="00EA729D" w:rsidRDefault="0069585C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833F048" w14:textId="2F43561B" w:rsidR="00EA729D" w:rsidRDefault="0069585C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-16.0</w:t>
            </w:r>
          </w:p>
        </w:tc>
      </w:tr>
      <w:tr w:rsidR="00C77156" w:rsidRPr="00FA5128" w14:paraId="5BA307F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01B8506" w14:textId="77777777" w:rsidR="00C77156" w:rsidRDefault="00C77156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CB0495" w14:textId="18756679" w:rsidR="00C77156" w:rsidRDefault="00C77156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7B93F5" w14:textId="04443C3A" w:rsidR="00C77156" w:rsidRDefault="00CE49A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E7F0F4" w14:textId="48C73C4F" w:rsidR="00C77156" w:rsidRDefault="00CE49A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-31.4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137709" w14:textId="1E61883B" w:rsidR="00C77156" w:rsidRDefault="00CE49A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-40.8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CA8F88" w14:textId="1EB3F7A2" w:rsidR="00C77156" w:rsidRDefault="00CE49A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FF1003C" w14:textId="792FBE2A" w:rsidR="00C77156" w:rsidRDefault="00CE49A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-19.2</w:t>
            </w:r>
          </w:p>
        </w:tc>
      </w:tr>
      <w:tr w:rsidR="00FD43B4" w:rsidRPr="00FA5128" w14:paraId="58EBC15F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AEB8E0D" w14:textId="77777777" w:rsidR="00FD43B4" w:rsidRDefault="00FD43B4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B58AF3" w14:textId="67664914" w:rsidR="00FD43B4" w:rsidRDefault="00FD43B4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A05A6E" w14:textId="2A2A8451" w:rsidR="00FD43B4" w:rsidRDefault="000D105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B9F2BF" w14:textId="3C22D53E" w:rsidR="00FD43B4" w:rsidRDefault="000D105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-45.9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A2597B" w14:textId="1F5B7FBF" w:rsidR="00FD43B4" w:rsidRDefault="000D105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-58.8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4FCA8E" w14:textId="14407C29" w:rsidR="00FD43B4" w:rsidRDefault="000D105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91A81A1" w14:textId="08E7E619" w:rsidR="00FD43B4" w:rsidRDefault="000D105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</w:tr>
      <w:tr w:rsidR="00266BFD" w:rsidRPr="00FA5128" w14:paraId="44EEADC6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1F9D226" w14:textId="77777777" w:rsidR="00266BFD" w:rsidRDefault="00266BFD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FFCA1C" w14:textId="0C965D30" w:rsidR="00266BFD" w:rsidRDefault="00266BFD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F94087" w14:textId="7AF8AAD5" w:rsidR="00266BFD" w:rsidRDefault="00D61CC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2D6943" w14:textId="30BEACFC" w:rsidR="00266BFD" w:rsidRDefault="00D61CC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2C10AC" w14:textId="1DFEFFEA" w:rsidR="00266BFD" w:rsidRDefault="00D61CC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-52.4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886E74" w14:textId="5AAC689B" w:rsidR="00266BFD" w:rsidRDefault="00D61CC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202150F" w14:textId="2335EFC8" w:rsidR="00266BFD" w:rsidRDefault="00D61CC5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-24.2</w:t>
            </w:r>
          </w:p>
        </w:tc>
      </w:tr>
      <w:tr w:rsidR="0032138D" w:rsidRPr="00FA5128" w14:paraId="03B3B76C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D72C00E" w14:textId="20906AFA" w:rsidR="0032138D" w:rsidRDefault="0032138D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2021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3EB10E" w14:textId="5F64A9E6" w:rsidR="0032138D" w:rsidRDefault="0032138D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1B2300" w14:textId="33D6B56C" w:rsidR="0032138D" w:rsidRDefault="0032138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1AAAB0" w14:textId="4EFAB40B" w:rsidR="0032138D" w:rsidRDefault="0032138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130D2A" w14:textId="02D9F29A" w:rsidR="0032138D" w:rsidRDefault="0032138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-49.5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ECB509" w14:textId="7E3CA0EF" w:rsidR="0032138D" w:rsidRDefault="0032138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E9FDA0" w14:textId="76F6EA5B" w:rsidR="0032138D" w:rsidRDefault="0032138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-22.7</w:t>
            </w:r>
          </w:p>
        </w:tc>
      </w:tr>
      <w:tr w:rsidR="002F0C9E" w:rsidRPr="00FA5128" w14:paraId="66707FA0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25650344" w14:textId="77777777" w:rsidR="002F0C9E" w:rsidRPr="007443DC" w:rsidRDefault="002F0C9E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3B1DA6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9ED29E6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A6CFFB2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29A30C5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04DDEFE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4DD16AA" w14:textId="796A0D6F" w:rsidR="004E61ED" w:rsidRPr="0066130E" w:rsidRDefault="008F7A73" w:rsidP="00A866F2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66130E">
        <w:rPr>
          <w:b/>
          <w:spacing w:val="-2"/>
          <w:sz w:val="18"/>
          <w:shd w:val="clear" w:color="auto" w:fill="FFFFFF"/>
          <w:lang w:val="en-US"/>
        </w:rPr>
        <w:t>Table</w:t>
      </w:r>
      <w:r w:rsidR="004E61ED" w:rsidRPr="0066130E">
        <w:rPr>
          <w:b/>
          <w:spacing w:val="-2"/>
          <w:sz w:val="18"/>
          <w:shd w:val="clear" w:color="auto" w:fill="FFFFFF"/>
          <w:lang w:val="en-US"/>
        </w:rPr>
        <w:t xml:space="preserve"> 2. </w:t>
      </w:r>
      <w:r w:rsidRPr="0066130E">
        <w:rPr>
          <w:b/>
          <w:spacing w:val="-2"/>
          <w:sz w:val="18"/>
          <w:shd w:val="clear" w:color="auto" w:fill="FFFFFF"/>
          <w:lang w:val="en-US"/>
        </w:rPr>
        <w:t>Leading</w:t>
      </w:r>
      <w:r w:rsidR="00BB290B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Pr="008F7A73">
        <w:rPr>
          <w:b/>
          <w:spacing w:val="-2"/>
          <w:sz w:val="18"/>
          <w:shd w:val="clear" w:color="auto" w:fill="FFFFFF"/>
          <w:lang w:val="en-US"/>
        </w:rPr>
        <w:t>consumer confidence indicator</w:t>
      </w:r>
    </w:p>
    <w:p w14:paraId="30BB1CB3" w14:textId="1D80E8E0" w:rsidR="00712785" w:rsidRPr="0066130E" w:rsidRDefault="00E715FF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470B2C7" wp14:editId="00C19515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29AF" w14:textId="77777777" w:rsidR="00DC60D9" w:rsidRPr="00333ABC" w:rsidRDefault="00DC60D9" w:rsidP="0066130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Leading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consumer confidence indicator is the average of balances of evaluations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changes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the household's financial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condition,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economic situation of the country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trends in the level of unemployment (with inverted sign) and saving money in the next 12 months</w:t>
                            </w:r>
                          </w:p>
                          <w:p w14:paraId="6DA5F1D1" w14:textId="77777777" w:rsidR="00DC60D9" w:rsidRPr="0066130E" w:rsidRDefault="00DC60D9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B2C7" id="Pole tekstowe 13" o:spid="_x0000_s1031" type="#_x0000_t202" style="position:absolute;margin-left:412.5pt;margin-top:6.5pt;width:135.85pt;height:133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" filled="f" stroked="f">
                <v:textbox>
                  <w:txbxContent>
                    <w:p w14:paraId="442229AF" w14:textId="77777777" w:rsidR="00DC60D9" w:rsidRPr="00333ABC" w:rsidRDefault="00DC60D9" w:rsidP="0066130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Leading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consumer confidence indicator is the average of balances of evaluations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changes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the household's financial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condition,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economic situation of the country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trends in the level of unemployment (with inverted sign) and saving money in the next 12 months</w:t>
                      </w:r>
                    </w:p>
                    <w:p w14:paraId="6DA5F1D1" w14:textId="77777777" w:rsidR="00DC60D9" w:rsidRPr="0066130E" w:rsidRDefault="00DC60D9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12785" w:rsidRPr="0066130E">
        <w:rPr>
          <w:lang w:val="en-US"/>
        </w:rPr>
        <w:br w:type="page"/>
      </w:r>
    </w:p>
    <w:p w14:paraId="1548C790" w14:textId="6C2E674B" w:rsidR="00C562B2" w:rsidRPr="008A1107" w:rsidRDefault="007F4E3D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46464" behindDoc="0" locked="0" layoutInCell="1" allowOverlap="1" wp14:anchorId="72872E7E" wp14:editId="78488F97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3.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08549C">
        <w:rPr>
          <w:shd w:val="clear" w:color="auto" w:fill="FFFFFF"/>
          <w:lang w:val="en-US"/>
        </w:rPr>
        <w:t xml:space="preserve"> 2018–2021</w:t>
      </w:r>
    </w:p>
    <w:p w14:paraId="241C8C32" w14:textId="77777777" w:rsidR="00C562B2" w:rsidRPr="008A1107" w:rsidRDefault="00C562B2" w:rsidP="00C562B2">
      <w:pPr>
        <w:rPr>
          <w:lang w:val="en-US"/>
        </w:rPr>
      </w:pPr>
    </w:p>
    <w:p w14:paraId="763B2C6F" w14:textId="77777777" w:rsidR="00A62DBC" w:rsidRPr="00FF0494" w:rsidRDefault="00A62DBC" w:rsidP="00C562B2">
      <w:pPr>
        <w:pStyle w:val="tytuwykresu"/>
        <w:ind w:left="851" w:hanging="851"/>
        <w:rPr>
          <w:lang w:val="en-US"/>
        </w:rPr>
      </w:pPr>
    </w:p>
    <w:p w14:paraId="57248919" w14:textId="2A6FC297" w:rsidR="00C562B2" w:rsidRPr="008A1107" w:rsidRDefault="003B3271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48512" behindDoc="0" locked="0" layoutInCell="1" allowOverlap="1" wp14:anchorId="3A8B777C" wp14:editId="1021CE20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4.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2FAC57C7" w14:textId="3D3ADD46" w:rsidR="00CF6348" w:rsidRPr="008A1107" w:rsidRDefault="00E715FF" w:rsidP="00C562B2">
      <w:pPr>
        <w:pStyle w:val="tytuwykresu"/>
        <w:ind w:left="851" w:hanging="851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5A2AE26" wp14:editId="24CF3BEE">
                <wp:simplePos x="0" y="0"/>
                <wp:positionH relativeFrom="column">
                  <wp:posOffset>352425</wp:posOffset>
                </wp:positionH>
                <wp:positionV relativeFrom="paragraph">
                  <wp:posOffset>3157220</wp:posOffset>
                </wp:positionV>
                <wp:extent cx="1502410" cy="219075"/>
                <wp:effectExtent l="0" t="0" r="2540" b="9525"/>
                <wp:wrapTight wrapText="bothSides">
                  <wp:wrapPolygon edited="0">
                    <wp:start x="0" y="0"/>
                    <wp:lineTo x="0" y="20661"/>
                    <wp:lineTo x="21363" y="20661"/>
                    <wp:lineTo x="21363" y="0"/>
                    <wp:lineTo x="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73DE" w14:textId="77777777" w:rsidR="00DC60D9" w:rsidRPr="003B3271" w:rsidRDefault="00DC60D9" w:rsidP="00A34A43">
                            <w:pPr>
                              <w:spacing w:before="0" w:after="0" w:line="240" w:lineRule="auto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 xml:space="preserve">**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April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October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AE26" id="_x0000_s1032" type="#_x0000_t202" style="position:absolute;left:0;text-align:left;margin-left:27.75pt;margin-top:248.6pt;width:118.3pt;height:17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" stroked="f">
                <v:textbox>
                  <w:txbxContent>
                    <w:p w14:paraId="766C73DE" w14:textId="77777777" w:rsidR="00DC60D9" w:rsidRPr="003B3271" w:rsidRDefault="00DC60D9" w:rsidP="00A34A43">
                      <w:pPr>
                        <w:spacing w:before="0" w:after="0" w:line="240" w:lineRule="auto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 xml:space="preserve">** </w:t>
                      </w:r>
                      <w:proofErr w:type="spellStart"/>
                      <w:r>
                        <w:rPr>
                          <w:sz w:val="14"/>
                        </w:rPr>
                        <w:t>April</w:t>
                      </w:r>
                      <w:proofErr w:type="spellEnd"/>
                      <w:r>
                        <w:rPr>
                          <w:sz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4"/>
                        </w:rPr>
                        <w:t>July</w:t>
                      </w:r>
                      <w:proofErr w:type="spellEnd"/>
                      <w:r>
                        <w:rPr>
                          <w:sz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4"/>
                        </w:rPr>
                        <w:t>October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B04304" w14:textId="27F0AEE1" w:rsidR="00E36B2A" w:rsidRDefault="00E36B2A" w:rsidP="00C562B2">
      <w:pPr>
        <w:pStyle w:val="tytuwykresu"/>
        <w:ind w:left="851" w:hanging="851"/>
        <w:rPr>
          <w:shd w:val="clear" w:color="auto" w:fill="FFFFFF"/>
          <w:lang w:val="en-US"/>
        </w:rPr>
      </w:pPr>
    </w:p>
    <w:p w14:paraId="5771A4F6" w14:textId="77777777" w:rsidR="00E36B2A" w:rsidRDefault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14:paraId="13EE5C62" w14:textId="1C8290F7" w:rsidR="00E36B2A" w:rsidRPr="00E36B2A" w:rsidRDefault="00E36B2A" w:rsidP="00E36B2A">
      <w:pPr>
        <w:pStyle w:val="tytuinformacji"/>
        <w:rPr>
          <w:szCs w:val="40"/>
          <w:shd w:val="clear" w:color="auto" w:fill="FFFFFF"/>
          <w:lang w:val="en-US"/>
        </w:rPr>
      </w:pPr>
      <w:r w:rsidRPr="00E36B2A">
        <w:rPr>
          <w:szCs w:val="40"/>
          <w:shd w:val="clear" w:color="auto" w:fill="FFFFFF"/>
          <w:lang w:val="en-US"/>
        </w:rPr>
        <w:lastRenderedPageBreak/>
        <w:t>Annex</w:t>
      </w:r>
    </w:p>
    <w:p w14:paraId="4A9B8EDB" w14:textId="1090DE83" w:rsidR="00E36B2A" w:rsidRPr="00E36B2A" w:rsidRDefault="00E36B2A" w:rsidP="00E36B2A">
      <w:pPr>
        <w:pStyle w:val="tytuinformacji"/>
        <w:rPr>
          <w:sz w:val="32"/>
          <w:lang w:val="en-US"/>
        </w:rPr>
      </w:pPr>
      <w:r w:rsidRPr="00E36B2A">
        <w:rPr>
          <w:shd w:val="clear" w:color="auto" w:fill="FFFFFF"/>
          <w:lang w:val="en-US"/>
        </w:rPr>
        <w:t>Additional question</w:t>
      </w:r>
      <w:r>
        <w:rPr>
          <w:shd w:val="clear" w:color="auto" w:fill="FFFFFF"/>
          <w:lang w:val="en-US"/>
        </w:rPr>
        <w:t>s in relation to the epidemiolog</w:t>
      </w:r>
      <w:r w:rsidRPr="00E36B2A">
        <w:rPr>
          <w:shd w:val="clear" w:color="auto" w:fill="FFFFFF"/>
          <w:lang w:val="en-US"/>
        </w:rPr>
        <w:t>ical situation (threat of COVID-19 coronavirus)</w:t>
      </w:r>
      <w:r w:rsidR="00E715F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08F70926" wp14:editId="49670753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4630" w14:textId="77777777" w:rsidR="00DC60D9" w:rsidRPr="00074DD8" w:rsidRDefault="00DC60D9" w:rsidP="00E36B2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0926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DD24630" w14:textId="77777777" w:rsidR="00DC60D9" w:rsidRPr="00074DD8" w:rsidRDefault="00DC60D9" w:rsidP="00E36B2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453C1" w14:textId="36044F8C" w:rsidR="00E36B2A" w:rsidRPr="00E36B2A" w:rsidRDefault="00E715FF" w:rsidP="00E36B2A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B0DD35F" wp14:editId="4EB7083E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337435" cy="1379855"/>
                <wp:effectExtent l="0" t="0" r="5715" b="0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38022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03CF" w14:textId="3B745298" w:rsidR="00DC60D9" w:rsidRPr="00D771BA" w:rsidRDefault="00DC60D9" w:rsidP="00E36B2A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BBD0892" wp14:editId="1C6E5255">
                                  <wp:extent cx="316800" cy="316800"/>
                                  <wp:effectExtent l="0" t="0" r="7620" b="7620"/>
                                  <wp:docPr id="30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6800" cy="31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E672F9" w:rsidRPr="00B7719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38"/>
                                <w:lang w:val="en-US"/>
                              </w:rPr>
                              <w:t>88.1</w:t>
                            </w:r>
                            <w:r w:rsidRPr="00B7719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38"/>
                                <w:lang w:val="en-US"/>
                              </w:rPr>
                              <w:t xml:space="preserve"> % </w:t>
                            </w:r>
                          </w:p>
                          <w:p w14:paraId="71C01E0C" w14:textId="64043F7D" w:rsidR="00DC60D9" w:rsidRPr="00E36B2A" w:rsidRDefault="00DC60D9" w:rsidP="00E36B2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respondents declared the i</w:t>
                            </w:r>
                            <w:r w:rsidRPr="00E36B2A">
                              <w:rPr>
                                <w:lang w:val="en-US"/>
                              </w:rPr>
                              <w:t>mpact of the epidemiologic</w:t>
                            </w:r>
                            <w:r>
                              <w:rPr>
                                <w:lang w:val="en-US"/>
                              </w:rPr>
                              <w:t>al situation</w:t>
                            </w:r>
                            <w:r w:rsidRPr="00E36B2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on responses </w:t>
                            </w:r>
                            <w:r w:rsidRPr="00E36B2A">
                              <w:rPr>
                                <w:lang w:val="en-US"/>
                              </w:rPr>
                              <w:t>regarding the consumer</w:t>
                            </w:r>
                            <w:r>
                              <w:rPr>
                                <w:lang w:val="en-US"/>
                              </w:rPr>
                              <w:t xml:space="preserve"> tendency (in </w:t>
                            </w:r>
                            <w:r w:rsidR="00E672F9">
                              <w:rPr>
                                <w:lang w:val="en-US"/>
                              </w:rPr>
                              <w:t>December it was 88.3</w:t>
                            </w:r>
                            <w:r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D35F" id="_x0000_s1034" type="#_x0000_t202" style="position:absolute;margin-left:0;margin-top:6.5pt;width:184.05pt;height:108.65pt;z-index:25176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" fillcolor="#001d77" stroked="f">
                <v:textbox>
                  <w:txbxContent>
                    <w:p w14:paraId="6A9503CF" w14:textId="3B745298" w:rsidR="00DC60D9" w:rsidRPr="00D771BA" w:rsidRDefault="00DC60D9" w:rsidP="00E36B2A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D771BA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BBD0892" wp14:editId="1C6E5255">
                            <wp:extent cx="316800" cy="316800"/>
                            <wp:effectExtent l="0" t="0" r="7620" b="7620"/>
                            <wp:docPr id="30" name="Obraz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6800" cy="31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="00E672F9" w:rsidRPr="00B7719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38"/>
                          <w:lang w:val="en-US"/>
                        </w:rPr>
                        <w:t>88.1</w:t>
                      </w:r>
                      <w:r w:rsidRPr="00B7719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38"/>
                          <w:lang w:val="en-US"/>
                        </w:rPr>
                        <w:t xml:space="preserve"> % </w:t>
                      </w:r>
                    </w:p>
                    <w:p w14:paraId="71C01E0C" w14:textId="64043F7D" w:rsidR="00DC60D9" w:rsidRPr="00E36B2A" w:rsidRDefault="00DC60D9" w:rsidP="00E36B2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respondents declared the i</w:t>
                      </w:r>
                      <w:r w:rsidRPr="00E36B2A">
                        <w:rPr>
                          <w:lang w:val="en-US"/>
                        </w:rPr>
                        <w:t>mpact of the epidemiologic</w:t>
                      </w:r>
                      <w:r>
                        <w:rPr>
                          <w:lang w:val="en-US"/>
                        </w:rPr>
                        <w:t>al situation</w:t>
                      </w:r>
                      <w:r w:rsidRPr="00E36B2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on responses </w:t>
                      </w:r>
                      <w:r w:rsidRPr="00E36B2A">
                        <w:rPr>
                          <w:lang w:val="en-US"/>
                        </w:rPr>
                        <w:t>regarding the consumer</w:t>
                      </w:r>
                      <w:r>
                        <w:rPr>
                          <w:lang w:val="en-US"/>
                        </w:rPr>
                        <w:t xml:space="preserve"> tendency (in </w:t>
                      </w:r>
                      <w:r w:rsidR="00E672F9">
                        <w:rPr>
                          <w:lang w:val="en-US"/>
                        </w:rPr>
                        <w:t>December it was 88.3</w:t>
                      </w:r>
                      <w:r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52D">
        <w:rPr>
          <w:b/>
          <w:color w:val="auto"/>
          <w:sz w:val="19"/>
          <w:szCs w:val="19"/>
          <w:lang w:val="en-US"/>
        </w:rPr>
        <w:t xml:space="preserve">In </w:t>
      </w:r>
      <w:r w:rsidR="00E672F9">
        <w:rPr>
          <w:b/>
          <w:color w:val="auto"/>
          <w:sz w:val="19"/>
          <w:szCs w:val="19"/>
          <w:lang w:val="en-US"/>
        </w:rPr>
        <w:t>January 2021</w:t>
      </w:r>
      <w:r w:rsidR="00A44842">
        <w:rPr>
          <w:b/>
          <w:color w:val="auto"/>
          <w:sz w:val="19"/>
          <w:szCs w:val="19"/>
          <w:lang w:val="en-US"/>
        </w:rPr>
        <w:t xml:space="preserve">, </w:t>
      </w:r>
      <w:r>
        <w:rPr>
          <w:b/>
          <w:color w:val="auto"/>
          <w:sz w:val="19"/>
          <w:szCs w:val="19"/>
          <w:lang w:val="en-US"/>
        </w:rPr>
        <w:t>for</w:t>
      </w:r>
      <w:r w:rsidR="00E672F9">
        <w:rPr>
          <w:b/>
          <w:color w:val="auto"/>
          <w:sz w:val="19"/>
          <w:szCs w:val="19"/>
          <w:lang w:val="en-US"/>
        </w:rPr>
        <w:t xml:space="preserve"> 30</w:t>
      </w:r>
      <w:r w:rsidR="005B1A6D">
        <w:rPr>
          <w:b/>
          <w:color w:val="auto"/>
          <w:sz w:val="19"/>
          <w:szCs w:val="19"/>
          <w:lang w:val="en-US"/>
        </w:rPr>
        <w:t>.</w:t>
      </w:r>
      <w:r w:rsidR="00E672F9">
        <w:rPr>
          <w:b/>
          <w:color w:val="auto"/>
          <w:sz w:val="19"/>
          <w:szCs w:val="19"/>
          <w:lang w:val="en-US"/>
        </w:rPr>
        <w:t>0</w:t>
      </w:r>
      <w:r w:rsidR="00A44842">
        <w:rPr>
          <w:b/>
          <w:color w:val="auto"/>
          <w:sz w:val="19"/>
          <w:szCs w:val="19"/>
          <w:lang w:val="en-US"/>
        </w:rPr>
        <w:t>% of respondents, the current epidemiologic</w:t>
      </w:r>
      <w:r w:rsidR="001C64AD">
        <w:rPr>
          <w:b/>
          <w:color w:val="auto"/>
          <w:sz w:val="19"/>
          <w:szCs w:val="19"/>
          <w:lang w:val="en-US"/>
        </w:rPr>
        <w:t>al situation poses a big threat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 </w:t>
      </w:r>
      <w:r w:rsidR="001C64AD" w:rsidRPr="001C64AD">
        <w:rPr>
          <w:b/>
          <w:color w:val="auto"/>
          <w:sz w:val="19"/>
          <w:szCs w:val="19"/>
          <w:lang w:val="en-US"/>
        </w:rPr>
        <w:t>for everyday life in the local community</w:t>
      </w:r>
      <w:r w:rsidR="008231DD">
        <w:rPr>
          <w:b/>
          <w:color w:val="auto"/>
          <w:sz w:val="19"/>
          <w:szCs w:val="19"/>
          <w:lang w:val="en-US"/>
        </w:rPr>
        <w:t xml:space="preserve"> (</w:t>
      </w:r>
      <w:r w:rsidR="005B390B">
        <w:rPr>
          <w:b/>
          <w:color w:val="auto"/>
          <w:sz w:val="19"/>
          <w:szCs w:val="19"/>
          <w:lang w:val="en-US"/>
        </w:rPr>
        <w:t>increase of 2.5</w:t>
      </w:r>
      <w:r w:rsidR="00A44842">
        <w:rPr>
          <w:b/>
          <w:color w:val="auto"/>
          <w:sz w:val="19"/>
          <w:szCs w:val="19"/>
          <w:lang w:val="en-US"/>
        </w:rPr>
        <w:t xml:space="preserve"> percentage points compared to the previous month)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. </w:t>
      </w:r>
      <w:r w:rsidR="00A44842">
        <w:rPr>
          <w:b/>
          <w:color w:val="auto"/>
          <w:sz w:val="19"/>
          <w:szCs w:val="19"/>
          <w:lang w:val="en-US"/>
        </w:rPr>
        <w:t xml:space="preserve"> </w:t>
      </w:r>
      <w:r w:rsidR="00E36B2A" w:rsidRPr="00E36B2A">
        <w:rPr>
          <w:b/>
          <w:color w:val="auto"/>
          <w:sz w:val="19"/>
          <w:szCs w:val="19"/>
          <w:lang w:val="en-US"/>
        </w:rPr>
        <w:t xml:space="preserve"> </w:t>
      </w:r>
    </w:p>
    <w:p w14:paraId="22CDF80B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</w:p>
    <w:p w14:paraId="52B18B2C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  <w:r w:rsidRPr="00E36B2A">
        <w:rPr>
          <w:lang w:val="en-US"/>
        </w:rPr>
        <w:tab/>
      </w:r>
    </w:p>
    <w:p w14:paraId="0034F446" w14:textId="77777777" w:rsidR="00E36B2A" w:rsidRPr="00E36B2A" w:rsidRDefault="00E36B2A" w:rsidP="00E36B2A">
      <w:pPr>
        <w:pStyle w:val="Nagwek1"/>
        <w:rPr>
          <w:lang w:val="en-US"/>
        </w:rPr>
      </w:pPr>
    </w:p>
    <w:p w14:paraId="0A8BDA61" w14:textId="77777777" w:rsidR="00E36B2A" w:rsidRPr="00E36B2A" w:rsidRDefault="00E36B2A" w:rsidP="00E36B2A">
      <w:pPr>
        <w:pStyle w:val="Nagwek1"/>
        <w:rPr>
          <w:lang w:val="en-US"/>
        </w:rPr>
      </w:pPr>
    </w:p>
    <w:p w14:paraId="32457084" w14:textId="7BA73EC9" w:rsidR="00E36B2A" w:rsidRPr="00061090" w:rsidRDefault="00061090" w:rsidP="00E36B2A">
      <w:pPr>
        <w:pStyle w:val="Nagwek1"/>
        <w:rPr>
          <w:lang w:val="en-US"/>
        </w:rPr>
      </w:pPr>
      <w:r w:rsidRPr="00061090">
        <w:rPr>
          <w:lang w:val="en-US"/>
        </w:rPr>
        <w:t>Impact of the current epidemiological situation on responses to the consumer</w:t>
      </w:r>
      <w:r w:rsidR="00E715FF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8B2F708" wp14:editId="545C7FFF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2626" w14:textId="2DE32AFF" w:rsidR="00DC60D9" w:rsidRPr="00061090" w:rsidRDefault="005B390B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39</w:t>
                            </w:r>
                            <w:r w:rsidR="00DC60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.9</w:t>
                            </w:r>
                            <w:r w:rsidR="00DC60D9"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 declared a significant impact of the epidemiological situation on responses regarding the consumer</w:t>
                            </w:r>
                            <w:r w:rsidR="00DC60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F708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2A922626" w14:textId="2DE32AFF" w:rsidR="00DC60D9" w:rsidRPr="00061090" w:rsidRDefault="005B390B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39</w:t>
                      </w:r>
                      <w:r w:rsidR="00DC60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.9</w:t>
                      </w:r>
                      <w:r w:rsidR="00DC60D9"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 declared a significant impact of the epidemiological situation on responses regarding the consumer</w:t>
                      </w:r>
                      <w:r w:rsidR="00DC60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US"/>
        </w:rPr>
        <w:t xml:space="preserve"> tendency</w:t>
      </w:r>
    </w:p>
    <w:p w14:paraId="2CFA3F6D" w14:textId="66FD627C" w:rsidR="00E36B2A" w:rsidRPr="00061090" w:rsidRDefault="00AD4E1C" w:rsidP="00E36B2A">
      <w:pPr>
        <w:spacing w:before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From among respondents declaring</w:t>
      </w:r>
      <w:r w:rsidR="00061090" w:rsidRPr="0006109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</w:t>
      </w:r>
      <w:r w:rsidR="00061090" w:rsidRPr="00061090">
        <w:rPr>
          <w:shd w:val="clear" w:color="auto" w:fill="FFFFFF"/>
          <w:lang w:val="en-US"/>
        </w:rPr>
        <w:t xml:space="preserve"> impact of the epidemiological situation on responses regarding the consumer </w:t>
      </w:r>
      <w:r w:rsidR="00061090">
        <w:rPr>
          <w:shd w:val="clear" w:color="auto" w:fill="FFFFFF"/>
          <w:lang w:val="en-US"/>
        </w:rPr>
        <w:t>tendency</w:t>
      </w:r>
      <w:r>
        <w:rPr>
          <w:shd w:val="clear" w:color="auto" w:fill="FFFFFF"/>
          <w:lang w:val="en-US"/>
        </w:rPr>
        <w:t>,</w:t>
      </w:r>
      <w:r w:rsidR="005117AD">
        <w:rPr>
          <w:shd w:val="clear" w:color="auto" w:fill="FFFFFF"/>
          <w:lang w:val="en-US"/>
        </w:rPr>
        <w:t xml:space="preserve"> </w:t>
      </w:r>
      <w:r w:rsidR="005B390B">
        <w:rPr>
          <w:shd w:val="clear" w:color="auto" w:fill="FFFFFF"/>
          <w:lang w:val="en-US"/>
        </w:rPr>
        <w:t>48.2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described it as</w:t>
      </w:r>
      <w:r w:rsidR="00A74749">
        <w:rPr>
          <w:shd w:val="clear" w:color="auto" w:fill="FFFFFF"/>
          <w:lang w:val="en-US"/>
        </w:rPr>
        <w:t xml:space="preserve"> moderate</w:t>
      </w:r>
      <w:r w:rsidR="00714419">
        <w:rPr>
          <w:shd w:val="clear" w:color="auto" w:fill="FFFFFF"/>
          <w:lang w:val="en-US"/>
        </w:rPr>
        <w:t xml:space="preserve"> and </w:t>
      </w:r>
      <w:r w:rsidR="005B390B">
        <w:rPr>
          <w:shd w:val="clear" w:color="auto" w:fill="FFFFFF"/>
          <w:lang w:val="en-US"/>
        </w:rPr>
        <w:t>39</w:t>
      </w:r>
      <w:r w:rsidR="005117AD">
        <w:rPr>
          <w:shd w:val="clear" w:color="auto" w:fill="FFFFFF"/>
          <w:lang w:val="en-US"/>
        </w:rPr>
        <w:t>.9</w:t>
      </w:r>
      <w:r>
        <w:rPr>
          <w:shd w:val="clear" w:color="auto" w:fill="FFFFFF"/>
          <w:lang w:val="en-US"/>
        </w:rPr>
        <w:t>% as significant. F</w:t>
      </w:r>
      <w:r w:rsidR="005B390B">
        <w:rPr>
          <w:shd w:val="clear" w:color="auto" w:fill="FFFFFF"/>
          <w:lang w:val="en-US"/>
        </w:rPr>
        <w:t>or 11.9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 xml:space="preserve">of respondents, </w:t>
      </w:r>
      <w:r w:rsidR="00061090" w:rsidRPr="00061090">
        <w:rPr>
          <w:shd w:val="clear" w:color="auto" w:fill="FFFFFF"/>
          <w:lang w:val="en-US"/>
        </w:rPr>
        <w:t>the current situation ha</w:t>
      </w:r>
      <w:r>
        <w:rPr>
          <w:shd w:val="clear" w:color="auto" w:fill="FFFFFF"/>
          <w:lang w:val="en-US"/>
        </w:rPr>
        <w:t>d no impact on the answers.</w:t>
      </w:r>
    </w:p>
    <w:p w14:paraId="17600E22" w14:textId="7DA869DF" w:rsidR="00E36B2A" w:rsidRPr="00A002A3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18ABEB5" wp14:editId="4EDAFF8A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2A3">
        <w:rPr>
          <w:noProof/>
          <w:lang w:val="en-US" w:eastAsia="pl-PL"/>
        </w:rPr>
        <w:t>Chart</w:t>
      </w:r>
      <w:r w:rsidRPr="00A002A3">
        <w:rPr>
          <w:lang w:val="en-US"/>
        </w:rPr>
        <w:t xml:space="preserve"> 1.</w:t>
      </w:r>
      <w:r w:rsidRPr="00A002A3">
        <w:rPr>
          <w:shd w:val="clear" w:color="auto" w:fill="FFFFFF"/>
          <w:lang w:val="en-US"/>
        </w:rPr>
        <w:t xml:space="preserve"> </w:t>
      </w:r>
      <w:r w:rsidR="00A002A3" w:rsidRPr="00A002A3">
        <w:rPr>
          <w:shd w:val="clear" w:color="auto" w:fill="FFFFFF"/>
          <w:lang w:val="en-US"/>
        </w:rPr>
        <w:t>Impact of current epidemiological situation (COVID-19 coronavirus) on responses - response structure (%)</w:t>
      </w:r>
    </w:p>
    <w:p w14:paraId="5B0ADBCB" w14:textId="77777777" w:rsidR="00E36B2A" w:rsidRPr="00A002A3" w:rsidRDefault="00E36B2A" w:rsidP="00E36B2A">
      <w:pPr>
        <w:pStyle w:val="Nagwek1"/>
        <w:rPr>
          <w:lang w:val="en-US"/>
        </w:rPr>
      </w:pPr>
    </w:p>
    <w:p w14:paraId="4A9EEE19" w14:textId="4B89A654" w:rsidR="00E36B2A" w:rsidRPr="00A002A3" w:rsidRDefault="00E36B2A" w:rsidP="00E36B2A">
      <w:pPr>
        <w:rPr>
          <w:lang w:val="en-US" w:eastAsia="pl-PL"/>
        </w:rPr>
      </w:pPr>
    </w:p>
    <w:p w14:paraId="4E211417" w14:textId="55B8A8D4" w:rsidR="00E36B2A" w:rsidRPr="00A002A3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D3E407F" wp14:editId="6895CBCF">
                <wp:simplePos x="0" y="0"/>
                <wp:positionH relativeFrom="column">
                  <wp:posOffset>5202555</wp:posOffset>
                </wp:positionH>
                <wp:positionV relativeFrom="paragraph">
                  <wp:posOffset>2253615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51E8" w14:textId="4CDE2724" w:rsidR="00DC60D9" w:rsidRPr="002F0B6B" w:rsidRDefault="00D21A85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5.6</w:t>
                            </w:r>
                            <w:r w:rsidR="00DC60D9" w:rsidRPr="002F0B6B">
                              <w:rPr>
                                <w:lang w:val="en-US"/>
                              </w:rPr>
                              <w:t>% of respondents expressed a definite fear of losing their job or stopping their own business</w:t>
                            </w:r>
                          </w:p>
                          <w:p w14:paraId="23EFFE89" w14:textId="77777777" w:rsidR="00DC60D9" w:rsidRPr="002F0B6B" w:rsidRDefault="00DC60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407F" id="Pole tekstowe 201" o:spid="_x0000_s1036" type="#_x0000_t202" style="position:absolute;margin-left:409.65pt;margin-top:177.45pt;width:135.85pt;height:77.6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" filled="f" stroked="f">
                <v:textbox>
                  <w:txbxContent>
                    <w:p w14:paraId="4B4151E8" w14:textId="4CDE2724" w:rsidR="00DC60D9" w:rsidRPr="002F0B6B" w:rsidRDefault="00D21A85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5.6</w:t>
                      </w:r>
                      <w:r w:rsidR="00DC60D9" w:rsidRPr="002F0B6B">
                        <w:rPr>
                          <w:lang w:val="en-US"/>
                        </w:rPr>
                        <w:t>% of respondents expressed a definite fear of losing their job or stopping their own business</w:t>
                      </w:r>
                    </w:p>
                    <w:p w14:paraId="23EFFE89" w14:textId="77777777" w:rsidR="00DC60D9" w:rsidRPr="002F0B6B" w:rsidRDefault="00DC60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002A3" w:rsidRPr="00A002A3">
        <w:rPr>
          <w:lang w:val="en-US"/>
        </w:rPr>
        <w:t>Fear of losing a job or stopping running your own business due to the current epidemiological situation</w:t>
      </w:r>
    </w:p>
    <w:p w14:paraId="0CDC0AA1" w14:textId="53F7D26E" w:rsidR="00E36B2A" w:rsidRPr="002F0B6B" w:rsidRDefault="00D21A85" w:rsidP="00E36B2A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>Among the employed (60.2</w:t>
      </w:r>
      <w:r w:rsidR="00A002A3" w:rsidRPr="002F0B6B">
        <w:rPr>
          <w:shd w:val="clear" w:color="auto" w:fill="FFFFFF"/>
          <w:lang w:val="en-US"/>
        </w:rPr>
        <w:t>% of resp</w:t>
      </w:r>
      <w:r w:rsidR="005C428F">
        <w:rPr>
          <w:shd w:val="clear" w:color="auto" w:fill="FFFFFF"/>
          <w:lang w:val="en-US"/>
        </w:rPr>
        <w:t xml:space="preserve">ondents), </w:t>
      </w:r>
      <w:r>
        <w:rPr>
          <w:shd w:val="clear" w:color="auto" w:fill="FFFFFF"/>
          <w:lang w:val="en-US"/>
        </w:rPr>
        <w:t>5</w:t>
      </w:r>
      <w:r w:rsidR="004D06F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6</w:t>
      </w:r>
      <w:r w:rsidR="00A002A3" w:rsidRPr="002F0B6B">
        <w:rPr>
          <w:shd w:val="clear" w:color="auto" w:fill="FFFFFF"/>
          <w:lang w:val="en-US"/>
        </w:rPr>
        <w:t>% of respondents have a definite fear of losing their job or stopping their own busines</w:t>
      </w:r>
      <w:r w:rsidR="00D91D07">
        <w:rPr>
          <w:shd w:val="clear" w:color="auto" w:fill="FFFFFF"/>
          <w:lang w:val="en-US"/>
        </w:rPr>
        <w:t xml:space="preserve">s. </w:t>
      </w:r>
      <w:r w:rsidR="004D06F5" w:rsidRPr="002F0B6B">
        <w:rPr>
          <w:shd w:val="clear" w:color="auto" w:fill="FFFFFF"/>
          <w:lang w:val="en-US"/>
        </w:rPr>
        <w:t>For the "possible" and "rather not" o</w:t>
      </w:r>
      <w:r>
        <w:rPr>
          <w:shd w:val="clear" w:color="auto" w:fill="FFFFFF"/>
          <w:lang w:val="en-US"/>
        </w:rPr>
        <w:t>ptions, the response rate was 20.7% and 33.0</w:t>
      </w:r>
      <w:r w:rsidR="004D06F5" w:rsidRPr="002F0B6B">
        <w:rPr>
          <w:shd w:val="clear" w:color="auto" w:fill="FFFFFF"/>
          <w:lang w:val="en-US"/>
        </w:rPr>
        <w:t>%, respectively</w:t>
      </w:r>
      <w:r w:rsidR="00AD4E1C">
        <w:rPr>
          <w:shd w:val="clear" w:color="auto" w:fill="FFFFFF"/>
          <w:lang w:val="en-US"/>
        </w:rPr>
        <w:t>.</w:t>
      </w:r>
      <w:r w:rsidR="004D06F5">
        <w:rPr>
          <w:shd w:val="clear" w:color="auto" w:fill="FFFFFF"/>
          <w:lang w:val="en-US"/>
        </w:rPr>
        <w:t xml:space="preserve"> </w:t>
      </w:r>
      <w:r w:rsidR="004D06F5" w:rsidRPr="004D06F5">
        <w:rPr>
          <w:shd w:val="clear" w:color="auto" w:fill="FFFFFF"/>
          <w:lang w:val="en-US"/>
        </w:rPr>
        <w:t xml:space="preserve">The percentage of </w:t>
      </w:r>
      <w:r w:rsidR="004D06F5">
        <w:rPr>
          <w:shd w:val="clear" w:color="auto" w:fill="FFFFFF"/>
          <w:lang w:val="en-US"/>
        </w:rPr>
        <w:t>working</w:t>
      </w:r>
      <w:r w:rsidR="004D06F5" w:rsidRPr="004D06F5">
        <w:rPr>
          <w:shd w:val="clear" w:color="auto" w:fill="FFFFFF"/>
          <w:lang w:val="en-US"/>
        </w:rPr>
        <w:t xml:space="preserve"> people who do</w:t>
      </w:r>
      <w:r>
        <w:rPr>
          <w:shd w:val="clear" w:color="auto" w:fill="FFFFFF"/>
          <w:lang w:val="en-US"/>
        </w:rPr>
        <w:t xml:space="preserve"> not have any concerns is 38.5</w:t>
      </w:r>
      <w:r w:rsidR="004D06F5">
        <w:rPr>
          <w:shd w:val="clear" w:color="auto" w:fill="FFFFFF"/>
          <w:lang w:val="en-US"/>
        </w:rPr>
        <w:t>%</w:t>
      </w:r>
      <w:r w:rsidR="00A002A3" w:rsidRPr="002F0B6B">
        <w:rPr>
          <w:shd w:val="clear" w:color="auto" w:fill="FFFFFF"/>
          <w:lang w:val="en-US"/>
        </w:rPr>
        <w:t xml:space="preserve">. A small </w:t>
      </w:r>
      <w:r w:rsidR="004D06F5">
        <w:rPr>
          <w:shd w:val="clear" w:color="auto" w:fill="FFFFFF"/>
          <w:lang w:val="en-US"/>
        </w:rPr>
        <w:t>number</w:t>
      </w:r>
      <w:r>
        <w:rPr>
          <w:shd w:val="clear" w:color="auto" w:fill="FFFFFF"/>
          <w:lang w:val="en-US"/>
        </w:rPr>
        <w:t xml:space="preserve"> of working respondents (2.3</w:t>
      </w:r>
      <w:r w:rsidR="00A002A3" w:rsidRPr="002F0B6B">
        <w:rPr>
          <w:shd w:val="clear" w:color="auto" w:fill="FFFFFF"/>
          <w:lang w:val="en-US"/>
        </w:rPr>
        <w:t>%) had no opinion.</w:t>
      </w:r>
      <w:r w:rsidR="00E36B2A" w:rsidRPr="002F0B6B">
        <w:rPr>
          <w:lang w:val="en-US"/>
        </w:rPr>
        <w:br w:type="page"/>
      </w:r>
    </w:p>
    <w:p w14:paraId="70908433" w14:textId="2A525DC9" w:rsidR="00E36B2A" w:rsidRPr="00C94664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70016" behindDoc="0" locked="0" layoutInCell="1" allowOverlap="1" wp14:anchorId="6C5356BF" wp14:editId="714166CF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64">
        <w:rPr>
          <w:noProof/>
          <w:lang w:val="en-US" w:eastAsia="pl-PL"/>
        </w:rPr>
        <w:t>Chart</w:t>
      </w:r>
      <w:r w:rsidRPr="00C94664">
        <w:rPr>
          <w:lang w:val="en-US"/>
        </w:rPr>
        <w:t xml:space="preserve"> 2.</w:t>
      </w:r>
      <w:r w:rsidRPr="00C94664">
        <w:rPr>
          <w:shd w:val="clear" w:color="auto" w:fill="FFFFFF"/>
          <w:lang w:val="en-US"/>
        </w:rPr>
        <w:t xml:space="preserve"> </w:t>
      </w:r>
      <w:r w:rsidR="00C94664" w:rsidRPr="00C94664">
        <w:rPr>
          <w:shd w:val="clear" w:color="auto" w:fill="FFFFFF"/>
          <w:lang w:val="en-US"/>
        </w:rPr>
        <w:t>Fear of losing your job or stopping your own business due to the current epidemiological situation (COVID-19 coronavirus) - structure of responses for employees (%)</w:t>
      </w:r>
    </w:p>
    <w:p w14:paraId="732C7DD4" w14:textId="77777777" w:rsidR="00E36B2A" w:rsidRPr="00C94664" w:rsidRDefault="00E36B2A" w:rsidP="00E36B2A">
      <w:pPr>
        <w:pStyle w:val="tytuwykresu"/>
        <w:ind w:left="426" w:hanging="426"/>
        <w:rPr>
          <w:shd w:val="clear" w:color="auto" w:fill="FFFFFF"/>
          <w:lang w:val="en-US"/>
        </w:rPr>
      </w:pPr>
    </w:p>
    <w:p w14:paraId="0CE41E09" w14:textId="77777777" w:rsidR="00E36B2A" w:rsidRPr="00C94664" w:rsidRDefault="00E36B2A" w:rsidP="00E36B2A">
      <w:pPr>
        <w:pStyle w:val="Nagwek1"/>
        <w:rPr>
          <w:lang w:val="en-US"/>
        </w:rPr>
      </w:pPr>
    </w:p>
    <w:p w14:paraId="26610807" w14:textId="77777777" w:rsidR="00E36B2A" w:rsidRPr="00C94664" w:rsidRDefault="00E36B2A" w:rsidP="00E36B2A">
      <w:pPr>
        <w:rPr>
          <w:lang w:val="en-US" w:eastAsia="pl-PL"/>
        </w:rPr>
      </w:pPr>
    </w:p>
    <w:p w14:paraId="737DB654" w14:textId="11997009" w:rsidR="00E36B2A" w:rsidRPr="00224E00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24BF057A" wp14:editId="582E7197">
                <wp:simplePos x="0" y="0"/>
                <wp:positionH relativeFrom="column">
                  <wp:posOffset>5227955</wp:posOffset>
                </wp:positionH>
                <wp:positionV relativeFrom="paragraph">
                  <wp:posOffset>86360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0925" w14:textId="1AE97479" w:rsidR="00DC60D9" w:rsidRPr="00D771BA" w:rsidRDefault="00C006C9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According to 47</w:t>
                            </w:r>
                            <w:r w:rsidR="00DC60D9">
                              <w:rPr>
                                <w:lang w:val="en-US"/>
                              </w:rPr>
                              <w:t>.3</w:t>
                            </w:r>
                            <w:r w:rsidR="00DC60D9" w:rsidRPr="00D771BA">
                              <w:rPr>
                                <w:lang w:val="en-US"/>
                              </w:rPr>
                              <w:t xml:space="preserve">% of respondents, the current epidemiological situation poses a big threat to the health of the </w:t>
                            </w:r>
                            <w:r w:rsidR="00DC60D9">
                              <w:rPr>
                                <w:lang w:val="en-US"/>
                              </w:rPr>
                              <w:t xml:space="preserve">Polish </w:t>
                            </w:r>
                            <w:r w:rsidR="00DC60D9" w:rsidRPr="00D771BA">
                              <w:rPr>
                                <w:lang w:val="en-US"/>
                              </w:rPr>
                              <w:t>population as a whole</w:t>
                            </w:r>
                          </w:p>
                          <w:p w14:paraId="0D998605" w14:textId="77777777" w:rsidR="00DC60D9" w:rsidRPr="00224E00" w:rsidRDefault="00DC60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057A" id="Pole tekstowe 7" o:spid="_x0000_s1037" type="#_x0000_t202" style="position:absolute;margin-left:411.65pt;margin-top:6.8pt;width:135.85pt;height:86.4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" filled="f" stroked="f">
                <v:textbox>
                  <w:txbxContent>
                    <w:p w14:paraId="07060925" w14:textId="1AE97479" w:rsidR="00DC60D9" w:rsidRPr="00D771BA" w:rsidRDefault="00C006C9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According to 47</w:t>
                      </w:r>
                      <w:r w:rsidR="00DC60D9">
                        <w:rPr>
                          <w:lang w:val="en-US"/>
                        </w:rPr>
                        <w:t>.3</w:t>
                      </w:r>
                      <w:r w:rsidR="00DC60D9" w:rsidRPr="00D771BA">
                        <w:rPr>
                          <w:lang w:val="en-US"/>
                        </w:rPr>
                        <w:t xml:space="preserve">% of respondents, the current epidemiological situation poses a big threat to the health of the </w:t>
                      </w:r>
                      <w:r w:rsidR="00DC60D9">
                        <w:rPr>
                          <w:lang w:val="en-US"/>
                        </w:rPr>
                        <w:t xml:space="preserve">Polish </w:t>
                      </w:r>
                      <w:r w:rsidR="00DC60D9" w:rsidRPr="00D771BA">
                        <w:rPr>
                          <w:lang w:val="en-US"/>
                        </w:rPr>
                        <w:t>population as a whole</w:t>
                      </w:r>
                    </w:p>
                    <w:p w14:paraId="0D998605" w14:textId="77777777" w:rsidR="00DC60D9" w:rsidRPr="00224E00" w:rsidRDefault="00DC60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4E00" w:rsidRPr="00224E00">
        <w:rPr>
          <w:lang w:val="en-US"/>
        </w:rPr>
        <w:t>What threat is the current epidemiological situation for the health of the population of Poland as a whole</w:t>
      </w:r>
    </w:p>
    <w:p w14:paraId="38C8A0CA" w14:textId="365E3FC8" w:rsidR="00E36B2A" w:rsidRPr="00224E00" w:rsidRDefault="00715B4C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</w:t>
      </w:r>
      <w:r w:rsidR="00C006C9">
        <w:rPr>
          <w:shd w:val="clear" w:color="auto" w:fill="FFFFFF"/>
          <w:lang w:val="en-US"/>
        </w:rPr>
        <w:t xml:space="preserve"> 47</w:t>
      </w:r>
      <w:r w:rsidR="009D44D3">
        <w:rPr>
          <w:shd w:val="clear" w:color="auto" w:fill="FFFFFF"/>
          <w:lang w:val="en-US"/>
        </w:rPr>
        <w:t>.3</w:t>
      </w:r>
      <w:r w:rsidR="00224E00" w:rsidRPr="00224E00">
        <w:rPr>
          <w:shd w:val="clear" w:color="auto" w:fill="FFFFFF"/>
          <w:lang w:val="en-US"/>
        </w:rPr>
        <w:t xml:space="preserve">% of respondents, the current epidemiological situation poses a </w:t>
      </w:r>
      <w:r w:rsidR="00224E00">
        <w:rPr>
          <w:shd w:val="clear" w:color="auto" w:fill="FFFFFF"/>
          <w:lang w:val="en-US"/>
        </w:rPr>
        <w:t>big</w:t>
      </w:r>
      <w:r w:rsidR="00224E00" w:rsidRPr="00224E00">
        <w:rPr>
          <w:shd w:val="clear" w:color="auto" w:fill="FFFFFF"/>
          <w:lang w:val="en-US"/>
        </w:rPr>
        <w:t xml:space="preserve"> threat to the health of the </w:t>
      </w:r>
      <w:r w:rsidR="00B7421B">
        <w:rPr>
          <w:shd w:val="clear" w:color="auto" w:fill="FFFFFF"/>
          <w:lang w:val="en-US"/>
        </w:rPr>
        <w:t xml:space="preserve">Polish </w:t>
      </w:r>
      <w:r w:rsidR="00224E00" w:rsidRPr="00224E00">
        <w:rPr>
          <w:shd w:val="clear" w:color="auto" w:fill="FFFFFF"/>
          <w:lang w:val="en-US"/>
        </w:rPr>
        <w:t>population as a whole. T</w:t>
      </w:r>
      <w:r w:rsidR="00EE7F22">
        <w:rPr>
          <w:shd w:val="clear" w:color="auto" w:fill="FFFFFF"/>
          <w:lang w:val="en-US"/>
        </w:rPr>
        <w:t xml:space="preserve">he average </w:t>
      </w:r>
      <w:r w:rsidR="00C006C9">
        <w:rPr>
          <w:shd w:val="clear" w:color="auto" w:fill="FFFFFF"/>
          <w:lang w:val="en-US"/>
        </w:rPr>
        <w:t>threat is felt by 45.8</w:t>
      </w:r>
      <w:r w:rsidR="00224E00" w:rsidRPr="00224E00">
        <w:rPr>
          <w:shd w:val="clear" w:color="auto" w:fill="FFFFFF"/>
          <w:lang w:val="en-US"/>
        </w:rPr>
        <w:t xml:space="preserve">% of respondents. A </w:t>
      </w:r>
      <w:r w:rsidR="00224E00">
        <w:rPr>
          <w:shd w:val="clear" w:color="auto" w:fill="FFFFFF"/>
          <w:lang w:val="en-US"/>
        </w:rPr>
        <w:t>small threat</w:t>
      </w:r>
      <w:r w:rsidR="00224E00" w:rsidRPr="00224E00">
        <w:rPr>
          <w:shd w:val="clear" w:color="auto" w:fill="FFFFFF"/>
          <w:lang w:val="en-US"/>
        </w:rPr>
        <w:t xml:space="preserve"> is declared by </w:t>
      </w:r>
      <w:r w:rsidR="00C006C9">
        <w:rPr>
          <w:shd w:val="clear" w:color="auto" w:fill="FFFFFF"/>
          <w:lang w:val="en-US"/>
        </w:rPr>
        <w:t>6.6</w:t>
      </w:r>
      <w:r w:rsidR="009D44D3">
        <w:rPr>
          <w:shd w:val="clear" w:color="auto" w:fill="FFFFFF"/>
          <w:lang w:val="en-US"/>
        </w:rPr>
        <w:t>%, while only 0</w:t>
      </w:r>
      <w:r w:rsidR="00224E00" w:rsidRPr="00224E00">
        <w:rPr>
          <w:shd w:val="clear" w:color="auto" w:fill="FFFFFF"/>
          <w:lang w:val="en-US"/>
        </w:rPr>
        <w:t>.</w:t>
      </w:r>
      <w:r w:rsidR="00C006C9">
        <w:rPr>
          <w:shd w:val="clear" w:color="auto" w:fill="FFFFFF"/>
          <w:lang w:val="en-US"/>
        </w:rPr>
        <w:t>3</w:t>
      </w:r>
      <w:r w:rsidR="00224E00" w:rsidRPr="00224E00">
        <w:rPr>
          <w:shd w:val="clear" w:color="auto" w:fill="FFFFFF"/>
          <w:lang w:val="en-US"/>
        </w:rPr>
        <w:t xml:space="preserve">% of respondents said there was no </w:t>
      </w:r>
      <w:r w:rsidR="00224E00">
        <w:rPr>
          <w:shd w:val="clear" w:color="auto" w:fill="FFFFFF"/>
          <w:lang w:val="en-US"/>
        </w:rPr>
        <w:t>threat</w:t>
      </w:r>
      <w:r w:rsidR="00224E00" w:rsidRPr="00224E00">
        <w:rPr>
          <w:shd w:val="clear" w:color="auto" w:fill="FFFFFF"/>
          <w:lang w:val="en-US"/>
        </w:rPr>
        <w:t>.</w:t>
      </w:r>
    </w:p>
    <w:p w14:paraId="03CD2AFF" w14:textId="77777777" w:rsidR="00E36B2A" w:rsidRPr="00224E00" w:rsidRDefault="00E36B2A" w:rsidP="00E36B2A">
      <w:pPr>
        <w:pStyle w:val="tytuwykresu"/>
        <w:ind w:left="851" w:hanging="851"/>
        <w:rPr>
          <w:lang w:val="en-US"/>
        </w:rPr>
      </w:pPr>
    </w:p>
    <w:p w14:paraId="70F7224B" w14:textId="7A9A89C9" w:rsidR="00E36B2A" w:rsidRPr="00B645F5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B645F5">
        <w:rPr>
          <w:noProof/>
          <w:lang w:val="en-US" w:eastAsia="pl-PL"/>
        </w:rPr>
        <w:t>Chart</w:t>
      </w:r>
      <w:r w:rsidRPr="00B645F5">
        <w:rPr>
          <w:lang w:val="en-US"/>
        </w:rPr>
        <w:t xml:space="preserve"> 3.</w:t>
      </w:r>
      <w:r w:rsidRPr="00B645F5">
        <w:rPr>
          <w:shd w:val="clear" w:color="auto" w:fill="FFFFFF"/>
          <w:lang w:val="en-US"/>
        </w:rPr>
        <w:t xml:space="preserve"> </w:t>
      </w:r>
      <w:r w:rsidR="00B645F5" w:rsidRPr="00B645F5">
        <w:rPr>
          <w:shd w:val="clear" w:color="auto" w:fill="FFFFFF"/>
          <w:lang w:val="en-US"/>
        </w:rPr>
        <w:t>What is the threat of the current epidemiological situation (COVID-19 coronavirus) for the health of the population of Poland as a whole - response structure (%)</w:t>
      </w:r>
    </w:p>
    <w:p w14:paraId="1012690B" w14:textId="188DA65F" w:rsidR="00E36B2A" w:rsidRDefault="00B476DD" w:rsidP="00E36B2A">
      <w:pPr>
        <w:pStyle w:val="Nagwek1"/>
        <w:rPr>
          <w:lang w:val="en-US"/>
        </w:rPr>
      </w:pPr>
      <w:r w:rsidRPr="00341AC1">
        <w:rPr>
          <w:noProof/>
        </w:rPr>
        <w:drawing>
          <wp:anchor distT="0" distB="0" distL="114300" distR="114300" simplePos="0" relativeHeight="251659776" behindDoc="0" locked="0" layoutInCell="1" allowOverlap="1" wp14:anchorId="755CAEF8" wp14:editId="01354F5E">
            <wp:simplePos x="0" y="0"/>
            <wp:positionH relativeFrom="margin">
              <wp:align>right</wp:align>
            </wp:positionH>
            <wp:positionV relativeFrom="margin">
              <wp:posOffset>4917847</wp:posOffset>
            </wp:positionV>
            <wp:extent cx="5122545" cy="1980000"/>
            <wp:effectExtent l="0" t="0" r="1905" b="127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3FE05" w14:textId="6916537C" w:rsidR="00B476DD" w:rsidRPr="00B476DD" w:rsidRDefault="00B476DD" w:rsidP="00B476DD">
      <w:pPr>
        <w:rPr>
          <w:lang w:val="en-US" w:eastAsia="pl-PL"/>
        </w:rPr>
      </w:pPr>
    </w:p>
    <w:p w14:paraId="0FB4ADE8" w14:textId="18F7B833" w:rsidR="00B476DD" w:rsidRDefault="00B476DD" w:rsidP="00E36B2A">
      <w:pPr>
        <w:pStyle w:val="Nagwek1"/>
        <w:rPr>
          <w:lang w:val="en-US"/>
        </w:rPr>
      </w:pPr>
    </w:p>
    <w:p w14:paraId="2D54957A" w14:textId="7262304D" w:rsidR="00E36B2A" w:rsidRPr="00FF0619" w:rsidRDefault="00B476DD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496FB0A" wp14:editId="6762CE09">
                <wp:simplePos x="0" y="0"/>
                <wp:positionH relativeFrom="column">
                  <wp:posOffset>5215577</wp:posOffset>
                </wp:positionH>
                <wp:positionV relativeFrom="paragraph">
                  <wp:posOffset>82768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2CDF" w14:textId="0A1400A0" w:rsidR="00DC60D9" w:rsidRPr="00826F9A" w:rsidRDefault="00DC60D9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36.8</w:t>
                            </w:r>
                            <w:r w:rsidRPr="00826F9A">
                              <w:rPr>
                                <w:lang w:val="en-US"/>
                              </w:rPr>
                              <w:t>% of respondents, the current epidemiological situation is a big threat to their personal health</w:t>
                            </w:r>
                          </w:p>
                          <w:p w14:paraId="33341CE3" w14:textId="77777777" w:rsidR="00DC60D9" w:rsidRPr="00826F9A" w:rsidRDefault="00DC60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0A" id="Pole tekstowe 202" o:spid="_x0000_s1038" type="#_x0000_t202" style="position:absolute;margin-left:410.7pt;margin-top:6.5pt;width:135.85pt;height:77.6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" filled="f" stroked="f">
                <v:textbox>
                  <w:txbxContent>
                    <w:p w14:paraId="24462CDF" w14:textId="0A1400A0" w:rsidR="00DC60D9" w:rsidRPr="00826F9A" w:rsidRDefault="00DC60D9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36.8</w:t>
                      </w:r>
                      <w:r w:rsidRPr="00826F9A">
                        <w:rPr>
                          <w:lang w:val="en-US"/>
                        </w:rPr>
                        <w:t>% of respondents, the current epidemiological situation is a big threat to their personal health</w:t>
                      </w:r>
                    </w:p>
                    <w:p w14:paraId="33341CE3" w14:textId="77777777" w:rsidR="00DC60D9" w:rsidRPr="00826F9A" w:rsidRDefault="00DC60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0619" w:rsidRPr="00FF0619">
        <w:rPr>
          <w:lang w:val="en-US"/>
        </w:rPr>
        <w:t>What threat is the current epidemiological situation for personal health</w:t>
      </w:r>
    </w:p>
    <w:p w14:paraId="20F731EE" w14:textId="4D1FC82A" w:rsidR="00E36B2A" w:rsidRPr="00FF0619" w:rsidRDefault="00F32B73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For </w:t>
      </w:r>
      <w:r w:rsidR="00AB176F">
        <w:rPr>
          <w:shd w:val="clear" w:color="auto" w:fill="FFFFFF"/>
          <w:lang w:val="en-US"/>
        </w:rPr>
        <w:t>36.8</w:t>
      </w:r>
      <w:r w:rsidR="00FF0619" w:rsidRPr="00FF0619">
        <w:rPr>
          <w:shd w:val="clear" w:color="auto" w:fill="FFFFFF"/>
          <w:lang w:val="en-US"/>
        </w:rPr>
        <w:t xml:space="preserve">% of respondents, the current epidemiological situation is a </w:t>
      </w:r>
      <w:r w:rsidR="00FF0619">
        <w:rPr>
          <w:shd w:val="clear" w:color="auto" w:fill="FFFFFF"/>
          <w:lang w:val="en-US"/>
        </w:rPr>
        <w:t>big</w:t>
      </w:r>
      <w:r w:rsidR="00FF0619" w:rsidRPr="00FF0619">
        <w:rPr>
          <w:shd w:val="clear" w:color="auto" w:fill="FFFFFF"/>
          <w:lang w:val="en-US"/>
        </w:rPr>
        <w:t xml:space="preserve"> thr</w:t>
      </w:r>
      <w:r w:rsidR="00957BF6">
        <w:rPr>
          <w:shd w:val="clear" w:color="auto" w:fill="FFFFFF"/>
          <w:lang w:val="en-US"/>
        </w:rPr>
        <w:t>eat to their personal</w:t>
      </w:r>
      <w:r>
        <w:rPr>
          <w:shd w:val="clear" w:color="auto" w:fill="FFFFFF"/>
          <w:lang w:val="en-US"/>
        </w:rPr>
        <w:t xml:space="preserve"> health. 4</w:t>
      </w:r>
      <w:r w:rsidR="001C6D49">
        <w:rPr>
          <w:shd w:val="clear" w:color="auto" w:fill="FFFFFF"/>
          <w:lang w:val="en-US"/>
        </w:rPr>
        <w:t>5.7</w:t>
      </w:r>
      <w:r w:rsidR="00FF0619" w:rsidRPr="00FF0619">
        <w:rPr>
          <w:shd w:val="clear" w:color="auto" w:fill="FFFFFF"/>
          <w:lang w:val="en-US"/>
        </w:rPr>
        <w:t>% of responde</w:t>
      </w:r>
      <w:r w:rsidR="001C6D49">
        <w:rPr>
          <w:shd w:val="clear" w:color="auto" w:fill="FFFFFF"/>
          <w:lang w:val="en-US"/>
        </w:rPr>
        <w:t>nts feel an average threat. 15</w:t>
      </w:r>
      <w:r w:rsidR="00BF4923">
        <w:rPr>
          <w:shd w:val="clear" w:color="auto" w:fill="FFFFFF"/>
          <w:lang w:val="en-US"/>
        </w:rPr>
        <w:t>.1</w:t>
      </w:r>
      <w:r w:rsidR="00FF0619" w:rsidRPr="00FF0619">
        <w:rPr>
          <w:shd w:val="clear" w:color="auto" w:fill="FFFFFF"/>
          <w:lang w:val="en-US"/>
        </w:rPr>
        <w:t xml:space="preserve">% declare a </w:t>
      </w:r>
      <w:r w:rsidR="00FF0619">
        <w:rPr>
          <w:shd w:val="clear" w:color="auto" w:fill="FFFFFF"/>
          <w:lang w:val="en-US"/>
        </w:rPr>
        <w:t>small threat</w:t>
      </w:r>
      <w:r w:rsidR="001C6D49">
        <w:rPr>
          <w:shd w:val="clear" w:color="auto" w:fill="FFFFFF"/>
          <w:lang w:val="en-US"/>
        </w:rPr>
        <w:t>, while 2.4</w:t>
      </w:r>
      <w:r w:rsidR="00FF0619">
        <w:rPr>
          <w:shd w:val="clear" w:color="auto" w:fill="FFFFFF"/>
          <w:lang w:val="en-US"/>
        </w:rPr>
        <w:t>% of respondents said no threat</w:t>
      </w:r>
      <w:r w:rsidR="00E36B2A" w:rsidRPr="00FF0619">
        <w:rPr>
          <w:shd w:val="clear" w:color="auto" w:fill="FFFFFF"/>
          <w:lang w:val="en-US"/>
        </w:rPr>
        <w:t>.</w:t>
      </w:r>
    </w:p>
    <w:p w14:paraId="46432B50" w14:textId="596BBFDC" w:rsidR="00E36B2A" w:rsidRPr="00FF0619" w:rsidRDefault="00E36B2A" w:rsidP="00E36B2A">
      <w:pPr>
        <w:spacing w:before="0" w:after="160" w:line="259" w:lineRule="auto"/>
        <w:rPr>
          <w:lang w:val="en-US"/>
        </w:rPr>
      </w:pPr>
      <w:r w:rsidRPr="00FF0619">
        <w:rPr>
          <w:lang w:val="en-US"/>
        </w:rPr>
        <w:br w:type="page"/>
      </w:r>
    </w:p>
    <w:p w14:paraId="19E16A37" w14:textId="77777777" w:rsidR="00E36B2A" w:rsidRPr="00FF0619" w:rsidRDefault="00E36B2A" w:rsidP="00E36B2A">
      <w:pPr>
        <w:tabs>
          <w:tab w:val="left" w:pos="3218"/>
        </w:tabs>
        <w:rPr>
          <w:lang w:val="en-US"/>
        </w:rPr>
      </w:pPr>
    </w:p>
    <w:p w14:paraId="77B484C3" w14:textId="53987AA0" w:rsidR="00E36B2A" w:rsidRPr="00D844C2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D4E92AC" wp14:editId="0CDFF9D4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4C2">
        <w:rPr>
          <w:noProof/>
          <w:lang w:val="en-US" w:eastAsia="pl-PL"/>
        </w:rPr>
        <w:t>Chart</w:t>
      </w:r>
      <w:r w:rsidRPr="00D844C2">
        <w:rPr>
          <w:lang w:val="en-US"/>
        </w:rPr>
        <w:t xml:space="preserve"> 4.</w:t>
      </w:r>
      <w:r w:rsidRPr="00D844C2">
        <w:rPr>
          <w:shd w:val="clear" w:color="auto" w:fill="FFFFFF"/>
          <w:lang w:val="en-US"/>
        </w:rPr>
        <w:t xml:space="preserve"> </w:t>
      </w:r>
      <w:r w:rsidR="00D844C2" w:rsidRPr="00D844C2">
        <w:rPr>
          <w:shd w:val="clear" w:color="auto" w:fill="FFFFFF"/>
          <w:lang w:val="en-US"/>
        </w:rPr>
        <w:t>What is the threat of the current epidemiological situation (COVID-19 coronavirus) for personal health - response structure (%)</w:t>
      </w:r>
    </w:p>
    <w:p w14:paraId="6356234D" w14:textId="77777777" w:rsidR="00E36B2A" w:rsidRPr="00D844C2" w:rsidRDefault="00E36B2A" w:rsidP="00E36B2A">
      <w:pPr>
        <w:pStyle w:val="Nagwek1"/>
        <w:rPr>
          <w:lang w:val="en-US"/>
        </w:rPr>
      </w:pPr>
    </w:p>
    <w:p w14:paraId="7A95218D" w14:textId="77777777" w:rsidR="00E36B2A" w:rsidRPr="00D844C2" w:rsidRDefault="00E36B2A" w:rsidP="00E36B2A">
      <w:pPr>
        <w:pStyle w:val="Nagwek1"/>
        <w:rPr>
          <w:lang w:val="en-US"/>
        </w:rPr>
      </w:pPr>
    </w:p>
    <w:p w14:paraId="46352398" w14:textId="2016492B" w:rsidR="00E36B2A" w:rsidRPr="002C0DF9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1642D4B" wp14:editId="5DF52195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6E9B" w14:textId="6D641AEB" w:rsidR="00DC60D9" w:rsidRPr="002C0DF9" w:rsidRDefault="00481E31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69.1</w:t>
                            </w:r>
                            <w:r w:rsidR="00DC60D9"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current epidemiological situation is a </w:t>
                            </w:r>
                            <w:r w:rsidR="00DC60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big</w:t>
                            </w:r>
                            <w:r w:rsidR="00DC60D9"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threat to the economy in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2D4B" id="Pole tekstowe 203" o:spid="_x0000_s1039" type="#_x0000_t202" style="position:absolute;margin-left:412.95pt;margin-top:.25pt;width:135.85pt;height:77.6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25746E9B" w14:textId="6D641AEB" w:rsidR="00DC60D9" w:rsidRPr="002C0DF9" w:rsidRDefault="00481E31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69.1</w:t>
                      </w:r>
                      <w:r w:rsidR="00DC60D9"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current epidemiological situation is a </w:t>
                      </w:r>
                      <w:r w:rsidR="00DC60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big</w:t>
                      </w:r>
                      <w:r w:rsidR="00DC60D9"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threat to the economy in Poland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DF9" w:rsidRPr="002C0DF9">
        <w:rPr>
          <w:lang w:val="en-US"/>
        </w:rPr>
        <w:t>What threat is the current epidemiological situation for the economy in Poland</w:t>
      </w:r>
    </w:p>
    <w:p w14:paraId="7FA36458" w14:textId="106FE359" w:rsidR="00E36B2A" w:rsidRPr="002C0DF9" w:rsidRDefault="00481E31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According to 69.1</w:t>
      </w:r>
      <w:r w:rsidR="002C0DF9" w:rsidRPr="002C0DF9">
        <w:rPr>
          <w:shd w:val="clear" w:color="auto" w:fill="FFFFFF"/>
          <w:lang w:val="en-US"/>
        </w:rPr>
        <w:t xml:space="preserve">% of respondents, the current epidemiological situation is a </w:t>
      </w:r>
      <w:r w:rsidR="002C0DF9">
        <w:rPr>
          <w:shd w:val="clear" w:color="auto" w:fill="FFFFFF"/>
          <w:lang w:val="en-US"/>
        </w:rPr>
        <w:t>big</w:t>
      </w:r>
      <w:r w:rsidR="002C0DF9" w:rsidRPr="002C0DF9">
        <w:rPr>
          <w:shd w:val="clear" w:color="auto" w:fill="FFFFFF"/>
          <w:lang w:val="en-US"/>
        </w:rPr>
        <w:t xml:space="preserve"> threat to the economy in Poland. The average thr</w:t>
      </w:r>
      <w:r w:rsidR="004C13B9">
        <w:rPr>
          <w:shd w:val="clear" w:color="auto" w:fill="FFFFFF"/>
          <w:lang w:val="en-US"/>
        </w:rPr>
        <w:t xml:space="preserve">eat to the economy is felt </w:t>
      </w:r>
      <w:r w:rsidR="001323AF">
        <w:rPr>
          <w:shd w:val="clear" w:color="auto" w:fill="FFFFFF"/>
          <w:lang w:val="en-US"/>
        </w:rPr>
        <w:t>by 2</w:t>
      </w:r>
      <w:r>
        <w:rPr>
          <w:shd w:val="clear" w:color="auto" w:fill="FFFFFF"/>
          <w:lang w:val="en-US"/>
        </w:rPr>
        <w:t>8</w:t>
      </w:r>
      <w:r w:rsidR="005777E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3</w:t>
      </w:r>
      <w:r w:rsidR="002C0DF9" w:rsidRPr="002C0DF9">
        <w:rPr>
          <w:shd w:val="clear" w:color="auto" w:fill="FFFFFF"/>
          <w:lang w:val="en-US"/>
        </w:rPr>
        <w:t>% of respondents. On</w:t>
      </w:r>
      <w:r w:rsidR="005777E5">
        <w:rPr>
          <w:shd w:val="clear" w:color="auto" w:fill="FFFFFF"/>
          <w:lang w:val="en-US"/>
        </w:rPr>
        <w:t xml:space="preserve">ly </w:t>
      </w:r>
      <w:r w:rsidR="00736FE6">
        <w:rPr>
          <w:shd w:val="clear" w:color="auto" w:fill="FFFFFF"/>
          <w:lang w:val="en-US"/>
        </w:rPr>
        <w:t>2</w:t>
      </w:r>
      <w:r>
        <w:rPr>
          <w:shd w:val="clear" w:color="auto" w:fill="FFFFFF"/>
          <w:lang w:val="en-US"/>
        </w:rPr>
        <w:t>.1</w:t>
      </w:r>
      <w:r w:rsidR="002C0DF9" w:rsidRPr="002C0DF9">
        <w:rPr>
          <w:shd w:val="clear" w:color="auto" w:fill="FFFFFF"/>
          <w:lang w:val="en-US"/>
        </w:rPr>
        <w:t xml:space="preserve">% declare a small threat, while </w:t>
      </w:r>
      <w:r w:rsidR="00736FE6">
        <w:rPr>
          <w:shd w:val="clear" w:color="auto" w:fill="FFFFFF"/>
          <w:lang w:val="en-US"/>
        </w:rPr>
        <w:t>bar</w:t>
      </w:r>
      <w:r>
        <w:rPr>
          <w:shd w:val="clear" w:color="auto" w:fill="FFFFFF"/>
          <w:lang w:val="en-US"/>
        </w:rPr>
        <w:t>ely 0.5</w:t>
      </w:r>
      <w:r w:rsidR="002C0DF9" w:rsidRPr="002C0DF9">
        <w:rPr>
          <w:shd w:val="clear" w:color="auto" w:fill="FFFFFF"/>
          <w:lang w:val="en-US"/>
        </w:rPr>
        <w:t>% of respondents declar</w:t>
      </w:r>
      <w:r w:rsidR="002C0DF9">
        <w:rPr>
          <w:shd w:val="clear" w:color="auto" w:fill="FFFFFF"/>
          <w:lang w:val="en-US"/>
        </w:rPr>
        <w:t>e no threat</w:t>
      </w:r>
      <w:r w:rsidR="00E36B2A" w:rsidRPr="002C0DF9">
        <w:rPr>
          <w:shd w:val="clear" w:color="auto" w:fill="FFFFFF"/>
          <w:lang w:val="en-US"/>
        </w:rPr>
        <w:t>.</w:t>
      </w:r>
    </w:p>
    <w:p w14:paraId="3A4D73EA" w14:textId="77777777" w:rsidR="00E36B2A" w:rsidRPr="002C0DF9" w:rsidRDefault="00E36B2A" w:rsidP="00E36B2A">
      <w:pPr>
        <w:tabs>
          <w:tab w:val="left" w:pos="3218"/>
        </w:tabs>
        <w:rPr>
          <w:lang w:val="en-US"/>
        </w:rPr>
      </w:pPr>
      <w:r w:rsidRPr="002C0DF9">
        <w:rPr>
          <w:lang w:val="en-US"/>
        </w:rPr>
        <w:tab/>
      </w:r>
    </w:p>
    <w:p w14:paraId="486499DF" w14:textId="72291353" w:rsidR="00E36B2A" w:rsidRPr="005A7E40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3E313B76" wp14:editId="0903E0EF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1905" b="127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E40">
        <w:rPr>
          <w:noProof/>
          <w:lang w:val="en-US" w:eastAsia="pl-PL"/>
        </w:rPr>
        <w:t>Chart</w:t>
      </w:r>
      <w:r w:rsidRPr="005A7E40">
        <w:rPr>
          <w:lang w:val="en-US"/>
        </w:rPr>
        <w:t xml:space="preserve"> 5.</w:t>
      </w:r>
      <w:r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 xml:space="preserve">What is the </w:t>
      </w:r>
      <w:r w:rsidR="006B02C8" w:rsidRPr="005A7E40">
        <w:rPr>
          <w:shd w:val="clear" w:color="auto" w:fill="FFFFFF"/>
          <w:lang w:val="en-US"/>
        </w:rPr>
        <w:t>threat</w:t>
      </w:r>
      <w:r w:rsidR="006B02C8">
        <w:rPr>
          <w:shd w:val="clear" w:color="auto" w:fill="FFFFFF"/>
          <w:lang w:val="en-US"/>
        </w:rPr>
        <w:t xml:space="preserve"> of the</w:t>
      </w:r>
      <w:r w:rsidR="006B02C8"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>current epidemiological situation (COVID-19 coronavirus) for the economy in Poland - response structure (%)</w:t>
      </w:r>
    </w:p>
    <w:p w14:paraId="566FCCE3" w14:textId="77777777" w:rsidR="00E36B2A" w:rsidRPr="005A7E40" w:rsidRDefault="00E36B2A" w:rsidP="00E36B2A">
      <w:pPr>
        <w:pStyle w:val="Nagwek1"/>
        <w:rPr>
          <w:lang w:val="en-US"/>
        </w:rPr>
      </w:pPr>
    </w:p>
    <w:p w14:paraId="1A14083E" w14:textId="77777777" w:rsidR="00E36B2A" w:rsidRPr="005A7E40" w:rsidRDefault="00E36B2A" w:rsidP="00E36B2A">
      <w:pPr>
        <w:rPr>
          <w:lang w:val="en-US" w:eastAsia="pl-PL"/>
        </w:rPr>
      </w:pPr>
    </w:p>
    <w:p w14:paraId="0D8CFBF5" w14:textId="4051AE80" w:rsidR="00E36B2A" w:rsidRPr="00D771BA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3EBA0C89" wp14:editId="04EE2D6F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ED7D" w14:textId="375DAFA6" w:rsidR="00DC60D9" w:rsidRPr="00D771BA" w:rsidRDefault="009A316A" w:rsidP="00E36B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22.2</w:t>
                            </w:r>
                            <w:r w:rsidR="00DC60D9"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their personal financial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0C89" id="Pole tekstowe 204" o:spid="_x0000_s1040" type="#_x0000_t202" style="position:absolute;margin-left:8.05pt;margin-top:6.35pt;width:135.85pt;height:77.6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348AED7D" w14:textId="375DAFA6" w:rsidR="00DC60D9" w:rsidRPr="00D771BA" w:rsidRDefault="009A316A" w:rsidP="00E36B2A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22.2</w:t>
                      </w:r>
                      <w:r w:rsidR="00DC60D9"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their personal financial situation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71BA" w:rsidRPr="00D771BA">
        <w:rPr>
          <w:lang w:val="en-US"/>
        </w:rPr>
        <w:t>What threat is the current epidemiological situation for personal financial situation</w:t>
      </w:r>
    </w:p>
    <w:p w14:paraId="4FDA54D6" w14:textId="71F94F06" w:rsidR="00E36B2A" w:rsidRPr="00D771BA" w:rsidRDefault="00254532" w:rsidP="00E36B2A">
      <w:pPr>
        <w:spacing w:before="0" w:after="160" w:line="259" w:lineRule="auto"/>
        <w:rPr>
          <w:lang w:val="en-US"/>
        </w:rPr>
      </w:pPr>
      <w:r>
        <w:rPr>
          <w:shd w:val="clear" w:color="auto" w:fill="FFFFFF"/>
          <w:lang w:val="en-US"/>
        </w:rPr>
        <w:t>For 22.2</w:t>
      </w:r>
      <w:r w:rsidR="00D771BA" w:rsidRPr="00D771BA">
        <w:rPr>
          <w:shd w:val="clear" w:color="auto" w:fill="FFFFFF"/>
          <w:lang w:val="en-US"/>
        </w:rPr>
        <w:t>% of respondents, the current epidemiological situation is a big threat to their personal financial situation. Th</w:t>
      </w:r>
      <w:r w:rsidR="009F61CB">
        <w:rPr>
          <w:shd w:val="clear" w:color="auto" w:fill="FFFFFF"/>
          <w:lang w:val="en-US"/>
        </w:rPr>
        <w:t>e average threat is felt by 4</w:t>
      </w:r>
      <w:r>
        <w:rPr>
          <w:shd w:val="clear" w:color="auto" w:fill="FFFFFF"/>
          <w:lang w:val="en-US"/>
        </w:rPr>
        <w:t>1.6</w:t>
      </w:r>
      <w:r w:rsidR="00D771BA" w:rsidRPr="00D771BA">
        <w:rPr>
          <w:shd w:val="clear" w:color="auto" w:fill="FFFFFF"/>
          <w:lang w:val="en-US"/>
        </w:rPr>
        <w:t xml:space="preserve">% of </w:t>
      </w:r>
      <w:r w:rsidR="00942930">
        <w:rPr>
          <w:shd w:val="clear" w:color="auto" w:fill="FFFFFF"/>
          <w:lang w:val="en-US"/>
        </w:rPr>
        <w:t>those who answered the</w:t>
      </w:r>
      <w:r w:rsidR="00D771BA" w:rsidRPr="00D771BA">
        <w:rPr>
          <w:shd w:val="clear" w:color="auto" w:fill="FFFFFF"/>
          <w:lang w:val="en-US"/>
        </w:rPr>
        <w:t xml:space="preserve"> questions about the consumer </w:t>
      </w:r>
      <w:r w:rsidR="00105BFB">
        <w:rPr>
          <w:shd w:val="clear" w:color="auto" w:fill="FFFFFF"/>
          <w:lang w:val="en-US"/>
        </w:rPr>
        <w:t>tendency</w:t>
      </w:r>
      <w:r w:rsidR="00D771BA" w:rsidRPr="00D771BA">
        <w:rPr>
          <w:shd w:val="clear" w:color="auto" w:fill="FFFFFF"/>
          <w:lang w:val="en-US"/>
        </w:rPr>
        <w:t xml:space="preserve">. </w:t>
      </w:r>
      <w:r w:rsidR="009F61CB">
        <w:rPr>
          <w:shd w:val="clear" w:color="auto" w:fill="FFFFFF"/>
          <w:lang w:val="en-US"/>
        </w:rPr>
        <w:t>A small threat is declare</w:t>
      </w:r>
      <w:r w:rsidR="00183D1B">
        <w:rPr>
          <w:shd w:val="clear" w:color="auto" w:fill="FFFFFF"/>
          <w:lang w:val="en-US"/>
        </w:rPr>
        <w:t>d by 2</w:t>
      </w:r>
      <w:r>
        <w:rPr>
          <w:shd w:val="clear" w:color="auto" w:fill="FFFFFF"/>
          <w:lang w:val="en-US"/>
        </w:rPr>
        <w:t>6.9</w:t>
      </w:r>
      <w:r w:rsidR="00D771BA" w:rsidRPr="00D771BA">
        <w:rPr>
          <w:shd w:val="clear" w:color="auto" w:fill="FFFFFF"/>
          <w:lang w:val="en-US"/>
        </w:rPr>
        <w:t>%,</w:t>
      </w:r>
      <w:r w:rsidR="00B01D3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while no threat was stated by 9.3</w:t>
      </w:r>
      <w:r w:rsidR="00D771BA" w:rsidRPr="00D771BA">
        <w:rPr>
          <w:shd w:val="clear" w:color="auto" w:fill="FFFFFF"/>
          <w:lang w:val="en-US"/>
        </w:rPr>
        <w:t>% of respondents.</w:t>
      </w:r>
      <w:r w:rsidR="00E36B2A" w:rsidRPr="00D771BA">
        <w:rPr>
          <w:lang w:val="en-US"/>
        </w:rPr>
        <w:br w:type="page"/>
      </w:r>
    </w:p>
    <w:p w14:paraId="05F5852A" w14:textId="02A6E170" w:rsidR="00E36B2A" w:rsidRPr="00A45A4D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63872" behindDoc="0" locked="0" layoutInCell="1" allowOverlap="1" wp14:anchorId="0E21ACAE" wp14:editId="5CEF109C">
            <wp:simplePos x="0" y="0"/>
            <wp:positionH relativeFrom="margin">
              <wp:posOffset>-1905</wp:posOffset>
            </wp:positionH>
            <wp:positionV relativeFrom="margin">
              <wp:posOffset>441960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6.</w:t>
      </w:r>
      <w:r w:rsidRPr="009A0F70">
        <w:rPr>
          <w:shd w:val="clear" w:color="auto" w:fill="FFFFFF"/>
          <w:lang w:val="en-US"/>
        </w:rPr>
        <w:t xml:space="preserve"> </w:t>
      </w:r>
      <w:r w:rsidR="00A45A4D" w:rsidRPr="00A45A4D">
        <w:rPr>
          <w:shd w:val="clear" w:color="auto" w:fill="FFFFFF"/>
          <w:lang w:val="en-US"/>
        </w:rPr>
        <w:t>What is the threat of the current epidemiological situation (COVID-19 coronavirus) for your personal financial situation - structure of responses (%)</w:t>
      </w:r>
    </w:p>
    <w:p w14:paraId="3702538E" w14:textId="77777777" w:rsidR="00E36B2A" w:rsidRPr="00A45A4D" w:rsidRDefault="00E36B2A" w:rsidP="00E36B2A">
      <w:pPr>
        <w:pStyle w:val="Nagwek1"/>
        <w:rPr>
          <w:lang w:val="en-US"/>
        </w:rPr>
      </w:pPr>
    </w:p>
    <w:p w14:paraId="6F4C4A5F" w14:textId="77777777" w:rsidR="00E36B2A" w:rsidRPr="00A45A4D" w:rsidRDefault="00E36B2A" w:rsidP="00E36B2A">
      <w:pPr>
        <w:pStyle w:val="Nagwek1"/>
        <w:rPr>
          <w:lang w:val="en-US"/>
        </w:rPr>
      </w:pPr>
    </w:p>
    <w:p w14:paraId="5CCE0BE8" w14:textId="25F875AE" w:rsidR="00E36B2A" w:rsidRPr="00F97938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730B4812" wp14:editId="1004DF55">
                <wp:simplePos x="0" y="0"/>
                <wp:positionH relativeFrom="rightMargin">
                  <wp:posOffset>114935</wp:posOffset>
                </wp:positionH>
                <wp:positionV relativeFrom="paragraph">
                  <wp:posOffset>77470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B8D8" w14:textId="6861C774" w:rsidR="00DC60D9" w:rsidRPr="00105BFB" w:rsidRDefault="00EA7717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30.0</w:t>
                            </w:r>
                            <w:r w:rsidR="00DC60D9"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everyday life in the local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812" id="Pole tekstowe 205" o:spid="_x0000_s1041" type="#_x0000_t202" style="position:absolute;margin-left:9.05pt;margin-top:6.1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4B41B8D8" w14:textId="6861C774" w:rsidR="00DC60D9" w:rsidRPr="00105BFB" w:rsidRDefault="00EA7717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30.0</w:t>
                      </w:r>
                      <w:r w:rsidR="00DC60D9"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everyday life in the local community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7938" w:rsidRPr="00F97938">
        <w:rPr>
          <w:lang w:val="en-US"/>
        </w:rPr>
        <w:t>What threat is the current epidemiological situation for everyday life in the local community</w:t>
      </w:r>
    </w:p>
    <w:p w14:paraId="3ED6F300" w14:textId="79F224BD" w:rsidR="00E36B2A" w:rsidRPr="00105BFB" w:rsidRDefault="00EA7717" w:rsidP="00E36B2A">
      <w:pPr>
        <w:spacing w:before="0" w:after="0"/>
        <w:rPr>
          <w:sz w:val="16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 30.0</w:t>
      </w:r>
      <w:r w:rsidR="00105BFB" w:rsidRPr="00105BFB">
        <w:rPr>
          <w:shd w:val="clear" w:color="auto" w:fill="FFFFFF"/>
          <w:lang w:val="en-US"/>
        </w:rPr>
        <w:t xml:space="preserve">% of respondents, the current epidemiological situation is a </w:t>
      </w:r>
      <w:r w:rsidR="00105BFB">
        <w:rPr>
          <w:shd w:val="clear" w:color="auto" w:fill="FFFFFF"/>
          <w:lang w:val="en-US"/>
        </w:rPr>
        <w:t>big</w:t>
      </w:r>
      <w:r w:rsidR="00105BFB" w:rsidRPr="00105BFB">
        <w:rPr>
          <w:shd w:val="clear" w:color="auto" w:fill="FFFFFF"/>
          <w:lang w:val="en-US"/>
        </w:rPr>
        <w:t xml:space="preserve"> threat to everyday life in the local community. The average threat is felt b</w:t>
      </w:r>
      <w:r w:rsidR="004507A7">
        <w:rPr>
          <w:shd w:val="clear" w:color="auto" w:fill="FFFFFF"/>
          <w:lang w:val="en-US"/>
        </w:rPr>
        <w:t>y 5</w:t>
      </w:r>
      <w:r>
        <w:rPr>
          <w:shd w:val="clear" w:color="auto" w:fill="FFFFFF"/>
          <w:lang w:val="en-US"/>
        </w:rPr>
        <w:t>6.1</w:t>
      </w:r>
      <w:r w:rsidR="00453AF0">
        <w:rPr>
          <w:shd w:val="clear" w:color="auto" w:fill="FFFFFF"/>
          <w:lang w:val="en-US"/>
        </w:rPr>
        <w:t>%</w:t>
      </w:r>
      <w:r w:rsidR="005931B0" w:rsidRPr="005931B0">
        <w:rPr>
          <w:shd w:val="clear" w:color="auto" w:fill="FFFFFF"/>
          <w:lang w:val="en-US"/>
        </w:rPr>
        <w:t xml:space="preserve"> </w:t>
      </w:r>
      <w:r w:rsidR="005931B0" w:rsidRPr="00D771BA">
        <w:rPr>
          <w:shd w:val="clear" w:color="auto" w:fill="FFFFFF"/>
          <w:lang w:val="en-US"/>
        </w:rPr>
        <w:t xml:space="preserve">of </w:t>
      </w:r>
      <w:r w:rsidR="005931B0">
        <w:rPr>
          <w:shd w:val="clear" w:color="auto" w:fill="FFFFFF"/>
          <w:lang w:val="en-US"/>
        </w:rPr>
        <w:t>those who answered the</w:t>
      </w:r>
      <w:r w:rsidR="005931B0" w:rsidRPr="00D771BA">
        <w:rPr>
          <w:shd w:val="clear" w:color="auto" w:fill="FFFFFF"/>
          <w:lang w:val="en-US"/>
        </w:rPr>
        <w:t xml:space="preserve"> </w:t>
      </w:r>
      <w:r w:rsidR="00105BFB" w:rsidRPr="00105BFB">
        <w:rPr>
          <w:shd w:val="clear" w:color="auto" w:fill="FFFFFF"/>
          <w:lang w:val="en-US"/>
        </w:rPr>
        <w:t xml:space="preserve">questions about the consumer </w:t>
      </w:r>
      <w:r w:rsidR="00105BFB">
        <w:rPr>
          <w:shd w:val="clear" w:color="auto" w:fill="FFFFFF"/>
          <w:lang w:val="en-US"/>
        </w:rPr>
        <w:t>tendency</w:t>
      </w:r>
      <w:r w:rsidR="00105BFB" w:rsidRPr="00105BFB">
        <w:rPr>
          <w:shd w:val="clear" w:color="auto" w:fill="FFFFFF"/>
          <w:lang w:val="en-US"/>
        </w:rPr>
        <w:t xml:space="preserve">. </w:t>
      </w:r>
      <w:r w:rsidR="00E072FB">
        <w:rPr>
          <w:shd w:val="clear" w:color="auto" w:fill="FFFFFF"/>
          <w:lang w:val="en-US"/>
        </w:rPr>
        <w:t>1</w:t>
      </w:r>
      <w:r>
        <w:rPr>
          <w:shd w:val="clear" w:color="auto" w:fill="FFFFFF"/>
          <w:lang w:val="en-US"/>
        </w:rPr>
        <w:t>2.9</w:t>
      </w:r>
      <w:r w:rsidR="00105BFB" w:rsidRPr="00105BFB">
        <w:rPr>
          <w:shd w:val="clear" w:color="auto" w:fill="FFFFFF"/>
          <w:lang w:val="en-US"/>
        </w:rPr>
        <w:t>% decl</w:t>
      </w:r>
      <w:r w:rsidR="00CD1685">
        <w:rPr>
          <w:shd w:val="clear" w:color="auto" w:fill="FFFFFF"/>
          <w:lang w:val="en-US"/>
        </w:rPr>
        <w:t>ar</w:t>
      </w:r>
      <w:r w:rsidR="00453AF0">
        <w:rPr>
          <w:shd w:val="clear" w:color="auto" w:fill="FFFFFF"/>
          <w:lang w:val="en-US"/>
        </w:rPr>
        <w:t xml:space="preserve">e a small threat, while only </w:t>
      </w:r>
      <w:r w:rsidR="00BB2A69">
        <w:rPr>
          <w:shd w:val="clear" w:color="auto" w:fill="FFFFFF"/>
          <w:lang w:val="en-US"/>
        </w:rPr>
        <w:t>1</w:t>
      </w:r>
      <w:r>
        <w:rPr>
          <w:shd w:val="clear" w:color="auto" w:fill="FFFFFF"/>
          <w:lang w:val="en-US"/>
        </w:rPr>
        <w:t>.0</w:t>
      </w:r>
      <w:r w:rsidR="00105BFB" w:rsidRPr="00105BFB">
        <w:rPr>
          <w:shd w:val="clear" w:color="auto" w:fill="FFFFFF"/>
          <w:lang w:val="en-US"/>
        </w:rPr>
        <w:t>% of respondents declare no threat.</w:t>
      </w:r>
    </w:p>
    <w:p w14:paraId="57352A47" w14:textId="3607E563" w:rsidR="00E36B2A" w:rsidRPr="00F97938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0068C43B" wp14:editId="20256D99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7.</w:t>
      </w:r>
      <w:r w:rsidRPr="009A0F70">
        <w:rPr>
          <w:shd w:val="clear" w:color="auto" w:fill="FFFFFF"/>
          <w:lang w:val="en-US"/>
        </w:rPr>
        <w:t xml:space="preserve"> </w:t>
      </w:r>
      <w:r w:rsidR="00F97938" w:rsidRPr="00F97938">
        <w:rPr>
          <w:shd w:val="clear" w:color="auto" w:fill="FFFFFF"/>
          <w:lang w:val="en-US"/>
        </w:rPr>
        <w:t>What is the threat of the current epidemiological situation (COVID-19 coronavirus) for everyday life in your local community - response structure (%)</w:t>
      </w:r>
    </w:p>
    <w:p w14:paraId="2DA3D97C" w14:textId="77777777" w:rsidR="00E36B2A" w:rsidRPr="00F97938" w:rsidRDefault="00E36B2A" w:rsidP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 w:rsidRPr="00F97938">
        <w:rPr>
          <w:b/>
          <w:spacing w:val="-2"/>
          <w:sz w:val="18"/>
          <w:shd w:val="clear" w:color="auto" w:fill="FFFFFF"/>
          <w:lang w:val="en-US"/>
        </w:rPr>
        <w:br w:type="page"/>
      </w:r>
    </w:p>
    <w:p w14:paraId="01DB2EE9" w14:textId="77777777" w:rsidR="00E36B2A" w:rsidRPr="00F97938" w:rsidRDefault="00E36B2A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</w:p>
    <w:p w14:paraId="50A35159" w14:textId="579F6DC5" w:rsidR="00E36B2A" w:rsidRPr="007637F6" w:rsidRDefault="007637F6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7637F6">
        <w:rPr>
          <w:b/>
          <w:spacing w:val="-2"/>
          <w:sz w:val="18"/>
          <w:shd w:val="clear" w:color="auto" w:fill="FFFFFF"/>
          <w:lang w:val="en-US"/>
        </w:rPr>
        <w:t>Table</w:t>
      </w:r>
      <w:r w:rsidR="00E36B2A" w:rsidRPr="007637F6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Pr="007637F6">
        <w:rPr>
          <w:b/>
          <w:spacing w:val="-2"/>
          <w:sz w:val="18"/>
          <w:shd w:val="clear" w:color="auto" w:fill="FFFFFF"/>
          <w:lang w:val="en-US"/>
        </w:rPr>
        <w:t>Additional questions (response rates) - epidemiological situation (COVID-19 coronavirus threat)</w:t>
      </w:r>
    </w:p>
    <w:tbl>
      <w:tblPr>
        <w:tblStyle w:val="Tabela-Siatka"/>
        <w:tblW w:w="7762" w:type="dxa"/>
        <w:tblLayout w:type="fixed"/>
        <w:tblLook w:val="04A0" w:firstRow="1" w:lastRow="0" w:firstColumn="1" w:lastColumn="0" w:noHBand="0" w:noVBand="1"/>
      </w:tblPr>
      <w:tblGrid>
        <w:gridCol w:w="3068"/>
        <w:gridCol w:w="1757"/>
        <w:gridCol w:w="979"/>
        <w:gridCol w:w="979"/>
        <w:gridCol w:w="979"/>
      </w:tblGrid>
      <w:tr w:rsidR="00E535C9" w:rsidRPr="00362612" w14:paraId="560DF900" w14:textId="5ED4D119" w:rsidTr="00A34CF4">
        <w:tc>
          <w:tcPr>
            <w:tcW w:w="4825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749FB9" w14:textId="156EA8E6" w:rsidR="00E535C9" w:rsidRPr="00362612" w:rsidRDefault="00E535C9" w:rsidP="00E535C9">
            <w:pPr>
              <w:jc w:val="center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SPECIFICATION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9204544" w14:textId="40A219F5" w:rsidR="00E535C9" w:rsidRPr="003C0899" w:rsidRDefault="00D933F7" w:rsidP="00E535C9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November 2020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5BB8B905" w14:textId="5EDC331F" w:rsidR="00E535C9" w:rsidRPr="00E535C9" w:rsidRDefault="00D933F7" w:rsidP="00E535C9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December 2020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5668D44" w14:textId="69D62650" w:rsidR="00E535C9" w:rsidRDefault="00D933F7" w:rsidP="00E535C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January 2021</w:t>
            </w:r>
          </w:p>
        </w:tc>
      </w:tr>
      <w:tr w:rsidR="00D933F7" w:rsidRPr="00362612" w14:paraId="5E29E312" w14:textId="6A4633BB" w:rsidTr="00A34CF4">
        <w:trPr>
          <w:trHeight w:val="369"/>
        </w:trPr>
        <w:tc>
          <w:tcPr>
            <w:tcW w:w="306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11650C9" w14:textId="0CC77F38" w:rsidR="00D933F7" w:rsidRPr="00362612" w:rsidRDefault="00D933F7" w:rsidP="00D933F7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 w:eastAsia="pl-PL"/>
              </w:rPr>
              <w:t>What impact did</w:t>
            </w:r>
            <w:r>
              <w:rPr>
                <w:b/>
                <w:sz w:val="14"/>
                <w:szCs w:val="14"/>
                <w:lang w:val="en-US" w:eastAsia="pl-PL"/>
              </w:rPr>
              <w:t xml:space="preserve"> the</w:t>
            </w:r>
            <w:r w:rsidRPr="00362612">
              <w:rPr>
                <w:b/>
                <w:sz w:val="14"/>
                <w:szCs w:val="14"/>
                <w:lang w:val="en-US" w:eastAsia="pl-PL"/>
              </w:rPr>
              <w:t xml:space="preserve"> current epidemiological situation have on your response</w:t>
            </w:r>
            <w:r>
              <w:rPr>
                <w:b/>
                <w:sz w:val="14"/>
                <w:szCs w:val="14"/>
                <w:lang w:val="en-US" w:eastAsia="pl-PL"/>
              </w:rPr>
              <w:t>s</w:t>
            </w:r>
            <w:r w:rsidRPr="00362612">
              <w:rPr>
                <w:b/>
                <w:sz w:val="14"/>
                <w:szCs w:val="14"/>
                <w:lang w:val="en-US" w:eastAsia="pl-PL"/>
              </w:rPr>
              <w:t xml:space="preserve"> (COVID-19 coronavirus)?</w:t>
            </w:r>
          </w:p>
        </w:tc>
        <w:tc>
          <w:tcPr>
            <w:tcW w:w="1757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261C6B" w14:textId="04A671DE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significant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1CEFD7" w14:textId="2E28982C" w:rsidR="00D933F7" w:rsidRPr="00362612" w:rsidRDefault="00D933F7" w:rsidP="00D933F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42.9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D217D" w14:textId="6662A374" w:rsidR="00D933F7" w:rsidRPr="00362612" w:rsidRDefault="00D933F7" w:rsidP="00D933F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37.9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3B7875" w14:textId="032DC2E0" w:rsidR="00D933F7" w:rsidRDefault="00D933F7" w:rsidP="00D933F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38.9</w:t>
            </w:r>
          </w:p>
        </w:tc>
      </w:tr>
      <w:tr w:rsidR="00D933F7" w:rsidRPr="00362612" w14:paraId="766CB50C" w14:textId="5E88ED14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F91B36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9588C8" w14:textId="25CA21A0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moderate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D5A44" w14:textId="7125805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3E952D" w14:textId="46B881D6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FC0A88" w14:textId="5C195B71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48.2</w:t>
            </w:r>
          </w:p>
        </w:tc>
      </w:tr>
      <w:tr w:rsidR="00D933F7" w:rsidRPr="00362612" w14:paraId="338EDC10" w14:textId="712CDD51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6A7F1A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9AD818" w14:textId="70DC1498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none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0EDC8" w14:textId="2F59C37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42590" w14:textId="21AD5699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336B6D" w14:textId="4DC537A1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11.9</w:t>
            </w:r>
          </w:p>
        </w:tc>
      </w:tr>
      <w:tr w:rsidR="00D933F7" w:rsidRPr="00362612" w14:paraId="7AB55C5D" w14:textId="0CAD304F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A9D1374" w14:textId="3B914CAB" w:rsidR="00D933F7" w:rsidRPr="00362612" w:rsidRDefault="00D933F7" w:rsidP="00D933F7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In connection with the current epidemiological situation (COVID-19 coronavirus), are you afraid of losing your job or stopping your own business?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00011D" w14:textId="7DB01112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definitely yes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7834F" w14:textId="11DFEA4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2E0A0" w14:textId="562C40B9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22F5E7" w14:textId="27A442DA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3.4</w:t>
            </w:r>
          </w:p>
        </w:tc>
      </w:tr>
      <w:tr w:rsidR="00D933F7" w:rsidRPr="00362612" w14:paraId="17061CF2" w14:textId="3740896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AA566DB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6797D4" w14:textId="4E0146D1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possible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3889AA" w14:textId="7ABBCE3F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390037" w14:textId="11E44D5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39F83" w14:textId="5D72002D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12.4</w:t>
            </w:r>
          </w:p>
        </w:tc>
      </w:tr>
      <w:tr w:rsidR="00D933F7" w:rsidRPr="00362612" w14:paraId="1844BE03" w14:textId="546B4ACB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912FC0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CE1CFA9" w14:textId="70855A0C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rather not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86A59" w14:textId="7E76A471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C883A0" w14:textId="288F6D9A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211E4C" w14:textId="630A922F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19.8</w:t>
            </w:r>
          </w:p>
        </w:tc>
      </w:tr>
      <w:tr w:rsidR="00D933F7" w:rsidRPr="00362612" w14:paraId="26DE6513" w14:textId="1894073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3A3F3A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984824" w14:textId="127A7CE0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14967E" w14:textId="216C6BD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C6E5A" w14:textId="5770CD3F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E51536" w14:textId="67AB3266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23.2</w:t>
            </w:r>
          </w:p>
        </w:tc>
      </w:tr>
      <w:tr w:rsidR="00D933F7" w:rsidRPr="00362612" w14:paraId="06C3C519" w14:textId="4C6B5863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D842C6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867A99" w14:textId="08E83BAD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 have no opinion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A2329" w14:textId="1D7EDD0E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8D54CC" w14:textId="26F31C88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AA868" w14:textId="39E17231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1.4</w:t>
            </w:r>
          </w:p>
        </w:tc>
      </w:tr>
      <w:tr w:rsidR="00D933F7" w:rsidRPr="00362612" w14:paraId="6886C7D3" w14:textId="788B7179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6D0476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50D512" w14:textId="214A67E8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not applicable (for non-working people)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0AE1D7" w14:textId="579A5AF5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C534A" w14:textId="57A042C4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8D2B0A" w14:textId="5ED457F1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39.8</w:t>
            </w:r>
          </w:p>
        </w:tc>
      </w:tr>
      <w:tr w:rsidR="00D933F7" w:rsidRPr="00362612" w14:paraId="4536B437" w14:textId="7AB8F0AD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ACD7E0" w14:textId="5B704DBF" w:rsidR="00D933F7" w:rsidRPr="00362612" w:rsidRDefault="00D933F7" w:rsidP="00D933F7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health of the population of Poland as a whole?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E26745" w14:textId="750D2891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09310" w14:textId="3A2E4A45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EBA5E" w14:textId="1CE41694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F61915" w14:textId="662BEDD6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47.3</w:t>
            </w:r>
          </w:p>
        </w:tc>
      </w:tr>
      <w:tr w:rsidR="00D933F7" w:rsidRPr="00362612" w14:paraId="1F17D3D4" w14:textId="332CF466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AC6EEE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288F35" w14:textId="4CF08900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A98F" w14:textId="7542F99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CFFC21" w14:textId="256EF1A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A8C89E" w14:textId="245E59A8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45.8</w:t>
            </w:r>
          </w:p>
        </w:tc>
      </w:tr>
      <w:tr w:rsidR="00D933F7" w:rsidRPr="00362612" w14:paraId="74C9B499" w14:textId="0C252DE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0262FAC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FFDA84" w14:textId="3CB3EFA8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EA557" w14:textId="2C3A3438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95A27" w14:textId="4FF20EE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5E4B2A" w14:textId="37FC1F15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6.6</w:t>
            </w:r>
          </w:p>
        </w:tc>
      </w:tr>
      <w:tr w:rsidR="00D933F7" w:rsidRPr="00362612" w14:paraId="12185BB6" w14:textId="01763ABE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22420C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4CB8ED" w14:textId="1E02CCF5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5F2B99" w14:textId="143377FC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F197A4" w14:textId="158EC8E1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B82C25" w14:textId="0935408B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0.3</w:t>
            </w:r>
          </w:p>
        </w:tc>
      </w:tr>
      <w:tr w:rsidR="00D933F7" w:rsidRPr="00362612" w14:paraId="271D132E" w14:textId="478245DC" w:rsidTr="00A34CF4">
        <w:trPr>
          <w:trHeight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830166" w14:textId="4AC17E84" w:rsidR="00D933F7" w:rsidRPr="00362612" w:rsidRDefault="00D933F7" w:rsidP="00D933F7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health?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D98D4D" w14:textId="1A8CD059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ECEB6" w14:textId="21BD1A69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6644FB" w14:textId="6EAAEA3C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BED3A9" w14:textId="3DC9927D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36.8</w:t>
            </w:r>
          </w:p>
        </w:tc>
      </w:tr>
      <w:tr w:rsidR="00D933F7" w:rsidRPr="00362612" w14:paraId="0016C8A1" w14:textId="12CAEE89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75973E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37DC99" w14:textId="4EDCEE75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6A076" w14:textId="2DE8F39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75E36" w14:textId="5CD4A737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2DC63B" w14:textId="66EC353B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45.7</w:t>
            </w:r>
          </w:p>
        </w:tc>
      </w:tr>
      <w:tr w:rsidR="00D933F7" w:rsidRPr="00362612" w14:paraId="46D3714B" w14:textId="0D1A6B5A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1B8269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66B949" w14:textId="11A5B097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DEDD0E" w14:textId="651FC2E4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82FB87" w14:textId="0E84A3D6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950BB9" w14:textId="6C0288FD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15.1</w:t>
            </w:r>
          </w:p>
        </w:tc>
      </w:tr>
      <w:tr w:rsidR="00D933F7" w:rsidRPr="00362612" w14:paraId="32C9571C" w14:textId="75EFA29A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AE20CA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2CB75C" w14:textId="2763456F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2ECF5" w14:textId="118DF7A7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C96A66" w14:textId="0E6269E8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DEB74" w14:textId="2FD93279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2.4</w:t>
            </w:r>
          </w:p>
        </w:tc>
      </w:tr>
      <w:tr w:rsidR="00D933F7" w:rsidRPr="00362612" w14:paraId="67AFF455" w14:textId="337E7E35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1F9A6C" w14:textId="7BCAE7B6" w:rsidR="00D933F7" w:rsidRPr="00362612" w:rsidRDefault="00D933F7" w:rsidP="00D933F7">
            <w:pPr>
              <w:spacing w:before="0"/>
              <w:rPr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economy in Poland?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74057D" w14:textId="36C22100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0367BF" w14:textId="7085B182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77.8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307584" w14:textId="53F7CC53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70.3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BC9285" w14:textId="46354AE5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69.1</w:t>
            </w:r>
          </w:p>
        </w:tc>
      </w:tr>
      <w:tr w:rsidR="00D933F7" w:rsidRPr="00362612" w14:paraId="3115D862" w14:textId="5B4DB4EF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3D5AEF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0D67EE8" w14:textId="4433462B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F5C53" w14:textId="64666EFB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2B1C05" w14:textId="48BC836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230CA4" w14:textId="2B19C5EA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28.3</w:t>
            </w:r>
          </w:p>
        </w:tc>
      </w:tr>
      <w:tr w:rsidR="00D933F7" w:rsidRPr="00362612" w14:paraId="60693B6F" w14:textId="0EA8C4ED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E1B0796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FED31E" w14:textId="7088C626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606A2" w14:textId="030ACA3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CDD82F" w14:textId="4FFB41E4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97674D" w14:textId="6D2411DC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2.1</w:t>
            </w:r>
          </w:p>
        </w:tc>
      </w:tr>
      <w:tr w:rsidR="00D933F7" w:rsidRPr="00362612" w14:paraId="541E8E5E" w14:textId="7A62DF71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19EF36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FAB4F2" w14:textId="196CADE7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FC88F2" w14:textId="751BB958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1C486B" w14:textId="43A25CEE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2F699" w14:textId="4D7EB970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0.5</w:t>
            </w:r>
          </w:p>
        </w:tc>
      </w:tr>
      <w:tr w:rsidR="00D933F7" w:rsidRPr="00362612" w14:paraId="3FF0E7B3" w14:textId="5E5B31DC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489FEA" w14:textId="04D34283" w:rsidR="00D933F7" w:rsidRPr="00362612" w:rsidRDefault="00D933F7" w:rsidP="00D933F7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financial situation?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2B9FD7" w14:textId="1DB46CF2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9FA7B1" w14:textId="46D3E8F5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E883D2" w14:textId="4A9CD851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949C70" w14:textId="4BCB27C5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22.2</w:t>
            </w:r>
          </w:p>
        </w:tc>
      </w:tr>
      <w:tr w:rsidR="00D933F7" w:rsidRPr="00362612" w14:paraId="66EBF58D" w14:textId="3F425485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F592ED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1239DB" w14:textId="5F58426F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426365" w14:textId="7E23890B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CF41" w14:textId="344D613C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B15871" w14:textId="5D854B52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41.6</w:t>
            </w:r>
          </w:p>
        </w:tc>
      </w:tr>
      <w:tr w:rsidR="00D933F7" w:rsidRPr="00362612" w14:paraId="3DE88FB1" w14:textId="249AD6FF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381697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C755B4" w14:textId="1822DBD6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2FB2BC" w14:textId="1798068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B96E8" w14:textId="3E401B33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36B67F" w14:textId="79432EDF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26.9</w:t>
            </w:r>
          </w:p>
        </w:tc>
      </w:tr>
      <w:tr w:rsidR="00D933F7" w:rsidRPr="00362612" w14:paraId="71FDE97F" w14:textId="45041960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DD5863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9494B2" w14:textId="490B5795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2195C7D" w14:textId="3C605469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5E7B054" w14:textId="569314AA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94E5FA7" w14:textId="00F05C7E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9.3</w:t>
            </w:r>
          </w:p>
        </w:tc>
      </w:tr>
      <w:tr w:rsidR="00D933F7" w:rsidRPr="00362612" w14:paraId="644FCDDD" w14:textId="5EB85319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4F38EEB" w14:textId="564B0EFD" w:rsidR="00D933F7" w:rsidRPr="00362612" w:rsidRDefault="00D933F7" w:rsidP="00D933F7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everyday life in your local community?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EBEA8DB" w14:textId="5A23083A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360D171" w14:textId="638C9366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80E0908" w14:textId="22FFA18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058C038" w14:textId="77CB0305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30.0</w:t>
            </w:r>
          </w:p>
        </w:tc>
      </w:tr>
      <w:tr w:rsidR="00D933F7" w:rsidRPr="00362612" w14:paraId="72701031" w14:textId="47D311E4" w:rsidTr="00A34CF4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64999430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single" w:sz="4" w:space="0" w:color="001D77"/>
            </w:tcBorders>
            <w:vAlign w:val="center"/>
          </w:tcPr>
          <w:p w14:paraId="72D6EDC5" w14:textId="3E472D8F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C93D4" w14:textId="43E35F20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51.3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9E058B" w14:textId="04C52E3D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56.9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6220BD" w14:textId="230B006A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56.1</w:t>
            </w:r>
          </w:p>
        </w:tc>
      </w:tr>
      <w:tr w:rsidR="00D933F7" w:rsidRPr="00362612" w14:paraId="63B84C8F" w14:textId="5A8E9C05" w:rsidTr="00A34CF4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502A2262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75E9BB" w14:textId="1249F6CD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594ACDB" w14:textId="1B8B84F2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731D4D0" w14:textId="527806E3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C044FD9" w14:textId="5A719B60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12.9</w:t>
            </w:r>
          </w:p>
        </w:tc>
      </w:tr>
      <w:tr w:rsidR="00D933F7" w:rsidRPr="00362612" w14:paraId="2C341A33" w14:textId="3C77FE1E" w:rsidTr="00A34CF4">
        <w:trPr>
          <w:trHeight w:hRule="exact" w:val="546"/>
        </w:trPr>
        <w:tc>
          <w:tcPr>
            <w:tcW w:w="3068" w:type="dxa"/>
            <w:vMerge/>
            <w:tcBorders>
              <w:left w:val="nil"/>
              <w:bottom w:val="nil"/>
              <w:right w:val="nil"/>
            </w:tcBorders>
          </w:tcPr>
          <w:p w14:paraId="305E05A8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20BD39A" w14:textId="543687D5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AC17F0E" w14:textId="61AD1D89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B176D26" w14:textId="49530043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25C86E9" w14:textId="073D75A8" w:rsidR="00D933F7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1.0</w:t>
            </w:r>
          </w:p>
        </w:tc>
      </w:tr>
      <w:tr w:rsidR="00D933F7" w:rsidRPr="00B123EB" w14:paraId="119C8439" w14:textId="12B07376" w:rsidTr="00A34CF4">
        <w:trPr>
          <w:trHeight w:hRule="exact" w:val="54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5DDCF65" w14:textId="77777777" w:rsidR="00D933F7" w:rsidRPr="00362612" w:rsidRDefault="00D933F7" w:rsidP="00D933F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50BA" w14:textId="77777777" w:rsidR="00D933F7" w:rsidRPr="00362612" w:rsidRDefault="00D933F7" w:rsidP="00D933F7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ACC9" w14:textId="77777777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21A4561" w14:textId="77777777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64A2F0A" w14:textId="77777777" w:rsidR="00D933F7" w:rsidRPr="00362612" w:rsidRDefault="00D933F7" w:rsidP="00D933F7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03822589" w14:textId="77777777" w:rsidR="00B123EB" w:rsidRPr="00C00E69" w:rsidRDefault="00B123EB" w:rsidP="00B123EB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C893315" w14:textId="77777777" w:rsidR="00E36B2A" w:rsidRPr="00B123EB" w:rsidRDefault="00E36B2A" w:rsidP="00E36B2A">
      <w:pPr>
        <w:spacing w:before="0" w:after="160" w:line="259" w:lineRule="auto"/>
        <w:rPr>
          <w:b/>
          <w:spacing w:val="-2"/>
          <w:sz w:val="18"/>
          <w:lang w:val="en-US"/>
        </w:rPr>
        <w:sectPr w:rsidR="00E36B2A" w:rsidRPr="00B123EB" w:rsidSect="00E20DF5">
          <w:headerReference w:type="default" r:id="rId23"/>
          <w:footerReference w:type="default" r:id="rId24"/>
          <w:headerReference w:type="first" r:id="rId25"/>
          <w:footerReference w:type="first" r:id="rId26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19D20B1E" w14:textId="77777777" w:rsidR="000470AA" w:rsidRPr="008A1107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B77197" w14:paraId="13B9F09D" w14:textId="77777777" w:rsidTr="00F87A89">
        <w:trPr>
          <w:trHeight w:val="1912"/>
        </w:trPr>
        <w:tc>
          <w:tcPr>
            <w:tcW w:w="4239" w:type="dxa"/>
          </w:tcPr>
          <w:p w14:paraId="2A014276" w14:textId="77777777" w:rsidR="000470AA" w:rsidRPr="00C17194" w:rsidRDefault="00C17194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0D5F6410" w14:textId="4938C9A2" w:rsidR="000470AA" w:rsidRPr="00C17194" w:rsidRDefault="003C405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hyperlink r:id="rId27" w:tgtFrame="_blank" w:history="1">
              <w:r w:rsidR="00C17194" w:rsidRPr="000A6AE1">
                <w:rPr>
                  <w:b/>
                  <w:color w:val="000000" w:themeColor="text1"/>
                  <w:sz w:val="20"/>
                  <w:lang w:val="en-US"/>
                </w:rPr>
                <w:t>Statistical Office in</w:t>
              </w:r>
            </w:hyperlink>
            <w:r w:rsidR="00C91DDE"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C17194">
              <w:rPr>
                <w:rFonts w:cs="Arial"/>
                <w:b/>
                <w:color w:val="000000" w:themeColor="text1"/>
                <w:sz w:val="20"/>
                <w:lang w:val="en-US"/>
              </w:rPr>
              <w:t>Łódź</w:t>
            </w:r>
            <w:proofErr w:type="spellEnd"/>
          </w:p>
          <w:p w14:paraId="1F8E8053" w14:textId="73E8E8D3" w:rsidR="00C17194" w:rsidRPr="000A6AE1" w:rsidRDefault="00C17194" w:rsidP="00FB48B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Director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Piotr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Ryszard</w:t>
            </w:r>
            <w:proofErr w:type="spellEnd"/>
            <w:r w:rsidR="00C91DD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Cmela</w:t>
            </w:r>
            <w:proofErr w:type="spellEnd"/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, Ph.D.</w:t>
            </w:r>
          </w:p>
          <w:p w14:paraId="38DDA0B5" w14:textId="77777777" w:rsidR="00C17194" w:rsidRPr="008F3638" w:rsidRDefault="00C17194" w:rsidP="00C17194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 Office: tel. (+48 4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AB02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296B0E35" w14:textId="77777777"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14:paraId="0B0CC18D" w14:textId="5EC4211E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B77197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14:paraId="0369FDD7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14:paraId="143BDCC0" w14:textId="229C23BF" w:rsidR="00C17194" w:rsidRPr="000A6AE1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A6AE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="00C91DD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r w:rsidRPr="000A6AE1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</w:p>
          <w:p w14:paraId="57907BB4" w14:textId="77777777" w:rsidR="00C17194" w:rsidRPr="008F3638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5CE68CF1" w14:textId="77777777" w:rsidR="000470AA" w:rsidRPr="00C1719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14:paraId="5F508290" w14:textId="77777777" w:rsidR="000470AA" w:rsidRPr="00530074" w:rsidRDefault="000470AA" w:rsidP="000470AA">
      <w:pPr>
        <w:rPr>
          <w:sz w:val="20"/>
          <w:lang w:val="en-US"/>
        </w:rPr>
      </w:pPr>
    </w:p>
    <w:p w14:paraId="2EADABC0" w14:textId="77777777"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17194" w:rsidRPr="00B77197" w14:paraId="57920B56" w14:textId="77777777" w:rsidTr="0070713F">
        <w:trPr>
          <w:trHeight w:val="610"/>
        </w:trPr>
        <w:tc>
          <w:tcPr>
            <w:tcW w:w="2721" w:type="pct"/>
            <w:vMerge w:val="restart"/>
          </w:tcPr>
          <w:p w14:paraId="57A2ABA2" w14:textId="77777777" w:rsidR="00C17194" w:rsidRPr="000A6AE1" w:rsidRDefault="00C17194" w:rsidP="0070713F">
            <w:pPr>
              <w:rPr>
                <w:b/>
                <w:sz w:val="20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Press Office</w:t>
            </w:r>
          </w:p>
          <w:p w14:paraId="169F3940" w14:textId="77777777" w:rsidR="00C17194" w:rsidRPr="000A6AE1" w:rsidRDefault="00C17194" w:rsidP="0070713F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0A6AE1">
              <w:rPr>
                <w:sz w:val="20"/>
                <w:lang w:val="en-US"/>
              </w:rPr>
              <w:t xml:space="preserve">608 34 91, 608 38 04 </w:t>
            </w:r>
          </w:p>
          <w:p w14:paraId="75640617" w14:textId="49CB0B6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e-mail:</w:t>
            </w:r>
            <w:r w:rsidR="00AB14AE">
              <w:rPr>
                <w:b/>
                <w:sz w:val="20"/>
                <w:lang w:val="en-US"/>
              </w:rPr>
              <w:t xml:space="preserve"> </w:t>
            </w:r>
            <w:hyperlink r:id="rId28" w:history="1">
              <w:r w:rsidRPr="000A6AE1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94AA94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 wp14:anchorId="5CFFB92D" wp14:editId="596FD73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04BD0B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sz w:val="20"/>
                <w:lang w:val="en-US"/>
              </w:rPr>
              <w:t>www.stat.gov.pl/en/</w:t>
            </w:r>
          </w:p>
        </w:tc>
      </w:tr>
      <w:tr w:rsidR="00C17194" w14:paraId="32A93B09" w14:textId="77777777" w:rsidTr="0070713F">
        <w:trPr>
          <w:trHeight w:val="436"/>
        </w:trPr>
        <w:tc>
          <w:tcPr>
            <w:tcW w:w="2721" w:type="pct"/>
            <w:vMerge/>
          </w:tcPr>
          <w:p w14:paraId="18C9D7CF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268D374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32A0AAC8" wp14:editId="58C484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A84C5E8" w14:textId="77777777" w:rsidR="00C17194" w:rsidRDefault="00C17194" w:rsidP="0070713F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C17194" w14:paraId="07AF03AE" w14:textId="77777777" w:rsidTr="0070713F">
        <w:trPr>
          <w:trHeight w:val="436"/>
        </w:trPr>
        <w:tc>
          <w:tcPr>
            <w:tcW w:w="2721" w:type="pct"/>
            <w:vMerge/>
          </w:tcPr>
          <w:p w14:paraId="214A955F" w14:textId="77777777" w:rsidR="00C17194" w:rsidRDefault="00C17194" w:rsidP="0070713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5133D4" w14:textId="77777777" w:rsidR="00C17194" w:rsidRDefault="00C17194" w:rsidP="0070713F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 wp14:anchorId="062BB8B6" wp14:editId="5659DE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73E2F72" w14:textId="77777777" w:rsidR="00C17194" w:rsidRDefault="00C17194" w:rsidP="0070713F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02CE6D4" w14:textId="5C5763F8" w:rsidR="00D261A2" w:rsidRPr="003308DB" w:rsidRDefault="00E715FF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32FE8" wp14:editId="655C380C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8EB3" w14:textId="77777777" w:rsidR="00DC60D9" w:rsidRDefault="00DC60D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7F42785" w14:textId="77777777" w:rsidR="00DC60D9" w:rsidRPr="00FF0494" w:rsidRDefault="00DC60D9" w:rsidP="00C1719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5C9CDF86" w14:textId="545998E6" w:rsidR="00DC60D9" w:rsidRPr="00FF0494" w:rsidRDefault="003C405A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922FC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 in manufacturing, construction, trade and services - December 2020</w:t>
                              </w:r>
                            </w:hyperlink>
                          </w:p>
                          <w:p w14:paraId="0937F917" w14:textId="0871FC45" w:rsidR="00DC60D9" w:rsidRPr="00FF0494" w:rsidRDefault="003C405A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922FC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 No 11/2020</w:t>
                              </w:r>
                            </w:hyperlink>
                          </w:p>
                          <w:p w14:paraId="435B9FED" w14:textId="77777777" w:rsidR="00DC60D9" w:rsidRPr="00FF0494" w:rsidRDefault="00DC60D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D132642" w14:textId="77777777" w:rsidR="00DC60D9" w:rsidRPr="00FF0494" w:rsidRDefault="00DC60D9" w:rsidP="00C1719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52AF7FAD" w14:textId="738B7E57" w:rsidR="00DC60D9" w:rsidRPr="00AD0C67" w:rsidRDefault="003C405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DC60D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Knowledge Database </w:t>
                              </w:r>
                              <w:proofErr w:type="spellStart"/>
                              <w:r w:rsidR="00DC60D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Living</w:t>
                              </w:r>
                              <w:proofErr w:type="spellEnd"/>
                              <w:r w:rsidR="00DC60D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DC60D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Conditions</w:t>
                              </w:r>
                              <w:proofErr w:type="spellEnd"/>
                            </w:hyperlink>
                          </w:p>
                          <w:p w14:paraId="31C1F78D" w14:textId="77777777" w:rsidR="00DC60D9" w:rsidRPr="00C267CA" w:rsidRDefault="00DC60D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2FE8" id="_x0000_s104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33498EB3" w14:textId="77777777" w:rsidR="00DC60D9" w:rsidRDefault="00DC60D9" w:rsidP="00AB6D25">
                      <w:pPr>
                        <w:rPr>
                          <w:b/>
                        </w:rPr>
                      </w:pPr>
                    </w:p>
                    <w:p w14:paraId="27F42785" w14:textId="77777777" w:rsidR="00DC60D9" w:rsidRPr="00FF0494" w:rsidRDefault="00DC60D9" w:rsidP="00C17194">
                      <w:pPr>
                        <w:rPr>
                          <w:b/>
                          <w:lang w:val="en-US"/>
                        </w:rPr>
                      </w:pPr>
                      <w:r w:rsidRPr="00FF0494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5C9CDF86" w14:textId="545998E6" w:rsidR="00DC60D9" w:rsidRPr="00FF0494" w:rsidRDefault="003C405A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922FC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 in manufacturing, construction, trade and services - December 2020</w:t>
                        </w:r>
                      </w:hyperlink>
                    </w:p>
                    <w:p w14:paraId="0937F917" w14:textId="0871FC45" w:rsidR="00DC60D9" w:rsidRPr="00FF0494" w:rsidRDefault="003C405A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922FC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 No 11/2020</w:t>
                        </w:r>
                      </w:hyperlink>
                    </w:p>
                    <w:p w14:paraId="435B9FED" w14:textId="77777777" w:rsidR="00DC60D9" w:rsidRPr="00FF0494" w:rsidRDefault="00DC60D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D132642" w14:textId="77777777" w:rsidR="00DC60D9" w:rsidRPr="00FF0494" w:rsidRDefault="00DC60D9" w:rsidP="00C17194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FF049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52AF7FAD" w14:textId="738B7E57" w:rsidR="00DC60D9" w:rsidRPr="00AD0C67" w:rsidRDefault="003C405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DC60D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Knowledge Database </w:t>
                        </w:r>
                        <w:proofErr w:type="spellStart"/>
                        <w:r w:rsidR="00DC60D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Living</w:t>
                        </w:r>
                        <w:proofErr w:type="spellEnd"/>
                        <w:r w:rsidR="00DC60D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 w:rsidR="00DC60D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Conditions</w:t>
                        </w:r>
                        <w:proofErr w:type="spellEnd"/>
                      </w:hyperlink>
                    </w:p>
                    <w:p w14:paraId="31C1F78D" w14:textId="77777777" w:rsidR="00DC60D9" w:rsidRPr="00C267CA" w:rsidRDefault="00DC60D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8"/>
      <w:footerReference w:type="default" r:id="rId39"/>
      <w:footnotePr>
        <w:numFmt w:val="lowerLetter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2049B" w14:textId="77777777" w:rsidR="003C405A" w:rsidRDefault="003C405A" w:rsidP="000662E2">
      <w:pPr>
        <w:spacing w:after="0" w:line="240" w:lineRule="auto"/>
      </w:pPr>
      <w:r>
        <w:separator/>
      </w:r>
    </w:p>
  </w:endnote>
  <w:endnote w:type="continuationSeparator" w:id="0">
    <w:p w14:paraId="69DDF8DE" w14:textId="77777777" w:rsidR="003C405A" w:rsidRDefault="003C405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 Sans"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510042"/>
      <w:docPartObj>
        <w:docPartGallery w:val="Page Numbers (Bottom of Page)"/>
        <w:docPartUnique/>
      </w:docPartObj>
    </w:sdtPr>
    <w:sdtEndPr/>
    <w:sdtContent>
      <w:p w14:paraId="5EEDD30E" w14:textId="77777777" w:rsidR="00DC60D9" w:rsidRDefault="00DC60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97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Fira Sans" w:hAnsi="Fira Sans" w:cstheme="minorBidi"/>
        <w:color w:val="auto"/>
        <w:sz w:val="19"/>
        <w:szCs w:val="22"/>
      </w:rPr>
      <w:id w:val="116188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DA552C" w14:textId="77777777" w:rsidR="00DC60D9" w:rsidRPr="00A518FC" w:rsidRDefault="00DC60D9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13025DD7" w14:textId="77777777" w:rsidR="00DC60D9" w:rsidRPr="00A518FC" w:rsidRDefault="00DC60D9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B77197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2B493" w14:textId="77777777" w:rsidR="00DC60D9" w:rsidRDefault="00DC60D9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77197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E4436" w14:textId="77777777" w:rsidR="003C405A" w:rsidRDefault="003C405A" w:rsidP="000662E2">
      <w:pPr>
        <w:spacing w:after="0" w:line="240" w:lineRule="auto"/>
      </w:pPr>
      <w:r>
        <w:separator/>
      </w:r>
    </w:p>
  </w:footnote>
  <w:footnote w:type="continuationSeparator" w:id="0">
    <w:p w14:paraId="2AC3ACDD" w14:textId="77777777" w:rsidR="003C405A" w:rsidRDefault="003C405A" w:rsidP="000662E2">
      <w:pPr>
        <w:spacing w:after="0" w:line="240" w:lineRule="auto"/>
      </w:pPr>
      <w:r>
        <w:continuationSeparator/>
      </w:r>
    </w:p>
  </w:footnote>
  <w:footnote w:id="1">
    <w:p w14:paraId="561F86A6" w14:textId="32DA68B6" w:rsidR="00DC60D9" w:rsidRPr="00514D25" w:rsidRDefault="00DC60D9" w:rsidP="002C328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94D6C">
        <w:rPr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Both c</w:t>
      </w:r>
      <w:r w:rsidRPr="00FF0494">
        <w:rPr>
          <w:noProof/>
          <w:sz w:val="16"/>
          <w:szCs w:val="16"/>
          <w:lang w:val="en-US"/>
        </w:rPr>
        <w:t>onsumer confidence indicator</w:t>
      </w:r>
      <w:r>
        <w:rPr>
          <w:noProof/>
          <w:sz w:val="16"/>
          <w:szCs w:val="16"/>
          <w:lang w:val="en-US"/>
        </w:rPr>
        <w:t>s</w:t>
      </w:r>
      <w:r w:rsidRPr="00FF0494">
        <w:rPr>
          <w:noProof/>
          <w:sz w:val="16"/>
          <w:szCs w:val="16"/>
          <w:lang w:val="en-US"/>
        </w:rPr>
        <w:t xml:space="preserve"> receive values between -100 and +100. </w:t>
      </w:r>
      <w:r w:rsidRPr="00514D25">
        <w:rPr>
          <w:noProof/>
          <w:sz w:val="16"/>
          <w:szCs w:val="16"/>
          <w:lang w:val="en-US"/>
        </w:rPr>
        <w:t>A positive value means dominance of consumers with optimistic attitude over consumers with pessimistic attitude, while negative value means dominance of consumers with pessimistic attitude over consumers with optimistic attitude.</w:t>
      </w:r>
      <w:r w:rsidRPr="00514D25">
        <w:rPr>
          <w:rFonts w:cs="Fira Sans"/>
          <w:sz w:val="16"/>
          <w:szCs w:val="16"/>
          <w:lang w:val="en-US"/>
        </w:rPr>
        <w:t xml:space="preserve"> </w:t>
      </w:r>
      <w:r w:rsidRPr="00514D25">
        <w:rPr>
          <w:noProof/>
          <w:sz w:val="16"/>
          <w:szCs w:val="16"/>
          <w:lang w:val="en-US"/>
        </w:rPr>
        <w:t>I</w:t>
      </w:r>
      <w:r w:rsidR="00A50FDC">
        <w:rPr>
          <w:noProof/>
          <w:sz w:val="16"/>
          <w:szCs w:val="16"/>
          <w:lang w:val="en-US"/>
        </w:rPr>
        <w:t>n the period of 04-14.01.2021, 1190</w:t>
      </w:r>
      <w:r>
        <w:rPr>
          <w:noProof/>
          <w:sz w:val="16"/>
          <w:szCs w:val="16"/>
          <w:lang w:val="en-US"/>
        </w:rPr>
        <w:t xml:space="preserve"> interviewes were conducted</w:t>
      </w:r>
      <w:r w:rsidRPr="00514D25">
        <w:rPr>
          <w:noProof/>
          <w:sz w:val="16"/>
          <w:szCs w:val="16"/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using the telephone interview method.</w:t>
      </w:r>
      <w:r w:rsidRPr="00514D25">
        <w:rPr>
          <w:noProof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DF213" w14:textId="77777777" w:rsidR="00DC60D9" w:rsidRDefault="00DC60D9">
    <w:pPr>
      <w:pStyle w:val="Nagwek"/>
    </w:pPr>
  </w:p>
  <w:p w14:paraId="42967AB8" w14:textId="77777777" w:rsidR="00DC60D9" w:rsidRDefault="00DC60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A92978" wp14:editId="0FF2EE9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BA08F" id="Prostokąt 208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4A2E" w14:textId="6FA2D227" w:rsidR="00DC60D9" w:rsidRDefault="00DC60D9" w:rsidP="00BF2458">
    <w:pPr>
      <w:pStyle w:val="Nagwek"/>
      <w:tabs>
        <w:tab w:val="clear" w:pos="4536"/>
        <w:tab w:val="clear" w:pos="9072"/>
        <w:tab w:val="left" w:pos="672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E84A109" wp14:editId="240BB170">
              <wp:simplePos x="0" y="0"/>
              <wp:positionH relativeFrom="column">
                <wp:posOffset>5219700</wp:posOffset>
              </wp:positionH>
              <wp:positionV relativeFrom="paragraph">
                <wp:posOffset>929005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C6D94" w14:textId="15670903" w:rsidR="00DC60D9" w:rsidRPr="00C97596" w:rsidRDefault="00DC60D9" w:rsidP="00BF245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4A10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1pt;margin-top:73.1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" filled="f" stroked="f">
              <v:textbox>
                <w:txbxContent>
                  <w:p w14:paraId="074C6D94" w14:textId="15670903" w:rsidR="00DC60D9" w:rsidRPr="00C97596" w:rsidRDefault="00DC60D9" w:rsidP="00BF245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206751A" wp14:editId="75B8DBE4">
          <wp:simplePos x="0" y="0"/>
          <wp:positionH relativeFrom="margin">
            <wp:posOffset>0</wp:posOffset>
          </wp:positionH>
          <wp:positionV relativeFrom="paragraph">
            <wp:posOffset>97419</wp:posOffset>
          </wp:positionV>
          <wp:extent cx="1955800" cy="744855"/>
          <wp:effectExtent l="0" t="0" r="0" b="0"/>
          <wp:wrapSquare wrapText="bothSides"/>
          <wp:docPr id="5" name="Obraz 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5BFAF" wp14:editId="61C1DF7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5E0F81" w14:textId="77777777" w:rsidR="00DC60D9" w:rsidRPr="003C6C8D" w:rsidRDefault="00DC60D9" w:rsidP="009A0F70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5BFAF" id="Schemat blokowy: opóźnienie 6" o:spid="_x0000_s1044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25E0F81" w14:textId="77777777" w:rsidR="00DC60D9" w:rsidRPr="003C6C8D" w:rsidRDefault="00DC60D9" w:rsidP="009A0F70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EC87D33" wp14:editId="4FD8B86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59AEE4" w14:textId="77777777" w:rsidR="00DC60D9" w:rsidRDefault="00DC60D9" w:rsidP="00BF24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87D33" id="Prostokąt 210" o:spid="_x0000_s1045" style="position:absolute;margin-left:410.95pt;margin-top:40.3pt;width:147.4pt;height:1803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BssFtwpgIAAJ4FAAAOAAAAAAAA&#10;AAAAAAAAAC4CAABkcnMvZTJvRG9jLnhtbFBLAQItABQABgAIAAAAIQCmsibO5AAAAAwBAAAPAAAA&#10;AAAAAAAAAAAAAAAFAABkcnMvZG93bnJldi54bWxQSwUGAAAAAAQABADzAAAAEQYAAAAA&#10;" fillcolor="#f2f2f2" stroked="f" strokeweight="1pt">
              <v:textbox>
                <w:txbxContent>
                  <w:p w14:paraId="7359AEE4" w14:textId="77777777" w:rsidR="00DC60D9" w:rsidRDefault="00DC60D9" w:rsidP="00BF2458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tab/>
    </w:r>
  </w:p>
  <w:p w14:paraId="1B8A9D68" w14:textId="36B33A0C" w:rsidR="00DC60D9" w:rsidRDefault="00DC60D9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BDE13" w14:textId="77777777" w:rsidR="00DC60D9" w:rsidRDefault="00DC60D9">
    <w:pPr>
      <w:pStyle w:val="Nagwek"/>
    </w:pPr>
  </w:p>
  <w:p w14:paraId="63C32869" w14:textId="77777777" w:rsidR="00DC60D9" w:rsidRDefault="00DC60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57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072D8"/>
    <w:rsid w:val="000108B8"/>
    <w:rsid w:val="0001450B"/>
    <w:rsid w:val="00014DB7"/>
    <w:rsid w:val="000152F5"/>
    <w:rsid w:val="00031A1A"/>
    <w:rsid w:val="00034768"/>
    <w:rsid w:val="00034951"/>
    <w:rsid w:val="00040B33"/>
    <w:rsid w:val="00041798"/>
    <w:rsid w:val="0004582E"/>
    <w:rsid w:val="000470AA"/>
    <w:rsid w:val="00047B35"/>
    <w:rsid w:val="00050829"/>
    <w:rsid w:val="00051110"/>
    <w:rsid w:val="00051607"/>
    <w:rsid w:val="00051E07"/>
    <w:rsid w:val="00052211"/>
    <w:rsid w:val="00053B77"/>
    <w:rsid w:val="00054570"/>
    <w:rsid w:val="00054757"/>
    <w:rsid w:val="000573FC"/>
    <w:rsid w:val="00057CA1"/>
    <w:rsid w:val="00061090"/>
    <w:rsid w:val="00065532"/>
    <w:rsid w:val="00065614"/>
    <w:rsid w:val="000662E2"/>
    <w:rsid w:val="00066883"/>
    <w:rsid w:val="00072F74"/>
    <w:rsid w:val="000743E5"/>
    <w:rsid w:val="00074DD8"/>
    <w:rsid w:val="00075F14"/>
    <w:rsid w:val="000806E2"/>
    <w:rsid w:val="000806F7"/>
    <w:rsid w:val="00080ECF"/>
    <w:rsid w:val="00082E10"/>
    <w:rsid w:val="0008549C"/>
    <w:rsid w:val="00086288"/>
    <w:rsid w:val="00087858"/>
    <w:rsid w:val="00087963"/>
    <w:rsid w:val="00092075"/>
    <w:rsid w:val="00092223"/>
    <w:rsid w:val="00094173"/>
    <w:rsid w:val="00096100"/>
    <w:rsid w:val="00097840"/>
    <w:rsid w:val="000A220F"/>
    <w:rsid w:val="000A2240"/>
    <w:rsid w:val="000A296E"/>
    <w:rsid w:val="000A65A9"/>
    <w:rsid w:val="000A6AAA"/>
    <w:rsid w:val="000B0727"/>
    <w:rsid w:val="000B0D27"/>
    <w:rsid w:val="000B4222"/>
    <w:rsid w:val="000B5253"/>
    <w:rsid w:val="000B548B"/>
    <w:rsid w:val="000B747E"/>
    <w:rsid w:val="000C135D"/>
    <w:rsid w:val="000C21F1"/>
    <w:rsid w:val="000C2B34"/>
    <w:rsid w:val="000C456E"/>
    <w:rsid w:val="000C5F1F"/>
    <w:rsid w:val="000C7931"/>
    <w:rsid w:val="000D0352"/>
    <w:rsid w:val="000D105E"/>
    <w:rsid w:val="000D1D43"/>
    <w:rsid w:val="000D225C"/>
    <w:rsid w:val="000D29F7"/>
    <w:rsid w:val="000D2A5C"/>
    <w:rsid w:val="000D4E5A"/>
    <w:rsid w:val="000E0918"/>
    <w:rsid w:val="000E0BB2"/>
    <w:rsid w:val="000E2304"/>
    <w:rsid w:val="000E2680"/>
    <w:rsid w:val="000E3CBF"/>
    <w:rsid w:val="000E60B4"/>
    <w:rsid w:val="000E615F"/>
    <w:rsid w:val="000E79FC"/>
    <w:rsid w:val="000F55BC"/>
    <w:rsid w:val="000F582F"/>
    <w:rsid w:val="001011C3"/>
    <w:rsid w:val="00103510"/>
    <w:rsid w:val="00105112"/>
    <w:rsid w:val="00105BFB"/>
    <w:rsid w:val="00105E5E"/>
    <w:rsid w:val="001070E2"/>
    <w:rsid w:val="00107A73"/>
    <w:rsid w:val="00110D87"/>
    <w:rsid w:val="00113C04"/>
    <w:rsid w:val="00114DB9"/>
    <w:rsid w:val="0011502A"/>
    <w:rsid w:val="00116087"/>
    <w:rsid w:val="001174F6"/>
    <w:rsid w:val="00120D42"/>
    <w:rsid w:val="0012106E"/>
    <w:rsid w:val="00124C75"/>
    <w:rsid w:val="00124CE1"/>
    <w:rsid w:val="00125700"/>
    <w:rsid w:val="001258BC"/>
    <w:rsid w:val="00130296"/>
    <w:rsid w:val="00131F96"/>
    <w:rsid w:val="001323AF"/>
    <w:rsid w:val="0013245A"/>
    <w:rsid w:val="00133BFC"/>
    <w:rsid w:val="00137DAE"/>
    <w:rsid w:val="001423B6"/>
    <w:rsid w:val="0014258F"/>
    <w:rsid w:val="00142BFC"/>
    <w:rsid w:val="00142F12"/>
    <w:rsid w:val="001448A7"/>
    <w:rsid w:val="00146621"/>
    <w:rsid w:val="001542EA"/>
    <w:rsid w:val="0015506A"/>
    <w:rsid w:val="0015517E"/>
    <w:rsid w:val="00157429"/>
    <w:rsid w:val="00162325"/>
    <w:rsid w:val="00162C4B"/>
    <w:rsid w:val="00163353"/>
    <w:rsid w:val="00163B58"/>
    <w:rsid w:val="0016456B"/>
    <w:rsid w:val="001646FD"/>
    <w:rsid w:val="0016658D"/>
    <w:rsid w:val="001670D0"/>
    <w:rsid w:val="00171469"/>
    <w:rsid w:val="00173149"/>
    <w:rsid w:val="00180412"/>
    <w:rsid w:val="00181035"/>
    <w:rsid w:val="00181CBC"/>
    <w:rsid w:val="001825B1"/>
    <w:rsid w:val="001834FF"/>
    <w:rsid w:val="00183CE4"/>
    <w:rsid w:val="00183D1B"/>
    <w:rsid w:val="00187059"/>
    <w:rsid w:val="00192832"/>
    <w:rsid w:val="00194C53"/>
    <w:rsid w:val="001951DA"/>
    <w:rsid w:val="001965A7"/>
    <w:rsid w:val="00197987"/>
    <w:rsid w:val="00197B94"/>
    <w:rsid w:val="001A0AD3"/>
    <w:rsid w:val="001A671B"/>
    <w:rsid w:val="001A6BA1"/>
    <w:rsid w:val="001A6ED5"/>
    <w:rsid w:val="001A7D81"/>
    <w:rsid w:val="001B052D"/>
    <w:rsid w:val="001B1B21"/>
    <w:rsid w:val="001B3C2C"/>
    <w:rsid w:val="001B4ABD"/>
    <w:rsid w:val="001B5A4C"/>
    <w:rsid w:val="001C1E98"/>
    <w:rsid w:val="001C2D33"/>
    <w:rsid w:val="001C3269"/>
    <w:rsid w:val="001C32FE"/>
    <w:rsid w:val="001C42EB"/>
    <w:rsid w:val="001C5208"/>
    <w:rsid w:val="001C64AD"/>
    <w:rsid w:val="001C6D49"/>
    <w:rsid w:val="001C6EBA"/>
    <w:rsid w:val="001C7BD5"/>
    <w:rsid w:val="001D1DB4"/>
    <w:rsid w:val="001D2AA0"/>
    <w:rsid w:val="001D2EBF"/>
    <w:rsid w:val="001D3533"/>
    <w:rsid w:val="001D3F2B"/>
    <w:rsid w:val="001D4E28"/>
    <w:rsid w:val="001D4F73"/>
    <w:rsid w:val="001D5FC6"/>
    <w:rsid w:val="001D7E17"/>
    <w:rsid w:val="001E1D94"/>
    <w:rsid w:val="001E2F7C"/>
    <w:rsid w:val="001E61F7"/>
    <w:rsid w:val="001E64C4"/>
    <w:rsid w:val="001F19A3"/>
    <w:rsid w:val="001F2A20"/>
    <w:rsid w:val="001F6F9E"/>
    <w:rsid w:val="00205B38"/>
    <w:rsid w:val="00210F89"/>
    <w:rsid w:val="002115FD"/>
    <w:rsid w:val="00213881"/>
    <w:rsid w:val="00214086"/>
    <w:rsid w:val="002168D3"/>
    <w:rsid w:val="00216D8F"/>
    <w:rsid w:val="00217B26"/>
    <w:rsid w:val="002220A6"/>
    <w:rsid w:val="0022352C"/>
    <w:rsid w:val="00224E00"/>
    <w:rsid w:val="002253F4"/>
    <w:rsid w:val="00227C24"/>
    <w:rsid w:val="002331F6"/>
    <w:rsid w:val="002345FB"/>
    <w:rsid w:val="00236A7C"/>
    <w:rsid w:val="00240B8D"/>
    <w:rsid w:val="00250201"/>
    <w:rsid w:val="00254532"/>
    <w:rsid w:val="00255158"/>
    <w:rsid w:val="002570E8"/>
    <w:rsid w:val="002574F9"/>
    <w:rsid w:val="00262B61"/>
    <w:rsid w:val="00262E7F"/>
    <w:rsid w:val="00266BFD"/>
    <w:rsid w:val="002701A2"/>
    <w:rsid w:val="00271686"/>
    <w:rsid w:val="00273134"/>
    <w:rsid w:val="00273F9C"/>
    <w:rsid w:val="00274ADF"/>
    <w:rsid w:val="002756F8"/>
    <w:rsid w:val="00276811"/>
    <w:rsid w:val="00276A4D"/>
    <w:rsid w:val="00276FE7"/>
    <w:rsid w:val="00277159"/>
    <w:rsid w:val="00282699"/>
    <w:rsid w:val="002830B9"/>
    <w:rsid w:val="00284618"/>
    <w:rsid w:val="00284EF4"/>
    <w:rsid w:val="00285ED8"/>
    <w:rsid w:val="00287FE6"/>
    <w:rsid w:val="00291229"/>
    <w:rsid w:val="002926DF"/>
    <w:rsid w:val="0029516C"/>
    <w:rsid w:val="002964C3"/>
    <w:rsid w:val="00296697"/>
    <w:rsid w:val="00296B99"/>
    <w:rsid w:val="002971E7"/>
    <w:rsid w:val="002A2C24"/>
    <w:rsid w:val="002A31A4"/>
    <w:rsid w:val="002A3665"/>
    <w:rsid w:val="002A60CA"/>
    <w:rsid w:val="002A6210"/>
    <w:rsid w:val="002A6500"/>
    <w:rsid w:val="002B0472"/>
    <w:rsid w:val="002B1C80"/>
    <w:rsid w:val="002B2112"/>
    <w:rsid w:val="002B21C8"/>
    <w:rsid w:val="002B6B12"/>
    <w:rsid w:val="002B7763"/>
    <w:rsid w:val="002C0DF9"/>
    <w:rsid w:val="002C328D"/>
    <w:rsid w:val="002C458A"/>
    <w:rsid w:val="002C58BA"/>
    <w:rsid w:val="002C6E94"/>
    <w:rsid w:val="002D3258"/>
    <w:rsid w:val="002D4281"/>
    <w:rsid w:val="002D5918"/>
    <w:rsid w:val="002D77BE"/>
    <w:rsid w:val="002D7816"/>
    <w:rsid w:val="002E0940"/>
    <w:rsid w:val="002E0EE3"/>
    <w:rsid w:val="002E14C1"/>
    <w:rsid w:val="002E218B"/>
    <w:rsid w:val="002E3621"/>
    <w:rsid w:val="002E6140"/>
    <w:rsid w:val="002E6985"/>
    <w:rsid w:val="002E6C90"/>
    <w:rsid w:val="002E6D6C"/>
    <w:rsid w:val="002E71B6"/>
    <w:rsid w:val="002F027A"/>
    <w:rsid w:val="002F0B6B"/>
    <w:rsid w:val="002F0C9E"/>
    <w:rsid w:val="002F22D2"/>
    <w:rsid w:val="002F2356"/>
    <w:rsid w:val="002F5124"/>
    <w:rsid w:val="002F77C8"/>
    <w:rsid w:val="0030291D"/>
    <w:rsid w:val="0030476F"/>
    <w:rsid w:val="00304F22"/>
    <w:rsid w:val="00306A6C"/>
    <w:rsid w:val="00306C7C"/>
    <w:rsid w:val="00310165"/>
    <w:rsid w:val="003204FA"/>
    <w:rsid w:val="00320B84"/>
    <w:rsid w:val="0032138D"/>
    <w:rsid w:val="003222A9"/>
    <w:rsid w:val="00322EDD"/>
    <w:rsid w:val="00323A9D"/>
    <w:rsid w:val="003259B0"/>
    <w:rsid w:val="00326E56"/>
    <w:rsid w:val="003271AF"/>
    <w:rsid w:val="003308DB"/>
    <w:rsid w:val="00331879"/>
    <w:rsid w:val="00332320"/>
    <w:rsid w:val="003346B1"/>
    <w:rsid w:val="003350E9"/>
    <w:rsid w:val="00335B46"/>
    <w:rsid w:val="003368CA"/>
    <w:rsid w:val="00340D65"/>
    <w:rsid w:val="00341AC1"/>
    <w:rsid w:val="00342A71"/>
    <w:rsid w:val="00342B33"/>
    <w:rsid w:val="003449F7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2612"/>
    <w:rsid w:val="003632BA"/>
    <w:rsid w:val="00363703"/>
    <w:rsid w:val="00363E8C"/>
    <w:rsid w:val="00365786"/>
    <w:rsid w:val="00366D8D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87609"/>
    <w:rsid w:val="00391C97"/>
    <w:rsid w:val="00393761"/>
    <w:rsid w:val="00393F3C"/>
    <w:rsid w:val="00393F64"/>
    <w:rsid w:val="00394115"/>
    <w:rsid w:val="00396FC5"/>
    <w:rsid w:val="0039747C"/>
    <w:rsid w:val="00397D18"/>
    <w:rsid w:val="003A0714"/>
    <w:rsid w:val="003A1B36"/>
    <w:rsid w:val="003A3169"/>
    <w:rsid w:val="003B02EF"/>
    <w:rsid w:val="003B132D"/>
    <w:rsid w:val="003B1454"/>
    <w:rsid w:val="003B18B6"/>
    <w:rsid w:val="003B1F93"/>
    <w:rsid w:val="003B3271"/>
    <w:rsid w:val="003B727F"/>
    <w:rsid w:val="003C013E"/>
    <w:rsid w:val="003C019D"/>
    <w:rsid w:val="003C0899"/>
    <w:rsid w:val="003C1941"/>
    <w:rsid w:val="003C2E08"/>
    <w:rsid w:val="003C405A"/>
    <w:rsid w:val="003C4D02"/>
    <w:rsid w:val="003C59E0"/>
    <w:rsid w:val="003C5D47"/>
    <w:rsid w:val="003C6C8D"/>
    <w:rsid w:val="003C6EFB"/>
    <w:rsid w:val="003C78F1"/>
    <w:rsid w:val="003D01F8"/>
    <w:rsid w:val="003D0689"/>
    <w:rsid w:val="003D1B43"/>
    <w:rsid w:val="003D2DAF"/>
    <w:rsid w:val="003D4D7F"/>
    <w:rsid w:val="003D4F95"/>
    <w:rsid w:val="003D57EF"/>
    <w:rsid w:val="003D5F42"/>
    <w:rsid w:val="003D60A9"/>
    <w:rsid w:val="003E5F73"/>
    <w:rsid w:val="003E6677"/>
    <w:rsid w:val="003E7070"/>
    <w:rsid w:val="003F12CA"/>
    <w:rsid w:val="003F153D"/>
    <w:rsid w:val="003F1711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2917"/>
    <w:rsid w:val="004040A6"/>
    <w:rsid w:val="00404F6F"/>
    <w:rsid w:val="00406761"/>
    <w:rsid w:val="00407D88"/>
    <w:rsid w:val="00410278"/>
    <w:rsid w:val="004151AC"/>
    <w:rsid w:val="004153C0"/>
    <w:rsid w:val="004212E7"/>
    <w:rsid w:val="00421522"/>
    <w:rsid w:val="004241CA"/>
    <w:rsid w:val="0042446D"/>
    <w:rsid w:val="004266E2"/>
    <w:rsid w:val="0042676F"/>
    <w:rsid w:val="0042704E"/>
    <w:rsid w:val="00427BF8"/>
    <w:rsid w:val="00431318"/>
    <w:rsid w:val="00431C02"/>
    <w:rsid w:val="00434891"/>
    <w:rsid w:val="00436D99"/>
    <w:rsid w:val="00437395"/>
    <w:rsid w:val="004414F9"/>
    <w:rsid w:val="00441F9E"/>
    <w:rsid w:val="0044211B"/>
    <w:rsid w:val="004423BF"/>
    <w:rsid w:val="00445047"/>
    <w:rsid w:val="004507A7"/>
    <w:rsid w:val="00450D53"/>
    <w:rsid w:val="00452AE6"/>
    <w:rsid w:val="00453AF0"/>
    <w:rsid w:val="00454AB8"/>
    <w:rsid w:val="00455465"/>
    <w:rsid w:val="00460614"/>
    <w:rsid w:val="00462C73"/>
    <w:rsid w:val="00462CA0"/>
    <w:rsid w:val="004631AB"/>
    <w:rsid w:val="00463E39"/>
    <w:rsid w:val="004657FC"/>
    <w:rsid w:val="00465D66"/>
    <w:rsid w:val="00465EE5"/>
    <w:rsid w:val="00466732"/>
    <w:rsid w:val="0046695F"/>
    <w:rsid w:val="00472496"/>
    <w:rsid w:val="004733F6"/>
    <w:rsid w:val="004749A3"/>
    <w:rsid w:val="00474E69"/>
    <w:rsid w:val="004750B3"/>
    <w:rsid w:val="00475774"/>
    <w:rsid w:val="00475BA8"/>
    <w:rsid w:val="0047601B"/>
    <w:rsid w:val="00477386"/>
    <w:rsid w:val="00477E44"/>
    <w:rsid w:val="00481A96"/>
    <w:rsid w:val="00481E31"/>
    <w:rsid w:val="00482354"/>
    <w:rsid w:val="00483BB4"/>
    <w:rsid w:val="0048506F"/>
    <w:rsid w:val="00485A69"/>
    <w:rsid w:val="00486D20"/>
    <w:rsid w:val="00486E1D"/>
    <w:rsid w:val="00490502"/>
    <w:rsid w:val="0049353F"/>
    <w:rsid w:val="00494D6C"/>
    <w:rsid w:val="0049621B"/>
    <w:rsid w:val="00496F49"/>
    <w:rsid w:val="0049754B"/>
    <w:rsid w:val="004A0FFF"/>
    <w:rsid w:val="004A104D"/>
    <w:rsid w:val="004A2444"/>
    <w:rsid w:val="004A2D43"/>
    <w:rsid w:val="004A64F0"/>
    <w:rsid w:val="004B0AE4"/>
    <w:rsid w:val="004B1384"/>
    <w:rsid w:val="004B194F"/>
    <w:rsid w:val="004B2FF7"/>
    <w:rsid w:val="004B587A"/>
    <w:rsid w:val="004B707D"/>
    <w:rsid w:val="004B7496"/>
    <w:rsid w:val="004C13B9"/>
    <w:rsid w:val="004C1895"/>
    <w:rsid w:val="004C2109"/>
    <w:rsid w:val="004C515F"/>
    <w:rsid w:val="004C5E33"/>
    <w:rsid w:val="004C6D40"/>
    <w:rsid w:val="004C78A8"/>
    <w:rsid w:val="004D06F5"/>
    <w:rsid w:val="004D268C"/>
    <w:rsid w:val="004D4078"/>
    <w:rsid w:val="004D6152"/>
    <w:rsid w:val="004E202A"/>
    <w:rsid w:val="004E27A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287"/>
    <w:rsid w:val="004F63FC"/>
    <w:rsid w:val="004F7BB4"/>
    <w:rsid w:val="00500308"/>
    <w:rsid w:val="00500D94"/>
    <w:rsid w:val="005015E8"/>
    <w:rsid w:val="00503CEF"/>
    <w:rsid w:val="00504868"/>
    <w:rsid w:val="005049F9"/>
    <w:rsid w:val="00505A92"/>
    <w:rsid w:val="00505EA2"/>
    <w:rsid w:val="0051042A"/>
    <w:rsid w:val="00510D9A"/>
    <w:rsid w:val="005117AD"/>
    <w:rsid w:val="00511A17"/>
    <w:rsid w:val="00513FAB"/>
    <w:rsid w:val="00514D25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27A63"/>
    <w:rsid w:val="00530074"/>
    <w:rsid w:val="00531FE8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80"/>
    <w:rsid w:val="00542EAD"/>
    <w:rsid w:val="005452B7"/>
    <w:rsid w:val="005455E2"/>
    <w:rsid w:val="005479B1"/>
    <w:rsid w:val="005520D8"/>
    <w:rsid w:val="005534B6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4BA3"/>
    <w:rsid w:val="005762A7"/>
    <w:rsid w:val="005777E5"/>
    <w:rsid w:val="00581651"/>
    <w:rsid w:val="00581CD2"/>
    <w:rsid w:val="005856AC"/>
    <w:rsid w:val="00586C0D"/>
    <w:rsid w:val="00586EB0"/>
    <w:rsid w:val="005877D2"/>
    <w:rsid w:val="005916D7"/>
    <w:rsid w:val="00592D3C"/>
    <w:rsid w:val="005930D9"/>
    <w:rsid w:val="005931B0"/>
    <w:rsid w:val="00593F35"/>
    <w:rsid w:val="00597C1D"/>
    <w:rsid w:val="005A2D18"/>
    <w:rsid w:val="005A36AA"/>
    <w:rsid w:val="005A3A95"/>
    <w:rsid w:val="005A3ED2"/>
    <w:rsid w:val="005A653B"/>
    <w:rsid w:val="005A698C"/>
    <w:rsid w:val="005A730E"/>
    <w:rsid w:val="005A7E40"/>
    <w:rsid w:val="005B1A6D"/>
    <w:rsid w:val="005B2AAE"/>
    <w:rsid w:val="005B390B"/>
    <w:rsid w:val="005B3A86"/>
    <w:rsid w:val="005B5D8A"/>
    <w:rsid w:val="005C092F"/>
    <w:rsid w:val="005C428F"/>
    <w:rsid w:val="005C433F"/>
    <w:rsid w:val="005C5FBD"/>
    <w:rsid w:val="005D6D73"/>
    <w:rsid w:val="005D72D6"/>
    <w:rsid w:val="005E071C"/>
    <w:rsid w:val="005E0799"/>
    <w:rsid w:val="005E0B91"/>
    <w:rsid w:val="005E0D2F"/>
    <w:rsid w:val="005E3D8D"/>
    <w:rsid w:val="005E4C0B"/>
    <w:rsid w:val="005F0D73"/>
    <w:rsid w:val="005F40EF"/>
    <w:rsid w:val="005F41C9"/>
    <w:rsid w:val="005F4AA3"/>
    <w:rsid w:val="005F4C4B"/>
    <w:rsid w:val="005F4EA6"/>
    <w:rsid w:val="005F5A80"/>
    <w:rsid w:val="005F6626"/>
    <w:rsid w:val="006001D4"/>
    <w:rsid w:val="00600F7B"/>
    <w:rsid w:val="00600F8E"/>
    <w:rsid w:val="00604329"/>
    <w:rsid w:val="006044FF"/>
    <w:rsid w:val="0060481D"/>
    <w:rsid w:val="0060556B"/>
    <w:rsid w:val="00607CC5"/>
    <w:rsid w:val="0061571C"/>
    <w:rsid w:val="00615D51"/>
    <w:rsid w:val="00617810"/>
    <w:rsid w:val="00617C3F"/>
    <w:rsid w:val="00621090"/>
    <w:rsid w:val="00621808"/>
    <w:rsid w:val="0062592E"/>
    <w:rsid w:val="006265B8"/>
    <w:rsid w:val="00626D4C"/>
    <w:rsid w:val="00633014"/>
    <w:rsid w:val="0063437B"/>
    <w:rsid w:val="0063653E"/>
    <w:rsid w:val="006404CD"/>
    <w:rsid w:val="00641213"/>
    <w:rsid w:val="0064135C"/>
    <w:rsid w:val="006415B3"/>
    <w:rsid w:val="006456D4"/>
    <w:rsid w:val="006508EE"/>
    <w:rsid w:val="0065118E"/>
    <w:rsid w:val="00651FDC"/>
    <w:rsid w:val="00652D12"/>
    <w:rsid w:val="006537BC"/>
    <w:rsid w:val="00654B4D"/>
    <w:rsid w:val="00655370"/>
    <w:rsid w:val="00655E7E"/>
    <w:rsid w:val="006565E3"/>
    <w:rsid w:val="00656AE2"/>
    <w:rsid w:val="0065799C"/>
    <w:rsid w:val="00657E03"/>
    <w:rsid w:val="00661090"/>
    <w:rsid w:val="0066130E"/>
    <w:rsid w:val="00661ECB"/>
    <w:rsid w:val="006623F1"/>
    <w:rsid w:val="00663B4A"/>
    <w:rsid w:val="00663D48"/>
    <w:rsid w:val="00664D0E"/>
    <w:rsid w:val="00664D57"/>
    <w:rsid w:val="00665EB3"/>
    <w:rsid w:val="00666F48"/>
    <w:rsid w:val="006673CA"/>
    <w:rsid w:val="0067090B"/>
    <w:rsid w:val="00671CD5"/>
    <w:rsid w:val="00672418"/>
    <w:rsid w:val="00673C26"/>
    <w:rsid w:val="00674018"/>
    <w:rsid w:val="00676474"/>
    <w:rsid w:val="006765B6"/>
    <w:rsid w:val="0067698C"/>
    <w:rsid w:val="00677452"/>
    <w:rsid w:val="006807B0"/>
    <w:rsid w:val="006812AF"/>
    <w:rsid w:val="0068191D"/>
    <w:rsid w:val="00682F24"/>
    <w:rsid w:val="0068327D"/>
    <w:rsid w:val="006835D5"/>
    <w:rsid w:val="00691D5B"/>
    <w:rsid w:val="00694AF0"/>
    <w:rsid w:val="00695207"/>
    <w:rsid w:val="0069585C"/>
    <w:rsid w:val="00695B50"/>
    <w:rsid w:val="006962BC"/>
    <w:rsid w:val="00696B93"/>
    <w:rsid w:val="006A4686"/>
    <w:rsid w:val="006A47A2"/>
    <w:rsid w:val="006A745A"/>
    <w:rsid w:val="006B02C8"/>
    <w:rsid w:val="006B0D09"/>
    <w:rsid w:val="006B0E9E"/>
    <w:rsid w:val="006B4CD4"/>
    <w:rsid w:val="006B4CE8"/>
    <w:rsid w:val="006B509A"/>
    <w:rsid w:val="006B563B"/>
    <w:rsid w:val="006B5AE4"/>
    <w:rsid w:val="006B60E1"/>
    <w:rsid w:val="006B7D59"/>
    <w:rsid w:val="006C105E"/>
    <w:rsid w:val="006C154F"/>
    <w:rsid w:val="006C35F4"/>
    <w:rsid w:val="006C4C37"/>
    <w:rsid w:val="006C51FE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2E4D"/>
    <w:rsid w:val="006F6C7D"/>
    <w:rsid w:val="006F7B71"/>
    <w:rsid w:val="006F7CA1"/>
    <w:rsid w:val="007004AD"/>
    <w:rsid w:val="00705420"/>
    <w:rsid w:val="0070713F"/>
    <w:rsid w:val="00707207"/>
    <w:rsid w:val="00707637"/>
    <w:rsid w:val="00707CA9"/>
    <w:rsid w:val="00710607"/>
    <w:rsid w:val="00711590"/>
    <w:rsid w:val="00712785"/>
    <w:rsid w:val="00712B2A"/>
    <w:rsid w:val="00714419"/>
    <w:rsid w:val="0071553E"/>
    <w:rsid w:val="00715683"/>
    <w:rsid w:val="00715B4C"/>
    <w:rsid w:val="007211B1"/>
    <w:rsid w:val="007220B9"/>
    <w:rsid w:val="00724A5A"/>
    <w:rsid w:val="00724C09"/>
    <w:rsid w:val="00727A9E"/>
    <w:rsid w:val="00730701"/>
    <w:rsid w:val="007316C5"/>
    <w:rsid w:val="00733E2E"/>
    <w:rsid w:val="00733EA3"/>
    <w:rsid w:val="0073474C"/>
    <w:rsid w:val="00736FE6"/>
    <w:rsid w:val="0073770F"/>
    <w:rsid w:val="0074121C"/>
    <w:rsid w:val="00743028"/>
    <w:rsid w:val="007443DC"/>
    <w:rsid w:val="00744F8A"/>
    <w:rsid w:val="00745D08"/>
    <w:rsid w:val="00745D81"/>
    <w:rsid w:val="007460DD"/>
    <w:rsid w:val="00746187"/>
    <w:rsid w:val="0075423D"/>
    <w:rsid w:val="00756F63"/>
    <w:rsid w:val="00757A63"/>
    <w:rsid w:val="0076254F"/>
    <w:rsid w:val="0076257E"/>
    <w:rsid w:val="007626D5"/>
    <w:rsid w:val="007637F6"/>
    <w:rsid w:val="00764E2D"/>
    <w:rsid w:val="00765FC9"/>
    <w:rsid w:val="00771080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860"/>
    <w:rsid w:val="00785650"/>
    <w:rsid w:val="00786124"/>
    <w:rsid w:val="0079514B"/>
    <w:rsid w:val="00795825"/>
    <w:rsid w:val="0079706E"/>
    <w:rsid w:val="0079799F"/>
    <w:rsid w:val="007A0DC8"/>
    <w:rsid w:val="007A1F41"/>
    <w:rsid w:val="007A2DC1"/>
    <w:rsid w:val="007A7B28"/>
    <w:rsid w:val="007B1A0C"/>
    <w:rsid w:val="007B34B7"/>
    <w:rsid w:val="007B710C"/>
    <w:rsid w:val="007B7753"/>
    <w:rsid w:val="007C070C"/>
    <w:rsid w:val="007C19D4"/>
    <w:rsid w:val="007C3F8C"/>
    <w:rsid w:val="007C4853"/>
    <w:rsid w:val="007D08EE"/>
    <w:rsid w:val="007D1F0E"/>
    <w:rsid w:val="007D3319"/>
    <w:rsid w:val="007D335D"/>
    <w:rsid w:val="007D569B"/>
    <w:rsid w:val="007D57F9"/>
    <w:rsid w:val="007D5BFA"/>
    <w:rsid w:val="007D6F6F"/>
    <w:rsid w:val="007E3314"/>
    <w:rsid w:val="007E442A"/>
    <w:rsid w:val="007E4B03"/>
    <w:rsid w:val="007E58C7"/>
    <w:rsid w:val="007F324B"/>
    <w:rsid w:val="007F4E3D"/>
    <w:rsid w:val="007F677C"/>
    <w:rsid w:val="007F732C"/>
    <w:rsid w:val="00800949"/>
    <w:rsid w:val="00801B02"/>
    <w:rsid w:val="0080234D"/>
    <w:rsid w:val="008024D9"/>
    <w:rsid w:val="00803C81"/>
    <w:rsid w:val="0080553C"/>
    <w:rsid w:val="00805B46"/>
    <w:rsid w:val="008063C9"/>
    <w:rsid w:val="008068D3"/>
    <w:rsid w:val="008118C7"/>
    <w:rsid w:val="00811C8C"/>
    <w:rsid w:val="00812A08"/>
    <w:rsid w:val="00813134"/>
    <w:rsid w:val="00813BA8"/>
    <w:rsid w:val="00816908"/>
    <w:rsid w:val="00817BBB"/>
    <w:rsid w:val="00820949"/>
    <w:rsid w:val="0082137A"/>
    <w:rsid w:val="0082262A"/>
    <w:rsid w:val="008231DD"/>
    <w:rsid w:val="0082320B"/>
    <w:rsid w:val="0082543E"/>
    <w:rsid w:val="00825DC2"/>
    <w:rsid w:val="00826E3B"/>
    <w:rsid w:val="00826F9A"/>
    <w:rsid w:val="008308F1"/>
    <w:rsid w:val="008347B5"/>
    <w:rsid w:val="00834AD3"/>
    <w:rsid w:val="00836863"/>
    <w:rsid w:val="00836D41"/>
    <w:rsid w:val="00843795"/>
    <w:rsid w:val="00845B3C"/>
    <w:rsid w:val="00845C13"/>
    <w:rsid w:val="00845CD8"/>
    <w:rsid w:val="00847F0F"/>
    <w:rsid w:val="00852330"/>
    <w:rsid w:val="0085237B"/>
    <w:rsid w:val="00852448"/>
    <w:rsid w:val="0085474D"/>
    <w:rsid w:val="00854E1D"/>
    <w:rsid w:val="00855AC3"/>
    <w:rsid w:val="00862F0C"/>
    <w:rsid w:val="008636BC"/>
    <w:rsid w:val="00866947"/>
    <w:rsid w:val="00872B4B"/>
    <w:rsid w:val="00873907"/>
    <w:rsid w:val="0087797A"/>
    <w:rsid w:val="008822CB"/>
    <w:rsid w:val="0088258A"/>
    <w:rsid w:val="008837AF"/>
    <w:rsid w:val="00884CA7"/>
    <w:rsid w:val="00886332"/>
    <w:rsid w:val="00886CAB"/>
    <w:rsid w:val="0088758F"/>
    <w:rsid w:val="008876B8"/>
    <w:rsid w:val="00887A82"/>
    <w:rsid w:val="008908A3"/>
    <w:rsid w:val="00891516"/>
    <w:rsid w:val="00891FF7"/>
    <w:rsid w:val="008931C4"/>
    <w:rsid w:val="008934C4"/>
    <w:rsid w:val="008942E6"/>
    <w:rsid w:val="00895A0D"/>
    <w:rsid w:val="00896F40"/>
    <w:rsid w:val="00897772"/>
    <w:rsid w:val="008979AA"/>
    <w:rsid w:val="008A1107"/>
    <w:rsid w:val="008A1D0D"/>
    <w:rsid w:val="008A26D9"/>
    <w:rsid w:val="008A2F86"/>
    <w:rsid w:val="008A38ED"/>
    <w:rsid w:val="008A3E99"/>
    <w:rsid w:val="008B2416"/>
    <w:rsid w:val="008B2B6A"/>
    <w:rsid w:val="008B77C0"/>
    <w:rsid w:val="008B782C"/>
    <w:rsid w:val="008C0A59"/>
    <w:rsid w:val="008C0C29"/>
    <w:rsid w:val="008C128D"/>
    <w:rsid w:val="008C2B4B"/>
    <w:rsid w:val="008C2E59"/>
    <w:rsid w:val="008C4C24"/>
    <w:rsid w:val="008C59DA"/>
    <w:rsid w:val="008D066B"/>
    <w:rsid w:val="008D0ED7"/>
    <w:rsid w:val="008D3DEF"/>
    <w:rsid w:val="008D4B7E"/>
    <w:rsid w:val="008D5A4B"/>
    <w:rsid w:val="008D61B1"/>
    <w:rsid w:val="008E2B77"/>
    <w:rsid w:val="008E39CE"/>
    <w:rsid w:val="008E3D66"/>
    <w:rsid w:val="008E75B8"/>
    <w:rsid w:val="008F0609"/>
    <w:rsid w:val="008F3638"/>
    <w:rsid w:val="008F4441"/>
    <w:rsid w:val="008F65B9"/>
    <w:rsid w:val="008F6F31"/>
    <w:rsid w:val="008F74DF"/>
    <w:rsid w:val="008F7A73"/>
    <w:rsid w:val="0090176A"/>
    <w:rsid w:val="00903394"/>
    <w:rsid w:val="00904AAB"/>
    <w:rsid w:val="0090561C"/>
    <w:rsid w:val="00906A28"/>
    <w:rsid w:val="00906B4E"/>
    <w:rsid w:val="00907522"/>
    <w:rsid w:val="009126CC"/>
    <w:rsid w:val="009127BA"/>
    <w:rsid w:val="0091301E"/>
    <w:rsid w:val="00914E6D"/>
    <w:rsid w:val="0091694D"/>
    <w:rsid w:val="009177F8"/>
    <w:rsid w:val="009227A6"/>
    <w:rsid w:val="00922FCB"/>
    <w:rsid w:val="00923642"/>
    <w:rsid w:val="00924BD4"/>
    <w:rsid w:val="00924F4C"/>
    <w:rsid w:val="0092696E"/>
    <w:rsid w:val="00931755"/>
    <w:rsid w:val="00933EC1"/>
    <w:rsid w:val="0093629F"/>
    <w:rsid w:val="0093660E"/>
    <w:rsid w:val="00941C24"/>
    <w:rsid w:val="00942142"/>
    <w:rsid w:val="00942930"/>
    <w:rsid w:val="0094514C"/>
    <w:rsid w:val="0094600C"/>
    <w:rsid w:val="0094660F"/>
    <w:rsid w:val="009508AE"/>
    <w:rsid w:val="009530DB"/>
    <w:rsid w:val="0095342A"/>
    <w:rsid w:val="00953676"/>
    <w:rsid w:val="009540D5"/>
    <w:rsid w:val="009551C9"/>
    <w:rsid w:val="009570BF"/>
    <w:rsid w:val="00957BF6"/>
    <w:rsid w:val="009601C9"/>
    <w:rsid w:val="00967DF8"/>
    <w:rsid w:val="009705EE"/>
    <w:rsid w:val="00973A79"/>
    <w:rsid w:val="00974CCD"/>
    <w:rsid w:val="009755BC"/>
    <w:rsid w:val="00975904"/>
    <w:rsid w:val="00977927"/>
    <w:rsid w:val="00980814"/>
    <w:rsid w:val="0098135C"/>
    <w:rsid w:val="0098156A"/>
    <w:rsid w:val="00983FD0"/>
    <w:rsid w:val="00984638"/>
    <w:rsid w:val="00991BAC"/>
    <w:rsid w:val="009924F7"/>
    <w:rsid w:val="00992A26"/>
    <w:rsid w:val="00992D48"/>
    <w:rsid w:val="009942D1"/>
    <w:rsid w:val="0099489C"/>
    <w:rsid w:val="009950DE"/>
    <w:rsid w:val="00996700"/>
    <w:rsid w:val="00997879"/>
    <w:rsid w:val="009A0F70"/>
    <w:rsid w:val="009A283D"/>
    <w:rsid w:val="009A2905"/>
    <w:rsid w:val="009A316A"/>
    <w:rsid w:val="009A5A6D"/>
    <w:rsid w:val="009A6EA0"/>
    <w:rsid w:val="009B171E"/>
    <w:rsid w:val="009B66D5"/>
    <w:rsid w:val="009C04DD"/>
    <w:rsid w:val="009C1335"/>
    <w:rsid w:val="009C162D"/>
    <w:rsid w:val="009C1AB2"/>
    <w:rsid w:val="009C2400"/>
    <w:rsid w:val="009C2E5B"/>
    <w:rsid w:val="009C3EE6"/>
    <w:rsid w:val="009C4907"/>
    <w:rsid w:val="009C6AFE"/>
    <w:rsid w:val="009C7251"/>
    <w:rsid w:val="009D0AC9"/>
    <w:rsid w:val="009D10D8"/>
    <w:rsid w:val="009D207F"/>
    <w:rsid w:val="009D3DE0"/>
    <w:rsid w:val="009D44D3"/>
    <w:rsid w:val="009D799F"/>
    <w:rsid w:val="009E2D0F"/>
    <w:rsid w:val="009E2E91"/>
    <w:rsid w:val="009E34DD"/>
    <w:rsid w:val="009E4C9E"/>
    <w:rsid w:val="009F024F"/>
    <w:rsid w:val="009F096D"/>
    <w:rsid w:val="009F1339"/>
    <w:rsid w:val="009F1EF8"/>
    <w:rsid w:val="009F4E5B"/>
    <w:rsid w:val="009F5774"/>
    <w:rsid w:val="009F5AAF"/>
    <w:rsid w:val="009F61CB"/>
    <w:rsid w:val="009F7114"/>
    <w:rsid w:val="009F71F6"/>
    <w:rsid w:val="009F76F2"/>
    <w:rsid w:val="00A002A3"/>
    <w:rsid w:val="00A01C97"/>
    <w:rsid w:val="00A05095"/>
    <w:rsid w:val="00A0582E"/>
    <w:rsid w:val="00A05D76"/>
    <w:rsid w:val="00A06A63"/>
    <w:rsid w:val="00A10177"/>
    <w:rsid w:val="00A10CDB"/>
    <w:rsid w:val="00A11E25"/>
    <w:rsid w:val="00A139F5"/>
    <w:rsid w:val="00A14B1D"/>
    <w:rsid w:val="00A201E6"/>
    <w:rsid w:val="00A217E6"/>
    <w:rsid w:val="00A21E81"/>
    <w:rsid w:val="00A2214D"/>
    <w:rsid w:val="00A2414C"/>
    <w:rsid w:val="00A25E69"/>
    <w:rsid w:val="00A26F16"/>
    <w:rsid w:val="00A33D0D"/>
    <w:rsid w:val="00A33D5D"/>
    <w:rsid w:val="00A34A43"/>
    <w:rsid w:val="00A34CF4"/>
    <w:rsid w:val="00A35C72"/>
    <w:rsid w:val="00A365F4"/>
    <w:rsid w:val="00A37721"/>
    <w:rsid w:val="00A419DD"/>
    <w:rsid w:val="00A44842"/>
    <w:rsid w:val="00A45A4D"/>
    <w:rsid w:val="00A46DAE"/>
    <w:rsid w:val="00A46DF7"/>
    <w:rsid w:val="00A47396"/>
    <w:rsid w:val="00A479C0"/>
    <w:rsid w:val="00A47AB3"/>
    <w:rsid w:val="00A47D09"/>
    <w:rsid w:val="00A47D7C"/>
    <w:rsid w:val="00A47D80"/>
    <w:rsid w:val="00A505F6"/>
    <w:rsid w:val="00A50FDC"/>
    <w:rsid w:val="00A518FC"/>
    <w:rsid w:val="00A53132"/>
    <w:rsid w:val="00A563F2"/>
    <w:rsid w:val="00A566E8"/>
    <w:rsid w:val="00A57934"/>
    <w:rsid w:val="00A62353"/>
    <w:rsid w:val="00A62DBC"/>
    <w:rsid w:val="00A638B0"/>
    <w:rsid w:val="00A64D42"/>
    <w:rsid w:val="00A6713B"/>
    <w:rsid w:val="00A732B1"/>
    <w:rsid w:val="00A74749"/>
    <w:rsid w:val="00A77879"/>
    <w:rsid w:val="00A810F9"/>
    <w:rsid w:val="00A81127"/>
    <w:rsid w:val="00A821F3"/>
    <w:rsid w:val="00A833BF"/>
    <w:rsid w:val="00A83412"/>
    <w:rsid w:val="00A84A44"/>
    <w:rsid w:val="00A84C04"/>
    <w:rsid w:val="00A866F2"/>
    <w:rsid w:val="00A86ECC"/>
    <w:rsid w:val="00A86FCC"/>
    <w:rsid w:val="00A907FE"/>
    <w:rsid w:val="00A95282"/>
    <w:rsid w:val="00A953B9"/>
    <w:rsid w:val="00A97EC1"/>
    <w:rsid w:val="00AA3BAC"/>
    <w:rsid w:val="00AA3FD1"/>
    <w:rsid w:val="00AA5262"/>
    <w:rsid w:val="00AA57A3"/>
    <w:rsid w:val="00AA676A"/>
    <w:rsid w:val="00AA710D"/>
    <w:rsid w:val="00AA724B"/>
    <w:rsid w:val="00AB0281"/>
    <w:rsid w:val="00AB14AE"/>
    <w:rsid w:val="00AB176F"/>
    <w:rsid w:val="00AB1B71"/>
    <w:rsid w:val="00AB22CA"/>
    <w:rsid w:val="00AB2A72"/>
    <w:rsid w:val="00AB2C3E"/>
    <w:rsid w:val="00AB3236"/>
    <w:rsid w:val="00AB458F"/>
    <w:rsid w:val="00AB5178"/>
    <w:rsid w:val="00AB61B2"/>
    <w:rsid w:val="00AB6D25"/>
    <w:rsid w:val="00AC149C"/>
    <w:rsid w:val="00AC1A44"/>
    <w:rsid w:val="00AC2AC4"/>
    <w:rsid w:val="00AC3B8D"/>
    <w:rsid w:val="00AC5371"/>
    <w:rsid w:val="00AC6F33"/>
    <w:rsid w:val="00AC7681"/>
    <w:rsid w:val="00AC77DC"/>
    <w:rsid w:val="00AD0C67"/>
    <w:rsid w:val="00AD4E1C"/>
    <w:rsid w:val="00AD5152"/>
    <w:rsid w:val="00AD58FC"/>
    <w:rsid w:val="00AD7676"/>
    <w:rsid w:val="00AD7BAB"/>
    <w:rsid w:val="00AE06C8"/>
    <w:rsid w:val="00AE17BC"/>
    <w:rsid w:val="00AE2D4B"/>
    <w:rsid w:val="00AE40F9"/>
    <w:rsid w:val="00AE4E54"/>
    <w:rsid w:val="00AE4F99"/>
    <w:rsid w:val="00AE5F23"/>
    <w:rsid w:val="00AE6789"/>
    <w:rsid w:val="00AE6EF2"/>
    <w:rsid w:val="00AF1237"/>
    <w:rsid w:val="00AF2F1E"/>
    <w:rsid w:val="00AF3780"/>
    <w:rsid w:val="00AF4C9F"/>
    <w:rsid w:val="00B00C09"/>
    <w:rsid w:val="00B012FB"/>
    <w:rsid w:val="00B01D35"/>
    <w:rsid w:val="00B03649"/>
    <w:rsid w:val="00B075F7"/>
    <w:rsid w:val="00B11B69"/>
    <w:rsid w:val="00B123EB"/>
    <w:rsid w:val="00B12FBA"/>
    <w:rsid w:val="00B13CFD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01C"/>
    <w:rsid w:val="00B35A63"/>
    <w:rsid w:val="00B36753"/>
    <w:rsid w:val="00B403A1"/>
    <w:rsid w:val="00B406C6"/>
    <w:rsid w:val="00B412A3"/>
    <w:rsid w:val="00B413B9"/>
    <w:rsid w:val="00B4483E"/>
    <w:rsid w:val="00B46A9F"/>
    <w:rsid w:val="00B476DD"/>
    <w:rsid w:val="00B51B63"/>
    <w:rsid w:val="00B521B0"/>
    <w:rsid w:val="00B532A6"/>
    <w:rsid w:val="00B5609E"/>
    <w:rsid w:val="00B57890"/>
    <w:rsid w:val="00B6033B"/>
    <w:rsid w:val="00B61820"/>
    <w:rsid w:val="00B61924"/>
    <w:rsid w:val="00B63591"/>
    <w:rsid w:val="00B645F5"/>
    <w:rsid w:val="00B653AB"/>
    <w:rsid w:val="00B656BE"/>
    <w:rsid w:val="00B65F9E"/>
    <w:rsid w:val="00B6650C"/>
    <w:rsid w:val="00B66B19"/>
    <w:rsid w:val="00B7120E"/>
    <w:rsid w:val="00B722C7"/>
    <w:rsid w:val="00B72F68"/>
    <w:rsid w:val="00B733EE"/>
    <w:rsid w:val="00B73F74"/>
    <w:rsid w:val="00B7421B"/>
    <w:rsid w:val="00B749B9"/>
    <w:rsid w:val="00B74D51"/>
    <w:rsid w:val="00B77197"/>
    <w:rsid w:val="00B77A19"/>
    <w:rsid w:val="00B81262"/>
    <w:rsid w:val="00B81792"/>
    <w:rsid w:val="00B81EBE"/>
    <w:rsid w:val="00B82545"/>
    <w:rsid w:val="00B8314D"/>
    <w:rsid w:val="00B85915"/>
    <w:rsid w:val="00B85DBF"/>
    <w:rsid w:val="00B86BCA"/>
    <w:rsid w:val="00B87E6B"/>
    <w:rsid w:val="00B914E9"/>
    <w:rsid w:val="00B9163F"/>
    <w:rsid w:val="00B91D7C"/>
    <w:rsid w:val="00B91FEC"/>
    <w:rsid w:val="00B93207"/>
    <w:rsid w:val="00B956EE"/>
    <w:rsid w:val="00B95764"/>
    <w:rsid w:val="00B95B90"/>
    <w:rsid w:val="00BA20A5"/>
    <w:rsid w:val="00BA2BA1"/>
    <w:rsid w:val="00BA3515"/>
    <w:rsid w:val="00BA3562"/>
    <w:rsid w:val="00BA4A0F"/>
    <w:rsid w:val="00BA6359"/>
    <w:rsid w:val="00BA728E"/>
    <w:rsid w:val="00BA76A2"/>
    <w:rsid w:val="00BA7D0F"/>
    <w:rsid w:val="00BB1D75"/>
    <w:rsid w:val="00BB290B"/>
    <w:rsid w:val="00BB2A69"/>
    <w:rsid w:val="00BB4877"/>
    <w:rsid w:val="00BB4B9B"/>
    <w:rsid w:val="00BB4DF0"/>
    <w:rsid w:val="00BB4EA0"/>
    <w:rsid w:val="00BB4F09"/>
    <w:rsid w:val="00BB5275"/>
    <w:rsid w:val="00BB5631"/>
    <w:rsid w:val="00BC2594"/>
    <w:rsid w:val="00BC2DDB"/>
    <w:rsid w:val="00BC44E4"/>
    <w:rsid w:val="00BC7442"/>
    <w:rsid w:val="00BD0145"/>
    <w:rsid w:val="00BD13C6"/>
    <w:rsid w:val="00BD1E7E"/>
    <w:rsid w:val="00BD2828"/>
    <w:rsid w:val="00BD4E33"/>
    <w:rsid w:val="00BD5CAF"/>
    <w:rsid w:val="00BE3159"/>
    <w:rsid w:val="00BE4883"/>
    <w:rsid w:val="00BE54BD"/>
    <w:rsid w:val="00BF0508"/>
    <w:rsid w:val="00BF0B1A"/>
    <w:rsid w:val="00BF2458"/>
    <w:rsid w:val="00BF36EE"/>
    <w:rsid w:val="00BF419C"/>
    <w:rsid w:val="00BF4923"/>
    <w:rsid w:val="00BF54F8"/>
    <w:rsid w:val="00BF61D5"/>
    <w:rsid w:val="00C006C9"/>
    <w:rsid w:val="00C030DE"/>
    <w:rsid w:val="00C03F01"/>
    <w:rsid w:val="00C074FD"/>
    <w:rsid w:val="00C10115"/>
    <w:rsid w:val="00C10EDB"/>
    <w:rsid w:val="00C15772"/>
    <w:rsid w:val="00C16AEC"/>
    <w:rsid w:val="00C17194"/>
    <w:rsid w:val="00C22105"/>
    <w:rsid w:val="00C23026"/>
    <w:rsid w:val="00C244B6"/>
    <w:rsid w:val="00C25087"/>
    <w:rsid w:val="00C267CA"/>
    <w:rsid w:val="00C3027E"/>
    <w:rsid w:val="00C31E5E"/>
    <w:rsid w:val="00C34503"/>
    <w:rsid w:val="00C3702F"/>
    <w:rsid w:val="00C42F6A"/>
    <w:rsid w:val="00C4500A"/>
    <w:rsid w:val="00C47065"/>
    <w:rsid w:val="00C517C0"/>
    <w:rsid w:val="00C51A64"/>
    <w:rsid w:val="00C51D06"/>
    <w:rsid w:val="00C5293F"/>
    <w:rsid w:val="00C54103"/>
    <w:rsid w:val="00C54FCB"/>
    <w:rsid w:val="00C558C4"/>
    <w:rsid w:val="00C562B2"/>
    <w:rsid w:val="00C563F1"/>
    <w:rsid w:val="00C566A9"/>
    <w:rsid w:val="00C56813"/>
    <w:rsid w:val="00C5701B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38"/>
    <w:rsid w:val="00C77050"/>
    <w:rsid w:val="00C77156"/>
    <w:rsid w:val="00C77C0E"/>
    <w:rsid w:val="00C8063E"/>
    <w:rsid w:val="00C81487"/>
    <w:rsid w:val="00C90369"/>
    <w:rsid w:val="00C91335"/>
    <w:rsid w:val="00C91687"/>
    <w:rsid w:val="00C91DDE"/>
    <w:rsid w:val="00C924A8"/>
    <w:rsid w:val="00C940E7"/>
    <w:rsid w:val="00C945FE"/>
    <w:rsid w:val="00C94664"/>
    <w:rsid w:val="00C96FAA"/>
    <w:rsid w:val="00C9796A"/>
    <w:rsid w:val="00C97A04"/>
    <w:rsid w:val="00CA0641"/>
    <w:rsid w:val="00CA107B"/>
    <w:rsid w:val="00CA1924"/>
    <w:rsid w:val="00CA3B28"/>
    <w:rsid w:val="00CA40BD"/>
    <w:rsid w:val="00CA484D"/>
    <w:rsid w:val="00CA495C"/>
    <w:rsid w:val="00CA4FB6"/>
    <w:rsid w:val="00CA5C53"/>
    <w:rsid w:val="00CA783F"/>
    <w:rsid w:val="00CB1737"/>
    <w:rsid w:val="00CB1BA1"/>
    <w:rsid w:val="00CC0AFE"/>
    <w:rsid w:val="00CC242D"/>
    <w:rsid w:val="00CC28D0"/>
    <w:rsid w:val="00CC2E85"/>
    <w:rsid w:val="00CC5415"/>
    <w:rsid w:val="00CC72A6"/>
    <w:rsid w:val="00CC739E"/>
    <w:rsid w:val="00CD0BD6"/>
    <w:rsid w:val="00CD1685"/>
    <w:rsid w:val="00CD178A"/>
    <w:rsid w:val="00CD1CFB"/>
    <w:rsid w:val="00CD217B"/>
    <w:rsid w:val="00CD2907"/>
    <w:rsid w:val="00CD49BB"/>
    <w:rsid w:val="00CD58B7"/>
    <w:rsid w:val="00CE0345"/>
    <w:rsid w:val="00CE49A5"/>
    <w:rsid w:val="00CE5EF2"/>
    <w:rsid w:val="00CF2E4C"/>
    <w:rsid w:val="00CF316F"/>
    <w:rsid w:val="00CF4099"/>
    <w:rsid w:val="00CF50AE"/>
    <w:rsid w:val="00CF538E"/>
    <w:rsid w:val="00CF5DC2"/>
    <w:rsid w:val="00CF6348"/>
    <w:rsid w:val="00CF648E"/>
    <w:rsid w:val="00CF68E3"/>
    <w:rsid w:val="00CF7ED5"/>
    <w:rsid w:val="00D00796"/>
    <w:rsid w:val="00D01C12"/>
    <w:rsid w:val="00D029DF"/>
    <w:rsid w:val="00D03270"/>
    <w:rsid w:val="00D05126"/>
    <w:rsid w:val="00D06B81"/>
    <w:rsid w:val="00D078D8"/>
    <w:rsid w:val="00D12F08"/>
    <w:rsid w:val="00D1398F"/>
    <w:rsid w:val="00D14E00"/>
    <w:rsid w:val="00D16D48"/>
    <w:rsid w:val="00D20DA1"/>
    <w:rsid w:val="00D21A85"/>
    <w:rsid w:val="00D21BB8"/>
    <w:rsid w:val="00D23581"/>
    <w:rsid w:val="00D24390"/>
    <w:rsid w:val="00D24C05"/>
    <w:rsid w:val="00D26089"/>
    <w:rsid w:val="00D261A2"/>
    <w:rsid w:val="00D27B54"/>
    <w:rsid w:val="00D36CE4"/>
    <w:rsid w:val="00D36D38"/>
    <w:rsid w:val="00D37FBE"/>
    <w:rsid w:val="00D424D1"/>
    <w:rsid w:val="00D456AB"/>
    <w:rsid w:val="00D46986"/>
    <w:rsid w:val="00D54347"/>
    <w:rsid w:val="00D55E55"/>
    <w:rsid w:val="00D60211"/>
    <w:rsid w:val="00D60A84"/>
    <w:rsid w:val="00D616D2"/>
    <w:rsid w:val="00D61CC5"/>
    <w:rsid w:val="00D62602"/>
    <w:rsid w:val="00D63B5F"/>
    <w:rsid w:val="00D70EF7"/>
    <w:rsid w:val="00D734C2"/>
    <w:rsid w:val="00D771BA"/>
    <w:rsid w:val="00D77FEA"/>
    <w:rsid w:val="00D8019B"/>
    <w:rsid w:val="00D8397C"/>
    <w:rsid w:val="00D844C2"/>
    <w:rsid w:val="00D86250"/>
    <w:rsid w:val="00D90CB4"/>
    <w:rsid w:val="00D91D07"/>
    <w:rsid w:val="00D933F7"/>
    <w:rsid w:val="00D94BFD"/>
    <w:rsid w:val="00D94EED"/>
    <w:rsid w:val="00D95F99"/>
    <w:rsid w:val="00D96026"/>
    <w:rsid w:val="00D966CD"/>
    <w:rsid w:val="00D96A34"/>
    <w:rsid w:val="00D96A8F"/>
    <w:rsid w:val="00D97CB4"/>
    <w:rsid w:val="00DA0438"/>
    <w:rsid w:val="00DA15B6"/>
    <w:rsid w:val="00DA3414"/>
    <w:rsid w:val="00DA6528"/>
    <w:rsid w:val="00DA6825"/>
    <w:rsid w:val="00DA70BC"/>
    <w:rsid w:val="00DA7C1C"/>
    <w:rsid w:val="00DB147A"/>
    <w:rsid w:val="00DB1B7A"/>
    <w:rsid w:val="00DB1DE9"/>
    <w:rsid w:val="00DB299B"/>
    <w:rsid w:val="00DC0BD7"/>
    <w:rsid w:val="00DC22C3"/>
    <w:rsid w:val="00DC2F51"/>
    <w:rsid w:val="00DC60D9"/>
    <w:rsid w:val="00DC6708"/>
    <w:rsid w:val="00DC7D8F"/>
    <w:rsid w:val="00DC7F3C"/>
    <w:rsid w:val="00DD01DA"/>
    <w:rsid w:val="00DD1F1F"/>
    <w:rsid w:val="00DD3036"/>
    <w:rsid w:val="00DD363A"/>
    <w:rsid w:val="00DD627D"/>
    <w:rsid w:val="00DD7916"/>
    <w:rsid w:val="00DE0D84"/>
    <w:rsid w:val="00DE6E77"/>
    <w:rsid w:val="00DF524B"/>
    <w:rsid w:val="00DF5320"/>
    <w:rsid w:val="00DF5C75"/>
    <w:rsid w:val="00E01436"/>
    <w:rsid w:val="00E03B38"/>
    <w:rsid w:val="00E045BD"/>
    <w:rsid w:val="00E072FB"/>
    <w:rsid w:val="00E0762C"/>
    <w:rsid w:val="00E1149B"/>
    <w:rsid w:val="00E135B1"/>
    <w:rsid w:val="00E1425B"/>
    <w:rsid w:val="00E14F7C"/>
    <w:rsid w:val="00E165BE"/>
    <w:rsid w:val="00E1667E"/>
    <w:rsid w:val="00E17B77"/>
    <w:rsid w:val="00E20041"/>
    <w:rsid w:val="00E20CBE"/>
    <w:rsid w:val="00E20DF5"/>
    <w:rsid w:val="00E211CE"/>
    <w:rsid w:val="00E212A3"/>
    <w:rsid w:val="00E23337"/>
    <w:rsid w:val="00E24508"/>
    <w:rsid w:val="00E2483C"/>
    <w:rsid w:val="00E259EA"/>
    <w:rsid w:val="00E32061"/>
    <w:rsid w:val="00E337CE"/>
    <w:rsid w:val="00E34D26"/>
    <w:rsid w:val="00E36B2A"/>
    <w:rsid w:val="00E37334"/>
    <w:rsid w:val="00E41497"/>
    <w:rsid w:val="00E4243D"/>
    <w:rsid w:val="00E42FF9"/>
    <w:rsid w:val="00E460DB"/>
    <w:rsid w:val="00E4714C"/>
    <w:rsid w:val="00E47168"/>
    <w:rsid w:val="00E5101C"/>
    <w:rsid w:val="00E51AEB"/>
    <w:rsid w:val="00E522A7"/>
    <w:rsid w:val="00E53494"/>
    <w:rsid w:val="00E535C9"/>
    <w:rsid w:val="00E53693"/>
    <w:rsid w:val="00E53C71"/>
    <w:rsid w:val="00E54452"/>
    <w:rsid w:val="00E57ABD"/>
    <w:rsid w:val="00E57DE6"/>
    <w:rsid w:val="00E64BE7"/>
    <w:rsid w:val="00E660F7"/>
    <w:rsid w:val="00E664C5"/>
    <w:rsid w:val="00E66983"/>
    <w:rsid w:val="00E66F95"/>
    <w:rsid w:val="00E671A2"/>
    <w:rsid w:val="00E672F9"/>
    <w:rsid w:val="00E67AEE"/>
    <w:rsid w:val="00E715FF"/>
    <w:rsid w:val="00E73B0C"/>
    <w:rsid w:val="00E76D26"/>
    <w:rsid w:val="00E77E1D"/>
    <w:rsid w:val="00E806E2"/>
    <w:rsid w:val="00E827EF"/>
    <w:rsid w:val="00E832ED"/>
    <w:rsid w:val="00E844F0"/>
    <w:rsid w:val="00E87266"/>
    <w:rsid w:val="00E92E77"/>
    <w:rsid w:val="00E9568F"/>
    <w:rsid w:val="00E96C00"/>
    <w:rsid w:val="00EA1BCD"/>
    <w:rsid w:val="00EA69E1"/>
    <w:rsid w:val="00EA729D"/>
    <w:rsid w:val="00EA7717"/>
    <w:rsid w:val="00EB1390"/>
    <w:rsid w:val="00EB2C71"/>
    <w:rsid w:val="00EB4340"/>
    <w:rsid w:val="00EB556D"/>
    <w:rsid w:val="00EB5A7D"/>
    <w:rsid w:val="00EB6548"/>
    <w:rsid w:val="00EC1105"/>
    <w:rsid w:val="00EC24AD"/>
    <w:rsid w:val="00EC4537"/>
    <w:rsid w:val="00EC4894"/>
    <w:rsid w:val="00EC4951"/>
    <w:rsid w:val="00EC4FD8"/>
    <w:rsid w:val="00EC5D94"/>
    <w:rsid w:val="00EC6435"/>
    <w:rsid w:val="00EC73CA"/>
    <w:rsid w:val="00EC76B9"/>
    <w:rsid w:val="00ED1949"/>
    <w:rsid w:val="00ED256E"/>
    <w:rsid w:val="00ED297A"/>
    <w:rsid w:val="00ED55C0"/>
    <w:rsid w:val="00ED5C07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E7F22"/>
    <w:rsid w:val="00EF6C6B"/>
    <w:rsid w:val="00F0121F"/>
    <w:rsid w:val="00F0170D"/>
    <w:rsid w:val="00F024D1"/>
    <w:rsid w:val="00F037A4"/>
    <w:rsid w:val="00F05ADC"/>
    <w:rsid w:val="00F06326"/>
    <w:rsid w:val="00F071AC"/>
    <w:rsid w:val="00F108B4"/>
    <w:rsid w:val="00F12224"/>
    <w:rsid w:val="00F13C31"/>
    <w:rsid w:val="00F1433B"/>
    <w:rsid w:val="00F154DB"/>
    <w:rsid w:val="00F15F6E"/>
    <w:rsid w:val="00F20652"/>
    <w:rsid w:val="00F2153B"/>
    <w:rsid w:val="00F26724"/>
    <w:rsid w:val="00F27C8F"/>
    <w:rsid w:val="00F32323"/>
    <w:rsid w:val="00F32749"/>
    <w:rsid w:val="00F327B3"/>
    <w:rsid w:val="00F32B73"/>
    <w:rsid w:val="00F344CD"/>
    <w:rsid w:val="00F35243"/>
    <w:rsid w:val="00F3589E"/>
    <w:rsid w:val="00F359FA"/>
    <w:rsid w:val="00F37172"/>
    <w:rsid w:val="00F37243"/>
    <w:rsid w:val="00F37F18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7C7"/>
    <w:rsid w:val="00F54B6A"/>
    <w:rsid w:val="00F54C16"/>
    <w:rsid w:val="00F6181D"/>
    <w:rsid w:val="00F65B91"/>
    <w:rsid w:val="00F6684A"/>
    <w:rsid w:val="00F6773E"/>
    <w:rsid w:val="00F67D8F"/>
    <w:rsid w:val="00F70850"/>
    <w:rsid w:val="00F7195E"/>
    <w:rsid w:val="00F71C4E"/>
    <w:rsid w:val="00F726A7"/>
    <w:rsid w:val="00F729F3"/>
    <w:rsid w:val="00F73110"/>
    <w:rsid w:val="00F7438D"/>
    <w:rsid w:val="00F76099"/>
    <w:rsid w:val="00F76B91"/>
    <w:rsid w:val="00F802BE"/>
    <w:rsid w:val="00F80E93"/>
    <w:rsid w:val="00F82CF5"/>
    <w:rsid w:val="00F8357D"/>
    <w:rsid w:val="00F86024"/>
    <w:rsid w:val="00F8611A"/>
    <w:rsid w:val="00F87A89"/>
    <w:rsid w:val="00F90596"/>
    <w:rsid w:val="00F91414"/>
    <w:rsid w:val="00F964E8"/>
    <w:rsid w:val="00F97569"/>
    <w:rsid w:val="00F97938"/>
    <w:rsid w:val="00FA0634"/>
    <w:rsid w:val="00FA06CE"/>
    <w:rsid w:val="00FA1F77"/>
    <w:rsid w:val="00FA4875"/>
    <w:rsid w:val="00FA5128"/>
    <w:rsid w:val="00FA5CF3"/>
    <w:rsid w:val="00FA5F55"/>
    <w:rsid w:val="00FA5F62"/>
    <w:rsid w:val="00FA623A"/>
    <w:rsid w:val="00FB29C7"/>
    <w:rsid w:val="00FB42D4"/>
    <w:rsid w:val="00FB451B"/>
    <w:rsid w:val="00FB48B9"/>
    <w:rsid w:val="00FB5906"/>
    <w:rsid w:val="00FB5C58"/>
    <w:rsid w:val="00FB762F"/>
    <w:rsid w:val="00FC0314"/>
    <w:rsid w:val="00FC0725"/>
    <w:rsid w:val="00FC0EC4"/>
    <w:rsid w:val="00FC1FA4"/>
    <w:rsid w:val="00FC2AED"/>
    <w:rsid w:val="00FC533B"/>
    <w:rsid w:val="00FC64E0"/>
    <w:rsid w:val="00FD05A2"/>
    <w:rsid w:val="00FD0641"/>
    <w:rsid w:val="00FD30CF"/>
    <w:rsid w:val="00FD3873"/>
    <w:rsid w:val="00FD43B4"/>
    <w:rsid w:val="00FD4F5A"/>
    <w:rsid w:val="00FD5EA7"/>
    <w:rsid w:val="00FD69E9"/>
    <w:rsid w:val="00FD7BD2"/>
    <w:rsid w:val="00FE08F1"/>
    <w:rsid w:val="00FE43A0"/>
    <w:rsid w:val="00FE5525"/>
    <w:rsid w:val="00FE6DF6"/>
    <w:rsid w:val="00FF0494"/>
    <w:rsid w:val="00FF0619"/>
    <w:rsid w:val="00FF1913"/>
    <w:rsid w:val="00FF198D"/>
    <w:rsid w:val="00FF1B51"/>
    <w:rsid w:val="00FF28AA"/>
    <w:rsid w:val="00FF2DF2"/>
    <w:rsid w:val="00FF48BB"/>
    <w:rsid w:val="00FF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D1A0"/>
  <w15:docId w15:val="{3EC76009-5B89-473E-B493-1ABB8A4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91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footer" Target="footer2.xml"/><Relationship Id="rId39" Type="http://schemas.openxmlformats.org/officeDocument/2006/relationships/footer" Target="footer3.xml"/><Relationship Id="rId21" Type="http://schemas.openxmlformats.org/officeDocument/2006/relationships/chart" Target="charts/chart10.xml"/><Relationship Id="rId34" Type="http://schemas.openxmlformats.org/officeDocument/2006/relationships/hyperlink" Target="http://swaid.stat.gov.pl/EN/SitePagesDBW/WarunkiZyciaLudnosci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image" Target="media/image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32" Type="http://schemas.openxmlformats.org/officeDocument/2006/relationships/hyperlink" Target="https://stat.gov.pl/en/topics/business-tendency/business-tendency/business-tendency-in-manufacturing-construction-trade-and-services-december-2020,2,12.html" TargetMode="External"/><Relationship Id="rId37" Type="http://schemas.openxmlformats.org/officeDocument/2006/relationships/hyperlink" Target="http://swaid.stat.gov.pl/EN/SitePagesDBW/WarunkiZyciaLudnosci.aspx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eader" Target="header1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stat.gov.pl/en/topics/other-studies/informations-on-socio-economic-situation/statistical-bulletin-no-112020,4,119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hyperlink" Target="http://warszawa.stat.gov.pl/en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stat.gov.pl/en/topics/business-tendency/business-tendency/business-tendency-in-manufacturing-construction-trade-and-services-december-2020,2,12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header" Target="header2.xml"/><Relationship Id="rId33" Type="http://schemas.openxmlformats.org/officeDocument/2006/relationships/hyperlink" Target="https://stat.gov.pl/en/topics/other-studies/informations-on-socio-economic-situation/statistical-bulletin-no-112020,4,119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419E-2"/>
          <c:w val="0.92572481061659895"/>
          <c:h val="0.69522074916354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0\.0</c:formatCode>
                <c:ptCount val="37"/>
                <c:pt idx="0">
                  <c:v>62</c:v>
                </c:pt>
                <c:pt idx="1">
                  <c:v>62</c:v>
                </c:pt>
                <c:pt idx="2">
                  <c:v>54</c:v>
                </c:pt>
                <c:pt idx="3">
                  <c:v>78</c:v>
                </c:pt>
                <c:pt idx="4">
                  <c:v>59</c:v>
                </c:pt>
                <c:pt idx="5">
                  <c:v>61</c:v>
                </c:pt>
                <c:pt idx="6">
                  <c:v>52</c:v>
                </c:pt>
                <c:pt idx="7">
                  <c:v>62</c:v>
                </c:pt>
                <c:pt idx="8">
                  <c:v>69</c:v>
                </c:pt>
                <c:pt idx="9">
                  <c:v>61</c:v>
                </c:pt>
                <c:pt idx="10">
                  <c:v>52</c:v>
                </c:pt>
                <c:pt idx="11">
                  <c:v>11</c:v>
                </c:pt>
                <c:pt idx="12">
                  <c:v>54</c:v>
                </c:pt>
                <c:pt idx="13">
                  <c:v>55</c:v>
                </c:pt>
                <c:pt idx="14">
                  <c:v>82</c:v>
                </c:pt>
                <c:pt idx="15">
                  <c:v>72</c:v>
                </c:pt>
                <c:pt idx="16">
                  <c:v>83</c:v>
                </c:pt>
                <c:pt idx="17">
                  <c:v>96</c:v>
                </c:pt>
                <c:pt idx="18">
                  <c:v>90</c:v>
                </c:pt>
                <c:pt idx="19">
                  <c:v>82</c:v>
                </c:pt>
                <c:pt idx="20">
                  <c:v>102</c:v>
                </c:pt>
                <c:pt idx="21">
                  <c:v>93</c:v>
                </c:pt>
                <c:pt idx="22">
                  <c:v>67</c:v>
                </c:pt>
                <c:pt idx="23">
                  <c:v>43</c:v>
                </c:pt>
                <c:pt idx="24">
                  <c:v>37</c:v>
                </c:pt>
                <c:pt idx="25">
                  <c:v>13</c:v>
                </c:pt>
                <c:pt idx="26">
                  <c:v>13</c:v>
                </c:pt>
                <c:pt idx="27">
                  <c:v>-364</c:v>
                </c:pt>
                <c:pt idx="28">
                  <c:v>-301</c:v>
                </c:pt>
                <c:pt idx="29">
                  <c:v>-194</c:v>
                </c:pt>
                <c:pt idx="30">
                  <c:v>-134</c:v>
                </c:pt>
                <c:pt idx="31">
                  <c:v>-152</c:v>
                </c:pt>
                <c:pt idx="32">
                  <c:v>-150</c:v>
                </c:pt>
                <c:pt idx="33">
                  <c:v>-200</c:v>
                </c:pt>
                <c:pt idx="34">
                  <c:v>-292</c:v>
                </c:pt>
                <c:pt idx="35">
                  <c:v>-249</c:v>
                </c:pt>
                <c:pt idx="36">
                  <c:v>-251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5477200"/>
        <c:axId val="-178547992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0\.0</c:formatCode>
                <c:ptCount val="37"/>
                <c:pt idx="0">
                  <c:v>15</c:v>
                </c:pt>
                <c:pt idx="1">
                  <c:v>1</c:v>
                </c:pt>
                <c:pt idx="2">
                  <c:v>-29</c:v>
                </c:pt>
                <c:pt idx="3">
                  <c:v>24</c:v>
                </c:pt>
                <c:pt idx="4">
                  <c:v>7</c:v>
                </c:pt>
                <c:pt idx="5">
                  <c:v>-6</c:v>
                </c:pt>
                <c:pt idx="6">
                  <c:v>10</c:v>
                </c:pt>
                <c:pt idx="7">
                  <c:v>29</c:v>
                </c:pt>
                <c:pt idx="8">
                  <c:v>12</c:v>
                </c:pt>
                <c:pt idx="9">
                  <c:v>-2</c:v>
                </c:pt>
                <c:pt idx="10">
                  <c:v>19</c:v>
                </c:pt>
                <c:pt idx="11">
                  <c:v>-13</c:v>
                </c:pt>
                <c:pt idx="12">
                  <c:v>16</c:v>
                </c:pt>
                <c:pt idx="13">
                  <c:v>15</c:v>
                </c:pt>
                <c:pt idx="14">
                  <c:v>32</c:v>
                </c:pt>
                <c:pt idx="15">
                  <c:v>60</c:v>
                </c:pt>
                <c:pt idx="16">
                  <c:v>44</c:v>
                </c:pt>
                <c:pt idx="17">
                  <c:v>75</c:v>
                </c:pt>
                <c:pt idx="18">
                  <c:v>54</c:v>
                </c:pt>
                <c:pt idx="19">
                  <c:v>54</c:v>
                </c:pt>
                <c:pt idx="20">
                  <c:v>69</c:v>
                </c:pt>
                <c:pt idx="21">
                  <c:v>66</c:v>
                </c:pt>
                <c:pt idx="22">
                  <c:v>55</c:v>
                </c:pt>
                <c:pt idx="23">
                  <c:v>33</c:v>
                </c:pt>
                <c:pt idx="24">
                  <c:v>42</c:v>
                </c:pt>
                <c:pt idx="25">
                  <c:v>-8</c:v>
                </c:pt>
                <c:pt idx="26">
                  <c:v>19</c:v>
                </c:pt>
                <c:pt idx="27">
                  <c:v>-91</c:v>
                </c:pt>
                <c:pt idx="28">
                  <c:v>-110</c:v>
                </c:pt>
                <c:pt idx="29">
                  <c:v>-83</c:v>
                </c:pt>
                <c:pt idx="30">
                  <c:v>-55</c:v>
                </c:pt>
                <c:pt idx="31">
                  <c:v>-44</c:v>
                </c:pt>
                <c:pt idx="32">
                  <c:v>-78</c:v>
                </c:pt>
                <c:pt idx="33">
                  <c:v>-90</c:v>
                </c:pt>
                <c:pt idx="34">
                  <c:v>-132</c:v>
                </c:pt>
                <c:pt idx="35">
                  <c:v>-150</c:v>
                </c:pt>
                <c:pt idx="36">
                  <c:v>-129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3B-4D2B-85D6-F5B449D7B58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0\.0</c:formatCode>
                <c:ptCount val="37"/>
                <c:pt idx="0">
                  <c:v>52</c:v>
                </c:pt>
                <c:pt idx="1">
                  <c:v>28</c:v>
                </c:pt>
                <c:pt idx="2">
                  <c:v>42</c:v>
                </c:pt>
                <c:pt idx="3">
                  <c:v>57</c:v>
                </c:pt>
                <c:pt idx="4">
                  <c:v>35</c:v>
                </c:pt>
                <c:pt idx="5">
                  <c:v>38</c:v>
                </c:pt>
                <c:pt idx="6">
                  <c:v>36</c:v>
                </c:pt>
                <c:pt idx="7">
                  <c:v>40</c:v>
                </c:pt>
                <c:pt idx="8">
                  <c:v>31</c:v>
                </c:pt>
                <c:pt idx="9">
                  <c:v>47</c:v>
                </c:pt>
                <c:pt idx="10">
                  <c:v>40</c:v>
                </c:pt>
                <c:pt idx="11">
                  <c:v>-10</c:v>
                </c:pt>
                <c:pt idx="12">
                  <c:v>28</c:v>
                </c:pt>
                <c:pt idx="13">
                  <c:v>69</c:v>
                </c:pt>
                <c:pt idx="14">
                  <c:v>77</c:v>
                </c:pt>
                <c:pt idx="15">
                  <c:v>79</c:v>
                </c:pt>
                <c:pt idx="16">
                  <c:v>70</c:v>
                </c:pt>
                <c:pt idx="17">
                  <c:v>77</c:v>
                </c:pt>
                <c:pt idx="18">
                  <c:v>89</c:v>
                </c:pt>
                <c:pt idx="19">
                  <c:v>44</c:v>
                </c:pt>
                <c:pt idx="20">
                  <c:v>80</c:v>
                </c:pt>
                <c:pt idx="21">
                  <c:v>59</c:v>
                </c:pt>
                <c:pt idx="22">
                  <c:v>50</c:v>
                </c:pt>
                <c:pt idx="23">
                  <c:v>28</c:v>
                </c:pt>
                <c:pt idx="24">
                  <c:v>20</c:v>
                </c:pt>
                <c:pt idx="25">
                  <c:v>24</c:v>
                </c:pt>
                <c:pt idx="26">
                  <c:v>17</c:v>
                </c:pt>
                <c:pt idx="27">
                  <c:v>-305</c:v>
                </c:pt>
                <c:pt idx="28">
                  <c:v>-196</c:v>
                </c:pt>
                <c:pt idx="29">
                  <c:v>-89</c:v>
                </c:pt>
                <c:pt idx="30">
                  <c:v>-33</c:v>
                </c:pt>
                <c:pt idx="31">
                  <c:v>-51</c:v>
                </c:pt>
                <c:pt idx="32">
                  <c:v>-55</c:v>
                </c:pt>
                <c:pt idx="33">
                  <c:v>-89</c:v>
                </c:pt>
                <c:pt idx="34">
                  <c:v>-155</c:v>
                </c:pt>
                <c:pt idx="35">
                  <c:v>-99</c:v>
                </c:pt>
                <c:pt idx="36">
                  <c:v>-111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3B-4D2B-85D6-F5B449D7B581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0\.0</c:formatCode>
                <c:ptCount val="37"/>
                <c:pt idx="0">
                  <c:v>89</c:v>
                </c:pt>
                <c:pt idx="1">
                  <c:v>90</c:v>
                </c:pt>
                <c:pt idx="2">
                  <c:v>95</c:v>
                </c:pt>
                <c:pt idx="3">
                  <c:v>132</c:v>
                </c:pt>
                <c:pt idx="4">
                  <c:v>67</c:v>
                </c:pt>
                <c:pt idx="5">
                  <c:v>95</c:v>
                </c:pt>
                <c:pt idx="6">
                  <c:v>98</c:v>
                </c:pt>
                <c:pt idx="7">
                  <c:v>80</c:v>
                </c:pt>
                <c:pt idx="8">
                  <c:v>108</c:v>
                </c:pt>
                <c:pt idx="9">
                  <c:v>70</c:v>
                </c:pt>
                <c:pt idx="10">
                  <c:v>67</c:v>
                </c:pt>
                <c:pt idx="11">
                  <c:v>49</c:v>
                </c:pt>
                <c:pt idx="12">
                  <c:v>69</c:v>
                </c:pt>
                <c:pt idx="13">
                  <c:v>53</c:v>
                </c:pt>
                <c:pt idx="14">
                  <c:v>111</c:v>
                </c:pt>
                <c:pt idx="15">
                  <c:v>71</c:v>
                </c:pt>
                <c:pt idx="16">
                  <c:v>99</c:v>
                </c:pt>
                <c:pt idx="17">
                  <c:v>120</c:v>
                </c:pt>
                <c:pt idx="18">
                  <c:v>119</c:v>
                </c:pt>
                <c:pt idx="19">
                  <c:v>107</c:v>
                </c:pt>
                <c:pt idx="20">
                  <c:v>137</c:v>
                </c:pt>
                <c:pt idx="21">
                  <c:v>121</c:v>
                </c:pt>
                <c:pt idx="22">
                  <c:v>100</c:v>
                </c:pt>
                <c:pt idx="23">
                  <c:v>56</c:v>
                </c:pt>
                <c:pt idx="24">
                  <c:v>37</c:v>
                </c:pt>
                <c:pt idx="25">
                  <c:v>19</c:v>
                </c:pt>
                <c:pt idx="26">
                  <c:v>15</c:v>
                </c:pt>
                <c:pt idx="27">
                  <c:v>-305</c:v>
                </c:pt>
                <c:pt idx="28">
                  <c:v>-356</c:v>
                </c:pt>
                <c:pt idx="29">
                  <c:v>-308</c:v>
                </c:pt>
                <c:pt idx="30">
                  <c:v>-244</c:v>
                </c:pt>
                <c:pt idx="31">
                  <c:v>-294</c:v>
                </c:pt>
                <c:pt idx="32">
                  <c:v>-297</c:v>
                </c:pt>
                <c:pt idx="33">
                  <c:v>-337</c:v>
                </c:pt>
                <c:pt idx="34">
                  <c:v>-462</c:v>
                </c:pt>
                <c:pt idx="35">
                  <c:v>-457</c:v>
                </c:pt>
                <c:pt idx="36">
                  <c:v>-486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D3B-4D2B-85D6-F5B449D7B581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0\.0</c:formatCode>
                <c:ptCount val="37"/>
                <c:pt idx="0">
                  <c:v>40</c:v>
                </c:pt>
                <c:pt idx="1">
                  <c:v>63</c:v>
                </c:pt>
                <c:pt idx="2">
                  <c:v>32</c:v>
                </c:pt>
                <c:pt idx="3">
                  <c:v>60</c:v>
                </c:pt>
                <c:pt idx="4">
                  <c:v>38</c:v>
                </c:pt>
                <c:pt idx="5">
                  <c:v>38</c:v>
                </c:pt>
                <c:pt idx="6">
                  <c:v>12</c:v>
                </c:pt>
                <c:pt idx="7">
                  <c:v>19</c:v>
                </c:pt>
                <c:pt idx="8">
                  <c:v>44</c:v>
                </c:pt>
                <c:pt idx="9">
                  <c:v>15</c:v>
                </c:pt>
                <c:pt idx="10">
                  <c:v>27</c:v>
                </c:pt>
                <c:pt idx="11">
                  <c:v>-48</c:v>
                </c:pt>
                <c:pt idx="12">
                  <c:v>6</c:v>
                </c:pt>
                <c:pt idx="13">
                  <c:v>18</c:v>
                </c:pt>
                <c:pt idx="14">
                  <c:v>42</c:v>
                </c:pt>
                <c:pt idx="15">
                  <c:v>-5</c:v>
                </c:pt>
                <c:pt idx="16">
                  <c:v>35</c:v>
                </c:pt>
                <c:pt idx="17">
                  <c:v>39</c:v>
                </c:pt>
                <c:pt idx="18">
                  <c:v>28</c:v>
                </c:pt>
                <c:pt idx="19">
                  <c:v>22</c:v>
                </c:pt>
                <c:pt idx="20">
                  <c:v>28</c:v>
                </c:pt>
                <c:pt idx="21">
                  <c:v>34</c:v>
                </c:pt>
                <c:pt idx="22">
                  <c:v>-30</c:v>
                </c:pt>
                <c:pt idx="23">
                  <c:v>-79</c:v>
                </c:pt>
                <c:pt idx="24">
                  <c:v>-77</c:v>
                </c:pt>
                <c:pt idx="25">
                  <c:v>-84</c:v>
                </c:pt>
                <c:pt idx="26">
                  <c:v>-101</c:v>
                </c:pt>
                <c:pt idx="27">
                  <c:v>-645</c:v>
                </c:pt>
                <c:pt idx="28">
                  <c:v>-489</c:v>
                </c:pt>
                <c:pt idx="29">
                  <c:v>-301</c:v>
                </c:pt>
                <c:pt idx="30">
                  <c:v>-184</c:v>
                </c:pt>
                <c:pt idx="31">
                  <c:v>-244</c:v>
                </c:pt>
                <c:pt idx="32">
                  <c:v>-224</c:v>
                </c:pt>
                <c:pt idx="33">
                  <c:v>-314</c:v>
                </c:pt>
                <c:pt idx="34">
                  <c:v>-459</c:v>
                </c:pt>
                <c:pt idx="35">
                  <c:v>-367</c:v>
                </c:pt>
                <c:pt idx="36">
                  <c:v>-357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D3B-4D2B-85D6-F5B449D7B581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Arkusz1!$H$2:$H$61</c:f>
              <c:numCache>
                <c:formatCode>0\.0</c:formatCode>
                <c:ptCount val="37"/>
                <c:pt idx="0">
                  <c:v>114</c:v>
                </c:pt>
                <c:pt idx="1">
                  <c:v>130</c:v>
                </c:pt>
                <c:pt idx="2">
                  <c:v>127</c:v>
                </c:pt>
                <c:pt idx="3">
                  <c:v>119</c:v>
                </c:pt>
                <c:pt idx="4">
                  <c:v>149</c:v>
                </c:pt>
                <c:pt idx="5">
                  <c:v>142</c:v>
                </c:pt>
                <c:pt idx="6">
                  <c:v>103</c:v>
                </c:pt>
                <c:pt idx="7">
                  <c:v>142</c:v>
                </c:pt>
                <c:pt idx="8">
                  <c:v>152</c:v>
                </c:pt>
                <c:pt idx="9">
                  <c:v>175</c:v>
                </c:pt>
                <c:pt idx="10">
                  <c:v>106</c:v>
                </c:pt>
                <c:pt idx="11">
                  <c:v>75</c:v>
                </c:pt>
                <c:pt idx="12">
                  <c:v>149</c:v>
                </c:pt>
                <c:pt idx="13">
                  <c:v>119</c:v>
                </c:pt>
                <c:pt idx="14">
                  <c:v>145</c:v>
                </c:pt>
                <c:pt idx="15">
                  <c:v>154</c:v>
                </c:pt>
                <c:pt idx="16">
                  <c:v>167</c:v>
                </c:pt>
                <c:pt idx="17">
                  <c:v>171</c:v>
                </c:pt>
                <c:pt idx="18">
                  <c:v>162</c:v>
                </c:pt>
                <c:pt idx="19">
                  <c:v>185</c:v>
                </c:pt>
                <c:pt idx="20">
                  <c:v>194</c:v>
                </c:pt>
                <c:pt idx="21">
                  <c:v>182</c:v>
                </c:pt>
                <c:pt idx="22">
                  <c:v>161</c:v>
                </c:pt>
                <c:pt idx="23">
                  <c:v>179</c:v>
                </c:pt>
                <c:pt idx="24">
                  <c:v>161</c:v>
                </c:pt>
                <c:pt idx="25">
                  <c:v>115</c:v>
                </c:pt>
                <c:pt idx="26">
                  <c:v>115</c:v>
                </c:pt>
                <c:pt idx="27">
                  <c:v>-473</c:v>
                </c:pt>
                <c:pt idx="28">
                  <c:v>-357</c:v>
                </c:pt>
                <c:pt idx="29">
                  <c:v>-190</c:v>
                </c:pt>
                <c:pt idx="30">
                  <c:v>-157</c:v>
                </c:pt>
                <c:pt idx="31">
                  <c:v>-126</c:v>
                </c:pt>
                <c:pt idx="32">
                  <c:v>-98</c:v>
                </c:pt>
                <c:pt idx="33">
                  <c:v>-171</c:v>
                </c:pt>
                <c:pt idx="34">
                  <c:v>-251</c:v>
                </c:pt>
                <c:pt idx="35">
                  <c:v>-171</c:v>
                </c:pt>
                <c:pt idx="36">
                  <c:v>-171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5477200"/>
        <c:axId val="-1785479920"/>
      </c:lineChart>
      <c:catAx>
        <c:axId val="-178547720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9920"/>
        <c:crossesAt val="0"/>
        <c:auto val="1"/>
        <c:lblAlgn val="ctr"/>
        <c:lblOffset val="100"/>
        <c:tickLblSkip val="1"/>
        <c:noMultiLvlLbl val="0"/>
      </c:catAx>
      <c:valAx>
        <c:axId val="-178547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33E-4"/>
          <c:y val="0.83178335136222958"/>
          <c:w val="0.9951178564561175"/>
          <c:h val="0.168216586563043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226</c:v>
                </c:pt>
                <c:pt idx="1">
                  <c:v>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7E-495D-9879-68C540B5D6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419</c:v>
                </c:pt>
                <c:pt idx="1">
                  <c:v>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7E-495D-9879-68C540B5D6C2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7E-495D-9879-68C540B5D6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254</c:v>
                </c:pt>
                <c:pt idx="1">
                  <c:v>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7E-495D-9879-68C540B5D6C2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C7E-495D-9879-68C540B5D6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101</c:v>
                </c:pt>
                <c:pt idx="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C7E-495D-9879-68C540B5D6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0924288"/>
        <c:axId val="-1780925920"/>
      </c:barChart>
      <c:valAx>
        <c:axId val="-1780925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4288"/>
        <c:crosses val="autoZero"/>
        <c:crossBetween val="between"/>
      </c:valAx>
      <c:catAx>
        <c:axId val="-1780924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59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275</c:v>
                </c:pt>
                <c:pt idx="1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DE-4CED-86A1-09E654DE0DE6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DE-4CED-86A1-09E654DE0DE6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F4-461A-BC95-6C5D8FF726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569</c:v>
                </c:pt>
                <c:pt idx="1">
                  <c:v>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F4-461A-BC95-6C5D8FF72613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6F4-461A-BC95-6C5D8FF72613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F4-461A-BC95-6C5D8FF72613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F4-461A-BC95-6C5D8FF726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141</c:v>
                </c:pt>
                <c:pt idx="1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6F4-461A-BC95-6C5D8FF72613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0DE-4CED-86A1-09E654DE0D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0DE-4CED-86A1-09E654DE0DE6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6F4-461A-BC95-6C5D8FF726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6F4-461A-BC95-6C5D8FF72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0923200"/>
        <c:axId val="-1780923744"/>
      </c:barChart>
      <c:valAx>
        <c:axId val="-1780923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3200"/>
        <c:crosses val="autoZero"/>
        <c:crossBetween val="between"/>
      </c:valAx>
      <c:catAx>
        <c:axId val="-1780923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3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9"/>
          <c:w val="0.91936996161087892"/>
          <c:h val="0.5933127075653311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4"/>
                <c:pt idx="0">
                  <c:v>-138</c:v>
                </c:pt>
                <c:pt idx="1">
                  <c:v>-208</c:v>
                </c:pt>
                <c:pt idx="2">
                  <c:v>-300</c:v>
                </c:pt>
                <c:pt idx="3">
                  <c:v>-337</c:v>
                </c:pt>
                <c:pt idx="4">
                  <c:v>-355</c:v>
                </c:pt>
                <c:pt idx="5">
                  <c:v>-375</c:v>
                </c:pt>
                <c:pt idx="6">
                  <c:v>-358</c:v>
                </c:pt>
                <c:pt idx="7">
                  <c:v>-318</c:v>
                </c:pt>
                <c:pt idx="8">
                  <c:v>-221</c:v>
                </c:pt>
                <c:pt idx="9">
                  <c:v>-149</c:v>
                </c:pt>
                <c:pt idx="10">
                  <c:v>-71</c:v>
                </c:pt>
                <c:pt idx="11">
                  <c:v>-80</c:v>
                </c:pt>
                <c:pt idx="12">
                  <c:v>-223</c:v>
                </c:pt>
                <c:pt idx="13">
                  <c:v>-169</c:v>
                </c:pt>
                <c:pt idx="14">
                  <c:v>-250</c:v>
                </c:pt>
                <c:pt idx="15">
                  <c:v>-295</c:v>
                </c:pt>
                <c:pt idx="16">
                  <c:v>-267</c:v>
                </c:pt>
                <c:pt idx="17">
                  <c:v>-170</c:v>
                </c:pt>
                <c:pt idx="18">
                  <c:v>-109</c:v>
                </c:pt>
                <c:pt idx="19">
                  <c:v>-52</c:v>
                </c:pt>
                <c:pt idx="20">
                  <c:v>24</c:v>
                </c:pt>
                <c:pt idx="21">
                  <c:v>57</c:v>
                </c:pt>
                <c:pt idx="22">
                  <c:v>77</c:v>
                </c:pt>
                <c:pt idx="23">
                  <c:v>-164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5478832"/>
        <c:axId val="-1785474480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4"/>
                <c:pt idx="0">
                  <c:v>-216</c:v>
                </c:pt>
                <c:pt idx="1">
                  <c:v>-286</c:v>
                </c:pt>
                <c:pt idx="2">
                  <c:v>-363</c:v>
                </c:pt>
                <c:pt idx="3">
                  <c:v>-406</c:v>
                </c:pt>
                <c:pt idx="4">
                  <c:v>-397</c:v>
                </c:pt>
                <c:pt idx="5">
                  <c:v>-396</c:v>
                </c:pt>
                <c:pt idx="6">
                  <c:v>-381</c:v>
                </c:pt>
                <c:pt idx="7">
                  <c:v>-331</c:v>
                </c:pt>
                <c:pt idx="8">
                  <c:v>-270</c:v>
                </c:pt>
                <c:pt idx="9">
                  <c:v>-182</c:v>
                </c:pt>
                <c:pt idx="10">
                  <c:v>-109</c:v>
                </c:pt>
                <c:pt idx="11">
                  <c:v>-106</c:v>
                </c:pt>
                <c:pt idx="12">
                  <c:v>-181</c:v>
                </c:pt>
                <c:pt idx="13">
                  <c:v>-172</c:v>
                </c:pt>
                <c:pt idx="14">
                  <c:v>-224</c:v>
                </c:pt>
                <c:pt idx="15">
                  <c:v>-254</c:v>
                </c:pt>
                <c:pt idx="16">
                  <c:v>-219</c:v>
                </c:pt>
                <c:pt idx="17">
                  <c:v>-157</c:v>
                </c:pt>
                <c:pt idx="18">
                  <c:v>-107</c:v>
                </c:pt>
                <c:pt idx="19">
                  <c:v>-39</c:v>
                </c:pt>
                <c:pt idx="20">
                  <c:v>1</c:v>
                </c:pt>
                <c:pt idx="21">
                  <c:v>6</c:v>
                </c:pt>
                <c:pt idx="22">
                  <c:v>48</c:v>
                </c:pt>
                <c:pt idx="23">
                  <c:v>-65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46-4C04-9C5F-DAFE628EDEAB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4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  <c:pt idx="23">
                  <c:v>-84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46-4C04-9C5F-DAFE628EDEAB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4"/>
                <c:pt idx="0">
                  <c:v>-128</c:v>
                </c:pt>
                <c:pt idx="1">
                  <c:v>-223</c:v>
                </c:pt>
                <c:pt idx="2">
                  <c:v>-379</c:v>
                </c:pt>
                <c:pt idx="3">
                  <c:v>-458</c:v>
                </c:pt>
                <c:pt idx="4">
                  <c:v>-518</c:v>
                </c:pt>
                <c:pt idx="5">
                  <c:v>-529</c:v>
                </c:pt>
                <c:pt idx="6">
                  <c:v>-517</c:v>
                </c:pt>
                <c:pt idx="7">
                  <c:v>-495</c:v>
                </c:pt>
                <c:pt idx="8">
                  <c:v>-385</c:v>
                </c:pt>
                <c:pt idx="9">
                  <c:v>-262</c:v>
                </c:pt>
                <c:pt idx="10">
                  <c:v>-177</c:v>
                </c:pt>
                <c:pt idx="11">
                  <c:v>-166</c:v>
                </c:pt>
                <c:pt idx="12">
                  <c:v>-400</c:v>
                </c:pt>
                <c:pt idx="13">
                  <c:v>-312</c:v>
                </c:pt>
                <c:pt idx="14">
                  <c:v>-415</c:v>
                </c:pt>
                <c:pt idx="15">
                  <c:v>-465</c:v>
                </c:pt>
                <c:pt idx="16">
                  <c:v>-452</c:v>
                </c:pt>
                <c:pt idx="17">
                  <c:v>-299</c:v>
                </c:pt>
                <c:pt idx="18">
                  <c:v>-215</c:v>
                </c:pt>
                <c:pt idx="19">
                  <c:v>-110</c:v>
                </c:pt>
                <c:pt idx="20">
                  <c:v>18</c:v>
                </c:pt>
                <c:pt idx="21">
                  <c:v>87</c:v>
                </c:pt>
                <c:pt idx="22">
                  <c:v>97</c:v>
                </c:pt>
                <c:pt idx="23">
                  <c:v>-249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46-4C04-9C5F-DAFE628EDEAB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4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  <c:pt idx="23">
                  <c:v>-291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46-4C04-9C5F-DAFE628EDEAB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Arkusz1!$H$2:$H$30</c:f>
              <c:numCache>
                <c:formatCode>0\.0</c:formatCode>
                <c:ptCount val="24"/>
                <c:pt idx="0">
                  <c:v>-134</c:v>
                </c:pt>
                <c:pt idx="1">
                  <c:v>-166</c:v>
                </c:pt>
                <c:pt idx="2">
                  <c:v>-210</c:v>
                </c:pt>
                <c:pt idx="3">
                  <c:v>-258</c:v>
                </c:pt>
                <c:pt idx="4">
                  <c:v>-278</c:v>
                </c:pt>
                <c:pt idx="5">
                  <c:v>-321</c:v>
                </c:pt>
                <c:pt idx="6">
                  <c:v>-294</c:v>
                </c:pt>
                <c:pt idx="7">
                  <c:v>-233</c:v>
                </c:pt>
                <c:pt idx="8">
                  <c:v>-164</c:v>
                </c:pt>
                <c:pt idx="9">
                  <c:v>-111</c:v>
                </c:pt>
                <c:pt idx="10">
                  <c:v>13</c:v>
                </c:pt>
                <c:pt idx="11">
                  <c:v>12</c:v>
                </c:pt>
                <c:pt idx="12">
                  <c:v>-161</c:v>
                </c:pt>
                <c:pt idx="13">
                  <c:v>-92</c:v>
                </c:pt>
                <c:pt idx="14">
                  <c:v>-159</c:v>
                </c:pt>
                <c:pt idx="15">
                  <c:v>-193</c:v>
                </c:pt>
                <c:pt idx="16">
                  <c:v>-216</c:v>
                </c:pt>
                <c:pt idx="17">
                  <c:v>-137</c:v>
                </c:pt>
                <c:pt idx="18">
                  <c:v>-82</c:v>
                </c:pt>
                <c:pt idx="19">
                  <c:v>-25</c:v>
                </c:pt>
                <c:pt idx="20">
                  <c:v>92</c:v>
                </c:pt>
                <c:pt idx="21">
                  <c:v>128</c:v>
                </c:pt>
                <c:pt idx="22">
                  <c:v>164</c:v>
                </c:pt>
                <c:pt idx="23">
                  <c:v>-134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5478832"/>
        <c:axId val="-1785474480"/>
      </c:lineChart>
      <c:catAx>
        <c:axId val="-17854788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4480"/>
        <c:crossesAt val="0"/>
        <c:auto val="0"/>
        <c:lblAlgn val="ctr"/>
        <c:lblOffset val="100"/>
        <c:tickLblSkip val="1"/>
        <c:noMultiLvlLbl val="0"/>
      </c:catAx>
      <c:valAx>
        <c:axId val="-178547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2571140163101264"/>
          <c:w val="0.9993317774660837"/>
          <c:h val="0.174288598368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11E-2"/>
          <c:w val="0.92572481061659895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0\.0</c:formatCode>
                <c:ptCount val="37"/>
                <c:pt idx="0">
                  <c:v>43</c:v>
                </c:pt>
                <c:pt idx="1">
                  <c:v>42</c:v>
                </c:pt>
                <c:pt idx="2">
                  <c:v>29</c:v>
                </c:pt>
                <c:pt idx="3">
                  <c:v>57</c:v>
                </c:pt>
                <c:pt idx="4">
                  <c:v>28</c:v>
                </c:pt>
                <c:pt idx="5">
                  <c:v>40</c:v>
                </c:pt>
                <c:pt idx="6">
                  <c:v>24</c:v>
                </c:pt>
                <c:pt idx="7">
                  <c:v>24</c:v>
                </c:pt>
                <c:pt idx="8">
                  <c:v>31</c:v>
                </c:pt>
                <c:pt idx="9">
                  <c:v>13</c:v>
                </c:pt>
                <c:pt idx="10">
                  <c:v>34</c:v>
                </c:pt>
                <c:pt idx="11">
                  <c:v>-18</c:v>
                </c:pt>
                <c:pt idx="12">
                  <c:v>22</c:v>
                </c:pt>
                <c:pt idx="13">
                  <c:v>32</c:v>
                </c:pt>
                <c:pt idx="14">
                  <c:v>47</c:v>
                </c:pt>
                <c:pt idx="15">
                  <c:v>35</c:v>
                </c:pt>
                <c:pt idx="16">
                  <c:v>49</c:v>
                </c:pt>
                <c:pt idx="17">
                  <c:v>75</c:v>
                </c:pt>
                <c:pt idx="18">
                  <c:v>59</c:v>
                </c:pt>
                <c:pt idx="19">
                  <c:v>39</c:v>
                </c:pt>
                <c:pt idx="20">
                  <c:v>70</c:v>
                </c:pt>
                <c:pt idx="21">
                  <c:v>36</c:v>
                </c:pt>
                <c:pt idx="22">
                  <c:v>22</c:v>
                </c:pt>
                <c:pt idx="23">
                  <c:v>-8</c:v>
                </c:pt>
                <c:pt idx="24">
                  <c:v>-6</c:v>
                </c:pt>
                <c:pt idx="25">
                  <c:v>-22</c:v>
                </c:pt>
                <c:pt idx="26">
                  <c:v>-23</c:v>
                </c:pt>
                <c:pt idx="27">
                  <c:v>-477</c:v>
                </c:pt>
                <c:pt idx="28">
                  <c:v>-373</c:v>
                </c:pt>
                <c:pt idx="29">
                  <c:v>-239</c:v>
                </c:pt>
                <c:pt idx="30">
                  <c:v>-136</c:v>
                </c:pt>
                <c:pt idx="31">
                  <c:v>-165</c:v>
                </c:pt>
                <c:pt idx="32">
                  <c:v>-160</c:v>
                </c:pt>
                <c:pt idx="33">
                  <c:v>-192</c:v>
                </c:pt>
                <c:pt idx="34">
                  <c:v>-301</c:v>
                </c:pt>
                <c:pt idx="35">
                  <c:v>-242</c:v>
                </c:pt>
                <c:pt idx="36">
                  <c:v>-227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5476112"/>
        <c:axId val="-178547393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0\.0</c:formatCode>
                <c:ptCount val="37"/>
                <c:pt idx="0">
                  <c:v>52</c:v>
                </c:pt>
                <c:pt idx="1">
                  <c:v>28</c:v>
                </c:pt>
                <c:pt idx="2">
                  <c:v>42</c:v>
                </c:pt>
                <c:pt idx="3">
                  <c:v>57</c:v>
                </c:pt>
                <c:pt idx="4">
                  <c:v>35</c:v>
                </c:pt>
                <c:pt idx="5">
                  <c:v>38</c:v>
                </c:pt>
                <c:pt idx="6">
                  <c:v>36</c:v>
                </c:pt>
                <c:pt idx="7">
                  <c:v>40</c:v>
                </c:pt>
                <c:pt idx="8">
                  <c:v>31</c:v>
                </c:pt>
                <c:pt idx="9">
                  <c:v>47</c:v>
                </c:pt>
                <c:pt idx="10">
                  <c:v>40</c:v>
                </c:pt>
                <c:pt idx="11">
                  <c:v>-10</c:v>
                </c:pt>
                <c:pt idx="12">
                  <c:v>28</c:v>
                </c:pt>
                <c:pt idx="13">
                  <c:v>69</c:v>
                </c:pt>
                <c:pt idx="14">
                  <c:v>77</c:v>
                </c:pt>
                <c:pt idx="15">
                  <c:v>79</c:v>
                </c:pt>
                <c:pt idx="16">
                  <c:v>70</c:v>
                </c:pt>
                <c:pt idx="17">
                  <c:v>77</c:v>
                </c:pt>
                <c:pt idx="18">
                  <c:v>89</c:v>
                </c:pt>
                <c:pt idx="19">
                  <c:v>44</c:v>
                </c:pt>
                <c:pt idx="20">
                  <c:v>80</c:v>
                </c:pt>
                <c:pt idx="21">
                  <c:v>59</c:v>
                </c:pt>
                <c:pt idx="22">
                  <c:v>50</c:v>
                </c:pt>
                <c:pt idx="23">
                  <c:v>28</c:v>
                </c:pt>
                <c:pt idx="24">
                  <c:v>20</c:v>
                </c:pt>
                <c:pt idx="25">
                  <c:v>24</c:v>
                </c:pt>
                <c:pt idx="26">
                  <c:v>17</c:v>
                </c:pt>
                <c:pt idx="27">
                  <c:v>-305</c:v>
                </c:pt>
                <c:pt idx="28">
                  <c:v>-196</c:v>
                </c:pt>
                <c:pt idx="29">
                  <c:v>-89</c:v>
                </c:pt>
                <c:pt idx="30">
                  <c:v>-33</c:v>
                </c:pt>
                <c:pt idx="31">
                  <c:v>-51</c:v>
                </c:pt>
                <c:pt idx="32">
                  <c:v>-55</c:v>
                </c:pt>
                <c:pt idx="33">
                  <c:v>-89</c:v>
                </c:pt>
                <c:pt idx="34">
                  <c:v>-155</c:v>
                </c:pt>
                <c:pt idx="35">
                  <c:v>-99</c:v>
                </c:pt>
                <c:pt idx="36">
                  <c:v>-111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47-473D-A395-54EA3E329CF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0\.0</c:formatCode>
                <c:ptCount val="37"/>
                <c:pt idx="0">
                  <c:v>40</c:v>
                </c:pt>
                <c:pt idx="1">
                  <c:v>63</c:v>
                </c:pt>
                <c:pt idx="2">
                  <c:v>32</c:v>
                </c:pt>
                <c:pt idx="3">
                  <c:v>60</c:v>
                </c:pt>
                <c:pt idx="4">
                  <c:v>38</c:v>
                </c:pt>
                <c:pt idx="5">
                  <c:v>38</c:v>
                </c:pt>
                <c:pt idx="6">
                  <c:v>12</c:v>
                </c:pt>
                <c:pt idx="7">
                  <c:v>19</c:v>
                </c:pt>
                <c:pt idx="8">
                  <c:v>44</c:v>
                </c:pt>
                <c:pt idx="9">
                  <c:v>15</c:v>
                </c:pt>
                <c:pt idx="10">
                  <c:v>27</c:v>
                </c:pt>
                <c:pt idx="11">
                  <c:v>-48</c:v>
                </c:pt>
                <c:pt idx="12">
                  <c:v>6</c:v>
                </c:pt>
                <c:pt idx="13">
                  <c:v>18</c:v>
                </c:pt>
                <c:pt idx="14">
                  <c:v>42</c:v>
                </c:pt>
                <c:pt idx="15">
                  <c:v>-5</c:v>
                </c:pt>
                <c:pt idx="16">
                  <c:v>35</c:v>
                </c:pt>
                <c:pt idx="17">
                  <c:v>39</c:v>
                </c:pt>
                <c:pt idx="18">
                  <c:v>28</c:v>
                </c:pt>
                <c:pt idx="19">
                  <c:v>22</c:v>
                </c:pt>
                <c:pt idx="20">
                  <c:v>28</c:v>
                </c:pt>
                <c:pt idx="21">
                  <c:v>34</c:v>
                </c:pt>
                <c:pt idx="22">
                  <c:v>-30</c:v>
                </c:pt>
                <c:pt idx="23">
                  <c:v>-79</c:v>
                </c:pt>
                <c:pt idx="24">
                  <c:v>-77</c:v>
                </c:pt>
                <c:pt idx="25">
                  <c:v>-84</c:v>
                </c:pt>
                <c:pt idx="26">
                  <c:v>-101</c:v>
                </c:pt>
                <c:pt idx="27">
                  <c:v>-645</c:v>
                </c:pt>
                <c:pt idx="28">
                  <c:v>-489</c:v>
                </c:pt>
                <c:pt idx="29">
                  <c:v>-301</c:v>
                </c:pt>
                <c:pt idx="30">
                  <c:v>-184</c:v>
                </c:pt>
                <c:pt idx="31">
                  <c:v>-244</c:v>
                </c:pt>
                <c:pt idx="32">
                  <c:v>-224</c:v>
                </c:pt>
                <c:pt idx="33">
                  <c:v>-314</c:v>
                </c:pt>
                <c:pt idx="34">
                  <c:v>-459</c:v>
                </c:pt>
                <c:pt idx="35">
                  <c:v>-367</c:v>
                </c:pt>
                <c:pt idx="36">
                  <c:v>-357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47-473D-A395-54EA3E329CF1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0\.0</c:formatCode>
                <c:ptCount val="37"/>
                <c:pt idx="0">
                  <c:v>136</c:v>
                </c:pt>
                <c:pt idx="1">
                  <c:v>141</c:v>
                </c:pt>
                <c:pt idx="2">
                  <c:v>134</c:v>
                </c:pt>
                <c:pt idx="3">
                  <c:v>180</c:v>
                </c:pt>
                <c:pt idx="4">
                  <c:v>142</c:v>
                </c:pt>
                <c:pt idx="5">
                  <c:v>137</c:v>
                </c:pt>
                <c:pt idx="6">
                  <c:v>141</c:v>
                </c:pt>
                <c:pt idx="7">
                  <c:v>123</c:v>
                </c:pt>
                <c:pt idx="8">
                  <c:v>119</c:v>
                </c:pt>
                <c:pt idx="9">
                  <c:v>83</c:v>
                </c:pt>
                <c:pt idx="10">
                  <c:v>94</c:v>
                </c:pt>
                <c:pt idx="11">
                  <c:v>76</c:v>
                </c:pt>
                <c:pt idx="12">
                  <c:v>72</c:v>
                </c:pt>
                <c:pt idx="13">
                  <c:v>76</c:v>
                </c:pt>
                <c:pt idx="14">
                  <c:v>98</c:v>
                </c:pt>
                <c:pt idx="15">
                  <c:v>81</c:v>
                </c:pt>
                <c:pt idx="16">
                  <c:v>100</c:v>
                </c:pt>
                <c:pt idx="17">
                  <c:v>153</c:v>
                </c:pt>
                <c:pt idx="18">
                  <c:v>103</c:v>
                </c:pt>
                <c:pt idx="19">
                  <c:v>87</c:v>
                </c:pt>
                <c:pt idx="20">
                  <c:v>98</c:v>
                </c:pt>
                <c:pt idx="21">
                  <c:v>25</c:v>
                </c:pt>
                <c:pt idx="22">
                  <c:v>29</c:v>
                </c:pt>
                <c:pt idx="23">
                  <c:v>5</c:v>
                </c:pt>
                <c:pt idx="24">
                  <c:v>24</c:v>
                </c:pt>
                <c:pt idx="25">
                  <c:v>-7</c:v>
                </c:pt>
                <c:pt idx="26">
                  <c:v>-7</c:v>
                </c:pt>
                <c:pt idx="27">
                  <c:v>-777</c:v>
                </c:pt>
                <c:pt idx="28">
                  <c:v>-732</c:v>
                </c:pt>
                <c:pt idx="29">
                  <c:v>-558</c:v>
                </c:pt>
                <c:pt idx="30">
                  <c:v>-370</c:v>
                </c:pt>
                <c:pt idx="31">
                  <c:v>-403</c:v>
                </c:pt>
                <c:pt idx="32">
                  <c:v>-382</c:v>
                </c:pt>
                <c:pt idx="33">
                  <c:v>-408</c:v>
                </c:pt>
                <c:pt idx="34">
                  <c:v>-588</c:v>
                </c:pt>
                <c:pt idx="35">
                  <c:v>-524</c:v>
                </c:pt>
                <c:pt idx="36">
                  <c:v>-495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347-473D-A395-54EA3E329CF1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0\.0</c:formatCode>
                <c:ptCount val="37"/>
                <c:pt idx="0">
                  <c:v>-58</c:v>
                </c:pt>
                <c:pt idx="1">
                  <c:v>-64</c:v>
                </c:pt>
                <c:pt idx="2">
                  <c:v>-92</c:v>
                </c:pt>
                <c:pt idx="3">
                  <c:v>-69</c:v>
                </c:pt>
                <c:pt idx="4">
                  <c:v>-102</c:v>
                </c:pt>
                <c:pt idx="5">
                  <c:v>-52</c:v>
                </c:pt>
                <c:pt idx="6">
                  <c:v>-94</c:v>
                </c:pt>
                <c:pt idx="7">
                  <c:v>-87</c:v>
                </c:pt>
                <c:pt idx="8">
                  <c:v>-72</c:v>
                </c:pt>
                <c:pt idx="9">
                  <c:v>-93</c:v>
                </c:pt>
                <c:pt idx="10">
                  <c:v>-26</c:v>
                </c:pt>
                <c:pt idx="11">
                  <c:v>-90</c:v>
                </c:pt>
                <c:pt idx="12">
                  <c:v>-16</c:v>
                </c:pt>
                <c:pt idx="13">
                  <c:v>-34</c:v>
                </c:pt>
                <c:pt idx="14">
                  <c:v>-31</c:v>
                </c:pt>
                <c:pt idx="15">
                  <c:v>-14</c:v>
                </c:pt>
                <c:pt idx="16">
                  <c:v>-8</c:v>
                </c:pt>
                <c:pt idx="17">
                  <c:v>31</c:v>
                </c:pt>
                <c:pt idx="18">
                  <c:v>17</c:v>
                </c:pt>
                <c:pt idx="19">
                  <c:v>4</c:v>
                </c:pt>
                <c:pt idx="20">
                  <c:v>75</c:v>
                </c:pt>
                <c:pt idx="21">
                  <c:v>26</c:v>
                </c:pt>
                <c:pt idx="22">
                  <c:v>39</c:v>
                </c:pt>
                <c:pt idx="23">
                  <c:v>12</c:v>
                </c:pt>
                <c:pt idx="24">
                  <c:v>11</c:v>
                </c:pt>
                <c:pt idx="25">
                  <c:v>-20</c:v>
                </c:pt>
                <c:pt idx="26">
                  <c:v>-2</c:v>
                </c:pt>
                <c:pt idx="27">
                  <c:v>-183</c:v>
                </c:pt>
                <c:pt idx="28">
                  <c:v>-74</c:v>
                </c:pt>
                <c:pt idx="29">
                  <c:v>-6</c:v>
                </c:pt>
                <c:pt idx="30">
                  <c:v>44</c:v>
                </c:pt>
                <c:pt idx="31">
                  <c:v>40</c:v>
                </c:pt>
                <c:pt idx="32">
                  <c:v>22</c:v>
                </c:pt>
                <c:pt idx="33">
                  <c:v>43</c:v>
                </c:pt>
                <c:pt idx="34">
                  <c:v>-4</c:v>
                </c:pt>
                <c:pt idx="35">
                  <c:v>24</c:v>
                </c:pt>
                <c:pt idx="36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5476112"/>
        <c:axId val="-1785473936"/>
      </c:lineChart>
      <c:catAx>
        <c:axId val="-178547611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3936"/>
        <c:crossesAt val="0"/>
        <c:auto val="1"/>
        <c:lblAlgn val="ctr"/>
        <c:lblOffset val="100"/>
        <c:tickLblSkip val="1"/>
        <c:noMultiLvlLbl val="0"/>
      </c:catAx>
      <c:valAx>
        <c:axId val="-178547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4503937007874064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33E-2"/>
          <c:y val="3.1829811662937357E-2"/>
          <c:w val="0.92505522157443265"/>
          <c:h val="0.68551983144386663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4"/>
                <c:pt idx="0">
                  <c:v>-218.5</c:v>
                </c:pt>
                <c:pt idx="1">
                  <c:v>-296.25</c:v>
                </c:pt>
                <c:pt idx="2">
                  <c:v>-414.25</c:v>
                </c:pt>
                <c:pt idx="3">
                  <c:v>-446</c:v>
                </c:pt>
                <c:pt idx="4">
                  <c:v>-465.25</c:v>
                </c:pt>
                <c:pt idx="5">
                  <c:v>-478.25</c:v>
                </c:pt>
                <c:pt idx="6">
                  <c:v>-448</c:v>
                </c:pt>
                <c:pt idx="7">
                  <c:v>-357</c:v>
                </c:pt>
                <c:pt idx="8">
                  <c:v>-272</c:v>
                </c:pt>
                <c:pt idx="9">
                  <c:v>-185</c:v>
                </c:pt>
                <c:pt idx="10">
                  <c:v>-79</c:v>
                </c:pt>
                <c:pt idx="11">
                  <c:v>-116</c:v>
                </c:pt>
                <c:pt idx="12">
                  <c:v>-325</c:v>
                </c:pt>
                <c:pt idx="13">
                  <c:v>-235</c:v>
                </c:pt>
                <c:pt idx="14">
                  <c:v>-298</c:v>
                </c:pt>
                <c:pt idx="15">
                  <c:v>-367</c:v>
                </c:pt>
                <c:pt idx="16">
                  <c:v>-337</c:v>
                </c:pt>
                <c:pt idx="17">
                  <c:v>-218</c:v>
                </c:pt>
                <c:pt idx="18">
                  <c:v>-151</c:v>
                </c:pt>
                <c:pt idx="19">
                  <c:v>-86</c:v>
                </c:pt>
                <c:pt idx="20">
                  <c:v>-3</c:v>
                </c:pt>
                <c:pt idx="21">
                  <c:v>29</c:v>
                </c:pt>
                <c:pt idx="22">
                  <c:v>40</c:v>
                </c:pt>
                <c:pt idx="23">
                  <c:v>-195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5479376"/>
        <c:axId val="-188740360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4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  <c:pt idx="23">
                  <c:v>-84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86-4F17-B8DC-F116648ED4CD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4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  <c:pt idx="23">
                  <c:v>-291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86-4F17-B8DC-F116648ED4CD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4"/>
                <c:pt idx="0">
                  <c:v>-150</c:v>
                </c:pt>
                <c:pt idx="1">
                  <c:v>-273</c:v>
                </c:pt>
                <c:pt idx="2">
                  <c:v>-531</c:v>
                </c:pt>
                <c:pt idx="3">
                  <c:v>-620</c:v>
                </c:pt>
                <c:pt idx="4">
                  <c:v>-680</c:v>
                </c:pt>
                <c:pt idx="5">
                  <c:v>-638</c:v>
                </c:pt>
                <c:pt idx="6">
                  <c:v>-541</c:v>
                </c:pt>
                <c:pt idx="7">
                  <c:v>-303</c:v>
                </c:pt>
                <c:pt idx="8">
                  <c:v>-248</c:v>
                </c:pt>
                <c:pt idx="9">
                  <c:v>-63</c:v>
                </c:pt>
                <c:pt idx="10">
                  <c:v>176</c:v>
                </c:pt>
                <c:pt idx="11">
                  <c:v>51</c:v>
                </c:pt>
                <c:pt idx="12">
                  <c:v>-546</c:v>
                </c:pt>
                <c:pt idx="13">
                  <c:v>-344</c:v>
                </c:pt>
                <c:pt idx="14">
                  <c:v>-370</c:v>
                </c:pt>
                <c:pt idx="15">
                  <c:v>-533</c:v>
                </c:pt>
                <c:pt idx="16">
                  <c:v>-537</c:v>
                </c:pt>
                <c:pt idx="17">
                  <c:v>-311</c:v>
                </c:pt>
                <c:pt idx="18">
                  <c:v>-197</c:v>
                </c:pt>
                <c:pt idx="19">
                  <c:v>-78</c:v>
                </c:pt>
                <c:pt idx="20">
                  <c:v>85</c:v>
                </c:pt>
                <c:pt idx="21">
                  <c:v>126</c:v>
                </c:pt>
                <c:pt idx="22">
                  <c:v>77</c:v>
                </c:pt>
                <c:pt idx="23">
                  <c:v>-394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86-4F17-B8DC-F116648ED4CD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4"/>
                <c:pt idx="0">
                  <c:v>-514</c:v>
                </c:pt>
                <c:pt idx="1">
                  <c:v>-550</c:v>
                </c:pt>
                <c:pt idx="2">
                  <c:v>-576</c:v>
                </c:pt>
                <c:pt idx="3">
                  <c:v>-601</c:v>
                </c:pt>
                <c:pt idx="4">
                  <c:v>-601</c:v>
                </c:pt>
                <c:pt idx="5">
                  <c:v>-646</c:v>
                </c:pt>
                <c:pt idx="6">
                  <c:v>-654</c:v>
                </c:pt>
                <c:pt idx="7">
                  <c:v>-588</c:v>
                </c:pt>
                <c:pt idx="8">
                  <c:v>-546</c:v>
                </c:pt>
                <c:pt idx="9">
                  <c:v>-483</c:v>
                </c:pt>
                <c:pt idx="10">
                  <c:v>-407</c:v>
                </c:pt>
                <c:pt idx="11">
                  <c:v>-372</c:v>
                </c:pt>
                <c:pt idx="12">
                  <c:v>-371</c:v>
                </c:pt>
                <c:pt idx="13">
                  <c:v>-320</c:v>
                </c:pt>
                <c:pt idx="14">
                  <c:v>-361</c:v>
                </c:pt>
                <c:pt idx="15">
                  <c:v>-369</c:v>
                </c:pt>
                <c:pt idx="16">
                  <c:v>-361</c:v>
                </c:pt>
                <c:pt idx="17">
                  <c:v>-305</c:v>
                </c:pt>
                <c:pt idx="18">
                  <c:v>-263</c:v>
                </c:pt>
                <c:pt idx="19">
                  <c:v>-180</c:v>
                </c:pt>
                <c:pt idx="20">
                  <c:v>-106</c:v>
                </c:pt>
                <c:pt idx="21">
                  <c:v>-75</c:v>
                </c:pt>
                <c:pt idx="22">
                  <c:v>8</c:v>
                </c:pt>
                <c:pt idx="23">
                  <c:v>-9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5479376"/>
        <c:axId val="-1887403600"/>
      </c:lineChart>
      <c:catAx>
        <c:axId val="-178547937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87403600"/>
        <c:crossesAt val="0"/>
        <c:auto val="0"/>
        <c:lblAlgn val="ctr"/>
        <c:lblOffset val="100"/>
        <c:tickLblSkip val="1"/>
        <c:noMultiLvlLbl val="0"/>
      </c:catAx>
      <c:valAx>
        <c:axId val="-188740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547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1884875142426161"/>
          <c:w val="0.9951178564561175"/>
          <c:h val="0.181151248575738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significant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379</c:v>
                </c:pt>
                <c:pt idx="1">
                  <c:v>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686-4FF2-B204-52B5A94AC92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86-4FF2-B204-52B5A94AC92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CB-4EDE-A32E-1C81CF4333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504</c:v>
                </c:pt>
                <c:pt idx="1">
                  <c:v>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CB-4EDE-A32E-1C81CF4333D1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4CB-4EDE-A32E-1C81CF4333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117</c:v>
                </c:pt>
                <c:pt idx="1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4CB-4EDE-A32E-1C81CF433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8054512"/>
        <c:axId val="-1788053968"/>
      </c:barChart>
      <c:valAx>
        <c:axId val="-1788053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4512"/>
        <c:crosses val="autoZero"/>
        <c:crossBetween val="between"/>
      </c:valAx>
      <c:catAx>
        <c:axId val="-1788054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3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definitely yes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80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possible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A2-4078-8963-5F859D1309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213</c:v>
                </c:pt>
                <c:pt idx="1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A2-4078-8963-5F859D1309CE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rather not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A2-4078-8963-5F859D1309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338</c:v>
                </c:pt>
                <c:pt idx="1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A2-4078-8963-5F859D1309CE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A2-4078-8963-5F859D1309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348</c:v>
                </c:pt>
                <c:pt idx="1">
                  <c:v>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0A2-4078-8963-5F859D1309CE}"/>
            </c:ext>
          </c:extLst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I have no opinion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A2-4078-8963-5F859D1309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Arkusz1!$G$2:$G$3</c:f>
              <c:numCache>
                <c:formatCode>0\.0</c:formatCode>
                <c:ptCount val="2"/>
                <c:pt idx="0">
                  <c:v>21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0A2-4078-8963-5F859D1309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8057232"/>
        <c:axId val="-1788055056"/>
      </c:barChart>
      <c:valAx>
        <c:axId val="-1788055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7232"/>
        <c:crosses val="autoZero"/>
        <c:crossBetween val="between"/>
      </c:valAx>
      <c:catAx>
        <c:axId val="-1788057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50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0FA-4E8A-8E9A-7AAD9CDDA1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463</c:v>
                </c:pt>
                <c:pt idx="1">
                  <c:v>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0FA-4E8A-8E9A-7AAD9CDDA1E7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FA-4E8A-8E9A-7AAD9CDDA1E7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C1-4A18-90C0-B4C89D4E41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455</c:v>
                </c:pt>
                <c:pt idx="1">
                  <c:v>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C1-4A18-90C0-B4C89D4E41D4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CC1-4A18-90C0-B4C89D4E41D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C1-4A18-90C0-B4C89D4E41D4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C1-4A18-90C0-B4C89D4E41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74</c:v>
                </c:pt>
                <c:pt idx="1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C1-4A18-90C0-B4C89D4E41D4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0FA-4E8A-8E9A-7AAD9CDDA1E7}"/>
              </c:ext>
            </c:extLst>
          </c:dPt>
          <c:dLbls>
            <c:dLbl>
              <c:idx val="0"/>
              <c:layout>
                <c:manualLayout>
                  <c:x val="4.9584727903803812E-3"/>
                  <c:y val="1.18084982802421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FA-4E8A-8E9A-7AAD9CDDA1E7}"/>
                </c:ext>
              </c:extLst>
            </c:dLbl>
            <c:dLbl>
              <c:idx val="1"/>
              <c:layout>
                <c:manualLayout>
                  <c:x val="7.4377091855708441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CC1-4A18-90C0-B4C89D4E41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CC1-4A18-90C0-B4C89D4E4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8056688"/>
        <c:axId val="-1788056144"/>
      </c:barChart>
      <c:catAx>
        <c:axId val="-1788056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6144"/>
        <c:crosses val="autoZero"/>
        <c:auto val="1"/>
        <c:lblAlgn val="ctr"/>
        <c:lblOffset val="100"/>
        <c:noMultiLvlLbl val="0"/>
      </c:catAx>
      <c:valAx>
        <c:axId val="-178805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054-4B9B-ABB4-5BB51D2DBA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368</c:v>
                </c:pt>
                <c:pt idx="1">
                  <c:v>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054-4B9B-ABB4-5BB51D2DBA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54-4B9B-ABB4-5BB51D2DBA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02-413E-BC5A-0E368AC375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445</c:v>
                </c:pt>
                <c:pt idx="1">
                  <c:v>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02-413E-BC5A-0E368AC37529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054-4B9B-ABB4-5BB51D2DBA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54-4B9B-ABB4-5BB51D2DBA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02-413E-BC5A-0E368AC375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171</c:v>
                </c:pt>
                <c:pt idx="1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02-413E-BC5A-0E368AC37529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B054-4B9B-ABB4-5BB51D2DBA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54-4B9B-ABB4-5BB51D2DBA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02-413E-BC5A-0E368AC375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16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902-413E-BC5A-0E368AC37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0922656"/>
        <c:axId val="-1788055600"/>
      </c:barChart>
      <c:valAx>
        <c:axId val="-1788055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2656"/>
        <c:crosses val="autoZero"/>
        <c:crossBetween val="between"/>
      </c:valAx>
      <c:catAx>
        <c:axId val="-1780922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80556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703</c:v>
                </c:pt>
                <c:pt idx="1">
                  <c:v>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D08-48BD-B624-88C1E2C3AC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08-48BD-B624-88C1E2C3AC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21-4D9E-B146-C67B3245EB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269</c:v>
                </c:pt>
                <c:pt idx="1">
                  <c:v>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21-4D9E-B146-C67B3245EBA2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AD08-48BD-B624-88C1E2C3AC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08-48BD-B624-88C1E2C3AC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21-4D9E-B146-C67B3245EB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25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21-4D9E-B146-C67B3245EBA2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D08-48BD-B624-88C1E2C3ACB2}"/>
              </c:ext>
            </c:extLst>
          </c:dPt>
          <c:dLbls>
            <c:dLbl>
              <c:idx val="0"/>
              <c:layout>
                <c:manualLayout>
                  <c:x val="7.4377091855706619E-3"/>
                  <c:y val="5.727172172753582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3C0EE32-BA48-43FB-B900-7A51F9083A36}" type="VALUE">
                      <a:rPr lang="en-US"/>
                      <a:pPr/>
                      <a:t>[WARTOŚĆ]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D08-48BD-B624-88C1E2C3ACB2}"/>
                </c:ext>
              </c:extLst>
            </c:dLbl>
            <c:dLbl>
              <c:idx val="1"/>
              <c:layout>
                <c:manualLayout>
                  <c:x val="7.4377091855708441E-3"/>
                  <c:y val="5.131494547787043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21-4D9E-B146-C67B3245EB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821-4D9E-B146-C67B3245EB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0925376"/>
        <c:axId val="-1780924832"/>
      </c:barChart>
      <c:valAx>
        <c:axId val="-1780924832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5376"/>
        <c:crosses val="autoZero"/>
        <c:crossBetween val="between"/>
      </c:valAx>
      <c:catAx>
        <c:axId val="-1780925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09248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April, July, October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8B79A-0C0C-4A3B-8E05-D7867AAB5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tendency – January 2021</dc:title>
  <dc:subject>Consumer tendency – January 2021</dc:subject>
  <dc:creator>Statistics Poland</dc:creator>
  <cp:keywords/>
  <dc:description/>
  <cp:lastPrinted>2020-10-15T11:38:00Z</cp:lastPrinted>
  <dcterms:created xsi:type="dcterms:W3CDTF">2021-01-19T09:05:00Z</dcterms:created>
  <dcterms:modified xsi:type="dcterms:W3CDTF">2021-01-19T09:05:00Z</dcterms:modified>
  <cp:category>Business tendency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