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847CC3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64008C" w:rsidRPr="0009183C" w:rsidRDefault="0064008C" w:rsidP="0064008C">
      <w:pPr>
        <w:pStyle w:val="tytuinformacji"/>
        <w:spacing w:line="240" w:lineRule="exact"/>
        <w:jc w:val="both"/>
        <w:rPr>
          <w:rFonts w:ascii="Fira Sans" w:hAnsi="Fira Sans"/>
          <w:b/>
          <w:strike/>
          <w:color w:val="auto"/>
          <w:sz w:val="19"/>
          <w:szCs w:val="19"/>
          <w:lang w:val="en-US"/>
        </w:rPr>
      </w:pPr>
      <w:r w:rsidRPr="0009183C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76C33966" wp14:editId="3A7DE95A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8C" w:rsidRPr="00E135B2" w:rsidRDefault="0064008C" w:rsidP="0064008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7D480AE" wp14:editId="3E597A8A">
                                  <wp:extent cx="342000" cy="334800"/>
                                  <wp:effectExtent l="0" t="0" r="1270" b="8255"/>
                                  <wp:docPr id="70252323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9113788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"/>
                              </w:rPr>
                              <w:t>0.1%</w:t>
                            </w:r>
                          </w:p>
                          <w:p w:rsidR="0064008C" w:rsidRPr="00E135B2" w:rsidRDefault="00847CC3" w:rsidP="0064008C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 w:rsidR="0064008C"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 w:rsidR="0064008C"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64008C">
                              <w:rPr>
                                <w:lang w:val="en"/>
                              </w:rPr>
                              <w:t>third</w:t>
                            </w:r>
                            <w:r>
                              <w:rPr>
                                <w:lang w:val="en"/>
                              </w:rPr>
                              <w:t xml:space="preserve"> q</w:t>
                            </w:r>
                            <w:r w:rsidR="0064008C">
                              <w:rPr>
                                <w:lang w:val="en"/>
                              </w:rPr>
                              <w:t>uarter of 2020.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39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" fillcolor="#001d77" stroked="f">
                <v:textbox>
                  <w:txbxContent>
                    <w:p w:rsidR="0064008C" w:rsidRPr="00E135B2" w:rsidRDefault="0064008C" w:rsidP="0064008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7D480AE" wp14:editId="3E597A8A">
                            <wp:extent cx="342000" cy="334800"/>
                            <wp:effectExtent l="0" t="0" r="1270" b="8255"/>
                            <wp:docPr id="702523235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9113788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"/>
                        </w:rPr>
                        <w:t>0.1%</w:t>
                      </w:r>
                    </w:p>
                    <w:p w:rsidR="0064008C" w:rsidRPr="00E135B2" w:rsidRDefault="00847CC3" w:rsidP="0064008C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 w:rsidR="0064008C">
                        <w:rPr>
                          <w:lang w:val="en"/>
                        </w:rPr>
                        <w:t>ncrease</w:t>
                      </w:r>
                      <w:proofErr w:type="spellEnd"/>
                      <w:r w:rsidR="0064008C"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64008C">
                        <w:rPr>
                          <w:lang w:val="en"/>
                        </w:rPr>
                        <w:t>third</w:t>
                      </w:r>
                      <w:r>
                        <w:rPr>
                          <w:lang w:val="en"/>
                        </w:rPr>
                        <w:t xml:space="preserve"> q</w:t>
                      </w:r>
                      <w:r w:rsidR="0064008C">
                        <w:rPr>
                          <w:lang w:val="en"/>
                        </w:rPr>
                        <w:t>uarter of 2020.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In the fourth quarter of 2020, prices of the providers of business-related services increased by 0.1% compared to</w:t>
      </w:r>
      <w:r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  <w:t xml:space="preserve"> the previous quarter. Compared to the fourth quarter of 2019, the prices increased by 1.1%.</w:t>
      </w:r>
    </w:p>
    <w:p w:rsidR="007545BB" w:rsidRDefault="007545BB" w:rsidP="007545BB">
      <w:pPr>
        <w:rPr>
          <w:lang w:val="en-US" w:eastAsia="pl-PL"/>
        </w:rPr>
      </w:pPr>
      <w:bookmarkStart w:id="0" w:name="_GoBack"/>
      <w:bookmarkEnd w:id="0"/>
    </w:p>
    <w:p w:rsidR="007B7184" w:rsidRDefault="007B7184" w:rsidP="007545BB">
      <w:pPr>
        <w:rPr>
          <w:lang w:val="en-US" w:eastAsia="pl-PL"/>
        </w:rPr>
      </w:pPr>
    </w:p>
    <w:p w:rsidR="007B7184" w:rsidRDefault="007B7184" w:rsidP="007545BB">
      <w:pPr>
        <w:rPr>
          <w:lang w:val="en-US" w:eastAsia="pl-PL"/>
        </w:rPr>
      </w:pPr>
    </w:p>
    <w:p w:rsidR="00C47459" w:rsidRDefault="00C47459" w:rsidP="007545BB">
      <w:pPr>
        <w:rPr>
          <w:lang w:val="en-US" w:eastAsia="pl-PL"/>
        </w:rPr>
      </w:pPr>
    </w:p>
    <w:p w:rsidR="0064008C" w:rsidRPr="007545BB" w:rsidRDefault="0064008C" w:rsidP="007545BB">
      <w:pPr>
        <w:rPr>
          <w:lang w:val="en-US" w:eastAsia="pl-PL"/>
        </w:rPr>
      </w:pPr>
    </w:p>
    <w:p w:rsidR="001457E5" w:rsidRDefault="007545BB" w:rsidP="00441569">
      <w:pPr>
        <w:rPr>
          <w:b/>
          <w:sz w:val="18"/>
          <w:szCs w:val="18"/>
          <w:shd w:val="clear" w:color="auto" w:fill="FFFFFF"/>
          <w:lang w:val="en-GB"/>
        </w:rPr>
      </w:pPr>
      <w:r w:rsidRPr="001457E5">
        <w:rPr>
          <w:rFonts w:cs="Arial"/>
          <w:b/>
          <w:sz w:val="18"/>
          <w:szCs w:val="18"/>
          <w:lang w:val="en-US"/>
        </w:rPr>
        <w:t xml:space="preserve">Table 1. </w:t>
      </w:r>
      <w:r w:rsidR="00CE6312" w:rsidRPr="001457E5">
        <w:rPr>
          <w:rFonts w:cs="Arial"/>
          <w:b/>
          <w:sz w:val="18"/>
          <w:szCs w:val="18"/>
          <w:lang w:val="en-US"/>
        </w:rPr>
        <w:t>Producer p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rice indices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for business 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services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in the </w:t>
      </w:r>
      <w:r w:rsidR="00847CC3">
        <w:rPr>
          <w:b/>
          <w:sz w:val="18"/>
          <w:szCs w:val="18"/>
          <w:shd w:val="clear" w:color="auto" w:fill="FFFFFF"/>
          <w:lang w:val="en-GB"/>
        </w:rPr>
        <w:t xml:space="preserve">fourth </w:t>
      </w:r>
      <w:r w:rsidRPr="001457E5">
        <w:rPr>
          <w:b/>
          <w:sz w:val="18"/>
          <w:szCs w:val="18"/>
          <w:shd w:val="clear" w:color="auto" w:fill="FFFFFF"/>
          <w:lang w:val="en-GB"/>
        </w:rPr>
        <w:t>quarter of 2020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260"/>
        <w:gridCol w:w="1260"/>
        <w:gridCol w:w="1260"/>
      </w:tblGrid>
      <w:tr w:rsidR="00847CC3" w:rsidRPr="00847CC3" w:rsidTr="00847CC3">
        <w:trPr>
          <w:trHeight w:val="732"/>
        </w:trPr>
        <w:tc>
          <w:tcPr>
            <w:tcW w:w="4200" w:type="dxa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 xml:space="preserve">I -IV </w:t>
            </w:r>
            <w:proofErr w:type="spellStart"/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847CC3" w:rsidRPr="00847CC3" w:rsidTr="004951E8">
        <w:trPr>
          <w:trHeight w:val="646"/>
        </w:trPr>
        <w:tc>
          <w:tcPr>
            <w:tcW w:w="4200" w:type="dxa"/>
            <w:vMerge/>
            <w:tcBorders>
              <w:top w:val="nil"/>
              <w:left w:val="nil"/>
              <w:bottom w:val="single" w:sz="12" w:space="0" w:color="003399"/>
              <w:right w:val="single" w:sz="4" w:space="0" w:color="001D77"/>
            </w:tcBorders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3399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2019=100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3399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3399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 xml:space="preserve">I-IV </w:t>
            </w:r>
            <w:proofErr w:type="spellStart"/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>quarter</w:t>
            </w:r>
            <w:proofErr w:type="spellEnd"/>
            <w:r w:rsidRPr="00847CC3">
              <w:rPr>
                <w:rFonts w:eastAsia="Times New Roman" w:cs="Calibri"/>
                <w:sz w:val="16"/>
                <w:szCs w:val="16"/>
                <w:lang w:eastAsia="pl-PL"/>
              </w:rPr>
              <w:t xml:space="preserve">  2019=100</w:t>
            </w:r>
          </w:p>
        </w:tc>
      </w:tr>
      <w:tr w:rsidR="00847CC3" w:rsidRPr="00847CC3" w:rsidTr="004951E8">
        <w:trPr>
          <w:trHeight w:hRule="exact" w:val="510"/>
        </w:trPr>
        <w:tc>
          <w:tcPr>
            <w:tcW w:w="4200" w:type="dxa"/>
            <w:tcBorders>
              <w:top w:val="single" w:sz="12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TOTAL </w:t>
            </w:r>
          </w:p>
        </w:tc>
        <w:tc>
          <w:tcPr>
            <w:tcW w:w="1260" w:type="dxa"/>
            <w:tcBorders>
              <w:top w:val="single" w:sz="12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single" w:sz="12" w:space="0" w:color="003399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260" w:type="dxa"/>
            <w:tcBorders>
              <w:top w:val="single" w:sz="12" w:space="0" w:color="003399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Publishing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Motion picture, video and television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programme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Programming and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broadcasting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Computer programming, consultancy and related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Information service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Real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estate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Advertising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and market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research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Other professional, scientific and technical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Rental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and leasing 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Employment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Travel agency, tour operator reservation service and related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 xml:space="preserve">Security and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investigation</w:t>
            </w:r>
            <w:proofErr w:type="spellEnd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Services to buildings and landscape 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847CC3" w:rsidRPr="00847CC3" w:rsidTr="0020308C">
        <w:trPr>
          <w:trHeight w:hRule="exact" w:val="510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0367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Office administrative, office support  and other business support activities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C3" w:rsidRPr="00847CC3" w:rsidRDefault="00847CC3" w:rsidP="00847CC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47C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</w:tbl>
    <w:p w:rsidR="001E332F" w:rsidRPr="003F47BC" w:rsidRDefault="000B55A0" w:rsidP="001E332F">
      <w:pPr>
        <w:rPr>
          <w:rFonts w:eastAsia="Fira Sans Light" w:cs="Times New Roman"/>
          <w:color w:val="0000CC"/>
          <w:shd w:val="clear" w:color="auto" w:fill="FFFFFF"/>
          <w:lang w:val="en"/>
        </w:rPr>
      </w:pPr>
      <w:r w:rsidRPr="00E76C68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36736" behindDoc="1" locked="0" layoutInCell="1" allowOverlap="1" wp14:anchorId="3932A0EB" wp14:editId="66541F60">
                <wp:simplePos x="0" y="0"/>
                <wp:positionH relativeFrom="column">
                  <wp:posOffset>5326380</wp:posOffset>
                </wp:positionH>
                <wp:positionV relativeFrom="paragraph">
                  <wp:posOffset>321310</wp:posOffset>
                </wp:positionV>
                <wp:extent cx="1734820" cy="1150620"/>
                <wp:effectExtent l="0" t="0" r="0" b="0"/>
                <wp:wrapTight wrapText="bothSides">
                  <wp:wrapPolygon edited="0">
                    <wp:start x="712" y="0"/>
                    <wp:lineTo x="712" y="21099"/>
                    <wp:lineTo x="20873" y="21099"/>
                    <wp:lineTo x="20873" y="0"/>
                    <wp:lineTo x="712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15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A0" w:rsidRPr="00582F5C" w:rsidRDefault="000B55A0" w:rsidP="000B55A0">
                            <w:pPr>
                              <w:pStyle w:val="tekstzboku"/>
                              <w:spacing w:before="0"/>
                              <w:rPr>
                                <w:color w:val="002570"/>
                                <w:sz w:val="16"/>
                                <w:lang w:val="en-US"/>
                              </w:rPr>
                            </w:pPr>
                            <w:r w:rsidRPr="00582F5C">
                              <w:rPr>
                                <w:rFonts w:eastAsia="Fira Sans Light"/>
                                <w:color w:val="002570"/>
                                <w:szCs w:val="19"/>
                                <w:shd w:val="clear" w:color="auto" w:fill="FFFFFF"/>
                                <w:lang w:val="en"/>
                              </w:rPr>
                              <w:t xml:space="preserve">In the fourth quarter of 2020, </w:t>
                            </w:r>
                            <w:r w:rsidRPr="00582F5C">
                              <w:rPr>
                                <w:color w:val="002570"/>
                                <w:szCs w:val="19"/>
                                <w:lang w:val="en-US"/>
                              </w:rPr>
                              <w:t>the highest increase of prices</w:t>
                            </w:r>
                            <w:r w:rsidRPr="00582F5C">
                              <w:rPr>
                                <w:rFonts w:eastAsia="Fira Sans Light"/>
                                <w:color w:val="002570"/>
                                <w:szCs w:val="19"/>
                                <w:shd w:val="clear" w:color="auto" w:fill="FFFFFF"/>
                                <w:lang w:val="en"/>
                              </w:rPr>
                              <w:t xml:space="preserve"> was observed in the advertising </w:t>
                            </w:r>
                            <w:r w:rsidRPr="00847CC3">
                              <w:rPr>
                                <w:rFonts w:cs="Calibri"/>
                                <w:color w:val="002570"/>
                                <w:szCs w:val="19"/>
                                <w:lang w:val="en-US"/>
                              </w:rPr>
                              <w:t>and market research</w:t>
                            </w:r>
                            <w:r w:rsidRPr="00582F5C">
                              <w:rPr>
                                <w:rFonts w:eastAsia="Fira Sans Light"/>
                                <w:color w:val="002570"/>
                                <w:szCs w:val="19"/>
                                <w:shd w:val="clear" w:color="auto" w:fill="FFFFFF"/>
                                <w:lang w:val="en"/>
                              </w:rPr>
                              <w:t xml:space="preserve">  –</w:t>
                            </w:r>
                            <w:r w:rsidRPr="00582F5C">
                              <w:rPr>
                                <w:rFonts w:eastAsia="Fira Sans Light"/>
                                <w:color w:val="002570"/>
                                <w:szCs w:val="19"/>
                                <w:shd w:val="clear" w:color="auto" w:fill="FFFFFF"/>
                                <w:lang w:val="en-US"/>
                              </w:rPr>
                              <w:t xml:space="preserve"> i.e. by </w:t>
                            </w:r>
                            <w:r w:rsidRPr="00582F5C">
                              <w:rPr>
                                <w:rFonts w:eastAsia="Fira Sans Light"/>
                                <w:color w:val="002570"/>
                                <w:szCs w:val="19"/>
                                <w:shd w:val="clear" w:color="auto" w:fill="FFFFFF"/>
                                <w:lang w:val="en"/>
                              </w:rPr>
                              <w:t>1.5% compared to the previous quarter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A0EB" id="_x0000_s1027" type="#_x0000_t202" style="position:absolute;margin-left:419.4pt;margin-top:25.3pt;width:136.6pt;height:90.6pt;z-index:-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" filled="f" stroked="f">
                <v:textbox inset="2.5mm,1mm,2.5mm,1mm">
                  <w:txbxContent>
                    <w:p w:rsidR="000B55A0" w:rsidRPr="00582F5C" w:rsidRDefault="000B55A0" w:rsidP="000B55A0">
                      <w:pPr>
                        <w:pStyle w:val="tekstzboku"/>
                        <w:spacing w:before="0"/>
                        <w:rPr>
                          <w:color w:val="002570"/>
                          <w:sz w:val="16"/>
                          <w:lang w:val="en-US"/>
                        </w:rPr>
                      </w:pPr>
                      <w:r w:rsidRPr="00582F5C">
                        <w:rPr>
                          <w:rFonts w:eastAsia="Fira Sans Light"/>
                          <w:color w:val="002570"/>
                          <w:szCs w:val="19"/>
                          <w:shd w:val="clear" w:color="auto" w:fill="FFFFFF"/>
                          <w:lang w:val="en"/>
                        </w:rPr>
                        <w:t xml:space="preserve">In the fourth quarter of 2020, </w:t>
                      </w:r>
                      <w:r w:rsidRPr="00582F5C">
                        <w:rPr>
                          <w:color w:val="002570"/>
                          <w:szCs w:val="19"/>
                          <w:lang w:val="en-US"/>
                        </w:rPr>
                        <w:t>the highest increase of prices</w:t>
                      </w:r>
                      <w:r w:rsidRPr="00582F5C">
                        <w:rPr>
                          <w:rFonts w:eastAsia="Fira Sans Light"/>
                          <w:color w:val="002570"/>
                          <w:szCs w:val="19"/>
                          <w:shd w:val="clear" w:color="auto" w:fill="FFFFFF"/>
                          <w:lang w:val="en"/>
                        </w:rPr>
                        <w:t xml:space="preserve"> was observed in the advertising </w:t>
                      </w:r>
                      <w:r w:rsidRPr="00847CC3">
                        <w:rPr>
                          <w:rFonts w:cs="Calibri"/>
                          <w:color w:val="002570"/>
                          <w:szCs w:val="19"/>
                          <w:lang w:val="en-US"/>
                        </w:rPr>
                        <w:t>and market research</w:t>
                      </w:r>
                      <w:r w:rsidRPr="00582F5C">
                        <w:rPr>
                          <w:rFonts w:eastAsia="Fira Sans Light"/>
                          <w:color w:val="002570"/>
                          <w:szCs w:val="19"/>
                          <w:shd w:val="clear" w:color="auto" w:fill="FFFFFF"/>
                          <w:lang w:val="en"/>
                        </w:rPr>
                        <w:t xml:space="preserve">  –</w:t>
                      </w:r>
                      <w:r w:rsidRPr="00582F5C">
                        <w:rPr>
                          <w:rFonts w:eastAsia="Fira Sans Light"/>
                          <w:color w:val="002570"/>
                          <w:szCs w:val="19"/>
                          <w:shd w:val="clear" w:color="auto" w:fill="FFFFFF"/>
                          <w:lang w:val="en-US"/>
                        </w:rPr>
                        <w:t xml:space="preserve"> i.e. by </w:t>
                      </w:r>
                      <w:r w:rsidRPr="00582F5C">
                        <w:rPr>
                          <w:rFonts w:eastAsia="Fira Sans Light"/>
                          <w:color w:val="002570"/>
                          <w:szCs w:val="19"/>
                          <w:shd w:val="clear" w:color="auto" w:fill="FFFFFF"/>
                          <w:lang w:val="en"/>
                        </w:rPr>
                        <w:t>1.5% compared to the previous quarter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In</w:t>
      </w:r>
      <w:r w:rsidR="00B6269B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the fourth quarter of 2020, </w:t>
      </w:r>
      <w:r w:rsidR="00B6269B" w:rsidRPr="00E76C68">
        <w:rPr>
          <w:color w:val="000000" w:themeColor="text1"/>
          <w:szCs w:val="19"/>
          <w:lang w:val="en-US"/>
        </w:rPr>
        <w:t>the highest increase of prices</w: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was </w:t>
      </w:r>
      <w:r w:rsidR="00B6269B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observed</w:t>
      </w:r>
      <w:r w:rsidR="00190A56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in the </w:t>
      </w:r>
      <w:r w:rsidR="00B6269B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advertising </w:t>
      </w:r>
      <w:r w:rsidR="00B6269B" w:rsidRPr="00E76C68">
        <w:rPr>
          <w:rFonts w:eastAsia="Times New Roman" w:cs="Calibri"/>
          <w:color w:val="000000" w:themeColor="text1"/>
          <w:szCs w:val="19"/>
          <w:lang w:val="en-US" w:eastAsia="pl-PL"/>
        </w:rPr>
        <w:t>and market research</w: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–</w:t>
      </w:r>
      <w:r w:rsidR="00B6269B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-US"/>
        </w:rPr>
        <w:t xml:space="preserve"> i.e. by </w: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1.5% compared to the previous quarter.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The increa</w:t>
      </w:r>
      <w:r w:rsidR="000079E4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se in the prices of advertising and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market research services in the fourth quarter was mainly caused by higher prices of media representation services (one of the components of advertising services), including in particular intermediation in the </w:t>
      </w:r>
      <w:r w:rsidR="00F16028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sale of radio and television advertising  time or space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. That, in turn, was influenced by the Christmas period that is a </w:t>
      </w:r>
      <w:proofErr w:type="spellStart"/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favourable</w:t>
      </w:r>
      <w:proofErr w:type="spellEnd"/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period of t</w:t>
      </w:r>
      <w:r w:rsidR="003F47BC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ime for the advertising market.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br/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The prices of </w:t>
      </w:r>
      <w:r w:rsidR="003F47BC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p</w:t>
      </w:r>
      <w:proofErr w:type="spellStart"/>
      <w:r w:rsidR="003F47BC" w:rsidRPr="00E76C68">
        <w:rPr>
          <w:rFonts w:eastAsia="Times New Roman" w:cs="Calibri"/>
          <w:color w:val="000000" w:themeColor="text1"/>
          <w:szCs w:val="19"/>
          <w:lang w:val="en-US" w:eastAsia="pl-PL"/>
        </w:rPr>
        <w:t>ublishing</w:t>
      </w:r>
      <w:proofErr w:type="spellEnd"/>
      <w:r w:rsidR="003F47BC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 activities, motion picture, video and television </w:t>
      </w:r>
      <w:proofErr w:type="spellStart"/>
      <w:r w:rsidR="003F47BC" w:rsidRPr="00E76C68">
        <w:rPr>
          <w:rFonts w:eastAsia="Times New Roman" w:cs="Calibri"/>
          <w:color w:val="000000" w:themeColor="text1"/>
          <w:szCs w:val="19"/>
          <w:lang w:val="en-US" w:eastAsia="pl-PL"/>
        </w:rPr>
        <w:t>programme</w:t>
      </w:r>
      <w:proofErr w:type="spellEnd"/>
      <w:r w:rsidR="003F47BC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 production, sound recording and music publishing activities</w:t>
      </w:r>
      <w:r w:rsidR="003F47BC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</w: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as well as </w:t>
      </w:r>
      <w:r w:rsidR="003F47BC" w:rsidRPr="00E76C68">
        <w:rPr>
          <w:rFonts w:eastAsia="Times New Roman" w:cs="Calibri"/>
          <w:color w:val="000000" w:themeColor="text1"/>
          <w:szCs w:val="19"/>
          <w:lang w:val="en-US" w:eastAsia="pl-PL"/>
        </w:rPr>
        <w:t>programming and broadcasting activities</w:t>
      </w:r>
      <w:r w:rsidR="003F47BC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</w:t>
      </w:r>
      <w:r w:rsidR="001E332F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>increased more than 1% (by 1.1%).</w:t>
      </w:r>
      <w:r w:rsidR="00713DD1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The higher prices obtained by companies providing publishing </w:t>
      </w:r>
      <w:r w:rsidR="00DB5FA9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activities </w:t>
      </w:r>
      <w:r w:rsidR="006E1C2D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were the result of </w:t>
      </w:r>
      <w:proofErr w:type="spellStart"/>
      <w:r w:rsidR="006E1C2D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i.a</w:t>
      </w:r>
      <w:proofErr w:type="spellEnd"/>
      <w:r w:rsidR="006E1C2D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. a rise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in the cost of publishing </w:t>
      </w:r>
      <w:proofErr w:type="spellStart"/>
      <w:r w:rsidR="000E6796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printed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newspapers</w:t>
      </w:r>
      <w:proofErr w:type="spellEnd"/>
      <w:r w:rsidR="000E6796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, journals and periodicals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(an increase in the cost of paper). In the </w:t>
      </w:r>
      <w:r w:rsidR="008776C5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motion picture, video and television </w:t>
      </w:r>
      <w:proofErr w:type="spellStart"/>
      <w:r w:rsidR="008776C5" w:rsidRPr="00E76C68">
        <w:rPr>
          <w:rFonts w:eastAsia="Times New Roman" w:cs="Calibri"/>
          <w:color w:val="000000" w:themeColor="text1"/>
          <w:szCs w:val="19"/>
          <w:lang w:val="en-US" w:eastAsia="pl-PL"/>
        </w:rPr>
        <w:t>programme</w:t>
      </w:r>
      <w:proofErr w:type="spellEnd"/>
      <w:r w:rsidR="008776C5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 production, sound recording and music publishing activities</w:t>
      </w:r>
      <w:r w:rsidR="00E10700" w:rsidRPr="00E76C68">
        <w:rPr>
          <w:rFonts w:eastAsia="Times New Roman" w:cs="Calibri"/>
          <w:color w:val="000000" w:themeColor="text1"/>
          <w:szCs w:val="19"/>
          <w:lang w:val="en-US" w:eastAsia="pl-PL"/>
        </w:rPr>
        <w:t>,</w:t>
      </w:r>
      <w:r w:rsidR="006E1C2D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there was an increase in prices of services concerning </w:t>
      </w:r>
      <w:r w:rsidR="006E1ABD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motion picture, video and television </w:t>
      </w:r>
      <w:proofErr w:type="spellStart"/>
      <w:r w:rsidR="006E1ABD" w:rsidRPr="00E76C68">
        <w:rPr>
          <w:rFonts w:eastAsia="Times New Roman" w:cs="Calibri"/>
          <w:color w:val="000000" w:themeColor="text1"/>
          <w:szCs w:val="19"/>
          <w:lang w:val="en-US" w:eastAsia="pl-PL"/>
        </w:rPr>
        <w:t>programme</w:t>
      </w:r>
      <w:proofErr w:type="spellEnd"/>
      <w:r w:rsidR="006E1ABD" w:rsidRPr="00E76C68">
        <w:rPr>
          <w:rFonts w:eastAsia="Times New Roman" w:cs="Calibri"/>
          <w:color w:val="000000" w:themeColor="text1"/>
          <w:szCs w:val="19"/>
          <w:lang w:val="en-US" w:eastAsia="pl-PL"/>
        </w:rPr>
        <w:t xml:space="preserve"> post-production activities and distribution activities,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which are components of that </w:t>
      </w:r>
      <w:r w:rsidR="008776C5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activitie</w:t>
      </w:r>
      <w:r w:rsidR="00DA2A00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s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(the price</w:t>
      </w:r>
      <w:r w:rsidR="00DA2A00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s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</w:t>
      </w:r>
      <w:r w:rsidR="003941EB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increase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concerning the distribution of </w:t>
      </w:r>
      <w:r w:rsidR="003941EB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motion pictures).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The </w:t>
      </w:r>
      <w:r w:rsidR="003941EB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rise in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prices of </w:t>
      </w:r>
      <w:r w:rsidR="003941EB" w:rsidRPr="00E76C68">
        <w:rPr>
          <w:rFonts w:eastAsia="Times New Roman" w:cs="Calibri"/>
          <w:color w:val="000000" w:themeColor="text1"/>
          <w:szCs w:val="19"/>
          <w:lang w:val="en-US" w:eastAsia="pl-PL"/>
        </w:rPr>
        <w:t>programming and broadcasting activities</w:t>
      </w:r>
      <w:r w:rsidR="003941EB" w:rsidRPr="00E76C68">
        <w:rPr>
          <w:rFonts w:eastAsia="Fira Sans Light" w:cs="Times New Roman"/>
          <w:color w:val="000000" w:themeColor="text1"/>
          <w:szCs w:val="19"/>
          <w:shd w:val="clear" w:color="auto" w:fill="FFFFFF"/>
          <w:lang w:val="en"/>
        </w:rPr>
        <w:t xml:space="preserve"> </w:t>
      </w:r>
      <w:r w:rsidR="001E332F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was primarily related to the </w:t>
      </w:r>
      <w:r w:rsidR="00E16AB6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increase in the sales prices </w:t>
      </w:r>
      <w:r w:rsidR="003941EB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of </w:t>
      </w:r>
      <w:r w:rsidR="00713DD1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television advertising </w:t>
      </w:r>
      <w:r w:rsidR="00F97466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time or space</w:t>
      </w:r>
      <w:r w:rsidR="00DA2A00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>.</w:t>
      </w:r>
      <w:r w:rsidR="003941EB" w:rsidRPr="00E76C68">
        <w:rPr>
          <w:rFonts w:eastAsia="Fira Sans Light" w:cs="Times New Roman"/>
          <w:color w:val="000000" w:themeColor="text1"/>
          <w:shd w:val="clear" w:color="auto" w:fill="FFFFFF"/>
          <w:lang w:val="en"/>
        </w:rPr>
        <w:t xml:space="preserve"> </w:t>
      </w:r>
    </w:p>
    <w:p w:rsidR="001E332F" w:rsidRPr="00D01B86" w:rsidRDefault="001E332F" w:rsidP="001E332F">
      <w:pPr>
        <w:rPr>
          <w:szCs w:val="19"/>
          <w:lang w:val="en-US"/>
        </w:rPr>
      </w:pPr>
      <w:r w:rsidRPr="00D01B86">
        <w:rPr>
          <w:szCs w:val="19"/>
          <w:lang w:val="en"/>
        </w:rPr>
        <w:t xml:space="preserve">A significant price decrease compared to the previous quarter was </w:t>
      </w:r>
      <w:r w:rsidR="00DA2A00" w:rsidRPr="00D01B86">
        <w:rPr>
          <w:rFonts w:eastAsia="Fira Sans Light" w:cs="Times New Roman"/>
          <w:szCs w:val="19"/>
          <w:shd w:val="clear" w:color="auto" w:fill="FFFFFF"/>
          <w:lang w:val="en-US"/>
        </w:rPr>
        <w:t>observed</w:t>
      </w:r>
      <w:r w:rsidR="00DA2A00" w:rsidRPr="00D01B86">
        <w:rPr>
          <w:szCs w:val="19"/>
          <w:lang w:val="en-US"/>
        </w:rPr>
        <w:t xml:space="preserve"> in the </w:t>
      </w:r>
      <w:r w:rsidR="00DA2A00" w:rsidRPr="00D01B86">
        <w:rPr>
          <w:rFonts w:eastAsia="Times New Roman" w:cs="Calibri"/>
          <w:szCs w:val="19"/>
          <w:lang w:val="en-US" w:eastAsia="pl-PL"/>
        </w:rPr>
        <w:t>t</w:t>
      </w:r>
      <w:r w:rsidR="00DA2A00" w:rsidRPr="00847CC3">
        <w:rPr>
          <w:rFonts w:eastAsia="Times New Roman" w:cs="Calibri"/>
          <w:szCs w:val="19"/>
          <w:lang w:val="en-US" w:eastAsia="pl-PL"/>
        </w:rPr>
        <w:t>ravel agency, tour operator reservation service and related activities</w:t>
      </w:r>
      <w:r w:rsidR="00150B5D" w:rsidRPr="00D01B86">
        <w:rPr>
          <w:szCs w:val="19"/>
          <w:lang w:val="en"/>
        </w:rPr>
        <w:t xml:space="preserve"> </w:t>
      </w:r>
      <w:r w:rsidR="00163DB0" w:rsidRPr="00D01B86">
        <w:rPr>
          <w:szCs w:val="19"/>
          <w:lang w:val="en"/>
        </w:rPr>
        <w:t xml:space="preserve">(by 8.0%), while </w:t>
      </w:r>
      <w:proofErr w:type="spellStart"/>
      <w:r w:rsidR="00163DB0" w:rsidRPr="00D01B86">
        <w:rPr>
          <w:szCs w:val="19"/>
          <w:lang w:val="en"/>
        </w:rPr>
        <w:t>t</w:t>
      </w:r>
      <w:r w:rsidR="00163DB0" w:rsidRPr="00D01B86">
        <w:rPr>
          <w:rFonts w:eastAsia="Fira Sans Light" w:cs="Times New Roman"/>
          <w:szCs w:val="19"/>
          <w:shd w:val="clear" w:color="auto" w:fill="FFFFFF"/>
          <w:lang w:val="en-US"/>
        </w:rPr>
        <w:t>he</w:t>
      </w:r>
      <w:proofErr w:type="spellEnd"/>
      <w:r w:rsidR="00150B5D" w:rsidRPr="00D01B86">
        <w:rPr>
          <w:rFonts w:eastAsia="Fira Sans Light" w:cs="Times New Roman"/>
          <w:szCs w:val="19"/>
          <w:shd w:val="clear" w:color="auto" w:fill="FFFFFF"/>
          <w:lang w:val="en-US"/>
        </w:rPr>
        <w:t xml:space="preserve"> biggest drop of prices</w:t>
      </w:r>
      <w:r w:rsidR="00150B5D" w:rsidRPr="00D01B86">
        <w:rPr>
          <w:szCs w:val="19"/>
          <w:lang w:val="en-GB"/>
        </w:rPr>
        <w:t xml:space="preserve"> </w:t>
      </w:r>
      <w:r w:rsidRPr="00D01B86">
        <w:rPr>
          <w:szCs w:val="19"/>
          <w:lang w:val="en"/>
        </w:rPr>
        <w:t xml:space="preserve">was observed </w:t>
      </w:r>
      <w:r w:rsidR="00163DB0" w:rsidRPr="00D01B86">
        <w:rPr>
          <w:szCs w:val="19"/>
          <w:lang w:val="en"/>
        </w:rPr>
        <w:t>in</w:t>
      </w:r>
      <w:r w:rsidRPr="00D01B86">
        <w:rPr>
          <w:szCs w:val="19"/>
          <w:lang w:val="en"/>
        </w:rPr>
        <w:t xml:space="preserve"> the services of tour operators. The decline in demand for tourism services was due to both seasonal factors and the still ongoing Covid-19 pandemic.</w:t>
      </w:r>
    </w:p>
    <w:p w:rsidR="001E332F" w:rsidRPr="00D01B86" w:rsidRDefault="001E332F" w:rsidP="001E332F">
      <w:pPr>
        <w:jc w:val="both"/>
        <w:rPr>
          <w:szCs w:val="19"/>
          <w:lang w:val="en-US"/>
        </w:rPr>
      </w:pPr>
      <w:r w:rsidRPr="00D01B86">
        <w:rPr>
          <w:szCs w:val="19"/>
          <w:lang w:val="en"/>
        </w:rPr>
        <w:t xml:space="preserve">Minor price declines in the fourth quarter compared to the third quarter concerned </w:t>
      </w:r>
      <w:r w:rsidR="00AF5C90" w:rsidRPr="00D01B86">
        <w:rPr>
          <w:szCs w:val="19"/>
          <w:lang w:val="en"/>
        </w:rPr>
        <w:t>o</w:t>
      </w:r>
      <w:proofErr w:type="spellStart"/>
      <w:r w:rsidR="00AF5C90" w:rsidRPr="00847CC3">
        <w:rPr>
          <w:rFonts w:eastAsia="Times New Roman" w:cs="Calibri"/>
          <w:szCs w:val="19"/>
          <w:lang w:val="en-US" w:eastAsia="pl-PL"/>
        </w:rPr>
        <w:t>ffice</w:t>
      </w:r>
      <w:proofErr w:type="spellEnd"/>
      <w:r w:rsidR="00521783">
        <w:rPr>
          <w:rFonts w:eastAsia="Times New Roman" w:cs="Calibri"/>
          <w:szCs w:val="19"/>
          <w:lang w:val="en-US" w:eastAsia="pl-PL"/>
        </w:rPr>
        <w:t xml:space="preserve"> administrative, office support</w:t>
      </w:r>
      <w:r w:rsidR="00AF5C90" w:rsidRPr="00847CC3">
        <w:rPr>
          <w:rFonts w:eastAsia="Times New Roman" w:cs="Calibri"/>
          <w:szCs w:val="19"/>
          <w:lang w:val="en-US" w:eastAsia="pl-PL"/>
        </w:rPr>
        <w:t xml:space="preserve"> and other business support activities</w:t>
      </w:r>
      <w:r w:rsidR="00AF5C90" w:rsidRPr="00D01B86">
        <w:rPr>
          <w:szCs w:val="19"/>
          <w:lang w:val="en"/>
        </w:rPr>
        <w:t xml:space="preserve"> </w:t>
      </w:r>
      <w:r w:rsidRPr="00D01B86">
        <w:rPr>
          <w:szCs w:val="19"/>
          <w:lang w:val="en"/>
        </w:rPr>
        <w:t>(by 0.3%), as well as services in the field of</w:t>
      </w:r>
      <w:r w:rsidR="00AF5C90" w:rsidRPr="00D01B86">
        <w:rPr>
          <w:szCs w:val="19"/>
          <w:lang w:val="en"/>
        </w:rPr>
        <w:t xml:space="preserve"> </w:t>
      </w:r>
      <w:r w:rsidR="00D01B86" w:rsidRPr="00D01B86">
        <w:rPr>
          <w:szCs w:val="19"/>
          <w:lang w:val="en"/>
        </w:rPr>
        <w:t>o</w:t>
      </w:r>
      <w:proofErr w:type="spellStart"/>
      <w:r w:rsidR="00AF5C90" w:rsidRPr="00847CC3">
        <w:rPr>
          <w:rFonts w:eastAsia="Times New Roman" w:cs="Calibri"/>
          <w:szCs w:val="19"/>
          <w:lang w:val="en-US" w:eastAsia="pl-PL"/>
        </w:rPr>
        <w:t>ther</w:t>
      </w:r>
      <w:proofErr w:type="spellEnd"/>
      <w:r w:rsidR="00AF5C90" w:rsidRPr="00847CC3">
        <w:rPr>
          <w:rFonts w:eastAsia="Times New Roman" w:cs="Calibri"/>
          <w:szCs w:val="19"/>
          <w:lang w:val="en-US" w:eastAsia="pl-PL"/>
        </w:rPr>
        <w:t xml:space="preserve"> professional, scientific and technical activities</w:t>
      </w:r>
      <w:r w:rsidRPr="00D01B86">
        <w:rPr>
          <w:szCs w:val="19"/>
          <w:lang w:val="en"/>
        </w:rPr>
        <w:t xml:space="preserve"> (by 0.2%).</w:t>
      </w:r>
    </w:p>
    <w:p w:rsidR="00DD1C35" w:rsidRDefault="00DE4071" w:rsidP="00A31FBE">
      <w:pPr>
        <w:ind w:left="851" w:hanging="851"/>
        <w:jc w:val="both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385445</wp:posOffset>
            </wp:positionV>
            <wp:extent cx="5234940" cy="2621280"/>
            <wp:effectExtent l="0" t="0" r="3810" b="762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000" r="1352" b="2287"/>
                    <a:stretch/>
                  </pic:blipFill>
                  <pic:spPr bwMode="auto">
                    <a:xfrm>
                      <a:off x="0" y="0"/>
                      <a:ext cx="52349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ED7B23">
        <w:rPr>
          <w:b/>
          <w:spacing w:val="-2"/>
          <w:sz w:val="18"/>
          <w:lang w:val="en-US"/>
        </w:rPr>
        <w:t xml:space="preserve">Chart 1. </w:t>
      </w:r>
      <w:r w:rsidR="00AA1BB8" w:rsidRPr="003E0647">
        <w:rPr>
          <w:b/>
          <w:spacing w:val="-2"/>
          <w:sz w:val="18"/>
          <w:lang w:val="en-US"/>
        </w:rPr>
        <w:t>Producer p</w:t>
      </w:r>
      <w:r w:rsidR="00CA1085" w:rsidRPr="003E0647">
        <w:rPr>
          <w:b/>
          <w:spacing w:val="-2"/>
          <w:sz w:val="18"/>
          <w:lang w:val="en-US"/>
        </w:rPr>
        <w:t xml:space="preserve">rice changes of business services in 2017-2020 (change in % compared with the previous quarter) </w:t>
      </w:r>
    </w:p>
    <w:p w:rsidR="00DE4071" w:rsidRDefault="00DE4071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09183C" w:rsidRDefault="0009183C" w:rsidP="00A31FBE">
      <w:pPr>
        <w:ind w:left="851" w:hanging="851"/>
        <w:jc w:val="both"/>
        <w:rPr>
          <w:b/>
          <w:spacing w:val="-2"/>
          <w:sz w:val="18"/>
          <w:lang w:val="en-US"/>
        </w:rPr>
      </w:pPr>
    </w:p>
    <w:p w:rsidR="00CA1085" w:rsidRPr="00ED7B23" w:rsidRDefault="00CA1085" w:rsidP="00CA1085">
      <w:pPr>
        <w:ind w:left="851" w:hanging="851"/>
        <w:jc w:val="both"/>
        <w:rPr>
          <w:b/>
          <w:noProof/>
          <w:spacing w:val="-2"/>
          <w:sz w:val="18"/>
          <w:szCs w:val="18"/>
          <w:shd w:val="clear" w:color="auto" w:fill="FFFFFF"/>
          <w:lang w:val="en-GB" w:eastAsia="pl-PL"/>
        </w:rPr>
      </w:pPr>
      <w:r w:rsidRPr="00ED7B23">
        <w:rPr>
          <w:b/>
          <w:spacing w:val="-2"/>
          <w:sz w:val="18"/>
          <w:lang w:val="en-US"/>
        </w:rPr>
        <w:lastRenderedPageBreak/>
        <w:t>Chart 2</w:t>
      </w:r>
      <w:r w:rsidRPr="00B67C40">
        <w:rPr>
          <w:b/>
          <w:color w:val="538135" w:themeColor="accent6" w:themeShade="BF"/>
          <w:spacing w:val="-2"/>
          <w:sz w:val="18"/>
          <w:lang w:val="en-US"/>
        </w:rPr>
        <w:t xml:space="preserve">. </w:t>
      </w:r>
      <w:r w:rsidR="00B67C40" w:rsidRPr="003E0647">
        <w:rPr>
          <w:b/>
          <w:spacing w:val="-2"/>
          <w:sz w:val="18"/>
          <w:lang w:val="en-US"/>
        </w:rPr>
        <w:t>Producer p</w:t>
      </w:r>
      <w:r w:rsidRPr="003E0647">
        <w:rPr>
          <w:b/>
          <w:spacing w:val="-2"/>
          <w:sz w:val="18"/>
          <w:lang w:val="en-US"/>
        </w:rPr>
        <w:t>rice changes of business services in 2017-2020 (</w:t>
      </w:r>
      <w:r w:rsidRPr="003E0647">
        <w:rPr>
          <w:b/>
          <w:spacing w:val="-2"/>
          <w:sz w:val="18"/>
          <w:lang w:val="en-GB"/>
        </w:rPr>
        <w:t>change in % compared with the corresponding quarter of the previous year</w:t>
      </w:r>
      <w:r w:rsidRPr="00ED7B23">
        <w:rPr>
          <w:b/>
          <w:spacing w:val="-2"/>
          <w:sz w:val="18"/>
          <w:lang w:val="en-US"/>
        </w:rPr>
        <w:t xml:space="preserve">) </w:t>
      </w:r>
    </w:p>
    <w:p w:rsidR="006F6A29" w:rsidRPr="00A31FBE" w:rsidRDefault="0090278A" w:rsidP="00A274DF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231140</wp:posOffset>
            </wp:positionV>
            <wp:extent cx="5097780" cy="2743200"/>
            <wp:effectExtent l="0" t="0" r="7620" b="0"/>
            <wp:wrapTopAndBottom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" t="1609" r="1024" b="1833"/>
                    <a:stretch/>
                  </pic:blipFill>
                  <pic:spPr bwMode="auto">
                    <a:xfrm>
                      <a:off x="0" y="0"/>
                      <a:ext cx="50977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:rsidR="00AD4B4E" w:rsidRPr="00A31FBE" w:rsidRDefault="00AD4B4E" w:rsidP="00A274DF">
      <w:pPr>
        <w:pStyle w:val="tytuwykresu"/>
        <w:rPr>
          <w:noProof/>
          <w:lang w:val="en-US" w:eastAsia="pl-PL"/>
        </w:rPr>
      </w:pPr>
    </w:p>
    <w:p w:rsidR="00AD4B4E" w:rsidRPr="00A31FBE" w:rsidRDefault="00AD4B4E" w:rsidP="00A274DF">
      <w:pPr>
        <w:pStyle w:val="tytuwykresu"/>
        <w:rPr>
          <w:noProof/>
          <w:lang w:val="en-US" w:eastAsia="pl-PL"/>
        </w:rPr>
      </w:pPr>
    </w:p>
    <w:p w:rsidR="00AD4B4E" w:rsidRPr="00B523A6" w:rsidRDefault="00AD4B4E" w:rsidP="00A274DF">
      <w:pPr>
        <w:pStyle w:val="tytuwykresu"/>
        <w:rPr>
          <w:noProof/>
          <w:lang w:val="en-US" w:eastAsia="pl-PL"/>
        </w:rPr>
      </w:pPr>
    </w:p>
    <w:p w:rsidR="00AD4B4E" w:rsidRPr="00B523A6" w:rsidRDefault="00AD4B4E" w:rsidP="00A274DF">
      <w:pPr>
        <w:pStyle w:val="tytuwykresu"/>
        <w:rPr>
          <w:noProof/>
          <w:lang w:val="en-US" w:eastAsia="pl-PL"/>
        </w:rPr>
      </w:pPr>
    </w:p>
    <w:p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A43B7F" w:rsidTr="00E23337">
        <w:trPr>
          <w:trHeight w:val="1912"/>
        </w:trPr>
        <w:tc>
          <w:tcPr>
            <w:tcW w:w="4379" w:type="dxa"/>
          </w:tcPr>
          <w:p w:rsidR="000470AA" w:rsidRPr="00A43B7F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43B7F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43B7F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A43B7F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43B7F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D8007A" w:rsidRPr="00A43B7F" w:rsidRDefault="00D8007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43B7F">
              <w:rPr>
                <w:rFonts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A43B7F" w:rsidRDefault="004B7E11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FF2C0B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17FFE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A43B7F" w:rsidRDefault="000470AA" w:rsidP="00017F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Pr="00A43B7F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43B7F">
              <w:rPr>
                <w:rFonts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A43B7F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A43B7F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382DAE" w:rsidRPr="00A43B7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A43B7F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43B7F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43B7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43B7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43B7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A43B7F" w:rsidRDefault="004B7E11" w:rsidP="000E0FF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F2C0B" w:rsidRPr="00A43B7F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48</w:t>
            </w:r>
            <w:r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0E0FFA" w:rsidRPr="00A43B7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A43B7F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F2C0B" w:rsidRPr="00A43B7F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A43B7F" w:rsidRDefault="00FF2C0B" w:rsidP="00FF2C0B">
            <w:pPr>
              <w:rPr>
                <w:b/>
                <w:sz w:val="20"/>
                <w:lang w:val="en-US"/>
              </w:rPr>
            </w:pPr>
            <w:r w:rsidRPr="00A43B7F">
              <w:rPr>
                <w:b/>
                <w:sz w:val="20"/>
                <w:lang w:val="en-US"/>
              </w:rPr>
              <w:t>Press Office</w:t>
            </w:r>
          </w:p>
          <w:p w:rsidR="00FF2C0B" w:rsidRPr="00A43B7F" w:rsidRDefault="0094724C" w:rsidP="00FF2C0B">
            <w:pPr>
              <w:rPr>
                <w:sz w:val="20"/>
                <w:lang w:val="en-US"/>
              </w:rPr>
            </w:pPr>
            <w:r w:rsidRPr="00A43B7F">
              <w:rPr>
                <w:sz w:val="20"/>
                <w:lang w:val="en-US"/>
              </w:rPr>
              <w:t>Office: t</w:t>
            </w:r>
            <w:r w:rsidR="00ED42E6" w:rsidRPr="00A43B7F">
              <w:rPr>
                <w:sz w:val="20"/>
                <w:lang w:val="en-US"/>
              </w:rPr>
              <w:t>el</w:t>
            </w:r>
            <w:r w:rsidR="0006019C" w:rsidRPr="00A43B7F">
              <w:rPr>
                <w:sz w:val="20"/>
                <w:lang w:val="en-US"/>
              </w:rPr>
              <w:t>.</w:t>
            </w:r>
            <w:r w:rsidR="00FF2C0B" w:rsidRPr="00A43B7F">
              <w:rPr>
                <w:sz w:val="20"/>
                <w:lang w:val="en-US"/>
              </w:rPr>
              <w:t xml:space="preserve"> </w:t>
            </w:r>
            <w:r w:rsidRPr="00A43B7F">
              <w:rPr>
                <w:sz w:val="20"/>
                <w:lang w:val="en-US"/>
              </w:rPr>
              <w:t>(</w:t>
            </w:r>
            <w:r w:rsidR="00BC695C" w:rsidRPr="00A43B7F">
              <w:rPr>
                <w:sz w:val="20"/>
                <w:lang w:val="en-US"/>
              </w:rPr>
              <w:t>+48 22</w:t>
            </w:r>
            <w:r w:rsidRPr="00A43B7F">
              <w:rPr>
                <w:sz w:val="20"/>
                <w:lang w:val="en-US"/>
              </w:rPr>
              <w:t>)</w:t>
            </w:r>
            <w:r w:rsidR="00BC695C" w:rsidRPr="00A43B7F">
              <w:rPr>
                <w:sz w:val="20"/>
                <w:lang w:val="en-US"/>
              </w:rPr>
              <w:t xml:space="preserve"> 608 34</w:t>
            </w:r>
            <w:r w:rsidR="0049360F" w:rsidRPr="00A43B7F">
              <w:rPr>
                <w:sz w:val="20"/>
                <w:lang w:val="en-US"/>
              </w:rPr>
              <w:t xml:space="preserve"> </w:t>
            </w:r>
            <w:r w:rsidR="00FF2C0B" w:rsidRPr="00A43B7F">
              <w:rPr>
                <w:sz w:val="20"/>
                <w:lang w:val="en-US"/>
              </w:rPr>
              <w:t>91</w:t>
            </w:r>
            <w:r w:rsidR="00E95195" w:rsidRPr="00A43B7F">
              <w:rPr>
                <w:sz w:val="20"/>
                <w:lang w:val="en-US"/>
              </w:rPr>
              <w:t>.</w:t>
            </w:r>
            <w:r w:rsidR="00FF2C0B" w:rsidRPr="00A43B7F">
              <w:rPr>
                <w:sz w:val="20"/>
                <w:lang w:val="en-US"/>
              </w:rPr>
              <w:t xml:space="preserve"> </w:t>
            </w:r>
            <w:r w:rsidR="00BC695C" w:rsidRPr="00A43B7F">
              <w:rPr>
                <w:sz w:val="20"/>
                <w:lang w:val="en-US"/>
              </w:rPr>
              <w:t>608 38</w:t>
            </w:r>
            <w:r w:rsidR="0049360F" w:rsidRPr="00A43B7F">
              <w:rPr>
                <w:sz w:val="20"/>
                <w:lang w:val="en-US"/>
              </w:rPr>
              <w:t xml:space="preserve"> </w:t>
            </w:r>
            <w:r w:rsidR="00FF2C0B" w:rsidRPr="00A43B7F">
              <w:rPr>
                <w:sz w:val="20"/>
                <w:lang w:val="en-US"/>
              </w:rPr>
              <w:t xml:space="preserve">04 </w:t>
            </w:r>
          </w:p>
          <w:p w:rsidR="00FF2C0B" w:rsidRPr="00A43B7F" w:rsidRDefault="00FF2C0B" w:rsidP="00FF2C0B">
            <w:pPr>
              <w:rPr>
                <w:sz w:val="18"/>
                <w:lang w:val="en-US"/>
              </w:rPr>
            </w:pPr>
            <w:r w:rsidRPr="00A43B7F">
              <w:rPr>
                <w:sz w:val="20"/>
                <w:lang w:val="en-US"/>
              </w:rPr>
              <w:t xml:space="preserve">e-mail: </w:t>
            </w:r>
            <w:hyperlink r:id="rId18" w:history="1">
              <w:r w:rsidRPr="00A43B7F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  <w:r w:rsidRPr="00A43B7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  <w:r w:rsidRPr="00A43B7F">
              <w:rPr>
                <w:sz w:val="20"/>
                <w:lang w:val="en-US"/>
              </w:rPr>
              <w:t>www.stat.gov.pl</w:t>
            </w:r>
            <w:r w:rsidR="00BE293C" w:rsidRPr="00A43B7F">
              <w:rPr>
                <w:sz w:val="20"/>
                <w:lang w:val="en-US"/>
              </w:rPr>
              <w:t>/en/</w:t>
            </w:r>
          </w:p>
        </w:tc>
      </w:tr>
      <w:tr w:rsidR="00FF2C0B" w:rsidRPr="00A43B7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  <w:r w:rsidRPr="00A43B7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A43B7F" w:rsidRDefault="009C4E61" w:rsidP="00FF2C0B">
            <w:pPr>
              <w:rPr>
                <w:sz w:val="18"/>
                <w:lang w:val="en-US"/>
              </w:rPr>
            </w:pPr>
            <w:r w:rsidRPr="00A43B7F">
              <w:rPr>
                <w:sz w:val="20"/>
                <w:lang w:val="en-US"/>
              </w:rPr>
              <w:t>@</w:t>
            </w:r>
            <w:proofErr w:type="spellStart"/>
            <w:r w:rsidRPr="00A43B7F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A43B7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A43B7F" w:rsidRDefault="00FF2C0B" w:rsidP="00FF2C0B">
            <w:pPr>
              <w:rPr>
                <w:sz w:val="18"/>
                <w:lang w:val="en-US"/>
              </w:rPr>
            </w:pPr>
            <w:r w:rsidRPr="00A43B7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A43B7F" w:rsidRDefault="00FF2C0B" w:rsidP="00FF2C0B">
            <w:pPr>
              <w:rPr>
                <w:sz w:val="20"/>
                <w:lang w:val="en-US"/>
              </w:rPr>
            </w:pPr>
            <w:r w:rsidRPr="00A43B7F">
              <w:rPr>
                <w:sz w:val="20"/>
                <w:lang w:val="en-US"/>
              </w:rPr>
              <w:t>@</w:t>
            </w:r>
            <w:proofErr w:type="spellStart"/>
            <w:r w:rsidRPr="00A43B7F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652237" w:rsidP="00E76D26">
      <w:pPr>
        <w:rPr>
          <w:rFonts w:asciiTheme="majorHAnsi" w:hAnsiTheme="majorHAnsi"/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BD7094" wp14:editId="2D94C910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37" w:rsidRDefault="00652237" w:rsidP="00652237">
                            <w:pPr>
                              <w:rPr>
                                <w:b/>
                              </w:rPr>
                            </w:pPr>
                          </w:p>
                          <w:p w:rsidR="00652237" w:rsidRDefault="00652237" w:rsidP="006522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652237" w:rsidRDefault="007E4E3C" w:rsidP="00AF110B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:rsidR="002374E2" w:rsidRPr="002374E2" w:rsidRDefault="007E4E3C" w:rsidP="00AF110B">
                            <w:pPr>
                              <w:spacing w:line="240" w:lineRule="auto"/>
                              <w:outlineLvl w:val="1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36"/>
                                <w:u w:val="single"/>
                                <w:lang w:val="en-US" w:eastAsia="pl-PL"/>
                              </w:rPr>
                            </w:pPr>
                            <w:hyperlink r:id="rId23" w:history="1">
                              <w:r w:rsidR="002374E2" w:rsidRPr="00AF110B">
                                <w:rPr>
                                  <w:rStyle w:val="Hipercze"/>
                                  <w:rFonts w:eastAsia="Times New Roman"/>
                                  <w:bCs/>
                                  <w:color w:val="001D77"/>
                                  <w:sz w:val="18"/>
                                  <w:szCs w:val="36"/>
                                  <w:lang w:val="en-US" w:eastAsia="pl-PL"/>
                                </w:rPr>
                                <w:t>Prices in the national economy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652237" w:rsidRPr="005D70AA" w:rsidRDefault="007E4E3C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:rsidR="00652237" w:rsidRPr="005D70AA" w:rsidRDefault="007E4E3C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652237" w:rsidRPr="0038413A" w:rsidRDefault="007E4E3C" w:rsidP="00652237">
                            <w:pPr>
                              <w:rPr>
                                <w:b/>
                                <w:color w:val="001D77"/>
                                <w:sz w:val="16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hyperlink r:id="rId27" w:tooltip="Producer price indices for business services" w:history="1">
                                <w:r w:rsidR="0038413A" w:rsidRPr="0038413A">
                                  <w:rPr>
                                    <w:rStyle w:val="Hipercze"/>
                                    <w:rFonts w:cstheme="minorBidi"/>
                                    <w:color w:val="001D77"/>
                                    <w:sz w:val="18"/>
                                    <w:szCs w:val="21"/>
                                    <w:lang w:val="en-US"/>
                                  </w:rPr>
                                  <w:t>Producer price indices for business services</w:t>
                                </w:r>
                              </w:hyperlink>
                            </w:hyperlink>
                            <w:r w:rsidR="0038413A" w:rsidRPr="0038413A">
                              <w:rPr>
                                <w:color w:val="001D77"/>
                                <w:sz w:val="18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7094" id="_x0000_s1028" type="#_x0000_t202" style="position:absolute;margin-left:0;margin-top:21.6pt;width:516.5pt;height:349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" fillcolor="#f2f2f2" strokecolor="window">
                <v:textbox>
                  <w:txbxContent>
                    <w:p w:rsidR="00652237" w:rsidRDefault="00652237" w:rsidP="00652237">
                      <w:pPr>
                        <w:rPr>
                          <w:b/>
                        </w:rPr>
                      </w:pPr>
                    </w:p>
                    <w:p w:rsidR="00652237" w:rsidRDefault="00652237" w:rsidP="00652237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652237" w:rsidRDefault="007E4E3C" w:rsidP="00AF110B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:rsidR="002374E2" w:rsidRPr="002374E2" w:rsidRDefault="007E4E3C" w:rsidP="00AF110B">
                      <w:pPr>
                        <w:spacing w:line="240" w:lineRule="auto"/>
                        <w:outlineLvl w:val="1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36"/>
                          <w:u w:val="single"/>
                          <w:lang w:val="en-US" w:eastAsia="pl-PL"/>
                        </w:rPr>
                      </w:pPr>
                      <w:hyperlink r:id="rId29" w:history="1">
                        <w:r w:rsidR="002374E2" w:rsidRPr="00AF110B">
                          <w:rPr>
                            <w:rStyle w:val="Hipercze"/>
                            <w:rFonts w:eastAsia="Times New Roman"/>
                            <w:bCs/>
                            <w:color w:val="001D77"/>
                            <w:sz w:val="18"/>
                            <w:szCs w:val="36"/>
                            <w:lang w:val="en-US" w:eastAsia="pl-PL"/>
                          </w:rPr>
                          <w:t>Prices in the national economy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652237" w:rsidRPr="005D70AA" w:rsidRDefault="007E4E3C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:rsidR="00652237" w:rsidRPr="005D70AA" w:rsidRDefault="007E4E3C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652237" w:rsidRPr="0038413A" w:rsidRDefault="007E4E3C" w:rsidP="00652237">
                      <w:pPr>
                        <w:rPr>
                          <w:b/>
                          <w:color w:val="001D77"/>
                          <w:sz w:val="16"/>
                          <w:szCs w:val="24"/>
                          <w:lang w:val="en-US"/>
                        </w:rPr>
                      </w:pPr>
                      <w:hyperlink r:id="rId32" w:history="1">
                        <w:hyperlink r:id="rId33" w:tooltip="Producer price indices for business services" w:history="1">
                          <w:r w:rsidR="0038413A" w:rsidRPr="0038413A">
                            <w:rPr>
                              <w:rStyle w:val="Hipercze"/>
                              <w:rFonts w:cstheme="minorBidi"/>
                              <w:color w:val="001D77"/>
                              <w:sz w:val="18"/>
                              <w:szCs w:val="21"/>
                              <w:lang w:val="en-US"/>
                            </w:rPr>
                            <w:t>Producer price indices for business services</w:t>
                          </w:r>
                        </w:hyperlink>
                      </w:hyperlink>
                      <w:r w:rsidR="0038413A" w:rsidRPr="0038413A">
                        <w:rPr>
                          <w:color w:val="001D77"/>
                          <w:sz w:val="18"/>
                          <w:szCs w:val="2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C32"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3C" w:rsidRDefault="007E4E3C" w:rsidP="000662E2">
      <w:pPr>
        <w:spacing w:after="0" w:line="240" w:lineRule="auto"/>
      </w:pPr>
      <w:r>
        <w:separator/>
      </w:r>
    </w:p>
  </w:endnote>
  <w:endnote w:type="continuationSeparator" w:id="0">
    <w:p w:rsidR="007E4E3C" w:rsidRDefault="007E4E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2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22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3C" w:rsidRDefault="007E4E3C" w:rsidP="000662E2">
      <w:pPr>
        <w:spacing w:after="0" w:line="240" w:lineRule="auto"/>
      </w:pPr>
      <w:r>
        <w:separator/>
      </w:r>
    </w:p>
  </w:footnote>
  <w:footnote w:type="continuationSeparator" w:id="0">
    <w:p w:rsidR="007E4E3C" w:rsidRDefault="007E4E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802DA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FVQ5juMA&#10;AAANAQAADwAAAAAAAAAAAAAAAAAL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FC464BB" wp14:editId="6C593D96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464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5674635</wp:posOffset>
              </wp:positionH>
              <wp:positionV relativeFrom="paragraph">
                <wp:posOffset>-197593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24388" id="Prostokąt 10" o:spid="_x0000_s1026" style="position:absolute;margin-left:446.8pt;margin-top:-15.55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N7eD/HgAAAADQEAAA8AAAAAAAAA&#10;AAAAAAAAAAUAAGRycy9kb3ducmV2LnhtbFBLBQYAAAAABAAEAPMAAAAN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56D1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56D1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35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6796"/>
    <w:rsid w:val="000E7B9D"/>
    <w:rsid w:val="000F16B9"/>
    <w:rsid w:val="000F20B8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26C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0D93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620"/>
    <w:rsid w:val="003E0647"/>
    <w:rsid w:val="003E1215"/>
    <w:rsid w:val="003E2006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7BC"/>
    <w:rsid w:val="003F4942"/>
    <w:rsid w:val="003F4C97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DD1"/>
    <w:rsid w:val="007146B8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199"/>
    <w:rsid w:val="00727FDF"/>
    <w:rsid w:val="00730A13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7070"/>
    <w:rsid w:val="007771CD"/>
    <w:rsid w:val="007773B1"/>
    <w:rsid w:val="00777720"/>
    <w:rsid w:val="007801F5"/>
    <w:rsid w:val="00780F93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0DF3"/>
    <w:rsid w:val="007A1453"/>
    <w:rsid w:val="007A1B2C"/>
    <w:rsid w:val="007A2DC1"/>
    <w:rsid w:val="007A2FC3"/>
    <w:rsid w:val="007A4CA3"/>
    <w:rsid w:val="007A5C42"/>
    <w:rsid w:val="007B099F"/>
    <w:rsid w:val="007B0EB1"/>
    <w:rsid w:val="007B1231"/>
    <w:rsid w:val="007B249E"/>
    <w:rsid w:val="007B2FB4"/>
    <w:rsid w:val="007B36FC"/>
    <w:rsid w:val="007B39AB"/>
    <w:rsid w:val="007B41C0"/>
    <w:rsid w:val="007B4243"/>
    <w:rsid w:val="007B68C0"/>
    <w:rsid w:val="007B7184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E3C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2D80"/>
    <w:rsid w:val="009F3023"/>
    <w:rsid w:val="009F3F56"/>
    <w:rsid w:val="009F3FF4"/>
    <w:rsid w:val="009F5F2A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7F5"/>
    <w:rsid w:val="00A365F4"/>
    <w:rsid w:val="00A36E5B"/>
    <w:rsid w:val="00A37871"/>
    <w:rsid w:val="00A406B5"/>
    <w:rsid w:val="00A41DE0"/>
    <w:rsid w:val="00A427F7"/>
    <w:rsid w:val="00A42BED"/>
    <w:rsid w:val="00A42EE1"/>
    <w:rsid w:val="00A43B7F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844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36DA"/>
    <w:rsid w:val="00AD4B4E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328"/>
    <w:rsid w:val="00BD7D76"/>
    <w:rsid w:val="00BD7EF1"/>
    <w:rsid w:val="00BE11C3"/>
    <w:rsid w:val="00BE293C"/>
    <w:rsid w:val="00BE3051"/>
    <w:rsid w:val="00BE3BE6"/>
    <w:rsid w:val="00BE45DB"/>
    <w:rsid w:val="00BE4727"/>
    <w:rsid w:val="00BE6C16"/>
    <w:rsid w:val="00BF0329"/>
    <w:rsid w:val="00BF1A84"/>
    <w:rsid w:val="00BF1BFB"/>
    <w:rsid w:val="00BF2ECA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6C6D"/>
    <w:rsid w:val="00C3702F"/>
    <w:rsid w:val="00C37AB7"/>
    <w:rsid w:val="00C40E62"/>
    <w:rsid w:val="00C41474"/>
    <w:rsid w:val="00C41705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40E1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B8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B40"/>
    <w:rsid w:val="00DC5A13"/>
    <w:rsid w:val="00DC6460"/>
    <w:rsid w:val="00DC6708"/>
    <w:rsid w:val="00DC6731"/>
    <w:rsid w:val="00DD15E4"/>
    <w:rsid w:val="00DD1C35"/>
    <w:rsid w:val="00DD2846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4869"/>
    <w:rsid w:val="00E453DC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62AC"/>
    <w:rsid w:val="00E57382"/>
    <w:rsid w:val="00E608B3"/>
    <w:rsid w:val="00E63C1B"/>
    <w:rsid w:val="00E64FFD"/>
    <w:rsid w:val="00E658E6"/>
    <w:rsid w:val="00E664C5"/>
    <w:rsid w:val="00E671A2"/>
    <w:rsid w:val="00E70CE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B05"/>
    <w:rsid w:val="00F97466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200,term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bdm.stat.gov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prices-trade/" TargetMode="External"/><Relationship Id="rId33" Type="http://schemas.openxmlformats.org/officeDocument/2006/relationships/hyperlink" Target="https://stat.gov.pl/en/metainformations/glossary/terms-used-in-official-statistics/3200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en/topics/prices-trade/prices/prices-in-the-national-economy-in-20142018,2,1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s://stat.gov.pl/en/metainformations/glossary/terms-used-in-official-statistics/3200,term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prices-trade/prices/prices-in-the-national-economy-in-20142018,2,15.htm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topics/prices-tra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latest-statistical-news/news-releases/" TargetMode="External"/><Relationship Id="rId27" Type="http://schemas.openxmlformats.org/officeDocument/2006/relationships/hyperlink" Target="https://stat.gov.pl/en/metainformations/glossary/terms-used-in-official-statistics/3200,term.html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s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C43631-7137-49FE-B4B6-B1ECD29D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2020-09-07T08:45:00Z</cp:lastPrinted>
  <dcterms:created xsi:type="dcterms:W3CDTF">2021-03-08T11:57:00Z</dcterms:created>
  <dcterms:modified xsi:type="dcterms:W3CDTF">2021-03-10T07:01:00Z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