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FF2C0B" w:rsidRDefault="00741462" w:rsidP="004C5861">
      <w:pPr>
        <w:pStyle w:val="tytuinformacji"/>
        <w:spacing w:before="0"/>
        <w:rPr>
          <w:szCs w:val="40"/>
          <w:shd w:val="clear" w:color="auto" w:fill="FFFFFF"/>
          <w:lang w:val="en-US"/>
        </w:rPr>
      </w:pPr>
      <w:r>
        <w:rPr>
          <w:shd w:val="clear" w:color="auto" w:fill="FFFFFF"/>
          <w:lang w:val="en-GB"/>
        </w:rPr>
        <w:t>P</w:t>
      </w:r>
      <w:r w:rsidRPr="003B38FB">
        <w:rPr>
          <w:shd w:val="clear" w:color="auto" w:fill="FFFFFF"/>
          <w:lang w:val="en-GB"/>
        </w:rPr>
        <w:t>roducer</w:t>
      </w:r>
      <w:r w:rsidR="00D16E7B">
        <w:rPr>
          <w:shd w:val="clear" w:color="auto" w:fill="FFFFFF"/>
          <w:lang w:val="en-GB"/>
        </w:rPr>
        <w:t xml:space="preserve"> p</w:t>
      </w:r>
      <w:r w:rsidR="007545BB" w:rsidRPr="003B38FB">
        <w:rPr>
          <w:shd w:val="clear" w:color="auto" w:fill="FFFFFF"/>
          <w:lang w:val="en-GB"/>
        </w:rPr>
        <w:t xml:space="preserve">rice indices </w:t>
      </w:r>
      <w:r w:rsidR="00D16E7B">
        <w:rPr>
          <w:shd w:val="clear" w:color="auto" w:fill="FFFFFF"/>
          <w:lang w:val="en-GB"/>
        </w:rPr>
        <w:t>for business services in</w:t>
      </w:r>
      <w:r w:rsidR="007545BB" w:rsidRPr="003B38FB">
        <w:rPr>
          <w:shd w:val="clear" w:color="auto" w:fill="FFFFFF"/>
          <w:lang w:val="en-GB"/>
        </w:rPr>
        <w:t xml:space="preserve"> the first quarter of </w:t>
      </w:r>
      <w:r w:rsidR="00406F9E">
        <w:rPr>
          <w:shd w:val="clear" w:color="auto" w:fill="FFFFFF"/>
          <w:lang w:val="en-GB"/>
        </w:rPr>
        <w:t>2021</w:t>
      </w:r>
    </w:p>
    <w:p w:rsidR="00393761" w:rsidRPr="000A3BE8" w:rsidRDefault="00393761" w:rsidP="00074DD8">
      <w:pPr>
        <w:pStyle w:val="tytuinformacji"/>
        <w:rPr>
          <w:rFonts w:asciiTheme="majorHAnsi" w:hAnsiTheme="majorHAnsi"/>
          <w:sz w:val="32"/>
          <w:lang w:val="en-US"/>
        </w:rPr>
      </w:pPr>
    </w:p>
    <w:p w:rsidR="009F2D80" w:rsidRPr="00550697" w:rsidRDefault="00AB3C32" w:rsidP="009F2D80">
      <w:pPr>
        <w:pStyle w:val="LID"/>
        <w:rPr>
          <w:lang w:val="en-US"/>
        </w:rPr>
      </w:pPr>
      <w:r w:rsidRPr="00550697">
        <mc:AlternateContent>
          <mc:Choice Requires="wps">
            <w:drawing>
              <wp:anchor distT="45720" distB="45720" distL="114300" distR="114300" simplePos="0" relativeHeight="251676672" behindDoc="0" locked="0" layoutInCell="1" allowOverlap="1">
                <wp:simplePos x="0" y="0"/>
                <wp:positionH relativeFrom="margin">
                  <wp:posOffset>0</wp:posOffset>
                </wp:positionH>
                <wp:positionV relativeFrom="paragraph">
                  <wp:posOffset>83185</wp:posOffset>
                </wp:positionV>
                <wp:extent cx="1783080" cy="1409700"/>
                <wp:effectExtent l="0" t="0" r="762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409700"/>
                        </a:xfrm>
                        <a:prstGeom prst="rect">
                          <a:avLst/>
                        </a:prstGeom>
                        <a:solidFill>
                          <a:srgbClr val="001D77"/>
                        </a:solidFill>
                        <a:ln w="9525">
                          <a:noFill/>
                          <a:miter lim="800000"/>
                          <a:headEnd/>
                          <a:tailEnd/>
                        </a:ln>
                      </wps:spPr>
                      <wps:txb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9E4E43">
                              <w:rPr>
                                <w:rFonts w:ascii="Fira Sans SemiBold" w:hAnsi="Fira Sans SemiBold"/>
                                <w:color w:val="FFFFFF" w:themeColor="background1"/>
                                <w:sz w:val="72"/>
                                <w:lang w:val="en-US"/>
                              </w:rPr>
                              <w:t>6</w:t>
                            </w:r>
                            <w:r w:rsidR="002D03EB">
                              <w:rPr>
                                <w:rFonts w:ascii="Fira Sans SemiBold" w:hAnsi="Fira Sans SemiBold"/>
                                <w:color w:val="FFFFFF" w:themeColor="background1"/>
                                <w:sz w:val="72"/>
                                <w:lang w:val="en-US"/>
                              </w:rPr>
                              <w:t>%</w:t>
                            </w:r>
                          </w:p>
                          <w:p w:rsidR="00544D9D" w:rsidRPr="00D16E7B" w:rsidRDefault="00A22758" w:rsidP="00D16E7B">
                            <w:pPr>
                              <w:pStyle w:val="tekstnaniebieskimtle"/>
                              <w:rPr>
                                <w:lang w:val="en-US"/>
                              </w:rPr>
                            </w:pPr>
                            <w:r>
                              <w:rPr>
                                <w:lang w:val="en-US"/>
                              </w:rPr>
                              <w:t>I</w:t>
                            </w:r>
                            <w:r w:rsidR="00D16E7B">
                              <w:rPr>
                                <w:lang w:val="en-US"/>
                              </w:rPr>
                              <w:t>ncreas</w:t>
                            </w:r>
                            <w:r w:rsidR="00B71AB4">
                              <w:rPr>
                                <w:lang w:val="en-US"/>
                              </w:rPr>
                              <w:t xml:space="preserve">e in </w:t>
                            </w:r>
                            <w:r w:rsidR="005F50F7">
                              <w:rPr>
                                <w:lang w:val="en-US"/>
                              </w:rPr>
                              <w:t xml:space="preserve">producer prices for business services </w:t>
                            </w:r>
                            <w:r w:rsidR="00D16E7B">
                              <w:rPr>
                                <w:lang w:val="en-US"/>
                              </w:rPr>
                              <w:t xml:space="preserve">compared to the </w:t>
                            </w:r>
                            <w:r w:rsidR="00764066">
                              <w:rPr>
                                <w:lang w:val="en-US"/>
                              </w:rPr>
                              <w:t>fourth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Pole tekstowe 2" o:spid="_x0000_s1026" type="#_x0000_t202" style="position:absolute;margin-left:0;margin-top:6.55pt;width:140.4pt;height:11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R1JwIAACMEAAAOAAAAZHJzL2Uyb0RvYy54bWysU9tu2zAMfR+wfxD0vviyZE6MOEWXrMOA&#10;bivQ7QNkWY6FSqInKbGzrx8lp2nQvQ3zg0Ca1CF5eLS+GbUiR2GdBFPRbJZSIgyHRpp9RX/+uHu3&#10;pMR5ZhqmwIiKnoSjN5u3b9ZDX4ocOlCNsARBjCuHvqKd932ZJI53QjM3g14YDLZgNfPo2n3SWDYg&#10;ulZJnqYfkgFs01vgwjn8u5uCdBPx21Zw/71tnfBEVRR78/G08azDmWzWrNxb1neSn9tg/9CFZtJg&#10;0QvUjnlGDlb+BaUlt+Cg9TMOOoG2lVzEGXCaLH01zWPHehFnQXJcf6HJ/T9Y/u34YIlsKppnBSWG&#10;aVzSAyhBvHhyHgZB8kDS0LsScx97zPbjRxhx2XFg198Df3LEwLZjZi9urYWhE6zBJrNwM7m6OuG4&#10;AFIPX6HBWuzgIQKNrdWBQeSEIDou63RZkBg94aFksXyfLjHEMZbN01WRxhUmrHy+3lvnPwvQJBgV&#10;taiACM+O986Hdlj5nBKqOVCyuZNKRcfu662y5MiCWtJsVxRxgldpypChoqtFvojIBsL9KCQtPapZ&#10;SV3RZRq+SV+Bjk+miSmeSTXZ2IkyZ34CJRM5fqxHTAyk1dCckCkLk2rxlaHRgf1NyYCKraj7dWBW&#10;UKK+GGR7lc3nQeLRmS+KHB17HamvI8xwhKqop2Qytz4+i8CDgVvcSisjXy+dnHtFJUYaz68mSP3a&#10;j1kvb3vzBwAA//8DAFBLAwQUAAYACAAAACEAy/DFUd0AAAAHAQAADwAAAGRycy9kb3ducmV2Lnht&#10;bEyPQU/DMAyF70j8h8hI3FjaDlDVNZ0QqAdAINi4cPMar61onKrJtvLvMSe42X5Pz98r17Mb1JGm&#10;0Hs2kC4SUMSNtz23Bj629VUOKkRki4NnMvBNAdbV+VmJhfUnfqfjJrZKQjgUaKCLcSy0Dk1HDsPC&#10;j8Si7f3kMMo6tdpOeJJwN+gsSW61w57lQ4cj3XfUfG0OzsB1+trkb+Fzy/6lzurnB3SP4cmYy4v5&#10;bgUq0hz/zPCLL+hQCdPOH9gGNRiQIlGuyxSUqFmeSJGdDMubFHRV6v/81Q8AAAD//wMAUEsBAi0A&#10;FAAGAAgAAAAhALaDOJL+AAAA4QEAABMAAAAAAAAAAAAAAAAAAAAAAFtDb250ZW50X1R5cGVzXS54&#10;bWxQSwECLQAUAAYACAAAACEAOP0h/9YAAACUAQAACwAAAAAAAAAAAAAAAAAvAQAAX3JlbHMvLnJl&#10;bHNQSwECLQAUAAYACAAAACEAJT3UdScCAAAjBAAADgAAAAAAAAAAAAAAAAAuAgAAZHJzL2Uyb0Rv&#10;Yy54bWxQSwECLQAUAAYACAAAACEAy/DFUd0AAAAHAQAADwAAAAAAAAAAAAAAAACBBAAAZHJzL2Rv&#10;d25yZXYueG1sUEsFBgAAAAAEAAQA8wAAAIsFAAAAAA==&#10;" fillcolor="#001d77" stroked="f">
                <v:textbo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9E4E43">
                        <w:rPr>
                          <w:rFonts w:ascii="Fira Sans SemiBold" w:hAnsi="Fira Sans SemiBold"/>
                          <w:color w:val="FFFFFF" w:themeColor="background1"/>
                          <w:sz w:val="72"/>
                          <w:lang w:val="en-US"/>
                        </w:rPr>
                        <w:t>6</w:t>
                      </w:r>
                      <w:r w:rsidR="002D03EB">
                        <w:rPr>
                          <w:rFonts w:ascii="Fira Sans SemiBold" w:hAnsi="Fira Sans SemiBold"/>
                          <w:color w:val="FFFFFF" w:themeColor="background1"/>
                          <w:sz w:val="72"/>
                          <w:lang w:val="en-US"/>
                        </w:rPr>
                        <w:t>%</w:t>
                      </w:r>
                    </w:p>
                    <w:p w:rsidR="00544D9D" w:rsidRPr="00D16E7B" w:rsidRDefault="00A22758" w:rsidP="00D16E7B">
                      <w:pPr>
                        <w:pStyle w:val="tekstnaniebieskimtle"/>
                        <w:rPr>
                          <w:lang w:val="en-US"/>
                        </w:rPr>
                      </w:pPr>
                      <w:r>
                        <w:rPr>
                          <w:lang w:val="en-US"/>
                        </w:rPr>
                        <w:t>I</w:t>
                      </w:r>
                      <w:r w:rsidR="00D16E7B">
                        <w:rPr>
                          <w:lang w:val="en-US"/>
                        </w:rPr>
                        <w:t>ncreas</w:t>
                      </w:r>
                      <w:r w:rsidR="00B71AB4">
                        <w:rPr>
                          <w:lang w:val="en-US"/>
                        </w:rPr>
                        <w:t xml:space="preserve">e in </w:t>
                      </w:r>
                      <w:r w:rsidR="005F50F7">
                        <w:rPr>
                          <w:lang w:val="en-US"/>
                        </w:rPr>
                        <w:t xml:space="preserve">producer prices for business services </w:t>
                      </w:r>
                      <w:r w:rsidR="00D16E7B">
                        <w:rPr>
                          <w:lang w:val="en-US"/>
                        </w:rPr>
                        <w:t xml:space="preserve">compared to the </w:t>
                      </w:r>
                      <w:r w:rsidR="00764066">
                        <w:rPr>
                          <w:lang w:val="en-US"/>
                        </w:rPr>
                        <w:t>fourth quarter of 2020</w:t>
                      </w:r>
                    </w:p>
                  </w:txbxContent>
                </v:textbox>
                <w10:wrap type="square" anchorx="margin"/>
              </v:shape>
            </w:pict>
          </mc:Fallback>
        </mc:AlternateContent>
      </w:r>
      <w:r w:rsidR="00406F9E">
        <w:rPr>
          <w:rFonts w:eastAsia="Times New Roman" w:cs="Times New Roman"/>
          <w:bCs/>
          <w:lang w:val="en-US"/>
        </w:rPr>
        <w:t>In the first quarter of 2021</w:t>
      </w:r>
      <w:r w:rsidR="00C40E62" w:rsidRPr="00550697">
        <w:rPr>
          <w:rFonts w:eastAsia="Times New Roman" w:cs="Times New Roman"/>
          <w:bCs/>
          <w:lang w:val="en-US"/>
        </w:rPr>
        <w:t xml:space="preserve"> the </w:t>
      </w:r>
      <w:r w:rsidR="00550697" w:rsidRPr="00550697">
        <w:rPr>
          <w:rFonts w:eastAsia="Times New Roman" w:cs="Times New Roman"/>
          <w:bCs/>
          <w:lang w:val="en-US"/>
        </w:rPr>
        <w:t xml:space="preserve">producer </w:t>
      </w:r>
      <w:r w:rsidR="00C40E62" w:rsidRPr="00550697">
        <w:rPr>
          <w:rFonts w:eastAsia="Times New Roman" w:cs="Times New Roman"/>
          <w:bCs/>
          <w:lang w:val="en-US"/>
        </w:rPr>
        <w:t xml:space="preserve">prices </w:t>
      </w:r>
      <w:r w:rsidR="00591E2C">
        <w:rPr>
          <w:rFonts w:eastAsia="Times New Roman" w:cs="Times New Roman"/>
          <w:bCs/>
          <w:lang w:val="en-US"/>
        </w:rPr>
        <w:t>for bus</w:t>
      </w:r>
      <w:r w:rsidR="00550697" w:rsidRPr="00550697">
        <w:rPr>
          <w:rFonts w:eastAsia="Times New Roman" w:cs="Times New Roman"/>
          <w:bCs/>
          <w:lang w:val="en-US"/>
        </w:rPr>
        <w:t>iness</w:t>
      </w:r>
      <w:r w:rsidR="00C40E62" w:rsidRPr="00550697">
        <w:rPr>
          <w:rFonts w:eastAsia="Times New Roman" w:cs="Times New Roman"/>
          <w:bCs/>
          <w:lang w:val="en-US"/>
        </w:rPr>
        <w:t xml:space="preserve"> service</w:t>
      </w:r>
      <w:r w:rsidR="005F50F7">
        <w:rPr>
          <w:rFonts w:eastAsia="Times New Roman" w:cs="Times New Roman"/>
          <w:bCs/>
          <w:lang w:val="en-US"/>
        </w:rPr>
        <w:t>s</w:t>
      </w:r>
      <w:r w:rsidR="00C40E62" w:rsidRPr="00550697">
        <w:rPr>
          <w:rFonts w:eastAsia="Times New Roman" w:cs="Times New Roman"/>
          <w:bCs/>
          <w:lang w:val="en-US"/>
        </w:rPr>
        <w:t xml:space="preserve"> increased by 0</w:t>
      </w:r>
      <w:r w:rsidR="00D16E7B" w:rsidRPr="00550697">
        <w:rPr>
          <w:rFonts w:eastAsia="Times New Roman" w:cs="Times New Roman"/>
          <w:bCs/>
          <w:lang w:val="en-US"/>
        </w:rPr>
        <w:t>.</w:t>
      </w:r>
      <w:r w:rsidR="009E4E43">
        <w:rPr>
          <w:rFonts w:eastAsia="Times New Roman" w:cs="Times New Roman"/>
          <w:bCs/>
          <w:lang w:val="en-US"/>
        </w:rPr>
        <w:t>6</w:t>
      </w:r>
      <w:r w:rsidR="00C40E62" w:rsidRPr="00550697">
        <w:rPr>
          <w:rFonts w:eastAsia="Times New Roman" w:cs="Times New Roman"/>
          <w:bCs/>
          <w:lang w:val="en-US"/>
        </w:rPr>
        <w:t>% co</w:t>
      </w:r>
      <w:r w:rsidR="00B22655">
        <w:rPr>
          <w:rFonts w:eastAsia="Times New Roman" w:cs="Times New Roman"/>
          <w:bCs/>
          <w:lang w:val="en-US"/>
        </w:rPr>
        <w:t xml:space="preserve">mpared to the </w:t>
      </w:r>
      <w:r w:rsidR="00764066">
        <w:rPr>
          <w:rFonts w:eastAsia="Times New Roman" w:cs="Times New Roman"/>
          <w:bCs/>
          <w:lang w:val="en-US"/>
        </w:rPr>
        <w:t>p</w:t>
      </w:r>
      <w:r w:rsidR="00B22655">
        <w:rPr>
          <w:rFonts w:eastAsia="Times New Roman" w:cs="Times New Roman"/>
          <w:bCs/>
          <w:lang w:val="en-US"/>
        </w:rPr>
        <w:t>revious quarter</w:t>
      </w:r>
      <w:r w:rsidR="00B014A2">
        <w:rPr>
          <w:rFonts w:eastAsia="Times New Roman" w:cs="Times New Roman"/>
          <w:bCs/>
          <w:lang w:val="en-US"/>
        </w:rPr>
        <w:t xml:space="preserve"> and </w:t>
      </w:r>
      <w:r w:rsidR="00B014A2" w:rsidRPr="00550697">
        <w:rPr>
          <w:rFonts w:eastAsia="Times New Roman" w:cs="Times New Roman"/>
          <w:bCs/>
          <w:lang w:val="en-US"/>
        </w:rPr>
        <w:t xml:space="preserve">by </w:t>
      </w:r>
      <w:r w:rsidR="009E4E43">
        <w:rPr>
          <w:rFonts w:eastAsia="Times New Roman" w:cs="Times New Roman"/>
          <w:bCs/>
          <w:lang w:val="en-US"/>
        </w:rPr>
        <w:t>0.8</w:t>
      </w:r>
      <w:r w:rsidR="001C2D74">
        <w:rPr>
          <w:rFonts w:eastAsia="Times New Roman" w:cs="Times New Roman"/>
          <w:bCs/>
          <w:lang w:val="en-US"/>
        </w:rPr>
        <w:t xml:space="preserve">% </w:t>
      </w:r>
      <w:r w:rsidR="00B22655">
        <w:rPr>
          <w:rFonts w:eastAsia="Times New Roman" w:cs="Times New Roman"/>
          <w:bCs/>
          <w:lang w:val="en-US"/>
        </w:rPr>
        <w:t>c</w:t>
      </w:r>
      <w:r w:rsidR="00C40E62" w:rsidRPr="00550697">
        <w:rPr>
          <w:rFonts w:eastAsia="Times New Roman" w:cs="Times New Roman"/>
          <w:bCs/>
          <w:lang w:val="en-US"/>
        </w:rPr>
        <w:t>ompared to the first quar</w:t>
      </w:r>
      <w:r w:rsidR="00764066">
        <w:rPr>
          <w:rFonts w:eastAsia="Times New Roman" w:cs="Times New Roman"/>
          <w:bCs/>
          <w:lang w:val="en-US"/>
        </w:rPr>
        <w:t>ter of 2020</w:t>
      </w:r>
      <w:r w:rsidR="001C2D74">
        <w:rPr>
          <w:rFonts w:eastAsia="Times New Roman" w:cs="Times New Roman"/>
          <w:bCs/>
          <w:lang w:val="en-US"/>
        </w:rPr>
        <w:t>.</w:t>
      </w:r>
    </w:p>
    <w:p w:rsidR="007545BB" w:rsidRDefault="007545BB" w:rsidP="007545BB">
      <w:pPr>
        <w:rPr>
          <w:lang w:val="en-US" w:eastAsia="pl-PL"/>
        </w:rPr>
      </w:pPr>
    </w:p>
    <w:p w:rsidR="00550697" w:rsidRDefault="00550697" w:rsidP="007545BB">
      <w:pPr>
        <w:rPr>
          <w:lang w:val="en-US" w:eastAsia="pl-PL"/>
        </w:rPr>
      </w:pPr>
    </w:p>
    <w:p w:rsidR="00550697" w:rsidRDefault="00550697" w:rsidP="007545BB">
      <w:pPr>
        <w:rPr>
          <w:lang w:val="en-US" w:eastAsia="pl-PL"/>
        </w:rPr>
      </w:pPr>
    </w:p>
    <w:p w:rsidR="00D16E7B" w:rsidRDefault="00D16E7B" w:rsidP="007545BB">
      <w:pPr>
        <w:rPr>
          <w:lang w:val="en-US" w:eastAsia="pl-PL"/>
        </w:rPr>
      </w:pPr>
    </w:p>
    <w:p w:rsidR="001457E5" w:rsidRPr="00CA1085" w:rsidRDefault="007545BB" w:rsidP="00441569">
      <w:pPr>
        <w:rPr>
          <w:b/>
          <w:sz w:val="18"/>
          <w:shd w:val="clear" w:color="auto" w:fill="FFFFFF"/>
          <w:lang w:val="en-US"/>
        </w:rPr>
      </w:pPr>
      <w:r w:rsidRPr="001457E5">
        <w:rPr>
          <w:rFonts w:cs="Arial"/>
          <w:b/>
          <w:sz w:val="18"/>
          <w:szCs w:val="18"/>
          <w:lang w:val="en-US"/>
        </w:rPr>
        <w:t xml:space="preserve">Table 1. </w:t>
      </w:r>
      <w:r w:rsidR="00CE6312" w:rsidRPr="001457E5">
        <w:rPr>
          <w:rFonts w:cs="Arial"/>
          <w:b/>
          <w:sz w:val="18"/>
          <w:szCs w:val="18"/>
          <w:lang w:val="en-US"/>
        </w:rPr>
        <w:t>Producer p</w:t>
      </w:r>
      <w:r w:rsidRPr="001457E5">
        <w:rPr>
          <w:b/>
          <w:sz w:val="18"/>
          <w:szCs w:val="18"/>
          <w:shd w:val="clear" w:color="auto" w:fill="FFFFFF"/>
          <w:lang w:val="en-GB"/>
        </w:rPr>
        <w:t xml:space="preserve">rice indices </w:t>
      </w:r>
      <w:r w:rsidR="00CE6312" w:rsidRPr="001457E5">
        <w:rPr>
          <w:b/>
          <w:sz w:val="18"/>
          <w:szCs w:val="18"/>
          <w:shd w:val="clear" w:color="auto" w:fill="FFFFFF"/>
          <w:lang w:val="en-GB"/>
        </w:rPr>
        <w:t xml:space="preserve">for business </w:t>
      </w:r>
      <w:r w:rsidRPr="001457E5">
        <w:rPr>
          <w:b/>
          <w:sz w:val="18"/>
          <w:szCs w:val="18"/>
          <w:shd w:val="clear" w:color="auto" w:fill="FFFFFF"/>
          <w:lang w:val="en-GB"/>
        </w:rPr>
        <w:t xml:space="preserve">services </w:t>
      </w:r>
      <w:r w:rsidR="00CE6312" w:rsidRPr="001457E5">
        <w:rPr>
          <w:b/>
          <w:sz w:val="18"/>
          <w:szCs w:val="18"/>
          <w:shd w:val="clear" w:color="auto" w:fill="FFFFFF"/>
          <w:lang w:val="en-GB"/>
        </w:rPr>
        <w:t xml:space="preserve">in the </w:t>
      </w:r>
      <w:r w:rsidR="00764066">
        <w:rPr>
          <w:b/>
          <w:sz w:val="18"/>
          <w:szCs w:val="18"/>
          <w:shd w:val="clear" w:color="auto" w:fill="FFFFFF"/>
          <w:lang w:val="en-GB"/>
        </w:rPr>
        <w:t>first quarter of 2021</w:t>
      </w:r>
    </w:p>
    <w:tbl>
      <w:tblPr>
        <w:tblStyle w:val="Tabela-Siatka11"/>
        <w:tblpPr w:leftFromText="142" w:rightFromText="142" w:vertAnchor="text" w:tblpXSpec="center" w:tblpY="1"/>
        <w:tblW w:w="0" w:type="auto"/>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Pr>
      <w:tblGrid>
        <w:gridCol w:w="4243"/>
        <w:gridCol w:w="2102"/>
        <w:gridCol w:w="1701"/>
      </w:tblGrid>
      <w:tr w:rsidR="001457E5" w:rsidRPr="001457E5" w:rsidTr="000A3A77">
        <w:tc>
          <w:tcPr>
            <w:tcW w:w="4243" w:type="dxa"/>
            <w:vMerge w:val="restart"/>
          </w:tcPr>
          <w:p w:rsidR="001457E5" w:rsidRPr="001457E5" w:rsidRDefault="001457E5" w:rsidP="001457E5">
            <w:pPr>
              <w:jc w:val="center"/>
              <w:rPr>
                <w:sz w:val="16"/>
              </w:rPr>
            </w:pPr>
            <w:r w:rsidRPr="001457E5">
              <w:rPr>
                <w:sz w:val="16"/>
              </w:rPr>
              <w:t>SPECIFICATION</w:t>
            </w:r>
          </w:p>
          <w:p w:rsidR="001457E5" w:rsidRPr="001457E5" w:rsidRDefault="001457E5" w:rsidP="001457E5">
            <w:pPr>
              <w:rPr>
                <w:sz w:val="16"/>
              </w:rPr>
            </w:pPr>
          </w:p>
        </w:tc>
        <w:tc>
          <w:tcPr>
            <w:tcW w:w="3803" w:type="dxa"/>
            <w:gridSpan w:val="2"/>
            <w:vAlign w:val="center"/>
          </w:tcPr>
          <w:p w:rsidR="001457E5" w:rsidRPr="001457E5" w:rsidRDefault="00BF587A" w:rsidP="001457E5">
            <w:pPr>
              <w:spacing w:before="0" w:after="0" w:line="240" w:lineRule="auto"/>
              <w:jc w:val="center"/>
              <w:rPr>
                <w:rFonts w:cs="Calibri"/>
                <w:color w:val="000000"/>
                <w:sz w:val="16"/>
                <w:szCs w:val="16"/>
              </w:rPr>
            </w:pPr>
            <w:r>
              <w:rPr>
                <w:rFonts w:cs="Calibri"/>
                <w:color w:val="000000"/>
                <w:sz w:val="16"/>
                <w:szCs w:val="16"/>
              </w:rPr>
              <w:t>1</w:t>
            </w:r>
            <w:r w:rsidR="00775079">
              <w:rPr>
                <w:rFonts w:cs="Calibri"/>
                <w:color w:val="000000"/>
                <w:sz w:val="16"/>
                <w:szCs w:val="16"/>
              </w:rPr>
              <w:t xml:space="preserve"> </w:t>
            </w:r>
            <w:proofErr w:type="spellStart"/>
            <w:r w:rsidR="00775079">
              <w:rPr>
                <w:rFonts w:cs="Calibri"/>
                <w:color w:val="000000"/>
                <w:sz w:val="16"/>
                <w:szCs w:val="16"/>
              </w:rPr>
              <w:t>quarter</w:t>
            </w:r>
            <w:proofErr w:type="spellEnd"/>
            <w:r w:rsidR="00775079">
              <w:rPr>
                <w:rFonts w:cs="Calibri"/>
                <w:color w:val="000000"/>
                <w:sz w:val="16"/>
                <w:szCs w:val="16"/>
              </w:rPr>
              <w:t xml:space="preserve"> 2021</w:t>
            </w:r>
          </w:p>
        </w:tc>
      </w:tr>
      <w:tr w:rsidR="001457E5" w:rsidRPr="007E69DD" w:rsidTr="007E69DD">
        <w:tc>
          <w:tcPr>
            <w:tcW w:w="4243" w:type="dxa"/>
            <w:vMerge/>
            <w:tcBorders>
              <w:bottom w:val="single" w:sz="12" w:space="0" w:color="001D77"/>
            </w:tcBorders>
          </w:tcPr>
          <w:p w:rsidR="001457E5" w:rsidRPr="001457E5" w:rsidRDefault="001457E5" w:rsidP="001457E5">
            <w:pPr>
              <w:spacing w:before="80" w:after="80" w:line="240" w:lineRule="auto"/>
              <w:jc w:val="center"/>
              <w:rPr>
                <w:rFonts w:eastAsia="Fira Sans Light" w:cs="Times New Roman"/>
                <w:sz w:val="16"/>
                <w:szCs w:val="16"/>
                <w:shd w:val="clear" w:color="auto" w:fill="FFFFFF"/>
              </w:rPr>
            </w:pPr>
          </w:p>
        </w:tc>
        <w:tc>
          <w:tcPr>
            <w:tcW w:w="2102" w:type="dxa"/>
            <w:tcBorders>
              <w:bottom w:val="single" w:sz="12" w:space="0" w:color="001D77"/>
            </w:tcBorders>
            <w:vAlign w:val="center"/>
          </w:tcPr>
          <w:p w:rsidR="001457E5" w:rsidRPr="001457E5" w:rsidRDefault="00BF587A" w:rsidP="001457E5">
            <w:pPr>
              <w:spacing w:before="80" w:after="80" w:line="240" w:lineRule="auto"/>
              <w:jc w:val="center"/>
              <w:rPr>
                <w:rFonts w:eastAsia="Fira Sans Light" w:cs="Times New Roman"/>
                <w:spacing w:val="-12"/>
                <w:sz w:val="16"/>
                <w:szCs w:val="16"/>
                <w:shd w:val="clear" w:color="auto" w:fill="FFFFFF"/>
              </w:rPr>
            </w:pPr>
            <w:r>
              <w:rPr>
                <w:rFonts w:eastAsia="Fira Sans Light" w:cs="Times New Roman"/>
                <w:color w:val="000000"/>
                <w:spacing w:val="-12"/>
                <w:sz w:val="16"/>
                <w:szCs w:val="16"/>
              </w:rPr>
              <w:t>4</w:t>
            </w:r>
            <w:r w:rsidR="00775079">
              <w:rPr>
                <w:rFonts w:eastAsia="Fira Sans Light" w:cs="Times New Roman"/>
                <w:color w:val="000000"/>
                <w:spacing w:val="-12"/>
                <w:sz w:val="16"/>
                <w:szCs w:val="16"/>
              </w:rPr>
              <w:t xml:space="preserve"> </w:t>
            </w:r>
            <w:proofErr w:type="spellStart"/>
            <w:r w:rsidR="00775079">
              <w:rPr>
                <w:rFonts w:eastAsia="Fira Sans Light" w:cs="Times New Roman"/>
                <w:color w:val="000000"/>
                <w:spacing w:val="-12"/>
                <w:sz w:val="16"/>
                <w:szCs w:val="16"/>
              </w:rPr>
              <w:t>quarter</w:t>
            </w:r>
            <w:proofErr w:type="spellEnd"/>
            <w:r w:rsidR="00775079">
              <w:rPr>
                <w:rFonts w:eastAsia="Fira Sans Light" w:cs="Times New Roman"/>
                <w:color w:val="000000"/>
                <w:spacing w:val="-12"/>
                <w:sz w:val="16"/>
                <w:szCs w:val="16"/>
              </w:rPr>
              <w:t xml:space="preserve"> 2020</w:t>
            </w:r>
            <w:r w:rsidR="001457E5" w:rsidRPr="001457E5">
              <w:rPr>
                <w:rFonts w:eastAsia="Fira Sans Light" w:cs="Times New Roman"/>
                <w:color w:val="000000"/>
                <w:spacing w:val="-12"/>
                <w:sz w:val="16"/>
                <w:szCs w:val="16"/>
              </w:rPr>
              <w:t>=100</w:t>
            </w:r>
          </w:p>
        </w:tc>
        <w:tc>
          <w:tcPr>
            <w:tcW w:w="1701" w:type="dxa"/>
            <w:tcBorders>
              <w:bottom w:val="single" w:sz="12" w:space="0" w:color="001D77"/>
            </w:tcBorders>
            <w:vAlign w:val="center"/>
          </w:tcPr>
          <w:p w:rsidR="001457E5" w:rsidRPr="007E69DD" w:rsidRDefault="001457E5" w:rsidP="00775079">
            <w:pPr>
              <w:spacing w:before="80" w:after="80" w:line="240" w:lineRule="auto"/>
              <w:jc w:val="center"/>
              <w:rPr>
                <w:rFonts w:eastAsia="Fira Sans Light" w:cs="Times New Roman"/>
                <w:sz w:val="16"/>
                <w:szCs w:val="16"/>
                <w:shd w:val="clear" w:color="auto" w:fill="FFFFFF"/>
                <w:lang w:val="en-US"/>
              </w:rPr>
            </w:pPr>
            <w:r w:rsidRPr="007E69DD">
              <w:rPr>
                <w:rFonts w:eastAsia="Fira Sans Light" w:cs="Times New Roman"/>
                <w:color w:val="000000"/>
                <w:sz w:val="16"/>
                <w:szCs w:val="16"/>
                <w:lang w:val="en-US"/>
              </w:rPr>
              <w:t xml:space="preserve">corresponding </w:t>
            </w:r>
            <w:r w:rsidR="007E69DD" w:rsidRPr="007E69DD">
              <w:rPr>
                <w:rFonts w:eastAsia="Fira Sans Light" w:cs="Times New Roman"/>
                <w:color w:val="000000"/>
                <w:sz w:val="16"/>
                <w:szCs w:val="16"/>
                <w:lang w:val="en-US"/>
              </w:rPr>
              <w:br/>
            </w:r>
            <w:r w:rsidR="0050058A" w:rsidRPr="007E69DD">
              <w:rPr>
                <w:rFonts w:eastAsia="Fira Sans Light" w:cs="Times New Roman"/>
                <w:color w:val="000000"/>
                <w:sz w:val="16"/>
                <w:szCs w:val="16"/>
                <w:lang w:val="en-US"/>
              </w:rPr>
              <w:t>quarter</w:t>
            </w:r>
            <w:r w:rsidR="007E69DD" w:rsidRPr="007E69DD">
              <w:rPr>
                <w:rFonts w:eastAsia="Fira Sans Light" w:cs="Times New Roman"/>
                <w:color w:val="000000"/>
                <w:sz w:val="16"/>
                <w:szCs w:val="16"/>
                <w:lang w:val="en-US"/>
              </w:rPr>
              <w:t xml:space="preserve"> </w:t>
            </w:r>
            <w:r w:rsidR="00B662F6" w:rsidRPr="007E69DD">
              <w:rPr>
                <w:rFonts w:eastAsia="Fira Sans Light" w:cs="Times New Roman"/>
                <w:color w:val="000000"/>
                <w:sz w:val="16"/>
                <w:szCs w:val="16"/>
                <w:lang w:val="en-US"/>
              </w:rPr>
              <w:t xml:space="preserve"> </w:t>
            </w:r>
            <w:r w:rsidR="00775079">
              <w:rPr>
                <w:rFonts w:eastAsia="Fira Sans Light" w:cs="Times New Roman"/>
                <w:color w:val="000000"/>
                <w:sz w:val="16"/>
                <w:szCs w:val="16"/>
                <w:lang w:val="en-US"/>
              </w:rPr>
              <w:t>2020</w:t>
            </w:r>
            <w:r w:rsidRPr="007E69DD">
              <w:rPr>
                <w:rFonts w:eastAsia="Fira Sans Light" w:cs="Times New Roman"/>
                <w:color w:val="000000"/>
                <w:sz w:val="16"/>
                <w:szCs w:val="16"/>
                <w:lang w:val="en-US"/>
              </w:rPr>
              <w:t>=100</w:t>
            </w:r>
          </w:p>
        </w:tc>
      </w:tr>
      <w:tr w:rsidR="003A59A0" w:rsidRPr="007E69DD" w:rsidTr="007E69DD">
        <w:tc>
          <w:tcPr>
            <w:tcW w:w="4243" w:type="dxa"/>
          </w:tcPr>
          <w:p w:rsidR="003A59A0" w:rsidRPr="007E69DD" w:rsidRDefault="003A59A0" w:rsidP="003A59A0">
            <w:pPr>
              <w:jc w:val="center"/>
              <w:rPr>
                <w:b/>
                <w:sz w:val="16"/>
                <w:lang w:val="en-US"/>
              </w:rPr>
            </w:pPr>
            <w:r w:rsidRPr="007E69DD">
              <w:rPr>
                <w:b/>
                <w:sz w:val="16"/>
                <w:lang w:val="en-US"/>
              </w:rPr>
              <w:t>TOTAL</w:t>
            </w:r>
          </w:p>
        </w:tc>
        <w:tc>
          <w:tcPr>
            <w:tcW w:w="2102" w:type="dxa"/>
            <w:vAlign w:val="center"/>
          </w:tcPr>
          <w:p w:rsidR="003A59A0" w:rsidRPr="008E08A4" w:rsidRDefault="003A59A0" w:rsidP="003A59A0">
            <w:pPr>
              <w:spacing w:before="80" w:after="80" w:line="240" w:lineRule="auto"/>
              <w:jc w:val="right"/>
              <w:rPr>
                <w:rFonts w:eastAsia="Fira Sans Light" w:cs="Arial"/>
                <w:b/>
                <w:color w:val="000000"/>
                <w:sz w:val="16"/>
                <w:szCs w:val="16"/>
                <w:highlight w:val="yellow"/>
              </w:rPr>
            </w:pPr>
            <w:r>
              <w:rPr>
                <w:rFonts w:eastAsia="Fira Sans Light" w:cs="Calibri"/>
                <w:b/>
                <w:color w:val="000000"/>
                <w:sz w:val="16"/>
                <w:szCs w:val="16"/>
              </w:rPr>
              <w:t>100,6</w:t>
            </w:r>
          </w:p>
        </w:tc>
        <w:tc>
          <w:tcPr>
            <w:tcW w:w="1701" w:type="dxa"/>
            <w:vAlign w:val="center"/>
          </w:tcPr>
          <w:p w:rsidR="003A59A0" w:rsidRPr="008E08A4" w:rsidRDefault="003A59A0" w:rsidP="003A59A0">
            <w:pPr>
              <w:spacing w:before="80" w:after="80" w:line="240" w:lineRule="auto"/>
              <w:jc w:val="right"/>
              <w:rPr>
                <w:rFonts w:eastAsia="Fira Sans Light" w:cs="Arial"/>
                <w:b/>
                <w:color w:val="000000"/>
                <w:sz w:val="16"/>
                <w:szCs w:val="16"/>
                <w:highlight w:val="yellow"/>
              </w:rPr>
            </w:pPr>
            <w:r>
              <w:rPr>
                <w:rFonts w:eastAsia="Fira Sans Light" w:cs="Calibri"/>
                <w:b/>
                <w:color w:val="000000"/>
                <w:sz w:val="16"/>
                <w:szCs w:val="16"/>
              </w:rPr>
              <w:t>100,8</w:t>
            </w:r>
          </w:p>
        </w:tc>
      </w:tr>
      <w:tr w:rsidR="003A59A0" w:rsidRPr="007E69DD" w:rsidTr="007E69DD">
        <w:tc>
          <w:tcPr>
            <w:tcW w:w="4243" w:type="dxa"/>
          </w:tcPr>
          <w:p w:rsidR="003A59A0" w:rsidRPr="007E69DD" w:rsidRDefault="003A59A0" w:rsidP="003A59A0">
            <w:pPr>
              <w:rPr>
                <w:sz w:val="16"/>
                <w:lang w:val="en-US"/>
              </w:rPr>
            </w:pPr>
            <w:r w:rsidRPr="007E69DD">
              <w:rPr>
                <w:sz w:val="16"/>
                <w:lang w:val="en-US"/>
              </w:rPr>
              <w:t>Publishing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100,0</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100,5</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 xml:space="preserve">Motion picture, video and television </w:t>
            </w:r>
            <w:proofErr w:type="spellStart"/>
            <w:r w:rsidRPr="001457E5">
              <w:rPr>
                <w:sz w:val="16"/>
                <w:lang w:val="en-US"/>
              </w:rPr>
              <w:t>programme</w:t>
            </w:r>
            <w:proofErr w:type="spellEnd"/>
            <w:r w:rsidRPr="001457E5">
              <w:rPr>
                <w:sz w:val="16"/>
                <w:lang w:val="en-US"/>
              </w:rPr>
              <w:t xml:space="preserve"> production, sound recording and music publishing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97,3</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96,0</w:t>
            </w:r>
          </w:p>
        </w:tc>
      </w:tr>
      <w:tr w:rsidR="003A59A0" w:rsidRPr="001457E5" w:rsidTr="007E69DD">
        <w:tc>
          <w:tcPr>
            <w:tcW w:w="4243" w:type="dxa"/>
          </w:tcPr>
          <w:p w:rsidR="003A59A0" w:rsidRPr="001457E5" w:rsidRDefault="003A59A0" w:rsidP="003A59A0">
            <w:pPr>
              <w:rPr>
                <w:sz w:val="16"/>
              </w:rPr>
            </w:pPr>
            <w:r w:rsidRPr="001457E5">
              <w:rPr>
                <w:sz w:val="16"/>
              </w:rPr>
              <w:t xml:space="preserve">Programming and </w:t>
            </w:r>
            <w:proofErr w:type="spellStart"/>
            <w:r w:rsidRPr="001457E5">
              <w:rPr>
                <w:sz w:val="16"/>
              </w:rPr>
              <w:t>broadcasting</w:t>
            </w:r>
            <w:proofErr w:type="spellEnd"/>
            <w:r w:rsidRPr="001457E5">
              <w:rPr>
                <w:sz w:val="16"/>
              </w:rPr>
              <w:t xml:space="preserve">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94,0</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95,8</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Computer programming, consultancy and related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101</w:t>
            </w:r>
            <w:r w:rsidRPr="008E08A4">
              <w:rPr>
                <w:rFonts w:eastAsia="Fira Sans Light" w:cs="Calibri"/>
                <w:color w:val="000000"/>
                <w:sz w:val="16"/>
                <w:szCs w:val="16"/>
              </w:rPr>
              <w:t>,8</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102,8</w:t>
            </w:r>
          </w:p>
        </w:tc>
      </w:tr>
      <w:tr w:rsidR="003A59A0" w:rsidRPr="001457E5" w:rsidTr="007E69DD">
        <w:tc>
          <w:tcPr>
            <w:tcW w:w="4243" w:type="dxa"/>
          </w:tcPr>
          <w:p w:rsidR="003A59A0" w:rsidRPr="001457E5" w:rsidRDefault="003A59A0" w:rsidP="003A59A0">
            <w:pPr>
              <w:rPr>
                <w:sz w:val="16"/>
              </w:rPr>
            </w:pPr>
            <w:r w:rsidRPr="001457E5">
              <w:rPr>
                <w:sz w:val="16"/>
              </w:rPr>
              <w:t xml:space="preserve">Information service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100,4</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100,8</w:t>
            </w:r>
          </w:p>
        </w:tc>
      </w:tr>
      <w:tr w:rsidR="003A59A0" w:rsidRPr="001457E5" w:rsidTr="007E69DD">
        <w:tc>
          <w:tcPr>
            <w:tcW w:w="4243" w:type="dxa"/>
          </w:tcPr>
          <w:p w:rsidR="003A59A0" w:rsidRPr="001457E5" w:rsidRDefault="003A59A0" w:rsidP="003A59A0">
            <w:pPr>
              <w:rPr>
                <w:sz w:val="16"/>
              </w:rPr>
            </w:pPr>
            <w:r w:rsidRPr="001457E5">
              <w:rPr>
                <w:sz w:val="16"/>
              </w:rPr>
              <w:t xml:space="preserve">Real </w:t>
            </w:r>
            <w:proofErr w:type="spellStart"/>
            <w:r w:rsidRPr="001457E5">
              <w:rPr>
                <w:sz w:val="16"/>
              </w:rPr>
              <w:t>estate</w:t>
            </w:r>
            <w:proofErr w:type="spellEnd"/>
            <w:r w:rsidRPr="001457E5">
              <w:rPr>
                <w:sz w:val="16"/>
              </w:rPr>
              <w:t xml:space="preserve">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100,0</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99,2</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Legal and accounting activities; management consultancy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100,2</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100,9</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Architectural and engineering activities; technical testing and analysis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102,0</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102,5</w:t>
            </w:r>
          </w:p>
        </w:tc>
      </w:tr>
      <w:tr w:rsidR="003A59A0" w:rsidRPr="001457E5" w:rsidTr="007E69DD">
        <w:tc>
          <w:tcPr>
            <w:tcW w:w="4243" w:type="dxa"/>
          </w:tcPr>
          <w:p w:rsidR="003A59A0" w:rsidRPr="001457E5" w:rsidRDefault="003A59A0" w:rsidP="003A59A0">
            <w:pPr>
              <w:rPr>
                <w:sz w:val="16"/>
              </w:rPr>
            </w:pPr>
            <w:proofErr w:type="spellStart"/>
            <w:r w:rsidRPr="001457E5">
              <w:rPr>
                <w:sz w:val="16"/>
              </w:rPr>
              <w:t>Advertising</w:t>
            </w:r>
            <w:proofErr w:type="spellEnd"/>
            <w:r w:rsidRPr="001457E5">
              <w:rPr>
                <w:sz w:val="16"/>
              </w:rPr>
              <w:t xml:space="preserve"> and market </w:t>
            </w:r>
            <w:proofErr w:type="spellStart"/>
            <w:r w:rsidRPr="001457E5">
              <w:rPr>
                <w:sz w:val="16"/>
              </w:rPr>
              <w:t>research</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99,2</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102,0</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Other pr</w:t>
            </w:r>
            <w:r>
              <w:rPr>
                <w:sz w:val="16"/>
                <w:lang w:val="en-US"/>
              </w:rPr>
              <w:t>ofessional, scientific and tech</w:t>
            </w:r>
            <w:r w:rsidRPr="001457E5">
              <w:rPr>
                <w:sz w:val="16"/>
                <w:lang w:val="en-US"/>
              </w:rPr>
              <w:t>nical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99,9</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100,2</w:t>
            </w:r>
          </w:p>
        </w:tc>
      </w:tr>
      <w:tr w:rsidR="003A59A0" w:rsidRPr="001457E5" w:rsidTr="007E69DD">
        <w:tc>
          <w:tcPr>
            <w:tcW w:w="4243" w:type="dxa"/>
          </w:tcPr>
          <w:p w:rsidR="003A59A0" w:rsidRPr="001457E5" w:rsidRDefault="003A59A0" w:rsidP="003A59A0">
            <w:pPr>
              <w:rPr>
                <w:sz w:val="16"/>
              </w:rPr>
            </w:pPr>
            <w:proofErr w:type="spellStart"/>
            <w:r w:rsidRPr="001457E5">
              <w:rPr>
                <w:sz w:val="16"/>
              </w:rPr>
              <w:t>Rental</w:t>
            </w:r>
            <w:proofErr w:type="spellEnd"/>
            <w:r w:rsidRPr="001457E5">
              <w:rPr>
                <w:sz w:val="16"/>
              </w:rPr>
              <w:t xml:space="preserve"> and leasing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101,0</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100,6</w:t>
            </w:r>
          </w:p>
        </w:tc>
      </w:tr>
      <w:tr w:rsidR="003A59A0" w:rsidRPr="001457E5" w:rsidTr="007E69DD">
        <w:tc>
          <w:tcPr>
            <w:tcW w:w="4243" w:type="dxa"/>
          </w:tcPr>
          <w:p w:rsidR="003A59A0" w:rsidRPr="001457E5" w:rsidRDefault="003A59A0" w:rsidP="003A59A0">
            <w:pPr>
              <w:rPr>
                <w:sz w:val="16"/>
              </w:rPr>
            </w:pPr>
            <w:proofErr w:type="spellStart"/>
            <w:r w:rsidRPr="001457E5">
              <w:rPr>
                <w:sz w:val="16"/>
              </w:rPr>
              <w:t>Employment</w:t>
            </w:r>
            <w:proofErr w:type="spellEnd"/>
            <w:r w:rsidRPr="001457E5">
              <w:rPr>
                <w:sz w:val="16"/>
              </w:rPr>
              <w:t xml:space="preserve">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103,3</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104,2</w:t>
            </w:r>
          </w:p>
        </w:tc>
      </w:tr>
      <w:tr w:rsidR="003A59A0" w:rsidRPr="001457E5" w:rsidTr="007E69DD">
        <w:tc>
          <w:tcPr>
            <w:tcW w:w="4243" w:type="dxa"/>
          </w:tcPr>
          <w:p w:rsidR="003A59A0" w:rsidRPr="001457E5" w:rsidRDefault="003A59A0" w:rsidP="003A59A0">
            <w:pPr>
              <w:rPr>
                <w:sz w:val="16"/>
                <w:lang w:val="en-US"/>
              </w:rPr>
            </w:pPr>
            <w:r w:rsidRPr="00E44869">
              <w:rPr>
                <w:sz w:val="16"/>
                <w:lang w:val="en-US"/>
              </w:rPr>
              <w:t>Travel agency, tour operator and over reservation service and related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101,5</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91,8</w:t>
            </w:r>
          </w:p>
        </w:tc>
      </w:tr>
      <w:tr w:rsidR="003A59A0" w:rsidRPr="001457E5" w:rsidTr="007E69DD">
        <w:tc>
          <w:tcPr>
            <w:tcW w:w="4243" w:type="dxa"/>
          </w:tcPr>
          <w:p w:rsidR="003A59A0" w:rsidRPr="001457E5" w:rsidRDefault="003A59A0" w:rsidP="003A59A0">
            <w:pPr>
              <w:rPr>
                <w:sz w:val="16"/>
              </w:rPr>
            </w:pPr>
            <w:r w:rsidRPr="001457E5">
              <w:rPr>
                <w:sz w:val="16"/>
              </w:rPr>
              <w:lastRenderedPageBreak/>
              <w:t xml:space="preserve">Security and </w:t>
            </w:r>
            <w:proofErr w:type="spellStart"/>
            <w:r w:rsidRPr="001457E5">
              <w:rPr>
                <w:sz w:val="16"/>
              </w:rPr>
              <w:t>investigation</w:t>
            </w:r>
            <w:proofErr w:type="spellEnd"/>
            <w:r w:rsidRPr="001457E5">
              <w:rPr>
                <w:sz w:val="16"/>
              </w:rPr>
              <w:t xml:space="preserve"> </w:t>
            </w:r>
            <w:proofErr w:type="spellStart"/>
            <w:r w:rsidRPr="001457E5">
              <w:rPr>
                <w:sz w:val="16"/>
              </w:rPr>
              <w:t>activities</w:t>
            </w:r>
            <w:proofErr w:type="spellEnd"/>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106,3</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107,4</w:t>
            </w:r>
          </w:p>
        </w:tc>
      </w:tr>
      <w:tr w:rsidR="003A59A0" w:rsidRPr="001457E5" w:rsidTr="007E69DD">
        <w:tc>
          <w:tcPr>
            <w:tcW w:w="4243" w:type="dxa"/>
          </w:tcPr>
          <w:p w:rsidR="003A59A0" w:rsidRPr="001457E5" w:rsidRDefault="003A59A0" w:rsidP="003A59A0">
            <w:pPr>
              <w:rPr>
                <w:sz w:val="16"/>
                <w:lang w:val="en-US"/>
              </w:rPr>
            </w:pPr>
            <w:r>
              <w:rPr>
                <w:sz w:val="16"/>
                <w:lang w:val="en-US"/>
              </w:rPr>
              <w:t xml:space="preserve">Services to buildings and landscape </w:t>
            </w:r>
            <w:r w:rsidRPr="001457E5">
              <w:rPr>
                <w:sz w:val="16"/>
                <w:lang w:val="en-US"/>
              </w:rPr>
              <w:t>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102,8</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104,7</w:t>
            </w:r>
          </w:p>
        </w:tc>
      </w:tr>
      <w:tr w:rsidR="003A59A0" w:rsidRPr="001457E5" w:rsidTr="007E69DD">
        <w:tc>
          <w:tcPr>
            <w:tcW w:w="4243" w:type="dxa"/>
          </w:tcPr>
          <w:p w:rsidR="003A59A0" w:rsidRPr="001457E5" w:rsidRDefault="003A59A0" w:rsidP="003A59A0">
            <w:pPr>
              <w:rPr>
                <w:sz w:val="16"/>
                <w:lang w:val="en-US"/>
              </w:rPr>
            </w:pPr>
            <w:r w:rsidRPr="001457E5">
              <w:rPr>
                <w:sz w:val="16"/>
                <w:lang w:val="en-US"/>
              </w:rPr>
              <w:t>Office administrative, office support  and other business support activities</w:t>
            </w:r>
          </w:p>
        </w:tc>
        <w:tc>
          <w:tcPr>
            <w:tcW w:w="2102"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100,2</w:t>
            </w:r>
          </w:p>
        </w:tc>
        <w:tc>
          <w:tcPr>
            <w:tcW w:w="1701" w:type="dxa"/>
            <w:vAlign w:val="center"/>
          </w:tcPr>
          <w:p w:rsidR="003A59A0" w:rsidRPr="008E08A4" w:rsidRDefault="003A59A0" w:rsidP="003A59A0">
            <w:pPr>
              <w:spacing w:before="80" w:after="80" w:line="240" w:lineRule="auto"/>
              <w:jc w:val="right"/>
              <w:rPr>
                <w:rFonts w:eastAsia="Fira Sans Light" w:cs="Calibri"/>
                <w:color w:val="000000"/>
                <w:sz w:val="16"/>
                <w:szCs w:val="16"/>
              </w:rPr>
            </w:pPr>
            <w:r>
              <w:rPr>
                <w:rFonts w:eastAsia="Fira Sans Light" w:cs="Calibri"/>
                <w:color w:val="000000"/>
                <w:sz w:val="16"/>
                <w:szCs w:val="16"/>
              </w:rPr>
              <w:t>99,9</w:t>
            </w:r>
          </w:p>
        </w:tc>
      </w:tr>
    </w:tbl>
    <w:p w:rsidR="00307E0B" w:rsidRDefault="00307E0B" w:rsidP="00307E0B">
      <w:pPr>
        <w:rPr>
          <w:b/>
          <w:shd w:val="clear" w:color="auto" w:fill="FFFFFF"/>
          <w:lang w:val="en-GB"/>
        </w:rPr>
      </w:pPr>
    </w:p>
    <w:p w:rsidR="001357F2" w:rsidRPr="00816AB1" w:rsidRDefault="000F20B8" w:rsidP="001357F2">
      <w:pPr>
        <w:rPr>
          <w:szCs w:val="19"/>
          <w:lang w:val="en-GB"/>
        </w:rPr>
      </w:pPr>
      <w:r w:rsidRPr="001F435A">
        <w:rPr>
          <w:b/>
          <w:noProof/>
          <w:spacing w:val="-2"/>
          <w:szCs w:val="19"/>
          <w:lang w:eastAsia="pl-PL"/>
        </w:rPr>
        <mc:AlternateContent>
          <mc:Choice Requires="wps">
            <w:drawing>
              <wp:anchor distT="45720" distB="45720" distL="114300" distR="114300" simplePos="0" relativeHeight="251651584" behindDoc="1" locked="0" layoutInCell="1" allowOverlap="1" wp14:anchorId="21DCACBC" wp14:editId="29DB5D1F">
                <wp:simplePos x="0" y="0"/>
                <wp:positionH relativeFrom="column">
                  <wp:posOffset>5212080</wp:posOffset>
                </wp:positionH>
                <wp:positionV relativeFrom="paragraph">
                  <wp:posOffset>97790</wp:posOffset>
                </wp:positionV>
                <wp:extent cx="1684020" cy="989330"/>
                <wp:effectExtent l="0" t="0" r="0" b="127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89330"/>
                        </a:xfrm>
                        <a:prstGeom prst="rect">
                          <a:avLst/>
                        </a:prstGeom>
                        <a:noFill/>
                        <a:ln w="9525">
                          <a:noFill/>
                          <a:miter lim="800000"/>
                          <a:headEnd/>
                          <a:tailEnd/>
                        </a:ln>
                      </wps:spPr>
                      <wps:txbx>
                        <w:txbxContent>
                          <w:p w:rsidR="000F20B8" w:rsidRPr="00780F93" w:rsidRDefault="001F40E2" w:rsidP="000F20B8">
                            <w:pPr>
                              <w:pStyle w:val="tekstzboku"/>
                              <w:spacing w:before="0"/>
                              <w:rPr>
                                <w:lang w:val="en-US"/>
                              </w:rPr>
                            </w:pPr>
                            <w:r>
                              <w:rPr>
                                <w:lang w:val="en"/>
                              </w:rPr>
                              <w:t xml:space="preserve">In </w:t>
                            </w:r>
                            <w:r w:rsidR="00FD7786">
                              <w:rPr>
                                <w:lang w:val="en"/>
                              </w:rPr>
                              <w:t xml:space="preserve">the </w:t>
                            </w:r>
                            <w:r w:rsidR="00322164">
                              <w:rPr>
                                <w:lang w:val="en"/>
                              </w:rPr>
                              <w:t xml:space="preserve">first quarter of </w:t>
                            </w:r>
                            <w:r>
                              <w:rPr>
                                <w:lang w:val="en"/>
                              </w:rPr>
                              <w:t xml:space="preserve">2021, </w:t>
                            </w:r>
                            <w:proofErr w:type="spellStart"/>
                            <w:r>
                              <w:rPr>
                                <w:lang w:val="en"/>
                              </w:rPr>
                              <w:t>t</w:t>
                            </w:r>
                            <w:r w:rsidR="000F20B8" w:rsidRPr="00780F93">
                              <w:rPr>
                                <w:lang w:val="en-US"/>
                              </w:rPr>
                              <w:t>he</w:t>
                            </w:r>
                            <w:proofErr w:type="spellEnd"/>
                            <w:r w:rsidR="007C52B5">
                              <w:rPr>
                                <w:lang w:val="en-US"/>
                              </w:rPr>
                              <w:t xml:space="preserve"> </w:t>
                            </w:r>
                            <w:r w:rsidR="000F20B8" w:rsidRPr="00780F93">
                              <w:rPr>
                                <w:lang w:val="en-US"/>
                              </w:rPr>
                              <w:t>highest increase of prices was observed in the security</w:t>
                            </w:r>
                            <w:r w:rsidR="000F20B8">
                              <w:rPr>
                                <w:lang w:val="en-US"/>
                              </w:rPr>
                              <w:t xml:space="preserve"> </w:t>
                            </w:r>
                            <w:r w:rsidR="000F20B8" w:rsidRPr="00780F93">
                              <w:rPr>
                                <w:lang w:val="en-US"/>
                              </w:rPr>
                              <w:t>and investigation activities.</w:t>
                            </w:r>
                          </w:p>
                          <w:p w:rsidR="000F20B8" w:rsidRPr="00B22655" w:rsidRDefault="000F20B8" w:rsidP="000F20B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CACBC" id="_x0000_t202" coordsize="21600,21600" o:spt="202" path="m,l,21600r21600,l21600,xe">
                <v:stroke joinstyle="miter"/>
                <v:path gradientshapeok="t" o:connecttype="rect"/>
              </v:shapetype>
              <v:shape id="Pole tekstowe 6" o:spid="_x0000_s1027" type="#_x0000_t202" style="position:absolute;margin-left:410.4pt;margin-top:7.7pt;width:132.6pt;height:77.9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XDw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74gjMLhkb0&#10;iFqyKJ9DxE6yRZKoc6Gkm0+O7sb+A/Y06kw3uAcUz4FZvG3B7uSN99i1EmpqcZIyi4vUASckkG33&#10;BWuqBfuIGahvvEn6kSKM0GlUx/N4ZB+ZSCUXy9l4SiFBsdVydXWV51dA+ZLtfIifJBqWNhX3NP6M&#10;DoeHEFM3UL5cScUs3iutswW0ZR2BzqfznHARMSqSQ7UyFV+O0zd4JpH8aOucHEHpYU8FtD2xTkQH&#10;yrHf9lnjLElSZIv1kWTwOBiSHhBtWvS/OOvIjBUPP/fgJWf6syUpV5PZLLk3H2bz90kEfxnZXkbA&#10;CoKqeORs2N7G7PiB8g1J3qisxmsnp5bJZFmk04NILr4851uvz3bzGwAA//8DAFBLAwQUAAYACAAA&#10;ACEATM/LI94AAAALAQAADwAAAGRycy9kb3ducmV2LnhtbEyPzU7DMBCE70h9B2uRuFG7UX9CiFNV&#10;IK4gWqjUmxtvk4h4HcVuE96e7YnedjSj2W/y9ehaccE+NJ40zKYKBFLpbUOVhq/d22MKIkRD1rSe&#10;UMMvBlgXk7vcZNYP9ImXbawEl1DIjIY6xi6TMpQ1OhOmvkNi7+R7ZyLLvpK2NwOXu1YmSi2lMw3x&#10;h9p0+FJj+bM9Ow3f76fDfq4+qle36AY/KknuSWr9cD9unkFEHON/GK74jA4FMx39mWwQrYY0UYwe&#10;2VjMQVwDKl3yuiNfq1kCssjl7YbiDwAA//8DAFBLAQItABQABgAIAAAAIQC2gziS/gAAAOEBAAAT&#10;AAAAAAAAAAAAAAAAAAAAAABbQ29udGVudF9UeXBlc10ueG1sUEsBAi0AFAAGAAgAAAAhADj9If/W&#10;AAAAlAEAAAsAAAAAAAAAAAAAAAAALwEAAF9yZWxzLy5yZWxzUEsBAi0AFAAGAAgAAAAhAL90NZcP&#10;AgAA/gMAAA4AAAAAAAAAAAAAAAAALgIAAGRycy9lMm9Eb2MueG1sUEsBAi0AFAAGAAgAAAAhAEzP&#10;yyPeAAAACwEAAA8AAAAAAAAAAAAAAAAAaQQAAGRycy9kb3ducmV2LnhtbFBLBQYAAAAABAAEAPMA&#10;AAB0BQAAAAA=&#10;" filled="f" stroked="f">
                <v:textbox>
                  <w:txbxContent>
                    <w:p w:rsidR="000F20B8" w:rsidRPr="00780F93" w:rsidRDefault="001F40E2" w:rsidP="000F20B8">
                      <w:pPr>
                        <w:pStyle w:val="tekstzboku"/>
                        <w:spacing w:before="0"/>
                        <w:rPr>
                          <w:lang w:val="en-US"/>
                        </w:rPr>
                      </w:pPr>
                      <w:r>
                        <w:rPr>
                          <w:lang w:val="en"/>
                        </w:rPr>
                        <w:t xml:space="preserve">In </w:t>
                      </w:r>
                      <w:r w:rsidR="00FD7786">
                        <w:rPr>
                          <w:lang w:val="en"/>
                        </w:rPr>
                        <w:t xml:space="preserve">the </w:t>
                      </w:r>
                      <w:r w:rsidR="00322164">
                        <w:rPr>
                          <w:lang w:val="en"/>
                        </w:rPr>
                        <w:t xml:space="preserve">first quarter of </w:t>
                      </w:r>
                      <w:r>
                        <w:rPr>
                          <w:lang w:val="en"/>
                        </w:rPr>
                        <w:t xml:space="preserve">2021, </w:t>
                      </w:r>
                      <w:proofErr w:type="spellStart"/>
                      <w:r>
                        <w:rPr>
                          <w:lang w:val="en"/>
                        </w:rPr>
                        <w:t>t</w:t>
                      </w:r>
                      <w:r w:rsidR="000F20B8" w:rsidRPr="00780F93">
                        <w:rPr>
                          <w:lang w:val="en-US"/>
                        </w:rPr>
                        <w:t>he</w:t>
                      </w:r>
                      <w:proofErr w:type="spellEnd"/>
                      <w:r w:rsidR="007C52B5">
                        <w:rPr>
                          <w:lang w:val="en-US"/>
                        </w:rPr>
                        <w:t xml:space="preserve"> </w:t>
                      </w:r>
                      <w:r w:rsidR="000F20B8" w:rsidRPr="00780F93">
                        <w:rPr>
                          <w:lang w:val="en-US"/>
                        </w:rPr>
                        <w:t>highest increase of prices was observed in the security</w:t>
                      </w:r>
                      <w:r w:rsidR="000F20B8">
                        <w:rPr>
                          <w:lang w:val="en-US"/>
                        </w:rPr>
                        <w:t xml:space="preserve"> </w:t>
                      </w:r>
                      <w:r w:rsidR="000F20B8" w:rsidRPr="00780F93">
                        <w:rPr>
                          <w:lang w:val="en-US"/>
                        </w:rPr>
                        <w:t>and investigation activities.</w:t>
                      </w:r>
                    </w:p>
                    <w:p w:rsidR="000F20B8" w:rsidRPr="00B22655" w:rsidRDefault="000F20B8" w:rsidP="000F20B8">
                      <w:pPr>
                        <w:spacing w:after="0"/>
                        <w:rPr>
                          <w:rFonts w:eastAsia="Times New Roman" w:cs="Times New Roman"/>
                          <w:bCs/>
                          <w:color w:val="001D77"/>
                          <w:sz w:val="18"/>
                          <w:szCs w:val="18"/>
                          <w:lang w:val="en-US" w:eastAsia="pl-PL"/>
                        </w:rPr>
                      </w:pPr>
                    </w:p>
                  </w:txbxContent>
                </v:textbox>
                <w10:wrap type="square"/>
              </v:shape>
            </w:pict>
          </mc:Fallback>
        </mc:AlternateContent>
      </w:r>
      <w:r w:rsidR="00480737" w:rsidRPr="001F435A">
        <w:rPr>
          <w:rFonts w:eastAsia="Fira Sans Light" w:cs="Times New Roman"/>
          <w:szCs w:val="19"/>
          <w:shd w:val="clear" w:color="auto" w:fill="FFFFFF"/>
          <w:lang w:val="en-US"/>
        </w:rPr>
        <w:t xml:space="preserve">In </w:t>
      </w:r>
      <w:r w:rsidR="001F21B5" w:rsidRPr="001F435A">
        <w:rPr>
          <w:rFonts w:eastAsia="Fira Sans Light" w:cs="Times New Roman"/>
          <w:szCs w:val="19"/>
          <w:shd w:val="clear" w:color="auto" w:fill="FFFFFF"/>
          <w:lang w:val="en-US"/>
        </w:rPr>
        <w:t>the first quarter of 2021</w:t>
      </w:r>
      <w:r w:rsidR="006B6923" w:rsidRPr="001F435A">
        <w:rPr>
          <w:rFonts w:eastAsia="Fira Sans Light" w:cs="Times New Roman"/>
          <w:szCs w:val="19"/>
          <w:shd w:val="clear" w:color="auto" w:fill="FFFFFF"/>
          <w:lang w:val="en-US"/>
        </w:rPr>
        <w:t>, t</w:t>
      </w:r>
      <w:r w:rsidR="00480737" w:rsidRPr="001F435A">
        <w:rPr>
          <w:rFonts w:eastAsia="Fira Sans Light" w:cs="Times New Roman"/>
          <w:szCs w:val="19"/>
          <w:shd w:val="clear" w:color="auto" w:fill="FFFFFF"/>
          <w:lang w:val="en-US"/>
        </w:rPr>
        <w:t xml:space="preserve">he </w:t>
      </w:r>
      <w:r w:rsidR="0080530B" w:rsidRPr="001F435A">
        <w:rPr>
          <w:rFonts w:eastAsia="Fira Sans Light" w:cs="Times New Roman"/>
          <w:szCs w:val="19"/>
          <w:shd w:val="clear" w:color="auto" w:fill="FFFFFF"/>
          <w:lang w:val="en-US"/>
        </w:rPr>
        <w:t xml:space="preserve">highest increase of </w:t>
      </w:r>
      <w:r w:rsidR="00480737" w:rsidRPr="001F435A">
        <w:rPr>
          <w:rFonts w:eastAsia="Fira Sans Light" w:cs="Times New Roman"/>
          <w:szCs w:val="19"/>
          <w:shd w:val="clear" w:color="auto" w:fill="FFFFFF"/>
          <w:lang w:val="en-US"/>
        </w:rPr>
        <w:t xml:space="preserve">prices </w:t>
      </w:r>
      <w:r w:rsidR="0080530B" w:rsidRPr="001F435A">
        <w:rPr>
          <w:rFonts w:eastAsia="Fira Sans Light" w:cs="Times New Roman"/>
          <w:szCs w:val="19"/>
          <w:shd w:val="clear" w:color="auto" w:fill="FFFFFF"/>
          <w:lang w:val="en-US"/>
        </w:rPr>
        <w:t>was observed in the</w:t>
      </w:r>
      <w:r w:rsidR="00480737" w:rsidRPr="001F435A">
        <w:rPr>
          <w:rFonts w:eastAsia="Fira Sans Light" w:cs="Times New Roman"/>
          <w:szCs w:val="19"/>
          <w:shd w:val="clear" w:color="auto" w:fill="FFFFFF"/>
          <w:lang w:val="en-US"/>
        </w:rPr>
        <w:t xml:space="preserve"> </w:t>
      </w:r>
      <w:r w:rsidR="006B6923" w:rsidRPr="001F435A">
        <w:rPr>
          <w:szCs w:val="19"/>
          <w:lang w:val="en-US"/>
        </w:rPr>
        <w:t>security and investigation activities</w:t>
      </w:r>
      <w:r w:rsidR="001F21B5" w:rsidRPr="001F435A">
        <w:rPr>
          <w:rFonts w:eastAsia="Fira Sans Light" w:cs="Times New Roman"/>
          <w:szCs w:val="19"/>
          <w:shd w:val="clear" w:color="auto" w:fill="FFFFFF"/>
          <w:lang w:val="en-US"/>
        </w:rPr>
        <w:t>, i.e. by 6.3</w:t>
      </w:r>
      <w:r w:rsidR="006B6923" w:rsidRPr="001F435A">
        <w:rPr>
          <w:rFonts w:eastAsia="Fira Sans Light" w:cs="Times New Roman"/>
          <w:szCs w:val="19"/>
          <w:shd w:val="clear" w:color="auto" w:fill="FFFFFF"/>
          <w:lang w:val="en-US"/>
        </w:rPr>
        <w:t>% compared to the previous quarter</w:t>
      </w:r>
      <w:r w:rsidR="00557CDB" w:rsidRPr="001F435A">
        <w:rPr>
          <w:rFonts w:eastAsia="Fira Sans Light" w:cs="Times New Roman"/>
          <w:szCs w:val="19"/>
          <w:shd w:val="clear" w:color="auto" w:fill="FFFFFF"/>
          <w:lang w:val="en-US"/>
        </w:rPr>
        <w:t xml:space="preserve">. </w:t>
      </w:r>
      <w:r w:rsidR="00364857" w:rsidRPr="001F435A">
        <w:rPr>
          <w:rFonts w:eastAsia="Fira Sans Light" w:cs="Times New Roman"/>
          <w:szCs w:val="19"/>
          <w:shd w:val="clear" w:color="auto" w:fill="FFFFFF"/>
          <w:lang w:val="en-US"/>
        </w:rPr>
        <w:t>There has also been a significant increase in the prices of enterprises which provided services related to</w:t>
      </w:r>
      <w:r w:rsidR="00364857" w:rsidRPr="001F435A">
        <w:rPr>
          <w:szCs w:val="19"/>
          <w:lang w:val="en-US"/>
        </w:rPr>
        <w:t xml:space="preserve"> </w:t>
      </w:r>
      <w:r w:rsidR="00364857" w:rsidRPr="001F435A">
        <w:rPr>
          <w:rFonts w:eastAsia="Fira Sans Light" w:cs="Times New Roman"/>
          <w:szCs w:val="19"/>
          <w:shd w:val="clear" w:color="auto" w:fill="FFFFFF"/>
          <w:lang w:val="en-US"/>
        </w:rPr>
        <w:t>employment activities</w:t>
      </w:r>
      <w:r w:rsidR="009555D9" w:rsidRPr="001F435A">
        <w:rPr>
          <w:rFonts w:eastAsia="Fira Sans Light" w:cs="Times New Roman"/>
          <w:szCs w:val="19"/>
          <w:shd w:val="clear" w:color="auto" w:fill="FFFFFF"/>
          <w:lang w:val="en"/>
        </w:rPr>
        <w:t xml:space="preserve">. </w:t>
      </w:r>
      <w:r w:rsidR="00364857" w:rsidRPr="001F435A">
        <w:rPr>
          <w:rFonts w:eastAsia="Fira Sans Light" w:cs="Times New Roman"/>
          <w:szCs w:val="19"/>
          <w:shd w:val="clear" w:color="auto" w:fill="FFFFFF"/>
          <w:lang w:val="en-US"/>
        </w:rPr>
        <w:t xml:space="preserve">In comparison with the fourth quarter of 2020 they increased by 3.3%. </w:t>
      </w:r>
      <w:r w:rsidR="009555D9" w:rsidRPr="001F435A">
        <w:rPr>
          <w:rFonts w:eastAsia="Fira Sans Light" w:cs="Times New Roman"/>
          <w:szCs w:val="19"/>
          <w:shd w:val="clear" w:color="auto" w:fill="FFFFFF"/>
          <w:lang w:val="en-US"/>
        </w:rPr>
        <w:t>A higher increase</w:t>
      </w:r>
      <w:r w:rsidR="0080530B" w:rsidRPr="001F435A">
        <w:rPr>
          <w:rFonts w:eastAsia="Fira Sans Light" w:cs="Times New Roman"/>
          <w:szCs w:val="19"/>
          <w:shd w:val="clear" w:color="auto" w:fill="FFFFFF"/>
          <w:lang w:val="en-US"/>
        </w:rPr>
        <w:t xml:space="preserve"> in the prices </w:t>
      </w:r>
      <w:r w:rsidR="009555D9" w:rsidRPr="001F435A">
        <w:rPr>
          <w:rFonts w:eastAsia="Fira Sans Light" w:cs="Times New Roman"/>
          <w:szCs w:val="19"/>
          <w:shd w:val="clear" w:color="auto" w:fill="FFFFFF"/>
          <w:lang w:val="en-US"/>
        </w:rPr>
        <w:t xml:space="preserve">was also observed </w:t>
      </w:r>
      <w:r w:rsidR="009555D9" w:rsidRPr="00816AB1">
        <w:rPr>
          <w:rFonts w:eastAsia="Fira Sans Light" w:cs="Times New Roman"/>
          <w:szCs w:val="19"/>
          <w:shd w:val="clear" w:color="auto" w:fill="FFFFFF"/>
          <w:lang w:val="en-US"/>
        </w:rPr>
        <w:t xml:space="preserve">in the case of services related to </w:t>
      </w:r>
      <w:r w:rsidR="00B46B42" w:rsidRPr="00816AB1">
        <w:rPr>
          <w:szCs w:val="19"/>
          <w:lang w:val="en-US"/>
        </w:rPr>
        <w:t>bui</w:t>
      </w:r>
      <w:r w:rsidR="001F40E2" w:rsidRPr="00816AB1">
        <w:rPr>
          <w:szCs w:val="19"/>
          <w:lang w:val="en-US"/>
        </w:rPr>
        <w:t xml:space="preserve">ldings and landscape activities, </w:t>
      </w:r>
      <w:r w:rsidR="001F40E2" w:rsidRPr="00816AB1">
        <w:rPr>
          <w:rFonts w:eastAsia="Fira Sans Light" w:cs="Times New Roman"/>
          <w:szCs w:val="19"/>
          <w:shd w:val="clear" w:color="auto" w:fill="FFFFFF"/>
          <w:lang w:val="en-US"/>
        </w:rPr>
        <w:t xml:space="preserve">which increased by 2.8% compared to the previous quarter. </w:t>
      </w:r>
      <w:r w:rsidR="001357F2" w:rsidRPr="00816AB1">
        <w:rPr>
          <w:rFonts w:eastAsia="Fira Sans Light" w:cs="Times New Roman"/>
          <w:szCs w:val="19"/>
          <w:shd w:val="clear" w:color="auto" w:fill="FFFFFF"/>
          <w:lang w:val="en-US"/>
        </w:rPr>
        <w:t xml:space="preserve">The most frequently mentioned reason for the increase in the prices of services was the increase in the costs of their provision, which resulted from the increase in employees' wages and salaries, including in particular the increase in the minimum wage. </w:t>
      </w:r>
    </w:p>
    <w:p w:rsidR="004679C3" w:rsidRPr="00816AB1" w:rsidRDefault="004679C3" w:rsidP="004679C3">
      <w:pPr>
        <w:rPr>
          <w:color w:val="000000" w:themeColor="text1"/>
          <w:szCs w:val="19"/>
          <w:lang w:val="en-US"/>
        </w:rPr>
      </w:pPr>
      <w:r w:rsidRPr="00816AB1">
        <w:rPr>
          <w:color w:val="000000" w:themeColor="text1"/>
          <w:szCs w:val="19"/>
          <w:lang w:val="en"/>
        </w:rPr>
        <w:t xml:space="preserve">Compared to the first quarter of 2020, the </w:t>
      </w:r>
      <w:r w:rsidR="00714056" w:rsidRPr="00816AB1">
        <w:rPr>
          <w:color w:val="000000" w:themeColor="text1"/>
          <w:szCs w:val="19"/>
          <w:lang w:val="en"/>
        </w:rPr>
        <w:t>highest</w:t>
      </w:r>
      <w:r w:rsidRPr="00816AB1">
        <w:rPr>
          <w:color w:val="000000" w:themeColor="text1"/>
          <w:szCs w:val="19"/>
          <w:lang w:val="en"/>
        </w:rPr>
        <w:t xml:space="preserve"> increases</w:t>
      </w:r>
      <w:r w:rsidR="00714056" w:rsidRPr="00816AB1">
        <w:rPr>
          <w:color w:val="000000" w:themeColor="text1"/>
          <w:szCs w:val="19"/>
          <w:lang w:val="en"/>
        </w:rPr>
        <w:t xml:space="preserve"> of prices</w:t>
      </w:r>
      <w:r w:rsidRPr="00816AB1">
        <w:rPr>
          <w:color w:val="000000" w:themeColor="text1"/>
          <w:szCs w:val="19"/>
          <w:lang w:val="en"/>
        </w:rPr>
        <w:t xml:space="preserve"> in the first quarter 2021 occurred in the same </w:t>
      </w:r>
      <w:r w:rsidR="00B0383F">
        <w:rPr>
          <w:szCs w:val="19"/>
          <w:lang w:val="en"/>
        </w:rPr>
        <w:t>type</w:t>
      </w:r>
      <w:r w:rsidR="00172EA7" w:rsidRPr="00172EA7">
        <w:rPr>
          <w:szCs w:val="19"/>
          <w:lang w:val="en"/>
        </w:rPr>
        <w:t xml:space="preserve">s of </w:t>
      </w:r>
      <w:r w:rsidRPr="00816AB1">
        <w:rPr>
          <w:color w:val="000000" w:themeColor="text1"/>
          <w:szCs w:val="19"/>
          <w:lang w:val="en"/>
        </w:rPr>
        <w:t>service</w:t>
      </w:r>
      <w:r w:rsidR="00B0383F">
        <w:rPr>
          <w:color w:val="000000" w:themeColor="text1"/>
          <w:szCs w:val="19"/>
          <w:lang w:val="en"/>
        </w:rPr>
        <w:t xml:space="preserve"> activities.</w:t>
      </w:r>
      <w:r w:rsidR="00DB5DD0" w:rsidRPr="00816AB1">
        <w:rPr>
          <w:color w:val="000000" w:themeColor="text1"/>
          <w:szCs w:val="19"/>
          <w:lang w:val="en"/>
        </w:rPr>
        <w:t xml:space="preserve"> </w:t>
      </w:r>
      <w:r w:rsidR="00DB5DD0" w:rsidRPr="00816AB1">
        <w:rPr>
          <w:rFonts w:eastAsia="Fira Sans Light" w:cs="Times New Roman"/>
          <w:color w:val="000000" w:themeColor="text1"/>
          <w:szCs w:val="19"/>
          <w:shd w:val="clear" w:color="auto" w:fill="FFFFFF"/>
          <w:lang w:val="en"/>
        </w:rPr>
        <w:t xml:space="preserve">There was an increase in prices of </w:t>
      </w:r>
      <w:r w:rsidRPr="00816AB1">
        <w:rPr>
          <w:color w:val="000000" w:themeColor="text1"/>
          <w:szCs w:val="19"/>
          <w:lang w:val="en"/>
        </w:rPr>
        <w:t xml:space="preserve">services </w:t>
      </w:r>
      <w:r w:rsidRPr="00816AB1">
        <w:rPr>
          <w:rFonts w:eastAsia="Fira Sans Light" w:cs="Times New Roman"/>
          <w:color w:val="000000" w:themeColor="text1"/>
          <w:szCs w:val="19"/>
          <w:shd w:val="clear" w:color="auto" w:fill="FFFFFF"/>
          <w:lang w:val="en-US"/>
        </w:rPr>
        <w:t>related to</w:t>
      </w:r>
      <w:r w:rsidRPr="00816AB1">
        <w:rPr>
          <w:color w:val="000000" w:themeColor="text1"/>
          <w:szCs w:val="19"/>
          <w:lang w:val="en-US"/>
        </w:rPr>
        <w:t xml:space="preserve"> security and investigation activities</w:t>
      </w:r>
      <w:r w:rsidR="00DB5DD0" w:rsidRPr="00816AB1">
        <w:rPr>
          <w:color w:val="000000" w:themeColor="text1"/>
          <w:szCs w:val="19"/>
          <w:lang w:val="en-US"/>
        </w:rPr>
        <w:t xml:space="preserve"> by </w:t>
      </w:r>
      <w:r w:rsidR="00DB5DD0" w:rsidRPr="00816AB1">
        <w:rPr>
          <w:color w:val="000000" w:themeColor="text1"/>
          <w:szCs w:val="19"/>
          <w:lang w:val="en"/>
        </w:rPr>
        <w:t xml:space="preserve">7.4%, </w:t>
      </w:r>
      <w:r w:rsidRPr="00816AB1">
        <w:rPr>
          <w:color w:val="000000" w:themeColor="text1"/>
          <w:szCs w:val="19"/>
          <w:lang w:val="en-US"/>
        </w:rPr>
        <w:t>buildings and landscape activities</w:t>
      </w:r>
      <w:r w:rsidR="00DB5DD0" w:rsidRPr="00816AB1">
        <w:rPr>
          <w:color w:val="000000" w:themeColor="text1"/>
          <w:szCs w:val="19"/>
          <w:lang w:val="en"/>
        </w:rPr>
        <w:t xml:space="preserve"> by 4.7% </w:t>
      </w:r>
      <w:r w:rsidRPr="00816AB1">
        <w:rPr>
          <w:color w:val="000000" w:themeColor="text1"/>
          <w:szCs w:val="19"/>
          <w:lang w:val="en"/>
        </w:rPr>
        <w:t xml:space="preserve"> whereas the prices of </w:t>
      </w:r>
      <w:r w:rsidRPr="00816AB1">
        <w:rPr>
          <w:rFonts w:eastAsia="Fira Sans Light" w:cs="Times New Roman"/>
          <w:color w:val="000000" w:themeColor="text1"/>
          <w:szCs w:val="19"/>
          <w:shd w:val="clear" w:color="auto" w:fill="FFFFFF"/>
          <w:lang w:val="en-US"/>
        </w:rPr>
        <w:t>employment activities</w:t>
      </w:r>
      <w:r w:rsidRPr="00816AB1">
        <w:rPr>
          <w:color w:val="000000" w:themeColor="text1"/>
          <w:szCs w:val="19"/>
          <w:lang w:val="en"/>
        </w:rPr>
        <w:t xml:space="preserve"> </w:t>
      </w:r>
      <w:r w:rsidR="00DB5DD0" w:rsidRPr="00816AB1">
        <w:rPr>
          <w:color w:val="000000" w:themeColor="text1"/>
          <w:szCs w:val="19"/>
          <w:lang w:val="en"/>
        </w:rPr>
        <w:t xml:space="preserve">rose by 4.2%. </w:t>
      </w:r>
    </w:p>
    <w:p w:rsidR="002D4079" w:rsidRDefault="00ED7B23" w:rsidP="00DD2D9F">
      <w:pPr>
        <w:rPr>
          <w:rFonts w:eastAsia="Fira Sans Light" w:cs="Times New Roman"/>
          <w:color w:val="FF0000"/>
          <w:shd w:val="clear" w:color="auto" w:fill="FFFFFF"/>
          <w:lang w:val="en"/>
        </w:rPr>
      </w:pPr>
      <w:r w:rsidRPr="003E0647">
        <w:rPr>
          <w:rFonts w:eastAsia="Fira Sans Light" w:cs="Times New Roman"/>
          <w:shd w:val="clear" w:color="auto" w:fill="FFFFFF"/>
          <w:lang w:val="en-US"/>
        </w:rPr>
        <w:t>Compared to the fourth quarter of 20</w:t>
      </w:r>
      <w:r w:rsidR="004B03AF">
        <w:rPr>
          <w:rFonts w:eastAsia="Fira Sans Light" w:cs="Times New Roman"/>
          <w:shd w:val="clear" w:color="auto" w:fill="FFFFFF"/>
          <w:lang w:val="en-US"/>
        </w:rPr>
        <w:t>20</w:t>
      </w:r>
      <w:r w:rsidRPr="003E0647">
        <w:rPr>
          <w:rFonts w:eastAsia="Fira Sans Light" w:cs="Times New Roman"/>
          <w:shd w:val="clear" w:color="auto" w:fill="FFFFFF"/>
          <w:lang w:val="en-US"/>
        </w:rPr>
        <w:t xml:space="preserve">, </w:t>
      </w:r>
      <w:r w:rsidR="004B03AF">
        <w:rPr>
          <w:rFonts w:eastAsia="Fira Sans Light" w:cs="Times New Roman"/>
          <w:shd w:val="clear" w:color="auto" w:fill="FFFFFF"/>
          <w:lang w:val="en-US"/>
        </w:rPr>
        <w:t xml:space="preserve">the highest </w:t>
      </w:r>
      <w:r w:rsidR="00453BAB">
        <w:rPr>
          <w:rFonts w:eastAsia="Fira Sans Light" w:cs="Times New Roman"/>
          <w:shd w:val="clear" w:color="auto" w:fill="FFFFFF"/>
          <w:lang w:val="en-US"/>
        </w:rPr>
        <w:t xml:space="preserve">price decrease was recorded for </w:t>
      </w:r>
      <w:r w:rsidR="00453BAB" w:rsidRPr="00453BAB">
        <w:rPr>
          <w:rFonts w:eastAsia="Fira Sans Light" w:cs="Times New Roman"/>
          <w:szCs w:val="19"/>
          <w:shd w:val="clear" w:color="auto" w:fill="FFFFFF"/>
          <w:lang w:val="en-US"/>
        </w:rPr>
        <w:t>p</w:t>
      </w:r>
      <w:r w:rsidR="00453BAB" w:rsidRPr="00453BAB">
        <w:rPr>
          <w:szCs w:val="19"/>
          <w:lang w:val="en-US"/>
        </w:rPr>
        <w:t>rogramming and broadcasting activities</w:t>
      </w:r>
      <w:r w:rsidR="00453BAB" w:rsidRPr="003E0647">
        <w:rPr>
          <w:rFonts w:eastAsia="Fira Sans Light" w:cs="Times New Roman"/>
          <w:shd w:val="clear" w:color="auto" w:fill="FFFFFF"/>
          <w:lang w:val="en-US"/>
        </w:rPr>
        <w:t xml:space="preserve"> </w:t>
      </w:r>
      <w:r w:rsidRPr="003E0647">
        <w:rPr>
          <w:rFonts w:eastAsia="Fira Sans Light" w:cs="Times New Roman"/>
          <w:shd w:val="clear" w:color="auto" w:fill="FFFFFF"/>
          <w:lang w:val="en-US"/>
        </w:rPr>
        <w:t xml:space="preserve">(by </w:t>
      </w:r>
      <w:r w:rsidR="00453BAB">
        <w:rPr>
          <w:rFonts w:eastAsia="Fira Sans Light" w:cs="Times New Roman"/>
          <w:shd w:val="clear" w:color="auto" w:fill="FFFFFF"/>
          <w:lang w:val="en-US"/>
        </w:rPr>
        <w:t>6.0</w:t>
      </w:r>
      <w:r w:rsidRPr="003E0647">
        <w:rPr>
          <w:rFonts w:eastAsia="Fira Sans Light" w:cs="Times New Roman"/>
          <w:shd w:val="clear" w:color="auto" w:fill="FFFFFF"/>
          <w:lang w:val="en-US"/>
        </w:rPr>
        <w:t xml:space="preserve">%), </w:t>
      </w:r>
      <w:r w:rsidR="008D0BB9" w:rsidRPr="00AC42C3">
        <w:rPr>
          <w:rFonts w:eastAsia="Fira Sans Light" w:cs="Times New Roman"/>
          <w:shd w:val="clear" w:color="auto" w:fill="FFFFFF"/>
          <w:lang w:val="en"/>
        </w:rPr>
        <w:t xml:space="preserve">which was mainly related to a decrease in the prices of </w:t>
      </w:r>
      <w:r w:rsidR="002D4079" w:rsidRPr="00AC42C3">
        <w:rPr>
          <w:rFonts w:eastAsia="Fira Sans Light" w:cs="Times New Roman"/>
          <w:shd w:val="clear" w:color="auto" w:fill="FFFFFF"/>
          <w:lang w:val="en"/>
        </w:rPr>
        <w:t xml:space="preserve">television </w:t>
      </w:r>
      <w:r w:rsidR="008D0BB9" w:rsidRPr="00AC42C3">
        <w:rPr>
          <w:rFonts w:eastAsia="Fira Sans Light" w:cs="Times New Roman"/>
          <w:shd w:val="clear" w:color="auto" w:fill="FFFFFF"/>
          <w:lang w:val="en"/>
        </w:rPr>
        <w:t>advertising time and space.</w:t>
      </w:r>
      <w:r w:rsidR="00DD2D9F" w:rsidRPr="00AC42C3">
        <w:rPr>
          <w:rFonts w:eastAsia="Fira Sans Light" w:cs="Times New Roman"/>
          <w:shd w:val="clear" w:color="auto" w:fill="FFFFFF"/>
          <w:lang w:val="en"/>
        </w:rPr>
        <w:t xml:space="preserve"> Services related to the </w:t>
      </w:r>
      <w:r w:rsidR="00EA5300" w:rsidRPr="00AC42C3">
        <w:rPr>
          <w:szCs w:val="19"/>
          <w:lang w:val="en-US"/>
        </w:rPr>
        <w:t xml:space="preserve">motion picture, video and television </w:t>
      </w:r>
      <w:proofErr w:type="spellStart"/>
      <w:r w:rsidR="00EA5300" w:rsidRPr="00AC42C3">
        <w:rPr>
          <w:szCs w:val="19"/>
          <w:lang w:val="en-US"/>
        </w:rPr>
        <w:t>programme</w:t>
      </w:r>
      <w:proofErr w:type="spellEnd"/>
      <w:r w:rsidR="00EA5300" w:rsidRPr="00AC42C3">
        <w:rPr>
          <w:szCs w:val="19"/>
          <w:lang w:val="en-US"/>
        </w:rPr>
        <w:t xml:space="preserve"> production, sound recording and music publishing activities</w:t>
      </w:r>
      <w:r w:rsidR="00EA5300" w:rsidRPr="00AC42C3">
        <w:rPr>
          <w:rFonts w:eastAsia="Fira Sans Light" w:cs="Times New Roman"/>
          <w:sz w:val="18"/>
          <w:szCs w:val="18"/>
          <w:shd w:val="clear" w:color="auto" w:fill="FFFFFF"/>
          <w:lang w:val="en-US"/>
        </w:rPr>
        <w:t xml:space="preserve"> </w:t>
      </w:r>
      <w:r w:rsidR="00DD2D9F" w:rsidRPr="00AC42C3">
        <w:rPr>
          <w:rFonts w:eastAsia="Fira Sans Light" w:cs="Times New Roman"/>
          <w:sz w:val="18"/>
          <w:szCs w:val="18"/>
          <w:shd w:val="clear" w:color="auto" w:fill="FFFFFF"/>
          <w:lang w:val="en"/>
        </w:rPr>
        <w:t>a</w:t>
      </w:r>
      <w:r w:rsidR="00DD2D9F" w:rsidRPr="00AC42C3">
        <w:rPr>
          <w:rFonts w:eastAsia="Fira Sans Light" w:cs="Times New Roman"/>
          <w:shd w:val="clear" w:color="auto" w:fill="FFFFFF"/>
          <w:lang w:val="en"/>
        </w:rPr>
        <w:t xml:space="preserve">lso declined (by 2.7%) due to a decrease in the prices of </w:t>
      </w:r>
      <w:r w:rsidR="00EA5300" w:rsidRPr="00AC42C3">
        <w:rPr>
          <w:rFonts w:eastAsia="Fira Sans Light" w:cs="Times New Roman"/>
          <w:color w:val="000000" w:themeColor="text1"/>
          <w:shd w:val="clear" w:color="auto" w:fill="FFFFFF"/>
          <w:lang w:val="en"/>
        </w:rPr>
        <w:t xml:space="preserve">services concerning </w:t>
      </w:r>
      <w:r w:rsidR="00EA5300" w:rsidRPr="00AC42C3">
        <w:rPr>
          <w:rFonts w:eastAsia="Times New Roman" w:cs="Calibri"/>
          <w:color w:val="000000" w:themeColor="text1"/>
          <w:szCs w:val="19"/>
          <w:lang w:val="en-US" w:eastAsia="pl-PL"/>
        </w:rPr>
        <w:t xml:space="preserve">motion picture, video and television </w:t>
      </w:r>
      <w:proofErr w:type="spellStart"/>
      <w:r w:rsidR="00EA5300" w:rsidRPr="00AC42C3">
        <w:rPr>
          <w:rFonts w:eastAsia="Times New Roman" w:cs="Calibri"/>
          <w:color w:val="000000" w:themeColor="text1"/>
          <w:szCs w:val="19"/>
          <w:lang w:val="en-US" w:eastAsia="pl-PL"/>
        </w:rPr>
        <w:t>programme</w:t>
      </w:r>
      <w:proofErr w:type="spellEnd"/>
      <w:r w:rsidR="00EA5300" w:rsidRPr="00AC42C3">
        <w:rPr>
          <w:rFonts w:eastAsia="Times New Roman" w:cs="Calibri"/>
          <w:color w:val="000000" w:themeColor="text1"/>
          <w:szCs w:val="19"/>
          <w:lang w:val="en-US" w:eastAsia="pl-PL"/>
        </w:rPr>
        <w:t xml:space="preserve"> </w:t>
      </w:r>
      <w:bookmarkStart w:id="0" w:name="_GoBack"/>
      <w:bookmarkEnd w:id="0"/>
      <w:r w:rsidR="00EA5300" w:rsidRPr="00AC42C3">
        <w:rPr>
          <w:rFonts w:eastAsia="Times New Roman" w:cs="Calibri"/>
          <w:color w:val="000000" w:themeColor="text1"/>
          <w:szCs w:val="19"/>
          <w:lang w:val="en-US" w:eastAsia="pl-PL"/>
        </w:rPr>
        <w:t>and distribution activities,</w:t>
      </w:r>
      <w:r w:rsidR="00EA5300" w:rsidRPr="00AC42C3">
        <w:rPr>
          <w:rFonts w:eastAsia="Fira Sans Light" w:cs="Times New Roman"/>
          <w:color w:val="000000" w:themeColor="text1"/>
          <w:shd w:val="clear" w:color="auto" w:fill="FFFFFF"/>
          <w:lang w:val="en"/>
        </w:rPr>
        <w:t xml:space="preserve"> which are components of that activities (the prices decrease concerning the distribution of motion pictures).</w:t>
      </w:r>
    </w:p>
    <w:p w:rsidR="001F21B5" w:rsidRPr="001F21B5" w:rsidRDefault="00DD2D9F" w:rsidP="001F21B5">
      <w:pPr>
        <w:rPr>
          <w:rFonts w:eastAsia="Fira Sans Light" w:cs="Times New Roman"/>
          <w:color w:val="FF0000"/>
          <w:shd w:val="clear" w:color="auto" w:fill="FFFFFF"/>
          <w:lang w:val="en-US"/>
        </w:rPr>
      </w:pPr>
      <w:r w:rsidRPr="00816AB1">
        <w:rPr>
          <w:rFonts w:eastAsia="Fira Sans Light" w:cs="Times New Roman"/>
          <w:shd w:val="clear" w:color="auto" w:fill="FFFFFF"/>
          <w:lang w:val="en"/>
        </w:rPr>
        <w:t xml:space="preserve">Compared to the same quarter of the previous year, the </w:t>
      </w:r>
      <w:r w:rsidR="00AC42C3" w:rsidRPr="00816AB1">
        <w:rPr>
          <w:rFonts w:eastAsia="Fira Sans Light" w:cs="Times New Roman"/>
          <w:shd w:val="clear" w:color="auto" w:fill="FFFFFF"/>
          <w:lang w:val="en-US"/>
        </w:rPr>
        <w:t xml:space="preserve">biggest drop </w:t>
      </w:r>
      <w:r w:rsidRPr="00816AB1">
        <w:rPr>
          <w:rFonts w:eastAsia="Fira Sans Light" w:cs="Times New Roman"/>
          <w:shd w:val="clear" w:color="auto" w:fill="FFFFFF"/>
          <w:lang w:val="en"/>
        </w:rPr>
        <w:t xml:space="preserve">in </w:t>
      </w:r>
      <w:r w:rsidR="00AC42C3" w:rsidRPr="00816AB1">
        <w:rPr>
          <w:rFonts w:eastAsia="Fira Sans Light" w:cs="Times New Roman"/>
          <w:shd w:val="clear" w:color="auto" w:fill="FFFFFF"/>
          <w:lang w:val="en"/>
        </w:rPr>
        <w:t xml:space="preserve">the first quarter </w:t>
      </w:r>
      <w:r w:rsidRPr="00816AB1">
        <w:rPr>
          <w:rFonts w:eastAsia="Fira Sans Light" w:cs="Times New Roman"/>
          <w:shd w:val="clear" w:color="auto" w:fill="FFFFFF"/>
          <w:lang w:val="en"/>
        </w:rPr>
        <w:t xml:space="preserve"> 2021 was recorded in the case of </w:t>
      </w:r>
      <w:r w:rsidRPr="00816AB1">
        <w:rPr>
          <w:szCs w:val="19"/>
          <w:lang w:val="en-US"/>
        </w:rPr>
        <w:t>travel agency, tour operator and over reservation service and related activities</w:t>
      </w:r>
      <w:r w:rsidR="002F5AE3" w:rsidRPr="00816AB1">
        <w:rPr>
          <w:rFonts w:eastAsia="Fira Sans Light" w:cs="Times New Roman"/>
          <w:szCs w:val="19"/>
          <w:shd w:val="clear" w:color="auto" w:fill="FFFFFF"/>
          <w:lang w:val="en"/>
        </w:rPr>
        <w:t xml:space="preserve"> </w:t>
      </w:r>
      <w:r w:rsidR="002F5AE3" w:rsidRPr="00816AB1">
        <w:rPr>
          <w:rFonts w:eastAsia="Fira Sans Light" w:cs="Times New Roman"/>
          <w:shd w:val="clear" w:color="auto" w:fill="FFFFFF"/>
          <w:lang w:val="en"/>
        </w:rPr>
        <w:t>(by 8.2%).</w:t>
      </w:r>
      <w:r w:rsidR="00816AB1">
        <w:rPr>
          <w:rFonts w:eastAsia="Fira Sans Light" w:cs="Times New Roman"/>
          <w:shd w:val="clear" w:color="auto" w:fill="FFFFFF"/>
          <w:lang w:val="en"/>
        </w:rPr>
        <w:t xml:space="preserve"> </w:t>
      </w:r>
      <w:r w:rsidR="001F21B5" w:rsidRPr="00816AB1">
        <w:rPr>
          <w:rFonts w:eastAsia="Fira Sans Light" w:cs="Times New Roman"/>
          <w:szCs w:val="19"/>
          <w:shd w:val="clear" w:color="auto" w:fill="FFFFFF"/>
          <w:lang w:val="en"/>
        </w:rPr>
        <w:t xml:space="preserve">There were also significant declines in </w:t>
      </w:r>
      <w:r w:rsidR="00816AB1">
        <w:rPr>
          <w:szCs w:val="19"/>
          <w:lang w:val="en-US"/>
        </w:rPr>
        <w:t>p</w:t>
      </w:r>
      <w:r w:rsidR="00816AB1" w:rsidRPr="00816AB1">
        <w:rPr>
          <w:szCs w:val="19"/>
          <w:lang w:val="en-US"/>
        </w:rPr>
        <w:t>rogramming and broadcasting activities</w:t>
      </w:r>
      <w:r w:rsidR="00816AB1" w:rsidRPr="00816AB1">
        <w:rPr>
          <w:rFonts w:eastAsia="Fira Sans Light" w:cs="Times New Roman"/>
          <w:szCs w:val="19"/>
          <w:shd w:val="clear" w:color="auto" w:fill="FFFFFF"/>
          <w:lang w:val="en"/>
        </w:rPr>
        <w:t xml:space="preserve"> </w:t>
      </w:r>
      <w:r w:rsidR="001F21B5" w:rsidRPr="00816AB1">
        <w:rPr>
          <w:rFonts w:eastAsia="Fira Sans Light" w:cs="Times New Roman"/>
          <w:szCs w:val="19"/>
          <w:shd w:val="clear" w:color="auto" w:fill="FFFFFF"/>
          <w:lang w:val="en"/>
        </w:rPr>
        <w:t>(by 4.</w:t>
      </w:r>
      <w:r w:rsidR="00816AB1">
        <w:rPr>
          <w:rFonts w:eastAsia="Fira Sans Light" w:cs="Times New Roman"/>
          <w:szCs w:val="19"/>
          <w:shd w:val="clear" w:color="auto" w:fill="FFFFFF"/>
          <w:lang w:val="en"/>
        </w:rPr>
        <w:t>2%) and services related to</w:t>
      </w:r>
      <w:r w:rsidR="001F21B5" w:rsidRPr="00816AB1">
        <w:rPr>
          <w:rFonts w:eastAsia="Fira Sans Light" w:cs="Times New Roman"/>
          <w:szCs w:val="19"/>
          <w:shd w:val="clear" w:color="auto" w:fill="FFFFFF"/>
          <w:lang w:val="en"/>
        </w:rPr>
        <w:t xml:space="preserve"> </w:t>
      </w:r>
      <w:r w:rsidR="00816AB1" w:rsidRPr="00816AB1">
        <w:rPr>
          <w:szCs w:val="19"/>
          <w:lang w:val="en-US"/>
        </w:rPr>
        <w:t xml:space="preserve">motion picture, video and television </w:t>
      </w:r>
      <w:proofErr w:type="spellStart"/>
      <w:r w:rsidR="00816AB1" w:rsidRPr="00816AB1">
        <w:rPr>
          <w:szCs w:val="19"/>
          <w:lang w:val="en-US"/>
        </w:rPr>
        <w:t>programme</w:t>
      </w:r>
      <w:proofErr w:type="spellEnd"/>
      <w:r w:rsidR="00816AB1" w:rsidRPr="00816AB1">
        <w:rPr>
          <w:szCs w:val="19"/>
          <w:lang w:val="en-US"/>
        </w:rPr>
        <w:t xml:space="preserve"> production, sound recording and music publishing activities</w:t>
      </w:r>
      <w:r w:rsidR="00816AB1" w:rsidRPr="00816AB1">
        <w:rPr>
          <w:rFonts w:eastAsia="Fira Sans Light" w:cs="Times New Roman"/>
          <w:szCs w:val="19"/>
          <w:shd w:val="clear" w:color="auto" w:fill="FFFFFF"/>
          <w:lang w:val="en"/>
        </w:rPr>
        <w:t xml:space="preserve"> </w:t>
      </w:r>
      <w:r w:rsidR="001F21B5" w:rsidRPr="00816AB1">
        <w:rPr>
          <w:rFonts w:eastAsia="Fira Sans Light" w:cs="Times New Roman"/>
          <w:szCs w:val="19"/>
          <w:shd w:val="clear" w:color="auto" w:fill="FFFFFF"/>
          <w:lang w:val="en"/>
        </w:rPr>
        <w:t>(by 4.0%).</w:t>
      </w:r>
    </w:p>
    <w:p w:rsidR="000C326A" w:rsidRPr="008C72E0" w:rsidRDefault="000C326A" w:rsidP="00ED7B23">
      <w:pPr>
        <w:rPr>
          <w:rFonts w:eastAsia="Fira Sans Light" w:cs="Times New Roman"/>
          <w:shd w:val="clear" w:color="auto" w:fill="FFFFFF"/>
          <w:lang w:val="en-US"/>
        </w:rPr>
      </w:pPr>
    </w:p>
    <w:p w:rsidR="00CA1085" w:rsidRPr="008C72E0" w:rsidRDefault="00CA1085" w:rsidP="00CA1085">
      <w:pPr>
        <w:ind w:left="851" w:hanging="851"/>
        <w:jc w:val="both"/>
        <w:rPr>
          <w:b/>
          <w:spacing w:val="-2"/>
          <w:sz w:val="18"/>
          <w:lang w:val="en-US"/>
        </w:rPr>
      </w:pPr>
      <w:r w:rsidRPr="008C72E0">
        <w:rPr>
          <w:b/>
          <w:spacing w:val="-2"/>
          <w:sz w:val="18"/>
          <w:lang w:val="en-US"/>
        </w:rPr>
        <w:t xml:space="preserve">Chart 1. </w:t>
      </w:r>
      <w:r w:rsidR="00AA1BB8" w:rsidRPr="008C72E0">
        <w:rPr>
          <w:b/>
          <w:spacing w:val="-2"/>
          <w:sz w:val="18"/>
          <w:lang w:val="en-US"/>
        </w:rPr>
        <w:t>Producer p</w:t>
      </w:r>
      <w:r w:rsidRPr="008C72E0">
        <w:rPr>
          <w:b/>
          <w:spacing w:val="-2"/>
          <w:sz w:val="18"/>
          <w:lang w:val="en-US"/>
        </w:rPr>
        <w:t>rice chan</w:t>
      </w:r>
      <w:r w:rsidR="00816AB1" w:rsidRPr="008C72E0">
        <w:rPr>
          <w:b/>
          <w:spacing w:val="-2"/>
          <w:sz w:val="18"/>
          <w:lang w:val="en-US"/>
        </w:rPr>
        <w:t>ges of business services in 2018-2021</w:t>
      </w:r>
      <w:r w:rsidRPr="008C72E0">
        <w:rPr>
          <w:b/>
          <w:spacing w:val="-2"/>
          <w:sz w:val="18"/>
          <w:lang w:val="en-US"/>
        </w:rPr>
        <w:t xml:space="preserve"> (change in % compared with the previous quarter) </w:t>
      </w:r>
    </w:p>
    <w:p w:rsidR="003E0647" w:rsidRDefault="008C72E0">
      <w:pPr>
        <w:spacing w:before="0" w:after="160" w:line="259" w:lineRule="auto"/>
        <w:rPr>
          <w:b/>
          <w:spacing w:val="-2"/>
          <w:sz w:val="18"/>
          <w:lang w:val="en-US"/>
        </w:rPr>
      </w:pPr>
      <w:r>
        <w:rPr>
          <w:noProof/>
          <w:lang w:eastAsia="pl-PL"/>
        </w:rPr>
        <w:drawing>
          <wp:inline distT="0" distB="0" distL="0" distR="0" wp14:anchorId="3DF83459" wp14:editId="32A94B7C">
            <wp:extent cx="5212080" cy="2617470"/>
            <wp:effectExtent l="0" t="0" r="762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E0647">
        <w:rPr>
          <w:b/>
          <w:spacing w:val="-2"/>
          <w:sz w:val="18"/>
          <w:lang w:val="en-US"/>
        </w:rPr>
        <w:br w:type="page"/>
      </w:r>
    </w:p>
    <w:p w:rsidR="00CA1085" w:rsidRDefault="008C72E0" w:rsidP="00CA1085">
      <w:pPr>
        <w:ind w:left="851" w:hanging="851"/>
        <w:jc w:val="both"/>
        <w:rPr>
          <w:b/>
          <w:spacing w:val="-2"/>
          <w:sz w:val="18"/>
          <w:lang w:val="en-US"/>
        </w:rPr>
      </w:pPr>
      <w:r>
        <w:rPr>
          <w:noProof/>
          <w:lang w:eastAsia="pl-PL"/>
        </w:rPr>
        <w:lastRenderedPageBreak/>
        <w:drawing>
          <wp:anchor distT="0" distB="0" distL="114300" distR="114300" simplePos="0" relativeHeight="251662848" behindDoc="0" locked="0" layoutInCell="1" allowOverlap="1">
            <wp:simplePos x="0" y="0"/>
            <wp:positionH relativeFrom="column">
              <wp:posOffset>0</wp:posOffset>
            </wp:positionH>
            <wp:positionV relativeFrom="paragraph">
              <wp:posOffset>459740</wp:posOffset>
            </wp:positionV>
            <wp:extent cx="5212080" cy="2788920"/>
            <wp:effectExtent l="0" t="0" r="7620" b="0"/>
            <wp:wrapTopAndBottom/>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CA1085" w:rsidRPr="00ED7B23">
        <w:rPr>
          <w:b/>
          <w:spacing w:val="-2"/>
          <w:sz w:val="18"/>
          <w:lang w:val="en-US"/>
        </w:rPr>
        <w:t>Chart 2</w:t>
      </w:r>
      <w:r w:rsidR="00CA1085" w:rsidRPr="00B67C40">
        <w:rPr>
          <w:b/>
          <w:color w:val="538135" w:themeColor="accent6" w:themeShade="BF"/>
          <w:spacing w:val="-2"/>
          <w:sz w:val="18"/>
          <w:lang w:val="en-US"/>
        </w:rPr>
        <w:t xml:space="preserve">. </w:t>
      </w:r>
      <w:r w:rsidR="00B67C40" w:rsidRPr="003E0647">
        <w:rPr>
          <w:b/>
          <w:spacing w:val="-2"/>
          <w:sz w:val="18"/>
          <w:lang w:val="en-US"/>
        </w:rPr>
        <w:t>Producer p</w:t>
      </w:r>
      <w:r w:rsidR="00CA1085" w:rsidRPr="003E0647">
        <w:rPr>
          <w:b/>
          <w:spacing w:val="-2"/>
          <w:sz w:val="18"/>
          <w:lang w:val="en-US"/>
        </w:rPr>
        <w:t>rice changes of business services in 201</w:t>
      </w:r>
      <w:r w:rsidR="000157BD">
        <w:rPr>
          <w:b/>
          <w:spacing w:val="-2"/>
          <w:sz w:val="18"/>
          <w:lang w:val="en-US"/>
        </w:rPr>
        <w:t>8</w:t>
      </w:r>
      <w:r w:rsidR="00CA1085" w:rsidRPr="003E0647">
        <w:rPr>
          <w:b/>
          <w:spacing w:val="-2"/>
          <w:sz w:val="18"/>
          <w:lang w:val="en-US"/>
        </w:rPr>
        <w:t>-202</w:t>
      </w:r>
      <w:r w:rsidR="000157BD">
        <w:rPr>
          <w:b/>
          <w:spacing w:val="-2"/>
          <w:sz w:val="18"/>
          <w:lang w:val="en-US"/>
        </w:rPr>
        <w:t>1</w:t>
      </w:r>
      <w:r w:rsidR="00CA1085" w:rsidRPr="003E0647">
        <w:rPr>
          <w:b/>
          <w:spacing w:val="-2"/>
          <w:sz w:val="18"/>
          <w:lang w:val="en-US"/>
        </w:rPr>
        <w:t xml:space="preserve"> (</w:t>
      </w:r>
      <w:r w:rsidR="00CA1085" w:rsidRPr="003E0647">
        <w:rPr>
          <w:b/>
          <w:spacing w:val="-2"/>
          <w:sz w:val="18"/>
          <w:lang w:val="en-GB"/>
        </w:rPr>
        <w:t>change in % compared with the corresponding quarter of the previous year</w:t>
      </w:r>
      <w:r w:rsidR="00CA1085" w:rsidRPr="00ED7B23">
        <w:rPr>
          <w:b/>
          <w:spacing w:val="-2"/>
          <w:sz w:val="18"/>
          <w:lang w:val="en-US"/>
        </w:rPr>
        <w:t xml:space="preserve">) </w:t>
      </w:r>
    </w:p>
    <w:p w:rsidR="008C72E0" w:rsidRDefault="008C72E0" w:rsidP="00CA1085">
      <w:pPr>
        <w:ind w:left="851" w:hanging="851"/>
        <w:jc w:val="both"/>
        <w:rPr>
          <w:b/>
          <w:spacing w:val="-2"/>
          <w:sz w:val="18"/>
          <w:lang w:val="en-US"/>
        </w:rPr>
      </w:pPr>
    </w:p>
    <w:p w:rsidR="008C72E0" w:rsidRPr="00ED7B23" w:rsidRDefault="008C72E0" w:rsidP="00CA1085">
      <w:pPr>
        <w:ind w:left="851" w:hanging="851"/>
        <w:jc w:val="both"/>
        <w:rPr>
          <w:b/>
          <w:noProof/>
          <w:spacing w:val="-2"/>
          <w:sz w:val="18"/>
          <w:szCs w:val="18"/>
          <w:shd w:val="clear" w:color="auto" w:fill="FFFFFF"/>
          <w:lang w:val="en-GB" w:eastAsia="pl-PL"/>
        </w:rPr>
      </w:pPr>
    </w:p>
    <w:p w:rsidR="006F6A29" w:rsidRDefault="008C72E0" w:rsidP="00A274DF">
      <w:pPr>
        <w:pStyle w:val="tytuwykresu"/>
        <w:rPr>
          <w:noProof/>
          <w:color w:val="339D68"/>
          <w:lang w:val="en-US" w:eastAsia="pl-PL"/>
        </w:rPr>
      </w:pPr>
      <w:r>
        <w:rPr>
          <w:noProof/>
          <w:lang w:eastAsia="pl-PL"/>
        </w:rPr>
        <w:drawing>
          <wp:inline distT="0" distB="0" distL="0" distR="0" wp14:anchorId="7EF6E4DC" wp14:editId="52C2035E">
            <wp:extent cx="5122545" cy="2788920"/>
            <wp:effectExtent l="0" t="0" r="1905"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6A29" w:rsidRDefault="006F6A29" w:rsidP="00A274DF">
      <w:pPr>
        <w:pStyle w:val="tytuwykresu"/>
        <w:rPr>
          <w:noProof/>
          <w:color w:val="339D68"/>
          <w:lang w:val="en-US" w:eastAsia="pl-PL"/>
        </w:rPr>
      </w:pPr>
    </w:p>
    <w:p w:rsidR="006F6A29" w:rsidRDefault="006F6A29"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Default="00CA1085" w:rsidP="00A274DF">
      <w:pPr>
        <w:pStyle w:val="tytuwykresu"/>
        <w:rPr>
          <w:noProof/>
          <w:color w:val="339D68"/>
          <w:lang w:val="en-US" w:eastAsia="pl-PL"/>
        </w:rPr>
      </w:pPr>
    </w:p>
    <w:p w:rsidR="00CA1085" w:rsidRPr="00EA0DF3" w:rsidRDefault="00CA1085" w:rsidP="00A274DF">
      <w:pPr>
        <w:pStyle w:val="tytuwykresu"/>
        <w:rPr>
          <w:noProof/>
          <w:color w:val="339D68"/>
          <w:lang w:val="en-US" w:eastAsia="pl-PL"/>
        </w:rPr>
      </w:pPr>
    </w:p>
    <w:p w:rsidR="00C00E69" w:rsidRPr="00C00E69" w:rsidRDefault="00C00E69" w:rsidP="00C00E69">
      <w:pPr>
        <w:rPr>
          <w:rFonts w:ascii="Calibri" w:hAnsi="Calibri"/>
          <w:sz w:val="22"/>
          <w:lang w:val="en-US"/>
        </w:rPr>
      </w:pPr>
      <w:r w:rsidRPr="00C00E69">
        <w:rPr>
          <w:lang w:val="en-US"/>
        </w:rPr>
        <w:t xml:space="preserve">In case of quoting Statistics Poland data, please provide information: “Source of data: Statistics Poland”, and in case of publishing calculations made on data published by Statistics Poland, please include the following disclaimer: “Own study based on figures from Statistics Poland”. </w:t>
      </w:r>
    </w:p>
    <w:p w:rsidR="00755093" w:rsidRDefault="00755093" w:rsidP="00A274DF">
      <w:pPr>
        <w:pStyle w:val="tytuwykresu"/>
        <w:rPr>
          <w:rFonts w:ascii="Fira Sans SemiBold" w:hAnsi="Fira Sans SemiBold"/>
          <w:color w:val="001D77"/>
          <w:szCs w:val="23"/>
          <w:lang w:val="en-US"/>
        </w:rPr>
      </w:pPr>
    </w:p>
    <w:p w:rsidR="005B23AA" w:rsidRPr="001520A2" w:rsidRDefault="005B23AA" w:rsidP="00B25EE8">
      <w:pPr>
        <w:pStyle w:val="tytuwykresu"/>
        <w:rPr>
          <w:rFonts w:asciiTheme="majorHAnsi" w:hAnsiTheme="majorHAnsi"/>
          <w:noProof/>
          <w:lang w:val="en-US" w:eastAsia="pl-PL"/>
        </w:rPr>
      </w:pPr>
    </w:p>
    <w:p w:rsidR="00B25EE8" w:rsidRPr="001520A2" w:rsidRDefault="00B25EE8" w:rsidP="00B25EE8">
      <w:pPr>
        <w:jc w:val="both"/>
        <w:rPr>
          <w:sz w:val="16"/>
          <w:szCs w:val="16"/>
          <w:lang w:val="en-US"/>
        </w:rPr>
        <w:sectPr w:rsidR="00B25EE8" w:rsidRPr="001520A2" w:rsidSect="001448A7">
          <w:headerReference w:type="default" r:id="rId16"/>
          <w:footerReference w:type="default" r:id="rId17"/>
          <w:headerReference w:type="first" r:id="rId18"/>
          <w:footerReference w:type="first" r:id="rId19"/>
          <w:pgSz w:w="11906" w:h="16838"/>
          <w:pgMar w:top="720" w:right="3119" w:bottom="720" w:left="720" w:header="284" w:footer="397" w:gutter="0"/>
          <w:cols w:space="708"/>
          <w:titlePg/>
          <w:docGrid w:linePitch="360"/>
        </w:sectPr>
      </w:pPr>
    </w:p>
    <w:p w:rsidR="00B25EE8" w:rsidRPr="001520A2" w:rsidRDefault="00B25EE8" w:rsidP="00C742AC">
      <w:pPr>
        <w:pStyle w:val="tytuwykresu"/>
        <w:rPr>
          <w:rFonts w:asciiTheme="majorHAnsi" w:hAnsiTheme="majorHAnsi"/>
          <w:lang w:val="en-US"/>
        </w:rPr>
      </w:pPr>
    </w:p>
    <w:tbl>
      <w:tblPr>
        <w:tblpPr w:leftFromText="141" w:rightFromText="141" w:vertAnchor="text" w:horzAnchor="margin" w:tblpXSpec="center" w:tblpY="-47"/>
        <w:tblW w:w="0" w:type="auto"/>
        <w:tblLook w:val="04A0" w:firstRow="1" w:lastRow="0" w:firstColumn="1" w:lastColumn="0" w:noHBand="0" w:noVBand="1"/>
      </w:tblPr>
      <w:tblGrid>
        <w:gridCol w:w="4234"/>
        <w:gridCol w:w="3833"/>
      </w:tblGrid>
      <w:tr w:rsidR="000470AA" w:rsidRPr="00B0383F" w:rsidTr="00E23337">
        <w:trPr>
          <w:trHeight w:val="1912"/>
        </w:trPr>
        <w:tc>
          <w:tcPr>
            <w:tcW w:w="4379" w:type="dxa"/>
          </w:tcPr>
          <w:p w:rsidR="000470AA" w:rsidRPr="001A75DF" w:rsidRDefault="001A75DF" w:rsidP="00E23337">
            <w:pPr>
              <w:spacing w:before="0" w:after="0" w:line="276" w:lineRule="auto"/>
              <w:rPr>
                <w:rFonts w:asciiTheme="majorHAnsi" w:hAnsiTheme="majorHAnsi" w:cs="Arial"/>
                <w:color w:val="000000" w:themeColor="text1"/>
                <w:sz w:val="20"/>
                <w:lang w:val="en-US"/>
              </w:rPr>
            </w:pPr>
            <w:r w:rsidRPr="001A75DF">
              <w:rPr>
                <w:rFonts w:asciiTheme="majorHAnsi" w:hAnsiTheme="majorHAnsi" w:cs="Arial"/>
                <w:color w:val="000000" w:themeColor="text1"/>
                <w:sz w:val="20"/>
                <w:lang w:val="en-US"/>
              </w:rPr>
              <w:t>Prepared by</w:t>
            </w:r>
            <w:r w:rsidR="000470AA" w:rsidRPr="001A75DF">
              <w:rPr>
                <w:rFonts w:asciiTheme="majorHAnsi" w:hAnsiTheme="majorHAnsi" w:cs="Arial"/>
                <w:color w:val="000000" w:themeColor="text1"/>
                <w:sz w:val="20"/>
                <w:lang w:val="en-US"/>
              </w:rPr>
              <w:t>:</w:t>
            </w:r>
          </w:p>
          <w:p w:rsidR="000470AA" w:rsidRDefault="001A75DF" w:rsidP="00D00796">
            <w:pPr>
              <w:spacing w:before="0" w:after="0" w:line="240" w:lineRule="auto"/>
              <w:rPr>
                <w:rFonts w:asciiTheme="majorHAnsi" w:hAnsiTheme="majorHAnsi" w:cs="Arial"/>
                <w:b/>
                <w:color w:val="000000" w:themeColor="text1"/>
                <w:sz w:val="20"/>
                <w:lang w:val="en-US"/>
              </w:rPr>
            </w:pPr>
            <w:r w:rsidRPr="001A75DF">
              <w:rPr>
                <w:rFonts w:asciiTheme="majorHAnsi" w:hAnsiTheme="majorHAnsi" w:cs="Arial"/>
                <w:b/>
                <w:color w:val="000000" w:themeColor="text1"/>
                <w:sz w:val="20"/>
                <w:lang w:val="en-US"/>
              </w:rPr>
              <w:t>Tr</w:t>
            </w:r>
            <w:r>
              <w:rPr>
                <w:rFonts w:asciiTheme="majorHAnsi" w:hAnsiTheme="majorHAnsi" w:cs="Arial"/>
                <w:b/>
                <w:color w:val="000000" w:themeColor="text1"/>
                <w:sz w:val="20"/>
                <w:lang w:val="en-US"/>
              </w:rPr>
              <w:t>ade and Services Department</w:t>
            </w:r>
          </w:p>
          <w:p w:rsidR="00D8007A" w:rsidRPr="001A75DF" w:rsidRDefault="00D8007A" w:rsidP="00D00796">
            <w:pPr>
              <w:spacing w:before="0" w:after="0" w:line="240" w:lineRule="auto"/>
              <w:rPr>
                <w:rFonts w:asciiTheme="majorHAnsi" w:hAnsiTheme="majorHAnsi" w:cs="Arial"/>
                <w:b/>
                <w:color w:val="000000" w:themeColor="text1"/>
                <w:sz w:val="20"/>
                <w:lang w:val="en-US"/>
              </w:rPr>
            </w:pPr>
            <w:r>
              <w:rPr>
                <w:rFonts w:asciiTheme="majorHAnsi" w:hAnsiTheme="majorHAnsi" w:cs="Arial"/>
                <w:b/>
                <w:color w:val="000000" w:themeColor="text1"/>
                <w:sz w:val="20"/>
                <w:lang w:val="en-US"/>
              </w:rPr>
              <w:t>Director Ewa Adach-Stankiewicz</w:t>
            </w:r>
          </w:p>
          <w:p w:rsidR="000470AA" w:rsidRPr="0095396F" w:rsidRDefault="004B7E11" w:rsidP="00D00796">
            <w:pPr>
              <w:pStyle w:val="Nagwek3"/>
              <w:spacing w:before="0" w:line="240" w:lineRule="auto"/>
              <w:rPr>
                <w:rFonts w:cs="Arial"/>
                <w:color w:val="000000" w:themeColor="text1"/>
                <w:sz w:val="20"/>
                <w:lang w:val="fi-FI"/>
              </w:rPr>
            </w:pPr>
            <w:r>
              <w:rPr>
                <w:rFonts w:cs="Arial"/>
                <w:color w:val="000000" w:themeColor="text1"/>
                <w:sz w:val="20"/>
                <w:lang w:val="fi-FI"/>
              </w:rPr>
              <w:t>Office</w:t>
            </w:r>
            <w:r w:rsidR="000470AA" w:rsidRPr="0095396F">
              <w:rPr>
                <w:rFonts w:cs="Arial"/>
                <w:color w:val="000000" w:themeColor="text1"/>
                <w:sz w:val="20"/>
                <w:lang w:val="fi-FI"/>
              </w:rPr>
              <w:t xml:space="preserve">: </w:t>
            </w:r>
            <w:r>
              <w:rPr>
                <w:rFonts w:cs="Arial"/>
                <w:color w:val="000000" w:themeColor="text1"/>
                <w:sz w:val="20"/>
                <w:lang w:val="fi-FI"/>
              </w:rPr>
              <w:t>tel. (</w:t>
            </w:r>
            <w:r w:rsidR="00FF2C0B">
              <w:rPr>
                <w:rFonts w:cs="Arial"/>
                <w:color w:val="000000" w:themeColor="text1"/>
                <w:sz w:val="20"/>
                <w:lang w:val="fi-FI"/>
              </w:rPr>
              <w:t xml:space="preserve">+48 </w:t>
            </w:r>
            <w:r w:rsidR="000470AA" w:rsidRPr="0095396F">
              <w:rPr>
                <w:rFonts w:cs="Arial"/>
                <w:color w:val="000000" w:themeColor="text1"/>
                <w:sz w:val="20"/>
                <w:lang w:val="fi-FI"/>
              </w:rPr>
              <w:t>22</w:t>
            </w:r>
            <w:r>
              <w:rPr>
                <w:rFonts w:cs="Arial"/>
                <w:color w:val="000000" w:themeColor="text1"/>
                <w:sz w:val="20"/>
                <w:lang w:val="fi-FI"/>
              </w:rPr>
              <w:t>)</w:t>
            </w:r>
            <w:r w:rsidR="00017FFE" w:rsidRPr="0095396F">
              <w:rPr>
                <w:rFonts w:cs="Arial"/>
                <w:color w:val="000000" w:themeColor="text1"/>
                <w:sz w:val="20"/>
                <w:lang w:val="fi-FI"/>
              </w:rPr>
              <w:t> </w:t>
            </w:r>
            <w:r>
              <w:rPr>
                <w:rFonts w:cs="Arial"/>
                <w:color w:val="000000" w:themeColor="text1"/>
                <w:sz w:val="20"/>
                <w:lang w:val="fi-FI"/>
              </w:rPr>
              <w:t>608 31 24</w:t>
            </w:r>
          </w:p>
          <w:p w:rsidR="000470AA" w:rsidRPr="0095396F" w:rsidRDefault="000470AA" w:rsidP="00017FFE">
            <w:pPr>
              <w:pStyle w:val="Nagwek3"/>
              <w:spacing w:before="0" w:line="240" w:lineRule="auto"/>
              <w:rPr>
                <w:color w:val="000000" w:themeColor="text1"/>
                <w:lang w:val="fi-FI"/>
              </w:rPr>
            </w:pPr>
          </w:p>
        </w:tc>
        <w:tc>
          <w:tcPr>
            <w:tcW w:w="3942" w:type="dxa"/>
          </w:tcPr>
          <w:p w:rsidR="0049360F" w:rsidRDefault="001A75DF" w:rsidP="00E23337">
            <w:pPr>
              <w:spacing w:before="0" w:after="0" w:line="276" w:lineRule="auto"/>
              <w:rPr>
                <w:rFonts w:asciiTheme="majorHAnsi" w:hAnsiTheme="majorHAnsi" w:cs="Arial"/>
                <w:b/>
                <w:color w:val="000000" w:themeColor="text1"/>
                <w:sz w:val="20"/>
                <w:lang w:val="en-US"/>
              </w:rPr>
            </w:pPr>
            <w:r w:rsidRPr="00382DAE">
              <w:rPr>
                <w:rFonts w:asciiTheme="majorHAnsi" w:hAnsiTheme="majorHAnsi" w:cs="Arial"/>
                <w:color w:val="000000" w:themeColor="text1"/>
                <w:sz w:val="20"/>
                <w:lang w:val="en-US"/>
              </w:rPr>
              <w:t>Dissemination</w:t>
            </w:r>
            <w:r w:rsidR="000470AA" w:rsidRPr="00382DAE">
              <w:rPr>
                <w:rFonts w:asciiTheme="majorHAnsi" w:hAnsiTheme="majorHAnsi" w:cs="Arial"/>
                <w:color w:val="000000" w:themeColor="text1"/>
                <w:sz w:val="20"/>
                <w:lang w:val="en-US"/>
              </w:rPr>
              <w:t>:</w:t>
            </w:r>
            <w:r w:rsidR="000470AA" w:rsidRPr="00382DAE">
              <w:rPr>
                <w:rFonts w:asciiTheme="majorHAnsi" w:hAnsiTheme="majorHAnsi" w:cs="Arial"/>
                <w:color w:val="000000" w:themeColor="text1"/>
                <w:sz w:val="20"/>
                <w:lang w:val="en-US"/>
              </w:rPr>
              <w:br/>
            </w:r>
            <w:r w:rsidR="00382DAE" w:rsidRPr="0049360F">
              <w:rPr>
                <w:rFonts w:asciiTheme="majorHAnsi" w:hAnsiTheme="majorHAnsi" w:cs="Arial"/>
                <w:b/>
                <w:color w:val="000000" w:themeColor="text1"/>
                <w:sz w:val="20"/>
                <w:lang w:val="en-US"/>
              </w:rPr>
              <w:t xml:space="preserve">The Spokesperson for the President </w:t>
            </w:r>
          </w:p>
          <w:p w:rsidR="000470AA" w:rsidRPr="00382DAE" w:rsidRDefault="00382DAE" w:rsidP="00E23337">
            <w:pPr>
              <w:spacing w:before="0" w:after="0" w:line="276" w:lineRule="auto"/>
              <w:rPr>
                <w:rFonts w:asciiTheme="majorHAnsi" w:hAnsiTheme="majorHAnsi" w:cs="Arial"/>
                <w:b/>
                <w:color w:val="000000" w:themeColor="text1"/>
                <w:sz w:val="20"/>
                <w:lang w:val="en-US"/>
              </w:rPr>
            </w:pPr>
            <w:r w:rsidRPr="0049360F">
              <w:rPr>
                <w:rFonts w:asciiTheme="majorHAnsi" w:hAnsiTheme="majorHAnsi" w:cs="Arial"/>
                <w:b/>
                <w:color w:val="000000" w:themeColor="text1"/>
                <w:sz w:val="20"/>
                <w:lang w:val="en-US"/>
              </w:rPr>
              <w:t>of Statistics Poland</w:t>
            </w:r>
          </w:p>
          <w:p w:rsidR="000470AA" w:rsidRPr="00A90129" w:rsidRDefault="000470AA" w:rsidP="00D00796">
            <w:pPr>
              <w:pStyle w:val="Nagwek3"/>
              <w:spacing w:before="0" w:line="240" w:lineRule="auto"/>
              <w:rPr>
                <w:rFonts w:cs="Arial"/>
                <w:b/>
                <w:color w:val="000000" w:themeColor="text1"/>
                <w:sz w:val="20"/>
                <w:szCs w:val="28"/>
                <w:lang w:val="en-US"/>
              </w:rPr>
            </w:pPr>
            <w:r w:rsidRPr="00A90129">
              <w:rPr>
                <w:rFonts w:cs="Arial"/>
                <w:b/>
                <w:color w:val="000000" w:themeColor="text1"/>
                <w:sz w:val="20"/>
                <w:szCs w:val="28"/>
                <w:lang w:val="en-US"/>
              </w:rPr>
              <w:t xml:space="preserve">Karolina </w:t>
            </w:r>
            <w:r w:rsidR="008A0E67" w:rsidRPr="00A90129">
              <w:rPr>
                <w:rFonts w:cs="Arial"/>
                <w:b/>
                <w:color w:val="000000" w:themeColor="text1"/>
                <w:sz w:val="20"/>
                <w:szCs w:val="28"/>
                <w:lang w:val="en-US"/>
              </w:rPr>
              <w:t>Banaszek</w:t>
            </w:r>
          </w:p>
          <w:p w:rsidR="000470AA" w:rsidRPr="008C612B" w:rsidRDefault="004B7E11" w:rsidP="000E0FFA">
            <w:pPr>
              <w:pStyle w:val="Nagwek3"/>
              <w:spacing w:before="0" w:line="240" w:lineRule="auto"/>
              <w:rPr>
                <w:rFonts w:cs="Arial"/>
                <w:color w:val="000000" w:themeColor="text1"/>
                <w:sz w:val="20"/>
                <w:szCs w:val="20"/>
                <w:lang w:val="en-US"/>
              </w:rPr>
            </w:pPr>
            <w:r>
              <w:rPr>
                <w:rFonts w:cs="Arial"/>
                <w:color w:val="000000" w:themeColor="text1"/>
                <w:sz w:val="20"/>
                <w:lang w:val="fi-FI"/>
              </w:rPr>
              <w:t>Mobile</w:t>
            </w:r>
            <w:r w:rsidR="000470AA" w:rsidRPr="0095396F">
              <w:rPr>
                <w:rFonts w:cs="Arial"/>
                <w:color w:val="000000" w:themeColor="text1"/>
                <w:sz w:val="20"/>
                <w:lang w:val="fi-FI"/>
              </w:rPr>
              <w:t xml:space="preserve">: </w:t>
            </w:r>
            <w:r>
              <w:rPr>
                <w:rFonts w:cs="Arial"/>
                <w:color w:val="000000" w:themeColor="text1"/>
                <w:sz w:val="20"/>
                <w:lang w:val="fi-FI"/>
              </w:rPr>
              <w:t>(</w:t>
            </w:r>
            <w:r w:rsidR="00FF2C0B" w:rsidRPr="00A90129">
              <w:rPr>
                <w:rFonts w:cs="Arial"/>
                <w:color w:val="000000" w:themeColor="text1"/>
                <w:sz w:val="20"/>
                <w:lang w:val="en-US"/>
              </w:rPr>
              <w:t>+</w:t>
            </w:r>
            <w:r w:rsidR="00FF2C0B">
              <w:rPr>
                <w:rFonts w:cs="Arial"/>
                <w:color w:val="000000" w:themeColor="text1"/>
                <w:sz w:val="20"/>
                <w:lang w:val="fi-FI"/>
              </w:rPr>
              <w:t>48</w:t>
            </w:r>
            <w:r>
              <w:rPr>
                <w:rFonts w:cs="Arial"/>
                <w:color w:val="000000" w:themeColor="text1"/>
                <w:sz w:val="20"/>
                <w:lang w:val="fi-FI"/>
              </w:rPr>
              <w:t>)</w:t>
            </w:r>
            <w:r w:rsidR="000470AA" w:rsidRPr="0095396F">
              <w:rPr>
                <w:rFonts w:cs="Arial"/>
                <w:color w:val="000000" w:themeColor="text1"/>
                <w:sz w:val="20"/>
                <w:lang w:val="fi-FI"/>
              </w:rPr>
              <w:t> </w:t>
            </w:r>
            <w:r w:rsidR="000E0FFA">
              <w:rPr>
                <w:rFonts w:cs="Arial"/>
                <w:color w:val="000000" w:themeColor="text1"/>
                <w:sz w:val="20"/>
                <w:lang w:val="fi-FI"/>
              </w:rPr>
              <w:t>695 255 011</w:t>
            </w:r>
            <w:r w:rsidR="000E0FFA" w:rsidRPr="008C612B">
              <w:rPr>
                <w:rFonts w:cs="Arial"/>
                <w:color w:val="000000" w:themeColor="text1"/>
                <w:sz w:val="20"/>
                <w:szCs w:val="20"/>
                <w:lang w:val="en-US"/>
              </w:rPr>
              <w:t xml:space="preserve"> </w:t>
            </w:r>
          </w:p>
        </w:tc>
      </w:tr>
    </w:tbl>
    <w:tbl>
      <w:tblPr>
        <w:tblStyle w:val="Tabela-Siatka"/>
        <w:tblpPr w:leftFromText="141" w:rightFromText="141" w:vertAnchor="text" w:horzAnchor="margin" w:tblpY="155"/>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FF2C0B" w:rsidRPr="00B0383F" w:rsidTr="00FF2C0B">
        <w:trPr>
          <w:trHeight w:val="610"/>
        </w:trPr>
        <w:tc>
          <w:tcPr>
            <w:tcW w:w="2721" w:type="pct"/>
            <w:vMerge w:val="restart"/>
            <w:vAlign w:val="center"/>
          </w:tcPr>
          <w:p w:rsidR="00FF2C0B" w:rsidRPr="00B04BBF" w:rsidRDefault="00FF2C0B" w:rsidP="00FF2C0B">
            <w:pPr>
              <w:rPr>
                <w:rFonts w:asciiTheme="majorHAnsi" w:hAnsiTheme="majorHAnsi"/>
                <w:b/>
                <w:sz w:val="20"/>
                <w:lang w:val="en-US"/>
              </w:rPr>
            </w:pPr>
            <w:r w:rsidRPr="00B04BBF">
              <w:rPr>
                <w:rFonts w:asciiTheme="majorHAnsi" w:hAnsiTheme="majorHAnsi"/>
                <w:b/>
                <w:sz w:val="20"/>
                <w:lang w:val="en-US"/>
              </w:rPr>
              <w:t>Press Office</w:t>
            </w:r>
          </w:p>
          <w:p w:rsidR="00FF2C0B" w:rsidRPr="00B04BBF" w:rsidRDefault="0094724C" w:rsidP="00FF2C0B">
            <w:pPr>
              <w:rPr>
                <w:rFonts w:asciiTheme="majorHAnsi" w:hAnsiTheme="majorHAnsi"/>
                <w:sz w:val="20"/>
                <w:lang w:val="en-US"/>
              </w:rPr>
            </w:pPr>
            <w:r>
              <w:rPr>
                <w:rFonts w:asciiTheme="majorHAnsi" w:hAnsiTheme="majorHAnsi"/>
                <w:sz w:val="20"/>
                <w:lang w:val="en-US"/>
              </w:rPr>
              <w:t>Office: t</w:t>
            </w:r>
            <w:r w:rsidR="00ED42E6">
              <w:rPr>
                <w:rFonts w:asciiTheme="majorHAnsi" w:hAnsiTheme="majorHAnsi"/>
                <w:sz w:val="20"/>
                <w:lang w:val="en-US"/>
              </w:rPr>
              <w:t>el</w:t>
            </w:r>
            <w:r w:rsidR="0006019C">
              <w:rPr>
                <w:rFonts w:asciiTheme="majorHAnsi" w:hAnsiTheme="majorHAnsi"/>
                <w:sz w:val="20"/>
                <w:lang w:val="en-US"/>
              </w:rPr>
              <w:t>.</w:t>
            </w:r>
            <w:r w:rsidR="00FF2C0B" w:rsidRPr="00ED42E6">
              <w:rPr>
                <w:rFonts w:asciiTheme="majorHAnsi" w:hAnsiTheme="majorHAnsi"/>
                <w:sz w:val="20"/>
                <w:lang w:val="en-US"/>
              </w:rPr>
              <w:t xml:space="preserve"> </w:t>
            </w:r>
            <w:r>
              <w:rPr>
                <w:rFonts w:asciiTheme="majorHAnsi" w:hAnsiTheme="majorHAnsi"/>
                <w:sz w:val="20"/>
                <w:lang w:val="en-US"/>
              </w:rPr>
              <w:t>(</w:t>
            </w:r>
            <w:r w:rsidR="00BC695C">
              <w:rPr>
                <w:rFonts w:asciiTheme="majorHAnsi" w:hAnsiTheme="majorHAnsi"/>
                <w:sz w:val="20"/>
                <w:lang w:val="en-US"/>
              </w:rPr>
              <w:t>+48 22</w:t>
            </w:r>
            <w:r>
              <w:rPr>
                <w:rFonts w:asciiTheme="majorHAnsi" w:hAnsiTheme="majorHAnsi"/>
                <w:sz w:val="20"/>
                <w:lang w:val="en-US"/>
              </w:rPr>
              <w:t>)</w:t>
            </w:r>
            <w:r w:rsidR="00BC695C">
              <w:rPr>
                <w:rFonts w:asciiTheme="majorHAnsi" w:hAnsiTheme="majorHAnsi"/>
                <w:sz w:val="20"/>
                <w:lang w:val="en-US"/>
              </w:rPr>
              <w:t xml:space="preserve"> 608 34</w:t>
            </w:r>
            <w:r w:rsidR="0049360F">
              <w:rPr>
                <w:rFonts w:asciiTheme="majorHAnsi" w:hAnsiTheme="majorHAnsi"/>
                <w:sz w:val="20"/>
                <w:lang w:val="en-US"/>
              </w:rPr>
              <w:t xml:space="preserve"> </w:t>
            </w:r>
            <w:r w:rsidR="00FF2C0B">
              <w:rPr>
                <w:rFonts w:asciiTheme="majorHAnsi" w:hAnsiTheme="majorHAnsi"/>
                <w:sz w:val="20"/>
                <w:lang w:val="en-US"/>
              </w:rPr>
              <w:t xml:space="preserve">91, </w:t>
            </w:r>
            <w:r w:rsidR="00BC695C">
              <w:rPr>
                <w:rFonts w:asciiTheme="majorHAnsi" w:hAnsiTheme="majorHAnsi"/>
                <w:sz w:val="20"/>
                <w:lang w:val="en-US"/>
              </w:rPr>
              <w:t>608 38</w:t>
            </w:r>
            <w:r w:rsidR="0049360F">
              <w:rPr>
                <w:rFonts w:asciiTheme="majorHAnsi" w:hAnsiTheme="majorHAnsi"/>
                <w:sz w:val="20"/>
                <w:lang w:val="en-US"/>
              </w:rPr>
              <w:t xml:space="preserve"> </w:t>
            </w:r>
            <w:r w:rsidR="00FF2C0B" w:rsidRPr="00B04BBF">
              <w:rPr>
                <w:rFonts w:asciiTheme="majorHAnsi" w:hAnsiTheme="majorHAnsi"/>
                <w:sz w:val="20"/>
                <w:lang w:val="en-US"/>
              </w:rPr>
              <w:t xml:space="preserve">04 </w:t>
            </w:r>
          </w:p>
          <w:p w:rsidR="00FF2C0B" w:rsidRPr="0095396F" w:rsidRDefault="00FF2C0B" w:rsidP="00FF2C0B">
            <w:pPr>
              <w:rPr>
                <w:rFonts w:asciiTheme="majorHAnsi" w:hAnsiTheme="majorHAnsi"/>
                <w:sz w:val="18"/>
                <w:lang w:val="en-US"/>
              </w:rPr>
            </w:pPr>
            <w:r w:rsidRPr="0095396F">
              <w:rPr>
                <w:rFonts w:asciiTheme="majorHAnsi" w:hAnsiTheme="majorHAnsi"/>
                <w:b/>
                <w:sz w:val="20"/>
                <w:lang w:val="en-US"/>
              </w:rPr>
              <w:t>e</w:t>
            </w:r>
            <w:r w:rsidRPr="00FF2C0B">
              <w:rPr>
                <w:rFonts w:asciiTheme="majorHAnsi" w:hAnsiTheme="majorHAnsi"/>
                <w:b/>
                <w:sz w:val="20"/>
                <w:lang w:val="en-US"/>
              </w:rPr>
              <w:t xml:space="preserve">-mail: </w:t>
            </w:r>
            <w:hyperlink r:id="rId20" w:history="1">
              <w:r w:rsidRPr="00FF2C0B">
                <w:rPr>
                  <w:rStyle w:val="Hipercze"/>
                  <w:rFonts w:asciiTheme="majorHAnsi" w:hAnsiTheme="majorHAnsi" w:cstheme="minorBidi"/>
                  <w:b/>
                  <w:color w:val="auto"/>
                  <w:sz w:val="20"/>
                  <w:lang w:val="en-US"/>
                </w:rPr>
                <w:t>obslugaprasowa@stat.gov.pl</w:t>
              </w:r>
            </w:hyperlink>
          </w:p>
        </w:tc>
        <w:tc>
          <w:tcPr>
            <w:tcW w:w="369" w:type="pct"/>
            <w:vAlign w:val="center"/>
          </w:tcPr>
          <w:p w:rsidR="00FF2C0B" w:rsidRPr="0095396F"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1664" behindDoc="0" locked="0" layoutInCell="1" allowOverlap="1" wp14:anchorId="389DAC1E" wp14:editId="13E0D796">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FF2C0B" w:rsidRPr="00BE293C" w:rsidRDefault="00FF2C0B" w:rsidP="00FF2C0B">
            <w:pPr>
              <w:rPr>
                <w:rFonts w:asciiTheme="majorHAnsi" w:hAnsiTheme="majorHAnsi"/>
                <w:sz w:val="18"/>
                <w:lang w:val="en-US"/>
              </w:rPr>
            </w:pPr>
            <w:r w:rsidRPr="00BE293C">
              <w:rPr>
                <w:rFonts w:asciiTheme="majorHAnsi" w:hAnsiTheme="majorHAnsi"/>
                <w:sz w:val="20"/>
                <w:lang w:val="en-US"/>
              </w:rPr>
              <w:t>www.stat.gov.pl</w:t>
            </w:r>
            <w:r w:rsidR="00BE293C" w:rsidRPr="00BE293C">
              <w:rPr>
                <w:rFonts w:asciiTheme="majorHAnsi" w:hAnsiTheme="majorHAnsi"/>
                <w:sz w:val="20"/>
                <w:lang w:val="en-US"/>
              </w:rPr>
              <w:t>/en/</w:t>
            </w:r>
          </w:p>
        </w:tc>
      </w:tr>
      <w:tr w:rsidR="00FF2C0B" w:rsidRPr="0006019C" w:rsidTr="00FF2C0B">
        <w:trPr>
          <w:trHeight w:val="436"/>
        </w:trPr>
        <w:tc>
          <w:tcPr>
            <w:tcW w:w="2721" w:type="pct"/>
            <w:vMerge/>
            <w:vAlign w:val="center"/>
          </w:tcPr>
          <w:p w:rsidR="00FF2C0B" w:rsidRPr="00BE293C" w:rsidRDefault="00FF2C0B" w:rsidP="00FF2C0B">
            <w:pPr>
              <w:rPr>
                <w:rFonts w:asciiTheme="majorHAnsi" w:hAnsiTheme="majorHAnsi"/>
                <w:sz w:val="18"/>
                <w:lang w:val="en-US"/>
              </w:rPr>
            </w:pPr>
          </w:p>
        </w:tc>
        <w:tc>
          <w:tcPr>
            <w:tcW w:w="369" w:type="pct"/>
            <w:vAlign w:val="center"/>
          </w:tcPr>
          <w:p w:rsidR="00FF2C0B" w:rsidRPr="00BE293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3712" behindDoc="0" locked="0" layoutInCell="1" allowOverlap="1" wp14:anchorId="33BB636B" wp14:editId="36E1D61D">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06019C" w:rsidRDefault="009C4E61" w:rsidP="00FF2C0B">
            <w:pPr>
              <w:rPr>
                <w:rFonts w:asciiTheme="majorHAnsi" w:hAnsiTheme="majorHAnsi"/>
                <w:sz w:val="18"/>
                <w:lang w:val="en-US"/>
              </w:rPr>
            </w:pPr>
            <w:r w:rsidRPr="0006019C">
              <w:rPr>
                <w:rFonts w:asciiTheme="majorHAnsi" w:hAnsiTheme="majorHAnsi"/>
                <w:sz w:val="20"/>
                <w:lang w:val="en-US"/>
              </w:rPr>
              <w:t>@</w:t>
            </w:r>
            <w:proofErr w:type="spellStart"/>
            <w:r w:rsidRPr="0006019C">
              <w:rPr>
                <w:rFonts w:asciiTheme="majorHAnsi" w:hAnsiTheme="majorHAnsi"/>
                <w:sz w:val="20"/>
                <w:lang w:val="en-US"/>
              </w:rPr>
              <w:t>StatPoland</w:t>
            </w:r>
            <w:proofErr w:type="spellEnd"/>
          </w:p>
        </w:tc>
      </w:tr>
      <w:tr w:rsidR="00FF2C0B" w:rsidRPr="0006019C" w:rsidTr="00FF2C0B">
        <w:trPr>
          <w:trHeight w:val="436"/>
        </w:trPr>
        <w:tc>
          <w:tcPr>
            <w:tcW w:w="2721" w:type="pct"/>
            <w:vMerge/>
            <w:vAlign w:val="center"/>
          </w:tcPr>
          <w:p w:rsidR="00FF2C0B" w:rsidRPr="0006019C" w:rsidRDefault="00FF2C0B" w:rsidP="00FF2C0B">
            <w:pPr>
              <w:rPr>
                <w:rFonts w:asciiTheme="majorHAnsi" w:hAnsiTheme="majorHAnsi"/>
                <w:sz w:val="18"/>
                <w:lang w:val="en-US"/>
              </w:rPr>
            </w:pPr>
          </w:p>
        </w:tc>
        <w:tc>
          <w:tcPr>
            <w:tcW w:w="369" w:type="pct"/>
            <w:vAlign w:val="center"/>
          </w:tcPr>
          <w:p w:rsidR="00FF2C0B" w:rsidRPr="0006019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2688" behindDoc="0" locked="0" layoutInCell="1" allowOverlap="1" wp14:anchorId="10DFF300" wp14:editId="7A7A0004">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06019C" w:rsidRDefault="00FF2C0B" w:rsidP="00FF2C0B">
            <w:pPr>
              <w:rPr>
                <w:rFonts w:asciiTheme="majorHAnsi" w:hAnsiTheme="majorHAnsi"/>
                <w:sz w:val="20"/>
                <w:lang w:val="en-US"/>
              </w:rPr>
            </w:pPr>
            <w:r w:rsidRPr="0006019C">
              <w:rPr>
                <w:rFonts w:asciiTheme="majorHAnsi" w:hAnsiTheme="majorHAnsi"/>
                <w:sz w:val="20"/>
                <w:lang w:val="en-US"/>
              </w:rPr>
              <w:t>@</w:t>
            </w:r>
            <w:proofErr w:type="spellStart"/>
            <w:r w:rsidRPr="0006019C">
              <w:rPr>
                <w:rFonts w:asciiTheme="majorHAnsi" w:hAnsiTheme="majorHAnsi"/>
                <w:sz w:val="20"/>
                <w:lang w:val="en-US"/>
              </w:rPr>
              <w:t>GlownyUrzadStatystyczny</w:t>
            </w:r>
            <w:proofErr w:type="spellEnd"/>
          </w:p>
        </w:tc>
      </w:tr>
    </w:tbl>
    <w:p w:rsidR="000470AA" w:rsidRPr="0006019C" w:rsidRDefault="000470AA" w:rsidP="000470AA">
      <w:pPr>
        <w:rPr>
          <w:rFonts w:asciiTheme="majorHAnsi" w:hAnsiTheme="majorHAnsi"/>
          <w:sz w:val="20"/>
          <w:lang w:val="en-US"/>
        </w:rPr>
      </w:pPr>
    </w:p>
    <w:p w:rsidR="00D261A2" w:rsidRPr="0006019C" w:rsidRDefault="00652237" w:rsidP="00E76D26">
      <w:pPr>
        <w:rPr>
          <w:rFonts w:asciiTheme="majorHAnsi" w:hAnsiTheme="majorHAnsi"/>
          <w:sz w:val="18"/>
          <w:lang w:val="en-US"/>
        </w:rPr>
      </w:pPr>
      <w:r w:rsidRPr="00001C5B">
        <w:rPr>
          <w:noProof/>
          <w:sz w:val="18"/>
          <w:lang w:eastAsia="pl-PL"/>
        </w:rPr>
        <mc:AlternateContent>
          <mc:Choice Requires="wps">
            <w:drawing>
              <wp:anchor distT="45720" distB="45720" distL="114300" distR="114300" simplePos="0" relativeHeight="251765760" behindDoc="0" locked="0" layoutInCell="1" allowOverlap="1" wp14:anchorId="7BBD7094" wp14:editId="2D94C910">
                <wp:simplePos x="0" y="0"/>
                <wp:positionH relativeFrom="margin">
                  <wp:posOffset>0</wp:posOffset>
                </wp:positionH>
                <wp:positionV relativeFrom="paragraph">
                  <wp:posOffset>274320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ysClr val="window" lastClr="FFFFFF">
                            <a:lumMod val="95000"/>
                          </a:sysClr>
                        </a:solidFill>
                        <a:ln w="9525">
                          <a:solidFill>
                            <a:sysClr val="window" lastClr="FFFFFF"/>
                          </a:solidFill>
                          <a:miter lim="800000"/>
                          <a:headEnd/>
                          <a:tailEnd/>
                        </a:ln>
                      </wps:spPr>
                      <wps:txb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B0383F" w:rsidP="00AF110B">
                            <w:pPr>
                              <w:spacing w:line="240" w:lineRule="auto"/>
                              <w:rPr>
                                <w:rStyle w:val="Hipercze"/>
                                <w:rFonts w:cs="Arial"/>
                                <w:color w:val="001D77"/>
                                <w:sz w:val="18"/>
                                <w:szCs w:val="30"/>
                                <w:shd w:val="clear" w:color="auto" w:fill="F0F0F0"/>
                                <w:lang w:val="en-US"/>
                              </w:rPr>
                            </w:pPr>
                            <w:hyperlink r:id="rId24" w:history="1">
                              <w:r w:rsidR="00652237" w:rsidRPr="005D70AA">
                                <w:rPr>
                                  <w:rStyle w:val="Hipercze"/>
                                  <w:rFonts w:cs="Arial"/>
                                  <w:color w:val="001D77"/>
                                  <w:sz w:val="18"/>
                                  <w:szCs w:val="30"/>
                                  <w:shd w:val="clear" w:color="auto" w:fill="F0F0F0"/>
                                  <w:lang w:val="en-US"/>
                                </w:rPr>
                                <w:t>News Releases</w:t>
                              </w:r>
                            </w:hyperlink>
                          </w:p>
                          <w:p w:rsidR="002374E2" w:rsidRPr="002374E2" w:rsidRDefault="00B0383F" w:rsidP="00AF110B">
                            <w:pPr>
                              <w:spacing w:line="240" w:lineRule="auto"/>
                              <w:outlineLvl w:val="1"/>
                              <w:rPr>
                                <w:rFonts w:eastAsia="Times New Roman" w:cs="Times New Roman"/>
                                <w:bCs/>
                                <w:color w:val="001D77"/>
                                <w:sz w:val="18"/>
                                <w:szCs w:val="36"/>
                                <w:u w:val="single"/>
                                <w:lang w:val="en-US" w:eastAsia="pl-PL"/>
                              </w:rPr>
                            </w:pPr>
                            <w:hyperlink r:id="rId25"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B0383F" w:rsidP="00652237">
                            <w:pPr>
                              <w:rPr>
                                <w:rStyle w:val="Hipercze"/>
                                <w:rFonts w:cs="Arial"/>
                                <w:color w:val="001D77"/>
                                <w:sz w:val="18"/>
                                <w:szCs w:val="30"/>
                                <w:shd w:val="clear" w:color="auto" w:fill="F0F0F0"/>
                                <w:lang w:val="en-US"/>
                              </w:rPr>
                            </w:pPr>
                            <w:hyperlink r:id="rId26"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B0383F" w:rsidP="00652237">
                            <w:pPr>
                              <w:rPr>
                                <w:rStyle w:val="Hipercze"/>
                                <w:rFonts w:cs="Arial"/>
                                <w:color w:val="001D77"/>
                                <w:sz w:val="18"/>
                                <w:szCs w:val="30"/>
                                <w:shd w:val="clear" w:color="auto" w:fill="F0F0F0"/>
                                <w:lang w:val="en-US"/>
                              </w:rPr>
                            </w:pPr>
                            <w:hyperlink r:id="rId27"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B0383F" w:rsidP="00652237">
                            <w:pPr>
                              <w:rPr>
                                <w:b/>
                                <w:color w:val="001D77"/>
                                <w:sz w:val="16"/>
                                <w:szCs w:val="24"/>
                                <w:lang w:val="en-US"/>
                              </w:rPr>
                            </w:pPr>
                            <w:hyperlink r:id="rId28" w:history="1">
                              <w:hyperlink r:id="rId29"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BBD7094" id="_x0000_s1028" type="#_x0000_t202" style="position:absolute;margin-left:0;margin-top:21.6pt;width:516.5pt;height:349.8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UjRgIAAJIEAAAOAAAAZHJzL2Uyb0RvYy54bWysVFFv0zAQfkfiP1h+p0m7ZqxR02l0DCEN&#10;mDT4AVfHaazZvmC7Tcqv5+x0pYMnEHmwbN/5u+/uu8vyejCa7aXzCm3Fp5OcM2kF1spuK/7t692b&#10;K858AFuDRisrfpCeX69ev1r2XSln2KKupWMEYn3ZdxVvQ+jKLPOilQb8BDtpydigMxDo6LZZ7aAn&#10;dKOzWZ5fZj26unMopPd0ezsa+SrhN40U4UvTeBmYrjhxC2l1ad3ENVstodw66FoljjTgH1gYUJaC&#10;nqBuIQDbOfUHlFHCoccmTASaDJtGCZlyoGym+W/ZPLbQyZQLFcd3pzL5/wcrPu8fHFN1xS84s2BI&#10;ogfUkgX55AP2ks1iifrOl+T52JFvGN7hQFKndH13j+LJM4vrFuxW3jiHfSuhJorT+DI7ezri+Aiy&#10;6T9hTbFgFzABDY0zsX5UEUboJNXhJI8cAhN0eVkUi6IgkyDbfD6/yBdFigHl8/PO+fBBomFxU3FH&#10;+id42N/7EOlA+ewSo3nUqr5TWqfDwa+1Y3ugVqEOq7HnTIMPdFnxu/QlLL0zRH70WxR5npqIgH16&#10;n2K8wNWW9RVfFLNiLNnfxhxpv4A0KtDUaGUqfkUERgpQxsK/tzU9gDKA0uOeqGl7VCIWf5QhDJsh&#10;6X4SeIP1gaRxOA4JDTVtWnQ/OOtpQCruv+/ASSrKR0vyLqbzeZyodJgXb2d0cOeWzbkFrCCoigfO&#10;xu06pCmMVC3eUBs0KgkU+2VkcqRMjZ9qehzSOFnn5+T161ey+gkAAP//AwBQSwMEFAAGAAgAAAAh&#10;ADGVw9XcAAAACAEAAA8AAABkcnMvZG93bnJldi54bWxMj81OwzAQhO9IvIO1SNyo8ycIIZuqQio3&#10;hJqint14SSLsdRS7bXh73BMcZ2c18029XqwRZ5r96BghXSUgiDunR+4RPvfbhxKED4q1Mo4J4Yc8&#10;rJvbm1pV2l14R+c29CKGsK8UwhDCVEnpu4Gs8is3EUfvy81WhSjnXupZXWK4NTJLkkdp1cixYVAT&#10;vQ7Ufbcni1DuipY3fVmaj4M8vKeUqvRti3h/t2xeQARawt8zXPEjOjSR6ehOrL0wCHFIQCjyDMTV&#10;TfI8Xo4IT0X2DLKp5f8BzS8AAAD//wMAUEsBAi0AFAAGAAgAAAAhALaDOJL+AAAA4QEAABMAAAAA&#10;AAAAAAAAAAAAAAAAAFtDb250ZW50X1R5cGVzXS54bWxQSwECLQAUAAYACAAAACEAOP0h/9YAAACU&#10;AQAACwAAAAAAAAAAAAAAAAAvAQAAX3JlbHMvLnJlbHNQSwECLQAUAAYACAAAACEACb0lI0YCAACS&#10;BAAADgAAAAAAAAAAAAAAAAAuAgAAZHJzL2Uyb0RvYy54bWxQSwECLQAUAAYACAAAACEAMZXD1dwA&#10;AAAIAQAADwAAAAAAAAAAAAAAAACgBAAAZHJzL2Rvd25yZXYueG1sUEsFBgAAAAAEAAQA8wAAAKkF&#10;AAAAAA==&#10;" fillcolor="#f2f2f2" strokecolor="window">
                <v:textbo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451305" w:rsidP="00AF110B">
                      <w:pPr>
                        <w:spacing w:line="240" w:lineRule="auto"/>
                        <w:rPr>
                          <w:rStyle w:val="Hipercze"/>
                          <w:rFonts w:cs="Arial"/>
                          <w:color w:val="001D77"/>
                          <w:sz w:val="18"/>
                          <w:szCs w:val="30"/>
                          <w:shd w:val="clear" w:color="auto" w:fill="F0F0F0"/>
                          <w:lang w:val="en-US"/>
                        </w:rPr>
                      </w:pPr>
                      <w:hyperlink r:id="rId30" w:history="1">
                        <w:r w:rsidR="00652237" w:rsidRPr="005D70AA">
                          <w:rPr>
                            <w:rStyle w:val="Hipercze"/>
                            <w:rFonts w:cs="Arial"/>
                            <w:color w:val="001D77"/>
                            <w:sz w:val="18"/>
                            <w:szCs w:val="30"/>
                            <w:shd w:val="clear" w:color="auto" w:fill="F0F0F0"/>
                            <w:lang w:val="en-US"/>
                          </w:rPr>
                          <w:t>News Releases</w:t>
                        </w:r>
                      </w:hyperlink>
                    </w:p>
                    <w:p w:rsidR="002374E2" w:rsidRPr="002374E2" w:rsidRDefault="00451305" w:rsidP="00AF110B">
                      <w:pPr>
                        <w:spacing w:line="240" w:lineRule="auto"/>
                        <w:outlineLvl w:val="1"/>
                        <w:rPr>
                          <w:rFonts w:eastAsia="Times New Roman" w:cs="Times New Roman"/>
                          <w:bCs/>
                          <w:color w:val="001D77"/>
                          <w:sz w:val="18"/>
                          <w:szCs w:val="36"/>
                          <w:u w:val="single"/>
                          <w:lang w:val="en-US" w:eastAsia="pl-PL"/>
                        </w:rPr>
                      </w:pPr>
                      <w:hyperlink r:id="rId31"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451305" w:rsidP="00652237">
                      <w:pPr>
                        <w:rPr>
                          <w:rStyle w:val="Hipercze"/>
                          <w:rFonts w:cs="Arial"/>
                          <w:color w:val="001D77"/>
                          <w:sz w:val="18"/>
                          <w:szCs w:val="30"/>
                          <w:shd w:val="clear" w:color="auto" w:fill="F0F0F0"/>
                          <w:lang w:val="en-US"/>
                        </w:rPr>
                      </w:pPr>
                      <w:hyperlink r:id="rId32"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451305" w:rsidP="00652237">
                      <w:pPr>
                        <w:rPr>
                          <w:rStyle w:val="Hipercze"/>
                          <w:rFonts w:cs="Arial"/>
                          <w:color w:val="001D77"/>
                          <w:sz w:val="18"/>
                          <w:szCs w:val="30"/>
                          <w:shd w:val="clear" w:color="auto" w:fill="F0F0F0"/>
                          <w:lang w:val="en-US"/>
                        </w:rPr>
                      </w:pPr>
                      <w:hyperlink r:id="rId33"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451305" w:rsidP="00652237">
                      <w:pPr>
                        <w:rPr>
                          <w:b/>
                          <w:color w:val="001D77"/>
                          <w:sz w:val="16"/>
                          <w:szCs w:val="24"/>
                          <w:lang w:val="en-US"/>
                        </w:rPr>
                      </w:pPr>
                      <w:hyperlink r:id="rId34" w:history="1">
                        <w:hyperlink r:id="rId35"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v:textbox>
                <w10:wrap type="square" anchorx="margin"/>
              </v:shape>
            </w:pict>
          </mc:Fallback>
        </mc:AlternateContent>
      </w:r>
      <w:r w:rsidR="00AB3C32">
        <w:rPr>
          <w:rFonts w:asciiTheme="majorHAnsi" w:hAnsiTheme="majorHAnsi"/>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19050</wp:posOffset>
                </wp:positionH>
                <wp:positionV relativeFrom="paragraph">
                  <wp:posOffset>1003300</wp:posOffset>
                </wp:positionV>
                <wp:extent cx="5457190" cy="3210560"/>
                <wp:effectExtent l="0" t="0" r="10160" b="2794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3210560"/>
                        </a:xfrm>
                        <a:prstGeom prst="rect">
                          <a:avLst/>
                        </a:prstGeom>
                        <a:solidFill>
                          <a:schemeClr val="bg1">
                            <a:lumMod val="95000"/>
                          </a:schemeClr>
                        </a:solidFill>
                        <a:ln w="9525">
                          <a:solidFill>
                            <a:schemeClr val="bg1"/>
                          </a:solidFill>
                          <a:miter lim="800000"/>
                          <a:headEnd/>
                          <a:tailEnd/>
                        </a:ln>
                      </wps:spPr>
                      <wps:txb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6"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29" type="#_x0000_t202" style="position:absolute;margin-left:1.5pt;margin-top:79pt;width:429.7pt;height:252.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ohPQIAAHMEAAAOAAAAZHJzL2Uyb0RvYy54bWysVFFv0zAQfkfiP1h+p0mzdqxR02l0DCEN&#10;mDT4AVfHaazZvmC7Tcav5+y0pYMHJMRL5POdv7v7vrssrwej2V46r9BWfDrJOZNWYK3stuLfvt69&#10;ueLMB7A1aLSy4s/S8+vV61fLvitlgS3qWjpGINaXfVfxNoSuzDIvWmnAT7CTlpwNOgOBTLfNagc9&#10;oRudFXl+mfXo6s6hkN7T7e3o5KuE3zRShC9N42VguuJUW0hfl76b+M1WSyi3DrpWiUMZ8A9VGFCW&#10;kp6gbiEA2zn1B5RRwqHHJkwEmgybRgmZeqBupvlv3Ty20MnUC5HjuxNN/v/Bis/7B8dUXfGCMwuG&#10;JHpALVmQTz5gL1kRKeo7X1LkY0exYXiHA0md2vXdPYonzyyuW7BbeeMc9q2EmkqcxpfZ2dMRx0eQ&#10;Tf8Ja8oFu4AJaGicifwRI4zQSarnkzxyCEzQ5Xw2fztdkEuQ76KY5vPLJGAG5fF553z4INGweKi4&#10;I/0TPOzvfYjlQHkMidk8alXfKa2TEWdOrrVje6Bp2WzHFvXOUK3j3WKe58eUaURjeEJ9gaQt6yu+&#10;mBfzkaS/ZBnreoFgVKC10MpU/IpSjkmhjMy+tzU9gDKA0uOZmtL2QHVkd+Q5DJshCXtxVHCD9TNx&#10;73DcAtpaOrTofnDW0wZU3H/fgZOc6Y+W9FtMZ7O4Mskg6gsy3Llnc+4BKwiq4oGz8bgOac1iqRZv&#10;SOdGJQXiQIyVHEqmyU4UHrYwrs65naJ+/StWPwEAAP//AwBQSwMEFAAGAAgAAAAhADq8yX3gAAAA&#10;CQEAAA8AAABkcnMvZG93bnJldi54bWxMj0FPwzAMhe9I/IfISFwQS+lY1pWmE0Ka4IY6JrhmjWnL&#10;Gqdqsq38e8wJbrbf0/P3ivXkenHCMXSeNNzNEhBItbcdNRp2b5vbDESIhqzpPaGGbwywLi8vCpNb&#10;f6YKT9vYCA6hkBsNbYxDLmWoW3QmzPyAxNqnH52JvI6NtKM5c7jrZZokSjrTEX9ozYBPLdaH7dFp&#10;eF4tF5uXdLd8PagvZVc31fvwUWl9fTU9PoCIOMU/M/ziMzqUzLT3R7JB9Brm3CTyeZHxwHqm0nsQ&#10;ew1KzRXIspD/G5Q/AAAA//8DAFBLAQItABQABgAIAAAAIQC2gziS/gAAAOEBAAATAAAAAAAAAAAA&#10;AAAAAAAAAABbQ29udGVudF9UeXBlc10ueG1sUEsBAi0AFAAGAAgAAAAhADj9If/WAAAAlAEAAAsA&#10;AAAAAAAAAAAAAAAALwEAAF9yZWxzLy5yZWxzUEsBAi0AFAAGAAgAAAAhAKXW6iE9AgAAcwQAAA4A&#10;AAAAAAAAAAAAAAAALgIAAGRycy9lMm9Eb2MueG1sUEsBAi0AFAAGAAgAAAAhADq8yX3gAAAACQEA&#10;AA8AAAAAAAAAAAAAAAAAlwQAAGRycy9kb3ducmV2LnhtbFBLBQYAAAAABAAEAPMAAACkBQAAAAA=&#10;" fillcolor="#f2f2f2 [3052]" strokecolor="white [3212]">
                <v:textbo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7"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v:textbox>
                <w10:wrap type="square" anchorx="margin"/>
              </v:shape>
            </w:pict>
          </mc:Fallback>
        </mc:AlternateContent>
      </w:r>
    </w:p>
    <w:sectPr w:rsidR="00D261A2" w:rsidRPr="0006019C" w:rsidSect="006A2E6E">
      <w:headerReference w:type="default" r:id="rId38"/>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05" w:rsidRDefault="00451305" w:rsidP="000662E2">
      <w:pPr>
        <w:spacing w:after="0" w:line="240" w:lineRule="auto"/>
      </w:pPr>
      <w:r>
        <w:separator/>
      </w:r>
    </w:p>
  </w:endnote>
  <w:endnote w:type="continuationSeparator" w:id="0">
    <w:p w:rsidR="00451305" w:rsidRDefault="0045130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60"/>
      <w:docPartObj>
        <w:docPartGallery w:val="Page Numbers (Bottom of Page)"/>
        <w:docPartUnique/>
      </w:docPartObj>
    </w:sdtPr>
    <w:sdtEndPr/>
    <w:sdtContent>
      <w:p w:rsidR="00234F14" w:rsidRDefault="00515342">
        <w:pPr>
          <w:pStyle w:val="Stopka"/>
          <w:jc w:val="center"/>
        </w:pPr>
        <w:r>
          <w:rPr>
            <w:noProof/>
          </w:rPr>
          <w:fldChar w:fldCharType="begin"/>
        </w:r>
        <w:r>
          <w:rPr>
            <w:noProof/>
          </w:rPr>
          <w:instrText xml:space="preserve"> PAGE   \* MERGEFORMAT </w:instrText>
        </w:r>
        <w:r>
          <w:rPr>
            <w:noProof/>
          </w:rPr>
          <w:fldChar w:fldCharType="separate"/>
        </w:r>
        <w:r w:rsidR="00B0383F">
          <w:rPr>
            <w:noProof/>
          </w:rPr>
          <w:t>5</w:t>
        </w:r>
        <w:r>
          <w:rPr>
            <w:noProof/>
          </w:rPr>
          <w:fldChar w:fldCharType="end"/>
        </w:r>
      </w:p>
    </w:sdtContent>
  </w:sdt>
  <w:p w:rsidR="00234F14" w:rsidRDefault="00234F14" w:rsidP="002A6115">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59"/>
      <w:docPartObj>
        <w:docPartGallery w:val="Page Numbers (Bottom of Page)"/>
        <w:docPartUnique/>
      </w:docPartObj>
    </w:sdtPr>
    <w:sdtEndPr/>
    <w:sdtContent>
      <w:p w:rsidR="00234F14" w:rsidRDefault="00515342" w:rsidP="002A6115">
        <w:pPr>
          <w:pStyle w:val="Stopka"/>
          <w:jc w:val="center"/>
        </w:pPr>
        <w:r>
          <w:rPr>
            <w:noProof/>
          </w:rPr>
          <w:fldChar w:fldCharType="begin"/>
        </w:r>
        <w:r>
          <w:rPr>
            <w:noProof/>
          </w:rPr>
          <w:instrText xml:space="preserve"> PAGE   \* MERGEFORMAT </w:instrText>
        </w:r>
        <w:r>
          <w:rPr>
            <w:noProof/>
          </w:rPr>
          <w:fldChar w:fldCharType="separate"/>
        </w:r>
        <w:r w:rsidR="00B0383F">
          <w:rPr>
            <w:noProof/>
          </w:rPr>
          <w:t>1</w:t>
        </w:r>
        <w:r>
          <w:rPr>
            <w:noProof/>
          </w:rPr>
          <w:fldChar w:fldCharType="end"/>
        </w:r>
      </w:p>
    </w:sdtContent>
  </w:sdt>
  <w:p w:rsidR="00234F14" w:rsidRDefault="00234F14" w:rsidP="002A611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05" w:rsidRDefault="00451305" w:rsidP="000662E2">
      <w:pPr>
        <w:spacing w:after="0" w:line="240" w:lineRule="auto"/>
      </w:pPr>
      <w:r>
        <w:separator/>
      </w:r>
    </w:p>
  </w:footnote>
  <w:footnote w:type="continuationSeparator" w:id="0">
    <w:p w:rsidR="00451305" w:rsidRDefault="00451305"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AB3C32">
    <w:pPr>
      <w:pStyle w:val="Nagwek"/>
    </w:pPr>
    <w:r>
      <w:rPr>
        <w:noProof/>
        <w:lang w:eastAsia="pl-PL"/>
      </w:rPr>
      <mc:AlternateContent>
        <mc:Choice Requires="wps">
          <w:drawing>
            <wp:anchor distT="0" distB="0" distL="114300" distR="114300" simplePos="0" relativeHeight="251660288" behindDoc="1" locked="0" layoutInCell="1" allowOverlap="1">
              <wp:simplePos x="0" y="0"/>
              <wp:positionH relativeFrom="column">
                <wp:posOffset>5214620</wp:posOffset>
              </wp:positionH>
              <wp:positionV relativeFrom="paragraph">
                <wp:posOffset>-117475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459805" id="Prostokąt 24" o:spid="_x0000_s1026" style="position:absolute;margin-left:410.6pt;margin-top:-9.25pt;width:147.6pt;height:178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A3MJuuIA&#10;AAANAQAADwAAAGRycy9kb3ducmV2LnhtbEyPQU+EMBCF7yb+h2ZMvO0WukIQGTZmk40nD67ExFuh&#10;IxBpi7Qs+O/tntzj5H1575tiv+qBnWlyvTUI8TYCRqaxqjctQvV+3GTAnJdGycEaQvglB/vy9qaQ&#10;ubKLeaPzybcslBiXS4TO+zHn3DUdaem2diQTsi87aenDObVcTXIJ5XrgIopSrmVvwkInRzp01Hyf&#10;Zo0gqjURy+vx8eOzql+idP45CEoR7+/W5ydgnlb/D8NFP6hDGZxqOxvl2ICQiVgEFGETZwmwCxHH&#10;6QOwGmGXJDsBvCz49RflHwAAAP//AwBQSwECLQAUAAYACAAAACEAtoM4kv4AAADhAQAAEwAAAAAA&#10;AAAAAAAAAAAAAAAAW0NvbnRlbnRfVHlwZXNdLnhtbFBLAQItABQABgAIAAAAIQA4/SH/1gAAAJQB&#10;AAALAAAAAAAAAAAAAAAAAC8BAABfcmVscy8ucmVsc1BLAQItABQABgAIAAAAIQAuBu32sQIAAMYF&#10;AAAOAAAAAAAAAAAAAAAAAC4CAABkcnMvZTJvRG9jLnhtbFBLAQItABQABgAIAAAAIQADcwm64gAA&#10;AA0BAAAPAAAAAAAAAAAAAAAAAAsFAABkcnMvZG93bnJldi54bWxQSwUGAAAAAAQABADzAAAAGgYA&#10;AAAA&#10;" fillcolor="#f2f2f2 [3052]" stroked="f" strokeweight="1pt"/>
          </w:pict>
        </mc:Fallback>
      </mc:AlternateContent>
    </w:r>
  </w:p>
  <w:p w:rsidR="00234F14" w:rsidRDefault="00780F93">
    <w:pPr>
      <w:pStyle w:val="Nagwek"/>
    </w:pPr>
    <w:r w:rsidRPr="00780F93">
      <w:rPr>
        <w:b/>
        <w:noProof/>
        <w:color w:val="212492"/>
        <w:spacing w:val="-2"/>
        <w:szCs w:val="19"/>
        <w:lang w:eastAsia="pl-PL"/>
      </w:rPr>
      <mc:AlternateContent>
        <mc:Choice Requires="wps">
          <w:drawing>
            <wp:anchor distT="45720" distB="45720" distL="114300" distR="114300" simplePos="0" relativeHeight="251665408" behindDoc="1" locked="0" layoutInCell="1" allowOverlap="1" wp14:anchorId="3FC464BB" wp14:editId="6C593D96">
              <wp:simplePos x="0" y="0"/>
              <wp:positionH relativeFrom="column">
                <wp:posOffset>5212080</wp:posOffset>
              </wp:positionH>
              <wp:positionV relativeFrom="paragraph">
                <wp:posOffset>3103880</wp:posOffset>
              </wp:positionV>
              <wp:extent cx="1684020" cy="1290320"/>
              <wp:effectExtent l="0" t="0" r="0" b="5080"/>
              <wp:wrapTight wrapText="bothSides">
                <wp:wrapPolygon edited="0">
                  <wp:start x="733" y="0"/>
                  <wp:lineTo x="733" y="21366"/>
                  <wp:lineTo x="20769" y="21366"/>
                  <wp:lineTo x="20769" y="0"/>
                  <wp:lineTo x="733"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290320"/>
                      </a:xfrm>
                      <a:prstGeom prst="rect">
                        <a:avLst/>
                      </a:prstGeom>
                      <a:noFill/>
                      <a:ln w="9525">
                        <a:noFill/>
                        <a:miter lim="800000"/>
                        <a:headEnd/>
                        <a:tailEnd/>
                      </a:ln>
                    </wps:spPr>
                    <wps:txbx>
                      <w:txbxContent>
                        <w:p w:rsidR="00780F93" w:rsidRPr="00780F93" w:rsidRDefault="00780F93" w:rsidP="00780F93">
                          <w:pPr>
                            <w:pStyle w:val="tekstzboku"/>
                            <w:spacing w:before="0"/>
                            <w:rPr>
                              <w:lang w:val="en-US"/>
                            </w:rPr>
                          </w:pPr>
                        </w:p>
                      </w:txbxContent>
                    </wps:txbx>
                    <wps:bodyPr rot="0" vert="horz" wrap="square" lIns="90000" tIns="36000" rIns="90000" bIns="360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FC464BB" id="_x0000_t202" coordsize="21600,21600" o:spt="202" path="m,l,21600r21600,l21600,xe">
              <v:stroke joinstyle="miter"/>
              <v:path gradientshapeok="t" o:connecttype="rect"/>
            </v:shapetype>
            <v:shape id="_x0000_s1030" type="#_x0000_t202" style="position:absolute;margin-left:410.4pt;margin-top:244.4pt;width:132.6pt;height:101.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CwIAAPkDAAAOAAAAZHJzL2Uyb0RvYy54bWysU8Fu2zAMvQ/YPwi6L3bcNWiMOEXXrsOA&#10;bivQ7QMYWY6FSqImKbGzrx8lp2mw3Yb5IIgm+cj3SK2uR6PZXvqg0DZ8Pis5k1Zgq+y24T++37+7&#10;4ixEsC1otLLhBxn49frtm9Xgallhj7qVnhGIDfXgGt7H6OqiCKKXBsIMnbTk7NAbiGT6bdF6GAjd&#10;6KIqy0UxoG+dRyFDoL93k5OvM37XSRG/dV2QkemGU28xnz6fm3QW6xXUWw+uV+LYBvxDFwaUpaIn&#10;qDuIwHZe/QVllPAYsIszgabArlNCZg7EZl7+weapByczFxInuJNM4f/Biq/7R89US7Obc2bB0Iwe&#10;UUsW5XOIOEhWJY0GF2oKfXIUHMcPOFJ85hvcA4rnwCze9mC38sZ7HHoJLfU4T5nFWeqEExLIZviC&#10;LdWCXcQMNHbeJAFJEkboNKvDaT5yjEykkour92VFLkG+ebUsL8hINaB+SXc+xE8SDUuXhntagAwP&#10;+4cQp9CXkFTN4r3Smv5DrS0bGr68rC5zwpnHqEg7qpVp+FWZvmlrEsuPts3JEZSe7tSLtkfaienE&#10;OY6bkQKTFhtsDySAx2kX6e3QpUf/i7OB9rDh4ecOvORMf7Yk4jIXZDEbF4tUnflzz+bcA1YQVMMj&#10;Z9P1NuZln7jekNidyjK8dnLslfYrC3l8C2mBz+0c9fpi178BAAD//wMAUEsDBBQABgAIAAAAIQDm&#10;hvUP4QAAAAwBAAAPAAAAZHJzL2Rvd25yZXYueG1sTI9fS8MwFMXfBb9DuIIv4pIVV2JtOsQhAxHU&#10;zQ+QNdemLH9qk23123v3pG/ncg7n/k69nLxjRxxTH4OC+UwAw9BG04dOwef2+VYCS1kHo10MqOAH&#10;Eyyby4taVyaewgceN7ljVBJSpRXYnIeK89Ra9DrN4oCBvK84ep3pHDtuRn2icu94IUTJve4DfbB6&#10;wCeL7X5z8ApwtX57zdv9+7BYz1vrbl4WuPpW6vpqenwAlnHKf2E44xM6NMS0i4dgEnMKZCEIPSu4&#10;k5LEOSFkSfN2Csr7QgBvav5/RPMLAAD//wMAUEsBAi0AFAAGAAgAAAAhALaDOJL+AAAA4QEAABMA&#10;AAAAAAAAAAAAAAAAAAAAAFtDb250ZW50X1R5cGVzXS54bWxQSwECLQAUAAYACAAAACEAOP0h/9YA&#10;AACUAQAACwAAAAAAAAAAAAAAAAAvAQAAX3JlbHMvLnJlbHNQSwECLQAUAAYACAAAACEAL0gGPwsC&#10;AAD5AwAADgAAAAAAAAAAAAAAAAAuAgAAZHJzL2Uyb0RvYy54bWxQSwECLQAUAAYACAAAACEA5ob1&#10;D+EAAAAMAQAADwAAAAAAAAAAAAAAAABlBAAAZHJzL2Rvd25yZXYueG1sUEsFBgAAAAAEAAQA8wAA&#10;AHMFAAAAAA==&#10;" filled="f" stroked="f">
              <v:textbox inset="2.5mm,1mm,2.5mm,1mm">
                <w:txbxContent>
                  <w:p w:rsidR="00780F93" w:rsidRPr="00780F93" w:rsidRDefault="00780F93" w:rsidP="00780F93">
                    <w:pPr>
                      <w:pStyle w:val="tekstzboku"/>
                      <w:spacing w:before="0"/>
                      <w:rPr>
                        <w:lang w:val="en-US"/>
                      </w:rPr>
                    </w:pP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20C68" w:rsidP="004078E9">
    <w:pPr>
      <w:pStyle w:val="Nagwek"/>
      <w:ind w:left="-284"/>
      <w:rPr>
        <w:noProof/>
        <w:lang w:eastAsia="pl-PL"/>
      </w:rPr>
    </w:pPr>
    <w:r>
      <w:rPr>
        <w:noProof/>
        <w:lang w:eastAsia="pl-PL"/>
      </w:rPr>
      <mc:AlternateContent>
        <mc:Choice Requires="wps">
          <w:drawing>
            <wp:anchor distT="0" distB="0" distL="114300" distR="114300" simplePos="0" relativeHeight="251661312" behindDoc="1" locked="0" layoutInCell="1" allowOverlap="1">
              <wp:simplePos x="0" y="0"/>
              <wp:positionH relativeFrom="page">
                <wp:align>right</wp:align>
              </wp:positionH>
              <wp:positionV relativeFrom="paragraph">
                <wp:posOffset>445135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36639D" id="Prostokąt 10" o:spid="_x0000_s1026" style="position:absolute;margin-left:96.2pt;margin-top:35.05pt;width:147.4pt;height:1803.5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KNwZL/hAAAACAEAAA8AAABk&#10;cnMvZG93bnJldi54bWxMj0FPg0AQhe8m/ofNmHizS9GUigyNUUlMvGgr0d627Aik7C6yW4r+eseT&#10;Hidv8t73ZavJdGKkwbfOIsxnEQiyldOtrRFeN8XFEoQPymrVOUsIX+RhlZ+eZCrV7mhfaFyHWnCJ&#10;9alCaELoUyl91ZBRfuZ6spx9uMGowOdQSz2oI5ebTsZRtJBGtZYXGtXTXUPVfn0wCG47bp50UezL&#10;8vv+7Xn58F5+bh8Rz8+m2xsQgabw9wy/+IwOOTPt3MFqLzoEFgkISTQHwWl8fcUiO4TLRZLEIPNM&#10;/hfIfwAAAP//AwBQSwECLQAUAAYACAAAACEAtoM4kv4AAADhAQAAEwAAAAAAAAAAAAAAAAAAAAAA&#10;W0NvbnRlbnRfVHlwZXNdLnhtbFBLAQItABQABgAIAAAAIQA4/SH/1gAAAJQBAAALAAAAAAAAAAAA&#10;AAAAAC8BAABfcmVscy8ucmVsc1BLAQItABQABgAIAAAAIQCMq2rbpgIAAKMFAAAOAAAAAAAAAAAA&#10;AAAAAC4CAABkcnMvZTJvRG9jLnhtbFBLAQItABQABgAIAAAAIQCjcGS/4QAAAAgBAAAPAAAAAAAA&#10;AAAAAAAAAAAFAABkcnMvZG93bnJldi54bWxQSwUGAAAAAAQABADzAAAADgYAAAAA&#10;" fillcolor="#f2f2f2" stroked="f" strokeweight="1pt">
              <w10:wrap type="tight" anchorx="page"/>
            </v:rect>
          </w:pict>
        </mc:Fallback>
      </mc:AlternateContent>
    </w:r>
    <w:r w:rsidR="00AB3C32">
      <w:rPr>
        <w:noProof/>
        <w:lang w:eastAsia="pl-PL"/>
      </w:rPr>
      <mc:AlternateContent>
        <mc:Choice Requires="wps">
          <w:drawing>
            <wp:anchor distT="0" distB="0" distL="114300" distR="114300" simplePos="0" relativeHeight="251662336"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Schemat blokowy: opóźnienie 6" o:spid="_x0000_s1031" style="position:absolute;left:0;text-align:left;margin-left:396.6pt;margin-top:15.65pt;width:162.25pt;height:28.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F2SQYAACo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ppBaO2&#10;VN+s2PoaVI2cGbmnqNPXORfyjAj5jnCQAAI5QLMq38JHVjC4G+Gu0yMPbRj/fNf3yh5klzDroS3o&#10;RZee+P2ScOqh4ucKBJkJnoKaEEl9MY3iAC64PbOyZ6rL8iUDgkBbhdXpobKXRTvMOCs/gLT1VKHC&#10;FKlSwIb2LaGxmIuXEq5hCsSxKT091WMQlQJLz6rzOm1lljVk/n73gfAaqeHSkyCyfMNabSlZtOpJ&#10;YPWNrapQxU4vJctyJa3UzDT72lyAIFVTqRHPKsWrfa2tbiS+J/8A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Jx9hdkkG&#10;AAAq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234F14">
      <w:rPr>
        <w:noProof/>
        <w:lang w:eastAsia="pl-PL"/>
      </w:rPr>
      <w:drawing>
        <wp:inline distT="0" distB="0" distL="0" distR="0">
          <wp:extent cx="2096203" cy="720000"/>
          <wp:effectExtent l="19050" t="0" r="0" b="0"/>
          <wp:docPr id="13" name="Obraz 3" descr="C:\Users\rudzinskas\AppData\Local\Microsoft\Windows\INetCache\Content.Outlook\KB4DOR7T\Logo Statistics 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dzinskas\AppData\Local\Microsoft\Windows\INetCache\Content.Outlook\KB4DOR7T\Logo Statistics Poland.JPG"/>
                  <pic:cNvPicPr>
                    <a:picLocks noChangeAspect="1" noChangeArrowheads="1"/>
                  </pic:cNvPicPr>
                </pic:nvPicPr>
                <pic:blipFill>
                  <a:blip r:embed="rId1"/>
                  <a:srcRect/>
                  <a:stretch>
                    <a:fillRect/>
                  </a:stretch>
                </pic:blipFill>
                <pic:spPr bwMode="auto">
                  <a:xfrm>
                    <a:off x="0" y="0"/>
                    <a:ext cx="2096203" cy="720000"/>
                  </a:xfrm>
                  <a:prstGeom prst="rect">
                    <a:avLst/>
                  </a:prstGeom>
                  <a:noFill/>
                  <a:ln w="9525">
                    <a:noFill/>
                    <a:miter lim="800000"/>
                    <a:headEnd/>
                    <a:tailEnd/>
                  </a:ln>
                </pic:spPr>
              </pic:pic>
            </a:graphicData>
          </a:graphic>
        </wp:inline>
      </w:drawing>
    </w:r>
  </w:p>
  <w:p w:rsidR="00234F14" w:rsidRDefault="00AB3C32">
    <w:pPr>
      <w:pStyle w:val="Nagwek"/>
      <w:rPr>
        <w:noProof/>
        <w:lang w:eastAsia="pl-PL"/>
      </w:rPr>
    </w:pPr>
    <w:r>
      <w:rPr>
        <w:noProof/>
        <w:lang w:eastAsia="pl-PL"/>
      </w:rPr>
      <mc:AlternateContent>
        <mc:Choice Requires="wps">
          <w:drawing>
            <wp:anchor distT="45720" distB="45720" distL="114300" distR="114300" simplePos="0" relativeHeight="251663360" behindDoc="0" locked="0" layoutInCell="1" allowOverlap="1">
              <wp:simplePos x="0" y="0"/>
              <wp:positionH relativeFrom="column">
                <wp:posOffset>5219700</wp:posOffset>
              </wp:positionH>
              <wp:positionV relativeFrom="paragraph">
                <wp:posOffset>294640</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10.06</w:t>
                          </w:r>
                          <w:r w:rsidR="00234F14">
                            <w:rPr>
                              <w:rFonts w:ascii="Fira Sans SemiBold" w:hAnsi="Fira Sans SemiBold"/>
                              <w:color w:val="001D77"/>
                            </w:rPr>
                            <w:t>.20</w:t>
                          </w:r>
                          <w:r w:rsidR="00406F9E">
                            <w:rPr>
                              <w:rFonts w:ascii="Fira Sans SemiBold" w:hAnsi="Fira Sans SemiBold"/>
                              <w:color w:val="001D77"/>
                            </w:rPr>
                            <w:t>21</w:t>
                          </w:r>
                          <w:r w:rsidR="00234F14">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1032" type="#_x0000_t202" style="position:absolute;margin-left:411pt;margin-top:23.2pt;width:112.8pt;height: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b6EAIAAP4DAAAOAAAAZHJzL2Uyb0RvYy54bWysU9uO0zAQfUfiHyy/07TpBTZqulp2WYS0&#10;wEoLHzB1nMZa22Nst0n5esZOt1TwhsiDZWc8Z+acOV5fD0azg/RBoa35bDLlTFqBjbK7mn//dv/m&#10;HWchgm1Ao5U1P8rArzevX617V8kSO9SN9IxAbKh6V/MuRlcVRRCdNBAm6KSlYIveQKSj3xWNh57Q&#10;jS7K6XRV9Ogb51HIEOjv3Rjkm4zftlLEr20bZGS65tRbzKvP6zatxWYN1c6D65Q4tQH/0IUBZano&#10;GeoOIrC9V39BGSU8BmzjRKApsG2VkJkDsZlN/2Dz1IGTmQuJE9xZpvD/YMWXw6Nnqqk5DcqCoRE9&#10;opYsyucQsZesTBL1LlR088nR3Ti8x4FGnekG94DiOTCLtx3YnbzxHvtOQkMtzlJmcZE64oQEsu0/&#10;Y0O1YB8xAw2tN0k/UoQROo3qeB6PHCITqeRiXi5XFBIUm89Xy2WeXwHVS7bzIX6UaFja1NzT+DM6&#10;HB5CTN1A9XIlFbN4r7TOFtCW9TW/WpbLnHARMSqSQ7UyJNE0faNnEskPtsnJEZQe91RA2xPrRHSk&#10;HIftkDU+i7nF5kgyeBwNSQ+INh36n5z1ZMaahx978JIz/cmSlFezxSK5Nx8Wy7clHfxlZHsZASsI&#10;quaRs3F7G7PjR8o3JHmrshppNmMnp5bJZFmk04NILr4851u/n+3mFwAAAP//AwBQSwMEFAAGAAgA&#10;AAAhAAvgVrjeAAAACgEAAA8AAABkcnMvZG93bnJldi54bWxMj81OwzAQhO9IvIO1SNyoTWRCE7Kp&#10;EIgriPIjcXPjbRIRr6PYbcLb457gOJrRzDfVZnGDONIUes8I1ysFgrjxtucW4f3t6WoNIkTD1gye&#10;CeGHAmzq87PKlNbP/ErHbWxFKuFQGoQuxrGUMjQdORNWfiRO3t5PzsQkp1baycyp3A0yUyqXzvSc&#10;Fjoz0kNHzff24BA+nvdfn1q9tI/uZpz9oiS7QiJeXiz3dyAiLfEvDCf8hA51Ytr5A9sgBoR1lqUv&#10;EUHnGsQpoPRtDmKHUBQaZF3J/xfqXwAAAP//AwBQSwECLQAUAAYACAAAACEAtoM4kv4AAADhAQAA&#10;EwAAAAAAAAAAAAAAAAAAAAAAW0NvbnRlbnRfVHlwZXNdLnhtbFBLAQItABQABgAIAAAAIQA4/SH/&#10;1gAAAJQBAAALAAAAAAAAAAAAAAAAAC8BAABfcmVscy8ucmVsc1BLAQItABQABgAIAAAAIQCHVmb6&#10;EAIAAP4DAAAOAAAAAAAAAAAAAAAAAC4CAABkcnMvZTJvRG9jLnhtbFBLAQItABQABgAIAAAAIQAL&#10;4Fa43gAAAAoBAAAPAAAAAAAAAAAAAAAAAGoEAABkcnMvZG93bnJldi54bWxQSwUGAAAAAAQABADz&#10;AAAAdQUAAAAA&#10;" filled="f" stroked="f">
              <v:textbo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10.06</w:t>
                    </w:r>
                    <w:r w:rsidR="00234F14">
                      <w:rPr>
                        <w:rFonts w:ascii="Fira Sans SemiBold" w:hAnsi="Fira Sans SemiBold"/>
                        <w:color w:val="001D77"/>
                      </w:rPr>
                      <w:t>.20</w:t>
                    </w:r>
                    <w:r w:rsidR="00406F9E">
                      <w:rPr>
                        <w:rFonts w:ascii="Fira Sans SemiBold" w:hAnsi="Fira Sans SemiBold"/>
                        <w:color w:val="001D77"/>
                      </w:rPr>
                      <w:t>21</w:t>
                    </w:r>
                    <w:r w:rsidR="00234F14">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34F14">
    <w:pPr>
      <w:pStyle w:val="Nagwek"/>
    </w:pPr>
  </w:p>
  <w:p w:rsidR="00234F14" w:rsidRDefault="00234F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6pt;height:126pt;visibility:visible;mso-wrap-style:square" o:bullet="t">
        <v:imagedata r:id="rId1" o:title=""/>
      </v:shape>
    </w:pict>
  </w:numPicBullet>
  <w:numPicBullet w:numPicBulletId="1">
    <w:pict>
      <v:shape id="_x0000_i1029" type="#_x0000_t75" style="width:126pt;height:12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D694922"/>
    <w:multiLevelType w:val="hybridMultilevel"/>
    <w:tmpl w:val="B5CE4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D1616F"/>
    <w:multiLevelType w:val="hybridMultilevel"/>
    <w:tmpl w:val="41DAC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680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2B"/>
    <w:rsid w:val="00001463"/>
    <w:rsid w:val="00001C5B"/>
    <w:rsid w:val="00003437"/>
    <w:rsid w:val="00003C03"/>
    <w:rsid w:val="0000709F"/>
    <w:rsid w:val="0000713E"/>
    <w:rsid w:val="000102CC"/>
    <w:rsid w:val="0001039F"/>
    <w:rsid w:val="00010809"/>
    <w:rsid w:val="000108B8"/>
    <w:rsid w:val="0001104F"/>
    <w:rsid w:val="00011564"/>
    <w:rsid w:val="000144A9"/>
    <w:rsid w:val="00014DEA"/>
    <w:rsid w:val="000152F5"/>
    <w:rsid w:val="000157BD"/>
    <w:rsid w:val="00016DB8"/>
    <w:rsid w:val="000177BB"/>
    <w:rsid w:val="00017FFE"/>
    <w:rsid w:val="0002125E"/>
    <w:rsid w:val="00022097"/>
    <w:rsid w:val="000224B2"/>
    <w:rsid w:val="00023A16"/>
    <w:rsid w:val="00023B31"/>
    <w:rsid w:val="00023F0B"/>
    <w:rsid w:val="00024832"/>
    <w:rsid w:val="00024D94"/>
    <w:rsid w:val="000253FE"/>
    <w:rsid w:val="00026363"/>
    <w:rsid w:val="0002661D"/>
    <w:rsid w:val="00027020"/>
    <w:rsid w:val="00027951"/>
    <w:rsid w:val="00027E78"/>
    <w:rsid w:val="00030374"/>
    <w:rsid w:val="00030A9C"/>
    <w:rsid w:val="00033776"/>
    <w:rsid w:val="00033BCC"/>
    <w:rsid w:val="00033C72"/>
    <w:rsid w:val="00034108"/>
    <w:rsid w:val="00035768"/>
    <w:rsid w:val="00036905"/>
    <w:rsid w:val="00036CEE"/>
    <w:rsid w:val="00037E75"/>
    <w:rsid w:val="000402D6"/>
    <w:rsid w:val="00040525"/>
    <w:rsid w:val="000419AC"/>
    <w:rsid w:val="00042386"/>
    <w:rsid w:val="00043B9A"/>
    <w:rsid w:val="00043D31"/>
    <w:rsid w:val="0004582E"/>
    <w:rsid w:val="00046115"/>
    <w:rsid w:val="000470AA"/>
    <w:rsid w:val="00047453"/>
    <w:rsid w:val="0005136D"/>
    <w:rsid w:val="00052608"/>
    <w:rsid w:val="000533D9"/>
    <w:rsid w:val="00053993"/>
    <w:rsid w:val="000557B6"/>
    <w:rsid w:val="0005785E"/>
    <w:rsid w:val="00057CA1"/>
    <w:rsid w:val="00057EC2"/>
    <w:rsid w:val="0006019C"/>
    <w:rsid w:val="00061FE0"/>
    <w:rsid w:val="000632B6"/>
    <w:rsid w:val="000633F9"/>
    <w:rsid w:val="0006357B"/>
    <w:rsid w:val="000662E2"/>
    <w:rsid w:val="00066883"/>
    <w:rsid w:val="00067082"/>
    <w:rsid w:val="00071237"/>
    <w:rsid w:val="00071906"/>
    <w:rsid w:val="00071C58"/>
    <w:rsid w:val="00071C94"/>
    <w:rsid w:val="00071E19"/>
    <w:rsid w:val="000724CD"/>
    <w:rsid w:val="00074B04"/>
    <w:rsid w:val="00074DD8"/>
    <w:rsid w:val="00075004"/>
    <w:rsid w:val="000763C4"/>
    <w:rsid w:val="00077890"/>
    <w:rsid w:val="00077E83"/>
    <w:rsid w:val="000806F7"/>
    <w:rsid w:val="000822E2"/>
    <w:rsid w:val="00082349"/>
    <w:rsid w:val="000825F3"/>
    <w:rsid w:val="0008280E"/>
    <w:rsid w:val="00083D37"/>
    <w:rsid w:val="000857F2"/>
    <w:rsid w:val="00085AF7"/>
    <w:rsid w:val="000871E1"/>
    <w:rsid w:val="00090396"/>
    <w:rsid w:val="00093F25"/>
    <w:rsid w:val="00094047"/>
    <w:rsid w:val="000A1B55"/>
    <w:rsid w:val="000A354B"/>
    <w:rsid w:val="000A3BE8"/>
    <w:rsid w:val="000A49DF"/>
    <w:rsid w:val="000A50BE"/>
    <w:rsid w:val="000A7A67"/>
    <w:rsid w:val="000B0727"/>
    <w:rsid w:val="000B0A71"/>
    <w:rsid w:val="000B1191"/>
    <w:rsid w:val="000B2B68"/>
    <w:rsid w:val="000B3B95"/>
    <w:rsid w:val="000B6DA7"/>
    <w:rsid w:val="000B73BD"/>
    <w:rsid w:val="000B7472"/>
    <w:rsid w:val="000B7ED9"/>
    <w:rsid w:val="000C0D4D"/>
    <w:rsid w:val="000C135D"/>
    <w:rsid w:val="000C1DA1"/>
    <w:rsid w:val="000C326A"/>
    <w:rsid w:val="000C3D76"/>
    <w:rsid w:val="000C46F0"/>
    <w:rsid w:val="000C5585"/>
    <w:rsid w:val="000C5DFE"/>
    <w:rsid w:val="000D0436"/>
    <w:rsid w:val="000D15A6"/>
    <w:rsid w:val="000D1D43"/>
    <w:rsid w:val="000D225C"/>
    <w:rsid w:val="000D249C"/>
    <w:rsid w:val="000D2A5C"/>
    <w:rsid w:val="000D2DA9"/>
    <w:rsid w:val="000D2DD3"/>
    <w:rsid w:val="000D41A5"/>
    <w:rsid w:val="000D5EE9"/>
    <w:rsid w:val="000D6E15"/>
    <w:rsid w:val="000D724E"/>
    <w:rsid w:val="000D72E3"/>
    <w:rsid w:val="000D7370"/>
    <w:rsid w:val="000D7994"/>
    <w:rsid w:val="000E0918"/>
    <w:rsid w:val="000E0FFA"/>
    <w:rsid w:val="000E2DD1"/>
    <w:rsid w:val="000E30AD"/>
    <w:rsid w:val="000E531C"/>
    <w:rsid w:val="000E65E0"/>
    <w:rsid w:val="000E7B9D"/>
    <w:rsid w:val="000F20B8"/>
    <w:rsid w:val="000F2FDE"/>
    <w:rsid w:val="000F303C"/>
    <w:rsid w:val="000F3D3B"/>
    <w:rsid w:val="000F4044"/>
    <w:rsid w:val="000F4AAC"/>
    <w:rsid w:val="000F511A"/>
    <w:rsid w:val="001011C3"/>
    <w:rsid w:val="001017E9"/>
    <w:rsid w:val="001035E8"/>
    <w:rsid w:val="00103810"/>
    <w:rsid w:val="001052D2"/>
    <w:rsid w:val="0010538C"/>
    <w:rsid w:val="001057A5"/>
    <w:rsid w:val="00105B75"/>
    <w:rsid w:val="0010694A"/>
    <w:rsid w:val="00110D87"/>
    <w:rsid w:val="001119E5"/>
    <w:rsid w:val="001139F5"/>
    <w:rsid w:val="00114DB9"/>
    <w:rsid w:val="00114FBC"/>
    <w:rsid w:val="00116087"/>
    <w:rsid w:val="001176A8"/>
    <w:rsid w:val="00120842"/>
    <w:rsid w:val="0012114B"/>
    <w:rsid w:val="00123990"/>
    <w:rsid w:val="00124574"/>
    <w:rsid w:val="00124F3B"/>
    <w:rsid w:val="0012679F"/>
    <w:rsid w:val="001267F4"/>
    <w:rsid w:val="00127768"/>
    <w:rsid w:val="00127E07"/>
    <w:rsid w:val="00130296"/>
    <w:rsid w:val="001304EC"/>
    <w:rsid w:val="0013057C"/>
    <w:rsid w:val="00130AB2"/>
    <w:rsid w:val="0013237E"/>
    <w:rsid w:val="001329A9"/>
    <w:rsid w:val="00134242"/>
    <w:rsid w:val="00134F38"/>
    <w:rsid w:val="00135671"/>
    <w:rsid w:val="001357F2"/>
    <w:rsid w:val="00135D92"/>
    <w:rsid w:val="00137A33"/>
    <w:rsid w:val="001409E1"/>
    <w:rsid w:val="0014239B"/>
    <w:rsid w:val="001423B6"/>
    <w:rsid w:val="00143C79"/>
    <w:rsid w:val="00144241"/>
    <w:rsid w:val="001448A7"/>
    <w:rsid w:val="0014543F"/>
    <w:rsid w:val="001457E5"/>
    <w:rsid w:val="00146621"/>
    <w:rsid w:val="00147B0F"/>
    <w:rsid w:val="001520A2"/>
    <w:rsid w:val="00152273"/>
    <w:rsid w:val="001544CF"/>
    <w:rsid w:val="00154726"/>
    <w:rsid w:val="00154EC0"/>
    <w:rsid w:val="00160E26"/>
    <w:rsid w:val="00161DA5"/>
    <w:rsid w:val="00161F52"/>
    <w:rsid w:val="00162325"/>
    <w:rsid w:val="0016514E"/>
    <w:rsid w:val="00165563"/>
    <w:rsid w:val="0016751F"/>
    <w:rsid w:val="001677B4"/>
    <w:rsid w:val="00171561"/>
    <w:rsid w:val="001720A2"/>
    <w:rsid w:val="00172EA7"/>
    <w:rsid w:val="00174612"/>
    <w:rsid w:val="00176256"/>
    <w:rsid w:val="00176FC0"/>
    <w:rsid w:val="001774A2"/>
    <w:rsid w:val="00180490"/>
    <w:rsid w:val="0018378F"/>
    <w:rsid w:val="001844A6"/>
    <w:rsid w:val="0018456B"/>
    <w:rsid w:val="001851A5"/>
    <w:rsid w:val="00186719"/>
    <w:rsid w:val="001905F6"/>
    <w:rsid w:val="00191C6D"/>
    <w:rsid w:val="00191E3E"/>
    <w:rsid w:val="001951DA"/>
    <w:rsid w:val="00195E9E"/>
    <w:rsid w:val="0019640E"/>
    <w:rsid w:val="00196B8C"/>
    <w:rsid w:val="001A0434"/>
    <w:rsid w:val="001A0D79"/>
    <w:rsid w:val="001A1119"/>
    <w:rsid w:val="001A2810"/>
    <w:rsid w:val="001A360C"/>
    <w:rsid w:val="001A40AB"/>
    <w:rsid w:val="001A41A6"/>
    <w:rsid w:val="001A468C"/>
    <w:rsid w:val="001A49FD"/>
    <w:rsid w:val="001A627E"/>
    <w:rsid w:val="001A75DF"/>
    <w:rsid w:val="001B3F52"/>
    <w:rsid w:val="001B48AF"/>
    <w:rsid w:val="001B521F"/>
    <w:rsid w:val="001B532C"/>
    <w:rsid w:val="001B6621"/>
    <w:rsid w:val="001B69A2"/>
    <w:rsid w:val="001C103F"/>
    <w:rsid w:val="001C1294"/>
    <w:rsid w:val="001C190A"/>
    <w:rsid w:val="001C2698"/>
    <w:rsid w:val="001C2D74"/>
    <w:rsid w:val="001C3269"/>
    <w:rsid w:val="001C3D4C"/>
    <w:rsid w:val="001C5804"/>
    <w:rsid w:val="001C5C67"/>
    <w:rsid w:val="001C5DE2"/>
    <w:rsid w:val="001C6028"/>
    <w:rsid w:val="001C6976"/>
    <w:rsid w:val="001C70AF"/>
    <w:rsid w:val="001C7489"/>
    <w:rsid w:val="001D1DB4"/>
    <w:rsid w:val="001D4C1B"/>
    <w:rsid w:val="001D6715"/>
    <w:rsid w:val="001E0A96"/>
    <w:rsid w:val="001E1400"/>
    <w:rsid w:val="001E236B"/>
    <w:rsid w:val="001E5351"/>
    <w:rsid w:val="001E6C4F"/>
    <w:rsid w:val="001F1289"/>
    <w:rsid w:val="001F20A5"/>
    <w:rsid w:val="001F21B5"/>
    <w:rsid w:val="001F2800"/>
    <w:rsid w:val="001F2BEC"/>
    <w:rsid w:val="001F340B"/>
    <w:rsid w:val="001F40E2"/>
    <w:rsid w:val="001F435A"/>
    <w:rsid w:val="001F48BB"/>
    <w:rsid w:val="001F4A85"/>
    <w:rsid w:val="001F5512"/>
    <w:rsid w:val="001F67FE"/>
    <w:rsid w:val="001F7F8B"/>
    <w:rsid w:val="002003B9"/>
    <w:rsid w:val="002019C6"/>
    <w:rsid w:val="002023E9"/>
    <w:rsid w:val="00203B23"/>
    <w:rsid w:val="00203BEC"/>
    <w:rsid w:val="002043FC"/>
    <w:rsid w:val="00207A39"/>
    <w:rsid w:val="00211A7E"/>
    <w:rsid w:val="00211C83"/>
    <w:rsid w:val="002130FF"/>
    <w:rsid w:val="0021363F"/>
    <w:rsid w:val="002141A1"/>
    <w:rsid w:val="00214C41"/>
    <w:rsid w:val="00215013"/>
    <w:rsid w:val="00216030"/>
    <w:rsid w:val="00220C68"/>
    <w:rsid w:val="002220B7"/>
    <w:rsid w:val="0022314B"/>
    <w:rsid w:val="0022350C"/>
    <w:rsid w:val="00223C48"/>
    <w:rsid w:val="00223EBE"/>
    <w:rsid w:val="00226FE1"/>
    <w:rsid w:val="00230CBA"/>
    <w:rsid w:val="002314F1"/>
    <w:rsid w:val="0023186D"/>
    <w:rsid w:val="0023240E"/>
    <w:rsid w:val="0023297E"/>
    <w:rsid w:val="002337B9"/>
    <w:rsid w:val="00234335"/>
    <w:rsid w:val="002347FD"/>
    <w:rsid w:val="00234F14"/>
    <w:rsid w:val="00235EE9"/>
    <w:rsid w:val="00236998"/>
    <w:rsid w:val="00236B7C"/>
    <w:rsid w:val="00236CA5"/>
    <w:rsid w:val="002374E2"/>
    <w:rsid w:val="00237670"/>
    <w:rsid w:val="00237C5C"/>
    <w:rsid w:val="00240FAB"/>
    <w:rsid w:val="00241406"/>
    <w:rsid w:val="0024278E"/>
    <w:rsid w:val="00244DBF"/>
    <w:rsid w:val="00244E7F"/>
    <w:rsid w:val="00246B7F"/>
    <w:rsid w:val="00247E0C"/>
    <w:rsid w:val="0025169D"/>
    <w:rsid w:val="00251F38"/>
    <w:rsid w:val="00252B47"/>
    <w:rsid w:val="0025314E"/>
    <w:rsid w:val="002545E4"/>
    <w:rsid w:val="0025463B"/>
    <w:rsid w:val="00254D3C"/>
    <w:rsid w:val="00256D58"/>
    <w:rsid w:val="00256FB9"/>
    <w:rsid w:val="002574F9"/>
    <w:rsid w:val="00257509"/>
    <w:rsid w:val="00257C56"/>
    <w:rsid w:val="00260774"/>
    <w:rsid w:val="002617F8"/>
    <w:rsid w:val="00261C60"/>
    <w:rsid w:val="0026216E"/>
    <w:rsid w:val="00263D0C"/>
    <w:rsid w:val="00263D7E"/>
    <w:rsid w:val="0026573E"/>
    <w:rsid w:val="00266EEE"/>
    <w:rsid w:val="00267029"/>
    <w:rsid w:val="00270928"/>
    <w:rsid w:val="00270D05"/>
    <w:rsid w:val="00270DDC"/>
    <w:rsid w:val="00272D53"/>
    <w:rsid w:val="00273988"/>
    <w:rsid w:val="00274C17"/>
    <w:rsid w:val="002763FC"/>
    <w:rsid w:val="00276811"/>
    <w:rsid w:val="00281289"/>
    <w:rsid w:val="00282699"/>
    <w:rsid w:val="00282E90"/>
    <w:rsid w:val="00287DE4"/>
    <w:rsid w:val="0029139F"/>
    <w:rsid w:val="002926DF"/>
    <w:rsid w:val="00292C7A"/>
    <w:rsid w:val="002931E3"/>
    <w:rsid w:val="002958BB"/>
    <w:rsid w:val="00296697"/>
    <w:rsid w:val="002A0B31"/>
    <w:rsid w:val="002A1289"/>
    <w:rsid w:val="002A42C0"/>
    <w:rsid w:val="002A486F"/>
    <w:rsid w:val="002A6115"/>
    <w:rsid w:val="002A6CE2"/>
    <w:rsid w:val="002A7922"/>
    <w:rsid w:val="002A7CB1"/>
    <w:rsid w:val="002B0472"/>
    <w:rsid w:val="002B1E50"/>
    <w:rsid w:val="002B2088"/>
    <w:rsid w:val="002B4664"/>
    <w:rsid w:val="002B4FEC"/>
    <w:rsid w:val="002B5519"/>
    <w:rsid w:val="002B6B12"/>
    <w:rsid w:val="002C0557"/>
    <w:rsid w:val="002C11BE"/>
    <w:rsid w:val="002C1CF2"/>
    <w:rsid w:val="002C37C2"/>
    <w:rsid w:val="002C4EA1"/>
    <w:rsid w:val="002D03EB"/>
    <w:rsid w:val="002D15C6"/>
    <w:rsid w:val="002D1AD2"/>
    <w:rsid w:val="002D20E5"/>
    <w:rsid w:val="002D294F"/>
    <w:rsid w:val="002D3A7B"/>
    <w:rsid w:val="002D4079"/>
    <w:rsid w:val="002D675F"/>
    <w:rsid w:val="002D6D97"/>
    <w:rsid w:val="002D7180"/>
    <w:rsid w:val="002E0192"/>
    <w:rsid w:val="002E35C0"/>
    <w:rsid w:val="002E4A43"/>
    <w:rsid w:val="002E551C"/>
    <w:rsid w:val="002E55FE"/>
    <w:rsid w:val="002E6140"/>
    <w:rsid w:val="002E6698"/>
    <w:rsid w:val="002E66CD"/>
    <w:rsid w:val="002E6985"/>
    <w:rsid w:val="002E7047"/>
    <w:rsid w:val="002E71B6"/>
    <w:rsid w:val="002E77DC"/>
    <w:rsid w:val="002E7C44"/>
    <w:rsid w:val="002E7CD8"/>
    <w:rsid w:val="002F03B0"/>
    <w:rsid w:val="002F0D7C"/>
    <w:rsid w:val="002F12CD"/>
    <w:rsid w:val="002F23DD"/>
    <w:rsid w:val="002F2BD6"/>
    <w:rsid w:val="002F3499"/>
    <w:rsid w:val="002F52E1"/>
    <w:rsid w:val="002F5558"/>
    <w:rsid w:val="002F5AE3"/>
    <w:rsid w:val="002F6175"/>
    <w:rsid w:val="002F65F8"/>
    <w:rsid w:val="002F6DB4"/>
    <w:rsid w:val="002F7112"/>
    <w:rsid w:val="002F734C"/>
    <w:rsid w:val="002F77C8"/>
    <w:rsid w:val="0030169E"/>
    <w:rsid w:val="003016A4"/>
    <w:rsid w:val="00302C83"/>
    <w:rsid w:val="00302E37"/>
    <w:rsid w:val="0030382E"/>
    <w:rsid w:val="00303C59"/>
    <w:rsid w:val="00304F22"/>
    <w:rsid w:val="00305290"/>
    <w:rsid w:val="00306C7C"/>
    <w:rsid w:val="00306D2A"/>
    <w:rsid w:val="00307E0B"/>
    <w:rsid w:val="003100C8"/>
    <w:rsid w:val="003112E7"/>
    <w:rsid w:val="0031225B"/>
    <w:rsid w:val="00312ADB"/>
    <w:rsid w:val="003131FC"/>
    <w:rsid w:val="003140EB"/>
    <w:rsid w:val="00314D4D"/>
    <w:rsid w:val="0031592A"/>
    <w:rsid w:val="003203F6"/>
    <w:rsid w:val="00320FEE"/>
    <w:rsid w:val="00322164"/>
    <w:rsid w:val="00322EDD"/>
    <w:rsid w:val="0032343F"/>
    <w:rsid w:val="00326E35"/>
    <w:rsid w:val="0033011E"/>
    <w:rsid w:val="0033026E"/>
    <w:rsid w:val="00331F1E"/>
    <w:rsid w:val="00332320"/>
    <w:rsid w:val="00333012"/>
    <w:rsid w:val="00336650"/>
    <w:rsid w:val="00336951"/>
    <w:rsid w:val="003426AB"/>
    <w:rsid w:val="0034323F"/>
    <w:rsid w:val="0034354B"/>
    <w:rsid w:val="003448B9"/>
    <w:rsid w:val="00345104"/>
    <w:rsid w:val="00345E74"/>
    <w:rsid w:val="00346B95"/>
    <w:rsid w:val="00347D72"/>
    <w:rsid w:val="00347F5C"/>
    <w:rsid w:val="00350486"/>
    <w:rsid w:val="00350F8C"/>
    <w:rsid w:val="003530DA"/>
    <w:rsid w:val="00354B47"/>
    <w:rsid w:val="00354DE7"/>
    <w:rsid w:val="00354E4F"/>
    <w:rsid w:val="00354FEE"/>
    <w:rsid w:val="00355B5B"/>
    <w:rsid w:val="00355C1F"/>
    <w:rsid w:val="00356186"/>
    <w:rsid w:val="00357611"/>
    <w:rsid w:val="0036076D"/>
    <w:rsid w:val="00360E90"/>
    <w:rsid w:val="00360F78"/>
    <w:rsid w:val="00363527"/>
    <w:rsid w:val="00363F3B"/>
    <w:rsid w:val="003647DE"/>
    <w:rsid w:val="00364857"/>
    <w:rsid w:val="00364D74"/>
    <w:rsid w:val="00364EBA"/>
    <w:rsid w:val="0036629A"/>
    <w:rsid w:val="00366794"/>
    <w:rsid w:val="00366796"/>
    <w:rsid w:val="00366CF9"/>
    <w:rsid w:val="00367237"/>
    <w:rsid w:val="0037077F"/>
    <w:rsid w:val="00371E29"/>
    <w:rsid w:val="0037211E"/>
    <w:rsid w:val="003727B2"/>
    <w:rsid w:val="00372956"/>
    <w:rsid w:val="00372EDD"/>
    <w:rsid w:val="00373882"/>
    <w:rsid w:val="00373ED5"/>
    <w:rsid w:val="00374D5D"/>
    <w:rsid w:val="00375B9E"/>
    <w:rsid w:val="00376163"/>
    <w:rsid w:val="00382DAE"/>
    <w:rsid w:val="00383530"/>
    <w:rsid w:val="0038413A"/>
    <w:rsid w:val="003843DB"/>
    <w:rsid w:val="00384413"/>
    <w:rsid w:val="00384E44"/>
    <w:rsid w:val="00387793"/>
    <w:rsid w:val="003910EE"/>
    <w:rsid w:val="0039111A"/>
    <w:rsid w:val="00391FF3"/>
    <w:rsid w:val="00393761"/>
    <w:rsid w:val="003939CD"/>
    <w:rsid w:val="00394B2A"/>
    <w:rsid w:val="00395886"/>
    <w:rsid w:val="00395D86"/>
    <w:rsid w:val="003967B6"/>
    <w:rsid w:val="00397D18"/>
    <w:rsid w:val="003A1AEE"/>
    <w:rsid w:val="003A1B36"/>
    <w:rsid w:val="003A2CCA"/>
    <w:rsid w:val="003A3245"/>
    <w:rsid w:val="003A59A0"/>
    <w:rsid w:val="003A5DC3"/>
    <w:rsid w:val="003A623B"/>
    <w:rsid w:val="003A772B"/>
    <w:rsid w:val="003B0DCF"/>
    <w:rsid w:val="003B1454"/>
    <w:rsid w:val="003B1FBC"/>
    <w:rsid w:val="003B3445"/>
    <w:rsid w:val="003B39CC"/>
    <w:rsid w:val="003B4DDA"/>
    <w:rsid w:val="003B4F36"/>
    <w:rsid w:val="003B58A4"/>
    <w:rsid w:val="003B77D5"/>
    <w:rsid w:val="003C038A"/>
    <w:rsid w:val="003C2CAA"/>
    <w:rsid w:val="003C3CE9"/>
    <w:rsid w:val="003C4268"/>
    <w:rsid w:val="003C59E0"/>
    <w:rsid w:val="003C64DF"/>
    <w:rsid w:val="003C6C8D"/>
    <w:rsid w:val="003C723B"/>
    <w:rsid w:val="003D0C16"/>
    <w:rsid w:val="003D0E78"/>
    <w:rsid w:val="003D1B6C"/>
    <w:rsid w:val="003D215D"/>
    <w:rsid w:val="003D2FEA"/>
    <w:rsid w:val="003D371D"/>
    <w:rsid w:val="003D453D"/>
    <w:rsid w:val="003D45E7"/>
    <w:rsid w:val="003D4F95"/>
    <w:rsid w:val="003D5F42"/>
    <w:rsid w:val="003D60A9"/>
    <w:rsid w:val="003D66FE"/>
    <w:rsid w:val="003D7F37"/>
    <w:rsid w:val="003E0620"/>
    <w:rsid w:val="003E0647"/>
    <w:rsid w:val="003E1215"/>
    <w:rsid w:val="003E2006"/>
    <w:rsid w:val="003E2D36"/>
    <w:rsid w:val="003E43B9"/>
    <w:rsid w:val="003E50AB"/>
    <w:rsid w:val="003E6106"/>
    <w:rsid w:val="003E697C"/>
    <w:rsid w:val="003E7F1A"/>
    <w:rsid w:val="003F025A"/>
    <w:rsid w:val="003F0895"/>
    <w:rsid w:val="003F1175"/>
    <w:rsid w:val="003F1527"/>
    <w:rsid w:val="003F30F6"/>
    <w:rsid w:val="003F4942"/>
    <w:rsid w:val="003F4C97"/>
    <w:rsid w:val="003F6B2D"/>
    <w:rsid w:val="003F7488"/>
    <w:rsid w:val="003F7B34"/>
    <w:rsid w:val="003F7FE6"/>
    <w:rsid w:val="00400193"/>
    <w:rsid w:val="00401667"/>
    <w:rsid w:val="0040222F"/>
    <w:rsid w:val="00402D9F"/>
    <w:rsid w:val="00404B8B"/>
    <w:rsid w:val="00406F9E"/>
    <w:rsid w:val="004078E9"/>
    <w:rsid w:val="00407D2F"/>
    <w:rsid w:val="004118B4"/>
    <w:rsid w:val="00411C78"/>
    <w:rsid w:val="004125DE"/>
    <w:rsid w:val="00412CCC"/>
    <w:rsid w:val="004130FB"/>
    <w:rsid w:val="0041338A"/>
    <w:rsid w:val="00413458"/>
    <w:rsid w:val="004136AB"/>
    <w:rsid w:val="00413905"/>
    <w:rsid w:val="00413C1A"/>
    <w:rsid w:val="00415861"/>
    <w:rsid w:val="00416ABA"/>
    <w:rsid w:val="00416D57"/>
    <w:rsid w:val="004174ED"/>
    <w:rsid w:val="00417691"/>
    <w:rsid w:val="00417EC4"/>
    <w:rsid w:val="004212E7"/>
    <w:rsid w:val="004224D4"/>
    <w:rsid w:val="00422795"/>
    <w:rsid w:val="0042446D"/>
    <w:rsid w:val="00425E73"/>
    <w:rsid w:val="00426464"/>
    <w:rsid w:val="00427BF8"/>
    <w:rsid w:val="00431113"/>
    <w:rsid w:val="00431C02"/>
    <w:rsid w:val="00437395"/>
    <w:rsid w:val="004403C3"/>
    <w:rsid w:val="00440D7C"/>
    <w:rsid w:val="00441551"/>
    <w:rsid w:val="00441569"/>
    <w:rsid w:val="00442D2F"/>
    <w:rsid w:val="00445047"/>
    <w:rsid w:val="00447035"/>
    <w:rsid w:val="00451305"/>
    <w:rsid w:val="00451D2B"/>
    <w:rsid w:val="0045357F"/>
    <w:rsid w:val="00453AF6"/>
    <w:rsid w:val="00453BAB"/>
    <w:rsid w:val="00454107"/>
    <w:rsid w:val="004565DC"/>
    <w:rsid w:val="00457686"/>
    <w:rsid w:val="00460334"/>
    <w:rsid w:val="00461BD2"/>
    <w:rsid w:val="00463E39"/>
    <w:rsid w:val="004646E2"/>
    <w:rsid w:val="004648F3"/>
    <w:rsid w:val="004657FC"/>
    <w:rsid w:val="00467693"/>
    <w:rsid w:val="004679C3"/>
    <w:rsid w:val="00467E84"/>
    <w:rsid w:val="004733F6"/>
    <w:rsid w:val="00473A17"/>
    <w:rsid w:val="00474E69"/>
    <w:rsid w:val="00476467"/>
    <w:rsid w:val="00477731"/>
    <w:rsid w:val="00477E8C"/>
    <w:rsid w:val="00480737"/>
    <w:rsid w:val="00481107"/>
    <w:rsid w:val="00482240"/>
    <w:rsid w:val="0048324D"/>
    <w:rsid w:val="0048343C"/>
    <w:rsid w:val="00483FCF"/>
    <w:rsid w:val="00485CB8"/>
    <w:rsid w:val="0048696A"/>
    <w:rsid w:val="0048709A"/>
    <w:rsid w:val="00487227"/>
    <w:rsid w:val="00487462"/>
    <w:rsid w:val="00490822"/>
    <w:rsid w:val="00491AED"/>
    <w:rsid w:val="00491E1F"/>
    <w:rsid w:val="0049206A"/>
    <w:rsid w:val="0049360F"/>
    <w:rsid w:val="00493C08"/>
    <w:rsid w:val="00494F1B"/>
    <w:rsid w:val="00494FF5"/>
    <w:rsid w:val="004954A5"/>
    <w:rsid w:val="00495553"/>
    <w:rsid w:val="0049621B"/>
    <w:rsid w:val="004A0185"/>
    <w:rsid w:val="004A05F6"/>
    <w:rsid w:val="004A08CE"/>
    <w:rsid w:val="004A1C6F"/>
    <w:rsid w:val="004A2EE1"/>
    <w:rsid w:val="004B015C"/>
    <w:rsid w:val="004B03AF"/>
    <w:rsid w:val="004B06B1"/>
    <w:rsid w:val="004B0B9B"/>
    <w:rsid w:val="004B22B0"/>
    <w:rsid w:val="004B3267"/>
    <w:rsid w:val="004B339C"/>
    <w:rsid w:val="004B784E"/>
    <w:rsid w:val="004B7E11"/>
    <w:rsid w:val="004C1895"/>
    <w:rsid w:val="004C1AB5"/>
    <w:rsid w:val="004C2B64"/>
    <w:rsid w:val="004C43FA"/>
    <w:rsid w:val="004C5861"/>
    <w:rsid w:val="004C5CAB"/>
    <w:rsid w:val="004C641D"/>
    <w:rsid w:val="004C6D40"/>
    <w:rsid w:val="004C79A0"/>
    <w:rsid w:val="004C7CE6"/>
    <w:rsid w:val="004D00AF"/>
    <w:rsid w:val="004D10CF"/>
    <w:rsid w:val="004D279F"/>
    <w:rsid w:val="004D2F24"/>
    <w:rsid w:val="004D2F2D"/>
    <w:rsid w:val="004D335B"/>
    <w:rsid w:val="004D3DDA"/>
    <w:rsid w:val="004D51AE"/>
    <w:rsid w:val="004D549C"/>
    <w:rsid w:val="004D7764"/>
    <w:rsid w:val="004D7A79"/>
    <w:rsid w:val="004E18EB"/>
    <w:rsid w:val="004E2013"/>
    <w:rsid w:val="004E3939"/>
    <w:rsid w:val="004E3E42"/>
    <w:rsid w:val="004E7C46"/>
    <w:rsid w:val="004F07EA"/>
    <w:rsid w:val="004F0B03"/>
    <w:rsid w:val="004F0C3C"/>
    <w:rsid w:val="004F1D81"/>
    <w:rsid w:val="004F2C3B"/>
    <w:rsid w:val="004F341F"/>
    <w:rsid w:val="004F4C1C"/>
    <w:rsid w:val="004F50E3"/>
    <w:rsid w:val="004F62F7"/>
    <w:rsid w:val="004F63FC"/>
    <w:rsid w:val="004F6F05"/>
    <w:rsid w:val="0050058A"/>
    <w:rsid w:val="00500AB3"/>
    <w:rsid w:val="00500B1E"/>
    <w:rsid w:val="00501676"/>
    <w:rsid w:val="00501958"/>
    <w:rsid w:val="00502500"/>
    <w:rsid w:val="005037B0"/>
    <w:rsid w:val="00504AEE"/>
    <w:rsid w:val="00505A92"/>
    <w:rsid w:val="00506206"/>
    <w:rsid w:val="0050683B"/>
    <w:rsid w:val="00510AB6"/>
    <w:rsid w:val="005117C2"/>
    <w:rsid w:val="0051410B"/>
    <w:rsid w:val="005149A5"/>
    <w:rsid w:val="005152A6"/>
    <w:rsid w:val="00515342"/>
    <w:rsid w:val="00516EB5"/>
    <w:rsid w:val="00517462"/>
    <w:rsid w:val="00517C73"/>
    <w:rsid w:val="005203F1"/>
    <w:rsid w:val="00520709"/>
    <w:rsid w:val="00521BC3"/>
    <w:rsid w:val="0052329F"/>
    <w:rsid w:val="00523751"/>
    <w:rsid w:val="0052593D"/>
    <w:rsid w:val="0052789F"/>
    <w:rsid w:val="00527DC0"/>
    <w:rsid w:val="00531C2B"/>
    <w:rsid w:val="00532FEB"/>
    <w:rsid w:val="00533632"/>
    <w:rsid w:val="005348D4"/>
    <w:rsid w:val="005355D3"/>
    <w:rsid w:val="00536167"/>
    <w:rsid w:val="00537D9F"/>
    <w:rsid w:val="00537E68"/>
    <w:rsid w:val="00541B11"/>
    <w:rsid w:val="0054251F"/>
    <w:rsid w:val="00542783"/>
    <w:rsid w:val="00543644"/>
    <w:rsid w:val="00543CA9"/>
    <w:rsid w:val="00544B7F"/>
    <w:rsid w:val="00544D9D"/>
    <w:rsid w:val="0054669A"/>
    <w:rsid w:val="00546B2B"/>
    <w:rsid w:val="005475B5"/>
    <w:rsid w:val="00547E59"/>
    <w:rsid w:val="00550618"/>
    <w:rsid w:val="00550697"/>
    <w:rsid w:val="00551B16"/>
    <w:rsid w:val="005520D8"/>
    <w:rsid w:val="00553CDF"/>
    <w:rsid w:val="00554E47"/>
    <w:rsid w:val="00555368"/>
    <w:rsid w:val="0055568D"/>
    <w:rsid w:val="0055613F"/>
    <w:rsid w:val="00556CF1"/>
    <w:rsid w:val="00557CDB"/>
    <w:rsid w:val="00561B17"/>
    <w:rsid w:val="00564259"/>
    <w:rsid w:val="005646A7"/>
    <w:rsid w:val="005657B8"/>
    <w:rsid w:val="0056586A"/>
    <w:rsid w:val="005662A2"/>
    <w:rsid w:val="005734CC"/>
    <w:rsid w:val="005737E1"/>
    <w:rsid w:val="00573B25"/>
    <w:rsid w:val="00574CDE"/>
    <w:rsid w:val="005762A7"/>
    <w:rsid w:val="005773DF"/>
    <w:rsid w:val="00580507"/>
    <w:rsid w:val="005810E1"/>
    <w:rsid w:val="00581100"/>
    <w:rsid w:val="0058303B"/>
    <w:rsid w:val="00583B4A"/>
    <w:rsid w:val="00583BAB"/>
    <w:rsid w:val="00585EF2"/>
    <w:rsid w:val="00586006"/>
    <w:rsid w:val="0058668F"/>
    <w:rsid w:val="00587966"/>
    <w:rsid w:val="005913C1"/>
    <w:rsid w:val="005916D7"/>
    <w:rsid w:val="00591E2C"/>
    <w:rsid w:val="0059242E"/>
    <w:rsid w:val="00592B0A"/>
    <w:rsid w:val="005930FD"/>
    <w:rsid w:val="005934DA"/>
    <w:rsid w:val="00593E15"/>
    <w:rsid w:val="0059405C"/>
    <w:rsid w:val="0059478D"/>
    <w:rsid w:val="00594902"/>
    <w:rsid w:val="00594BAD"/>
    <w:rsid w:val="00594FB6"/>
    <w:rsid w:val="00596CBA"/>
    <w:rsid w:val="005A1306"/>
    <w:rsid w:val="005A1593"/>
    <w:rsid w:val="005A1B40"/>
    <w:rsid w:val="005A1B7C"/>
    <w:rsid w:val="005A1C45"/>
    <w:rsid w:val="005A289C"/>
    <w:rsid w:val="005A400F"/>
    <w:rsid w:val="005A44FB"/>
    <w:rsid w:val="005A64AF"/>
    <w:rsid w:val="005A698C"/>
    <w:rsid w:val="005A7F24"/>
    <w:rsid w:val="005B07C6"/>
    <w:rsid w:val="005B0AE8"/>
    <w:rsid w:val="005B1744"/>
    <w:rsid w:val="005B23AA"/>
    <w:rsid w:val="005B3C18"/>
    <w:rsid w:val="005B3CB4"/>
    <w:rsid w:val="005B66F7"/>
    <w:rsid w:val="005B6AAA"/>
    <w:rsid w:val="005B7E62"/>
    <w:rsid w:val="005C08E7"/>
    <w:rsid w:val="005C123C"/>
    <w:rsid w:val="005C16C6"/>
    <w:rsid w:val="005C267A"/>
    <w:rsid w:val="005C4F29"/>
    <w:rsid w:val="005C57A3"/>
    <w:rsid w:val="005C5F08"/>
    <w:rsid w:val="005C6163"/>
    <w:rsid w:val="005C65AA"/>
    <w:rsid w:val="005D0C5C"/>
    <w:rsid w:val="005D2D6E"/>
    <w:rsid w:val="005D373C"/>
    <w:rsid w:val="005D38AE"/>
    <w:rsid w:val="005D3C4B"/>
    <w:rsid w:val="005D4D1F"/>
    <w:rsid w:val="005D5852"/>
    <w:rsid w:val="005D661C"/>
    <w:rsid w:val="005E0448"/>
    <w:rsid w:val="005E0799"/>
    <w:rsid w:val="005E12C1"/>
    <w:rsid w:val="005E1BEA"/>
    <w:rsid w:val="005E1E61"/>
    <w:rsid w:val="005E33D9"/>
    <w:rsid w:val="005E47E1"/>
    <w:rsid w:val="005E5BF4"/>
    <w:rsid w:val="005E6F6D"/>
    <w:rsid w:val="005F271E"/>
    <w:rsid w:val="005F290E"/>
    <w:rsid w:val="005F453F"/>
    <w:rsid w:val="005F50F7"/>
    <w:rsid w:val="005F5A80"/>
    <w:rsid w:val="005F7959"/>
    <w:rsid w:val="00601025"/>
    <w:rsid w:val="00601F89"/>
    <w:rsid w:val="006044FF"/>
    <w:rsid w:val="0060458D"/>
    <w:rsid w:val="006060DA"/>
    <w:rsid w:val="0060664B"/>
    <w:rsid w:val="00607CC5"/>
    <w:rsid w:val="0061003A"/>
    <w:rsid w:val="00610968"/>
    <w:rsid w:val="00610E43"/>
    <w:rsid w:val="00611FD4"/>
    <w:rsid w:val="00612EB8"/>
    <w:rsid w:val="00615762"/>
    <w:rsid w:val="00615B0C"/>
    <w:rsid w:val="006167C3"/>
    <w:rsid w:val="00616B93"/>
    <w:rsid w:val="00620F8B"/>
    <w:rsid w:val="00621AA8"/>
    <w:rsid w:val="00622B03"/>
    <w:rsid w:val="00622B82"/>
    <w:rsid w:val="00625251"/>
    <w:rsid w:val="00625941"/>
    <w:rsid w:val="00625C03"/>
    <w:rsid w:val="0063072E"/>
    <w:rsid w:val="006307E7"/>
    <w:rsid w:val="006309AC"/>
    <w:rsid w:val="0063100F"/>
    <w:rsid w:val="00633014"/>
    <w:rsid w:val="0063317D"/>
    <w:rsid w:val="00633240"/>
    <w:rsid w:val="00633ED3"/>
    <w:rsid w:val="0063437B"/>
    <w:rsid w:val="0063586B"/>
    <w:rsid w:val="0063668E"/>
    <w:rsid w:val="00640117"/>
    <w:rsid w:val="00641B30"/>
    <w:rsid w:val="00642F04"/>
    <w:rsid w:val="0064353E"/>
    <w:rsid w:val="00643D5E"/>
    <w:rsid w:val="00645152"/>
    <w:rsid w:val="00645483"/>
    <w:rsid w:val="006454C1"/>
    <w:rsid w:val="00647B92"/>
    <w:rsid w:val="00647CCE"/>
    <w:rsid w:val="0065123F"/>
    <w:rsid w:val="00652237"/>
    <w:rsid w:val="00652A44"/>
    <w:rsid w:val="006534EB"/>
    <w:rsid w:val="006554F9"/>
    <w:rsid w:val="00655596"/>
    <w:rsid w:val="00656373"/>
    <w:rsid w:val="00660CCA"/>
    <w:rsid w:val="006616FD"/>
    <w:rsid w:val="0066247D"/>
    <w:rsid w:val="0066300F"/>
    <w:rsid w:val="00663E92"/>
    <w:rsid w:val="00665416"/>
    <w:rsid w:val="006673CA"/>
    <w:rsid w:val="00667C48"/>
    <w:rsid w:val="00667CFF"/>
    <w:rsid w:val="00670AB4"/>
    <w:rsid w:val="00670CC3"/>
    <w:rsid w:val="00671189"/>
    <w:rsid w:val="0067167E"/>
    <w:rsid w:val="0067185B"/>
    <w:rsid w:val="006737AC"/>
    <w:rsid w:val="00673952"/>
    <w:rsid w:val="00673C26"/>
    <w:rsid w:val="0067424B"/>
    <w:rsid w:val="00674DE7"/>
    <w:rsid w:val="00677D27"/>
    <w:rsid w:val="006803F9"/>
    <w:rsid w:val="00680DD6"/>
    <w:rsid w:val="006812AF"/>
    <w:rsid w:val="006820BD"/>
    <w:rsid w:val="0068259D"/>
    <w:rsid w:val="006831C9"/>
    <w:rsid w:val="0068327D"/>
    <w:rsid w:val="006841AE"/>
    <w:rsid w:val="00684E60"/>
    <w:rsid w:val="00685C1C"/>
    <w:rsid w:val="006867D1"/>
    <w:rsid w:val="0069010F"/>
    <w:rsid w:val="00690C99"/>
    <w:rsid w:val="00691381"/>
    <w:rsid w:val="00691635"/>
    <w:rsid w:val="006923FB"/>
    <w:rsid w:val="006933E5"/>
    <w:rsid w:val="00693617"/>
    <w:rsid w:val="00694AF0"/>
    <w:rsid w:val="00695639"/>
    <w:rsid w:val="006963B2"/>
    <w:rsid w:val="00697828"/>
    <w:rsid w:val="00697B34"/>
    <w:rsid w:val="006A2E6E"/>
    <w:rsid w:val="006A3DA0"/>
    <w:rsid w:val="006A42BE"/>
    <w:rsid w:val="006A45D9"/>
    <w:rsid w:val="006A5E06"/>
    <w:rsid w:val="006A730C"/>
    <w:rsid w:val="006B07B7"/>
    <w:rsid w:val="006B0E9E"/>
    <w:rsid w:val="006B3156"/>
    <w:rsid w:val="006B36D7"/>
    <w:rsid w:val="006B42B4"/>
    <w:rsid w:val="006B517C"/>
    <w:rsid w:val="006B5AE4"/>
    <w:rsid w:val="006B61EB"/>
    <w:rsid w:val="006B6923"/>
    <w:rsid w:val="006B6A79"/>
    <w:rsid w:val="006B6B35"/>
    <w:rsid w:val="006B6B87"/>
    <w:rsid w:val="006B723D"/>
    <w:rsid w:val="006C0C68"/>
    <w:rsid w:val="006C1CA4"/>
    <w:rsid w:val="006C2BD1"/>
    <w:rsid w:val="006C52E6"/>
    <w:rsid w:val="006C5725"/>
    <w:rsid w:val="006C623C"/>
    <w:rsid w:val="006C6913"/>
    <w:rsid w:val="006D1EE8"/>
    <w:rsid w:val="006D3EEA"/>
    <w:rsid w:val="006D4054"/>
    <w:rsid w:val="006D4F6E"/>
    <w:rsid w:val="006D50ED"/>
    <w:rsid w:val="006D546B"/>
    <w:rsid w:val="006D76DD"/>
    <w:rsid w:val="006D7DBD"/>
    <w:rsid w:val="006E02EC"/>
    <w:rsid w:val="006E04D4"/>
    <w:rsid w:val="006E278A"/>
    <w:rsid w:val="006E309F"/>
    <w:rsid w:val="006E40F2"/>
    <w:rsid w:val="006E467E"/>
    <w:rsid w:val="006E5123"/>
    <w:rsid w:val="006E6AA7"/>
    <w:rsid w:val="006F19BF"/>
    <w:rsid w:val="006F24EA"/>
    <w:rsid w:val="006F2ACE"/>
    <w:rsid w:val="006F4664"/>
    <w:rsid w:val="006F6A29"/>
    <w:rsid w:val="007014FE"/>
    <w:rsid w:val="00702C77"/>
    <w:rsid w:val="00705847"/>
    <w:rsid w:val="00705927"/>
    <w:rsid w:val="00706630"/>
    <w:rsid w:val="00706729"/>
    <w:rsid w:val="007076D2"/>
    <w:rsid w:val="00707C79"/>
    <w:rsid w:val="00711D2E"/>
    <w:rsid w:val="00714056"/>
    <w:rsid w:val="00714A14"/>
    <w:rsid w:val="00715CB8"/>
    <w:rsid w:val="00716593"/>
    <w:rsid w:val="00720176"/>
    <w:rsid w:val="007211B1"/>
    <w:rsid w:val="00721863"/>
    <w:rsid w:val="00721B78"/>
    <w:rsid w:val="00722976"/>
    <w:rsid w:val="00724031"/>
    <w:rsid w:val="00725494"/>
    <w:rsid w:val="00730A13"/>
    <w:rsid w:val="00731F20"/>
    <w:rsid w:val="00732240"/>
    <w:rsid w:val="00732EA2"/>
    <w:rsid w:val="0074044A"/>
    <w:rsid w:val="00740FDB"/>
    <w:rsid w:val="00741462"/>
    <w:rsid w:val="00741508"/>
    <w:rsid w:val="007427DD"/>
    <w:rsid w:val="007439A7"/>
    <w:rsid w:val="00745043"/>
    <w:rsid w:val="00745877"/>
    <w:rsid w:val="00745C66"/>
    <w:rsid w:val="00746187"/>
    <w:rsid w:val="00746CF4"/>
    <w:rsid w:val="00753F1D"/>
    <w:rsid w:val="0075457A"/>
    <w:rsid w:val="007545BB"/>
    <w:rsid w:val="00754B1C"/>
    <w:rsid w:val="00754D5F"/>
    <w:rsid w:val="00755093"/>
    <w:rsid w:val="00755578"/>
    <w:rsid w:val="007555D7"/>
    <w:rsid w:val="0075584B"/>
    <w:rsid w:val="00756C3F"/>
    <w:rsid w:val="007574FE"/>
    <w:rsid w:val="00760632"/>
    <w:rsid w:val="00760B21"/>
    <w:rsid w:val="00761033"/>
    <w:rsid w:val="0076254F"/>
    <w:rsid w:val="00763E85"/>
    <w:rsid w:val="00763EC8"/>
    <w:rsid w:val="00764066"/>
    <w:rsid w:val="00764539"/>
    <w:rsid w:val="0076486B"/>
    <w:rsid w:val="0076526C"/>
    <w:rsid w:val="00765F4D"/>
    <w:rsid w:val="00771CC0"/>
    <w:rsid w:val="007725C8"/>
    <w:rsid w:val="00772DC4"/>
    <w:rsid w:val="00773313"/>
    <w:rsid w:val="00775079"/>
    <w:rsid w:val="00775AAE"/>
    <w:rsid w:val="00777070"/>
    <w:rsid w:val="007773B1"/>
    <w:rsid w:val="00777720"/>
    <w:rsid w:val="007801F5"/>
    <w:rsid w:val="00780F93"/>
    <w:rsid w:val="00781D6D"/>
    <w:rsid w:val="00783CA4"/>
    <w:rsid w:val="007842FB"/>
    <w:rsid w:val="00784C30"/>
    <w:rsid w:val="00784CC1"/>
    <w:rsid w:val="007858C2"/>
    <w:rsid w:val="00786124"/>
    <w:rsid w:val="00786B8E"/>
    <w:rsid w:val="00787441"/>
    <w:rsid w:val="00790092"/>
    <w:rsid w:val="007918B0"/>
    <w:rsid w:val="00791D79"/>
    <w:rsid w:val="00792E46"/>
    <w:rsid w:val="00792E53"/>
    <w:rsid w:val="007931A1"/>
    <w:rsid w:val="00793A95"/>
    <w:rsid w:val="00794C7B"/>
    <w:rsid w:val="00794E5F"/>
    <w:rsid w:val="0079514B"/>
    <w:rsid w:val="0079524F"/>
    <w:rsid w:val="00797F9C"/>
    <w:rsid w:val="007A1453"/>
    <w:rsid w:val="007A2DC1"/>
    <w:rsid w:val="007A2FC3"/>
    <w:rsid w:val="007A4CA3"/>
    <w:rsid w:val="007A5C42"/>
    <w:rsid w:val="007B099F"/>
    <w:rsid w:val="007B0EB1"/>
    <w:rsid w:val="007B1231"/>
    <w:rsid w:val="007B249E"/>
    <w:rsid w:val="007B2FB4"/>
    <w:rsid w:val="007B41C0"/>
    <w:rsid w:val="007B4243"/>
    <w:rsid w:val="007B68C0"/>
    <w:rsid w:val="007C15C9"/>
    <w:rsid w:val="007C51B2"/>
    <w:rsid w:val="007C52B5"/>
    <w:rsid w:val="007C59C8"/>
    <w:rsid w:val="007C5BA5"/>
    <w:rsid w:val="007C6842"/>
    <w:rsid w:val="007C7266"/>
    <w:rsid w:val="007C7794"/>
    <w:rsid w:val="007D286D"/>
    <w:rsid w:val="007D3319"/>
    <w:rsid w:val="007D335D"/>
    <w:rsid w:val="007D3DF9"/>
    <w:rsid w:val="007D794B"/>
    <w:rsid w:val="007D7DD3"/>
    <w:rsid w:val="007E1D0B"/>
    <w:rsid w:val="007E2657"/>
    <w:rsid w:val="007E2842"/>
    <w:rsid w:val="007E3314"/>
    <w:rsid w:val="007E38FF"/>
    <w:rsid w:val="007E3FFE"/>
    <w:rsid w:val="007E4B03"/>
    <w:rsid w:val="007E4CF8"/>
    <w:rsid w:val="007E4F1A"/>
    <w:rsid w:val="007E5B95"/>
    <w:rsid w:val="007E62F4"/>
    <w:rsid w:val="007E69DD"/>
    <w:rsid w:val="007E6F54"/>
    <w:rsid w:val="007E7787"/>
    <w:rsid w:val="007F0AEA"/>
    <w:rsid w:val="007F29B4"/>
    <w:rsid w:val="007F324B"/>
    <w:rsid w:val="007F42A2"/>
    <w:rsid w:val="007F6C0F"/>
    <w:rsid w:val="007F75D5"/>
    <w:rsid w:val="00800AB3"/>
    <w:rsid w:val="00803A45"/>
    <w:rsid w:val="00804C09"/>
    <w:rsid w:val="0080530B"/>
    <w:rsid w:val="0080553C"/>
    <w:rsid w:val="00805B46"/>
    <w:rsid w:val="00806105"/>
    <w:rsid w:val="008067AB"/>
    <w:rsid w:val="00807304"/>
    <w:rsid w:val="00807778"/>
    <w:rsid w:val="0081029E"/>
    <w:rsid w:val="00810B88"/>
    <w:rsid w:val="00812938"/>
    <w:rsid w:val="00812F42"/>
    <w:rsid w:val="00813116"/>
    <w:rsid w:val="0081328D"/>
    <w:rsid w:val="00814BE7"/>
    <w:rsid w:val="00815153"/>
    <w:rsid w:val="0081569C"/>
    <w:rsid w:val="00815F4E"/>
    <w:rsid w:val="00816324"/>
    <w:rsid w:val="00816AB1"/>
    <w:rsid w:val="00817424"/>
    <w:rsid w:val="00817AC7"/>
    <w:rsid w:val="00820164"/>
    <w:rsid w:val="00820BD5"/>
    <w:rsid w:val="00822C1F"/>
    <w:rsid w:val="00824156"/>
    <w:rsid w:val="0082503A"/>
    <w:rsid w:val="0082547B"/>
    <w:rsid w:val="00825B31"/>
    <w:rsid w:val="00825DC2"/>
    <w:rsid w:val="008271F3"/>
    <w:rsid w:val="0082768C"/>
    <w:rsid w:val="00830CFF"/>
    <w:rsid w:val="008319E7"/>
    <w:rsid w:val="00834AD3"/>
    <w:rsid w:val="0083534C"/>
    <w:rsid w:val="00836456"/>
    <w:rsid w:val="0083678A"/>
    <w:rsid w:val="00836E17"/>
    <w:rsid w:val="0083739B"/>
    <w:rsid w:val="008378A2"/>
    <w:rsid w:val="008419A3"/>
    <w:rsid w:val="008428D9"/>
    <w:rsid w:val="00842A59"/>
    <w:rsid w:val="00842B88"/>
    <w:rsid w:val="00842BE0"/>
    <w:rsid w:val="008434C0"/>
    <w:rsid w:val="00843795"/>
    <w:rsid w:val="008446A1"/>
    <w:rsid w:val="00846527"/>
    <w:rsid w:val="008468C7"/>
    <w:rsid w:val="00847F0F"/>
    <w:rsid w:val="00847FBC"/>
    <w:rsid w:val="00850631"/>
    <w:rsid w:val="00850BC2"/>
    <w:rsid w:val="00851C48"/>
    <w:rsid w:val="00852448"/>
    <w:rsid w:val="00852A81"/>
    <w:rsid w:val="00853114"/>
    <w:rsid w:val="00853ED4"/>
    <w:rsid w:val="00855B55"/>
    <w:rsid w:val="00856509"/>
    <w:rsid w:val="00861BC5"/>
    <w:rsid w:val="00861D1D"/>
    <w:rsid w:val="0086208A"/>
    <w:rsid w:val="00863037"/>
    <w:rsid w:val="00863062"/>
    <w:rsid w:val="0086323C"/>
    <w:rsid w:val="00864E18"/>
    <w:rsid w:val="00865207"/>
    <w:rsid w:val="0087330E"/>
    <w:rsid w:val="00873A3A"/>
    <w:rsid w:val="00874E8F"/>
    <w:rsid w:val="008762CD"/>
    <w:rsid w:val="008766F7"/>
    <w:rsid w:val="00876DCE"/>
    <w:rsid w:val="00877CB7"/>
    <w:rsid w:val="0088002E"/>
    <w:rsid w:val="0088258A"/>
    <w:rsid w:val="00883FE1"/>
    <w:rsid w:val="00884C17"/>
    <w:rsid w:val="00884DC7"/>
    <w:rsid w:val="00885382"/>
    <w:rsid w:val="00886332"/>
    <w:rsid w:val="00886419"/>
    <w:rsid w:val="008872DA"/>
    <w:rsid w:val="00890A96"/>
    <w:rsid w:val="008911AC"/>
    <w:rsid w:val="00894780"/>
    <w:rsid w:val="00896D11"/>
    <w:rsid w:val="00897958"/>
    <w:rsid w:val="008A0000"/>
    <w:rsid w:val="008A0E67"/>
    <w:rsid w:val="008A21F1"/>
    <w:rsid w:val="008A26D9"/>
    <w:rsid w:val="008A2F9C"/>
    <w:rsid w:val="008A4988"/>
    <w:rsid w:val="008A4EF4"/>
    <w:rsid w:val="008A6013"/>
    <w:rsid w:val="008B12C7"/>
    <w:rsid w:val="008B26C2"/>
    <w:rsid w:val="008B5B26"/>
    <w:rsid w:val="008B6D65"/>
    <w:rsid w:val="008B79E9"/>
    <w:rsid w:val="008C0C29"/>
    <w:rsid w:val="008C1998"/>
    <w:rsid w:val="008C26F5"/>
    <w:rsid w:val="008C314A"/>
    <w:rsid w:val="008C515A"/>
    <w:rsid w:val="008C57A4"/>
    <w:rsid w:val="008C605D"/>
    <w:rsid w:val="008C6118"/>
    <w:rsid w:val="008C612B"/>
    <w:rsid w:val="008C62F5"/>
    <w:rsid w:val="008C6710"/>
    <w:rsid w:val="008C6D41"/>
    <w:rsid w:val="008C72E0"/>
    <w:rsid w:val="008D0655"/>
    <w:rsid w:val="008D0BB9"/>
    <w:rsid w:val="008D2F44"/>
    <w:rsid w:val="008D63C7"/>
    <w:rsid w:val="008E1132"/>
    <w:rsid w:val="008E1252"/>
    <w:rsid w:val="008E14D1"/>
    <w:rsid w:val="008E192F"/>
    <w:rsid w:val="008E2039"/>
    <w:rsid w:val="008E3B1D"/>
    <w:rsid w:val="008E3DD5"/>
    <w:rsid w:val="008E446C"/>
    <w:rsid w:val="008E4ADA"/>
    <w:rsid w:val="008E4D97"/>
    <w:rsid w:val="008E67A0"/>
    <w:rsid w:val="008E7833"/>
    <w:rsid w:val="008F2322"/>
    <w:rsid w:val="008F2D47"/>
    <w:rsid w:val="008F35CA"/>
    <w:rsid w:val="008F3638"/>
    <w:rsid w:val="008F3A69"/>
    <w:rsid w:val="008F3D14"/>
    <w:rsid w:val="008F5E18"/>
    <w:rsid w:val="008F5EFE"/>
    <w:rsid w:val="008F6816"/>
    <w:rsid w:val="008F6C12"/>
    <w:rsid w:val="008F6F31"/>
    <w:rsid w:val="008F74DF"/>
    <w:rsid w:val="009005CA"/>
    <w:rsid w:val="00902074"/>
    <w:rsid w:val="00902BF9"/>
    <w:rsid w:val="00902E2A"/>
    <w:rsid w:val="009036F4"/>
    <w:rsid w:val="00903F55"/>
    <w:rsid w:val="00905508"/>
    <w:rsid w:val="0090676D"/>
    <w:rsid w:val="00906A45"/>
    <w:rsid w:val="00906EC0"/>
    <w:rsid w:val="00907349"/>
    <w:rsid w:val="009103B9"/>
    <w:rsid w:val="00910AB8"/>
    <w:rsid w:val="00910CA6"/>
    <w:rsid w:val="00911738"/>
    <w:rsid w:val="009127BA"/>
    <w:rsid w:val="00914EA8"/>
    <w:rsid w:val="00914F25"/>
    <w:rsid w:val="009151D1"/>
    <w:rsid w:val="00915A7F"/>
    <w:rsid w:val="00916918"/>
    <w:rsid w:val="00916F58"/>
    <w:rsid w:val="00917A88"/>
    <w:rsid w:val="00917B5F"/>
    <w:rsid w:val="00917B90"/>
    <w:rsid w:val="00921E34"/>
    <w:rsid w:val="009227A6"/>
    <w:rsid w:val="009229A1"/>
    <w:rsid w:val="00923FD5"/>
    <w:rsid w:val="00924D90"/>
    <w:rsid w:val="00926C25"/>
    <w:rsid w:val="00927D8B"/>
    <w:rsid w:val="00930BF7"/>
    <w:rsid w:val="00933273"/>
    <w:rsid w:val="00933EC1"/>
    <w:rsid w:val="00935ABA"/>
    <w:rsid w:val="009412A0"/>
    <w:rsid w:val="009418A3"/>
    <w:rsid w:val="00942379"/>
    <w:rsid w:val="00942C04"/>
    <w:rsid w:val="00944824"/>
    <w:rsid w:val="009448E3"/>
    <w:rsid w:val="00944B8F"/>
    <w:rsid w:val="00945071"/>
    <w:rsid w:val="0094586F"/>
    <w:rsid w:val="009459A1"/>
    <w:rsid w:val="00946E34"/>
    <w:rsid w:val="0094724C"/>
    <w:rsid w:val="009476D2"/>
    <w:rsid w:val="00950137"/>
    <w:rsid w:val="009503D5"/>
    <w:rsid w:val="00951384"/>
    <w:rsid w:val="009530DB"/>
    <w:rsid w:val="00953676"/>
    <w:rsid w:val="0095396F"/>
    <w:rsid w:val="009555D9"/>
    <w:rsid w:val="0095590B"/>
    <w:rsid w:val="0095619E"/>
    <w:rsid w:val="00956DCD"/>
    <w:rsid w:val="009615BD"/>
    <w:rsid w:val="0096306A"/>
    <w:rsid w:val="009635A5"/>
    <w:rsid w:val="00966BD4"/>
    <w:rsid w:val="00966D22"/>
    <w:rsid w:val="00967EA7"/>
    <w:rsid w:val="009705EE"/>
    <w:rsid w:val="00970ADF"/>
    <w:rsid w:val="00971A76"/>
    <w:rsid w:val="00974694"/>
    <w:rsid w:val="009747D9"/>
    <w:rsid w:val="00974EBD"/>
    <w:rsid w:val="00975286"/>
    <w:rsid w:val="009759D1"/>
    <w:rsid w:val="00976445"/>
    <w:rsid w:val="0097722C"/>
    <w:rsid w:val="00977904"/>
    <w:rsid w:val="00977927"/>
    <w:rsid w:val="009802B5"/>
    <w:rsid w:val="009804E8"/>
    <w:rsid w:val="0098135C"/>
    <w:rsid w:val="0098156A"/>
    <w:rsid w:val="00984C98"/>
    <w:rsid w:val="00984EF2"/>
    <w:rsid w:val="009870C3"/>
    <w:rsid w:val="00987E5E"/>
    <w:rsid w:val="009902B2"/>
    <w:rsid w:val="009910D3"/>
    <w:rsid w:val="00991BAC"/>
    <w:rsid w:val="00994688"/>
    <w:rsid w:val="00995BE7"/>
    <w:rsid w:val="009961E3"/>
    <w:rsid w:val="009965E9"/>
    <w:rsid w:val="00997316"/>
    <w:rsid w:val="00997A8E"/>
    <w:rsid w:val="009A19F5"/>
    <w:rsid w:val="009A2292"/>
    <w:rsid w:val="009A24EB"/>
    <w:rsid w:val="009A55B6"/>
    <w:rsid w:val="009A6EA0"/>
    <w:rsid w:val="009A71B2"/>
    <w:rsid w:val="009B202F"/>
    <w:rsid w:val="009B247E"/>
    <w:rsid w:val="009B5393"/>
    <w:rsid w:val="009B6DEA"/>
    <w:rsid w:val="009C007C"/>
    <w:rsid w:val="009C0A9C"/>
    <w:rsid w:val="009C1335"/>
    <w:rsid w:val="009C15D8"/>
    <w:rsid w:val="009C1AB2"/>
    <w:rsid w:val="009C25A5"/>
    <w:rsid w:val="009C302C"/>
    <w:rsid w:val="009C33E7"/>
    <w:rsid w:val="009C33FC"/>
    <w:rsid w:val="009C440B"/>
    <w:rsid w:val="009C4E61"/>
    <w:rsid w:val="009C51B2"/>
    <w:rsid w:val="009C5DA1"/>
    <w:rsid w:val="009C6ACB"/>
    <w:rsid w:val="009C7251"/>
    <w:rsid w:val="009C76C6"/>
    <w:rsid w:val="009D0AFC"/>
    <w:rsid w:val="009D4486"/>
    <w:rsid w:val="009D78C4"/>
    <w:rsid w:val="009E068C"/>
    <w:rsid w:val="009E0945"/>
    <w:rsid w:val="009E2303"/>
    <w:rsid w:val="009E2E91"/>
    <w:rsid w:val="009E3C26"/>
    <w:rsid w:val="009E4E43"/>
    <w:rsid w:val="009E5DCB"/>
    <w:rsid w:val="009E69D1"/>
    <w:rsid w:val="009E7870"/>
    <w:rsid w:val="009F2D80"/>
    <w:rsid w:val="009F3023"/>
    <w:rsid w:val="009F3FF4"/>
    <w:rsid w:val="009F60B8"/>
    <w:rsid w:val="009F6196"/>
    <w:rsid w:val="009F624F"/>
    <w:rsid w:val="009F75A0"/>
    <w:rsid w:val="00A000F6"/>
    <w:rsid w:val="00A00D73"/>
    <w:rsid w:val="00A026C5"/>
    <w:rsid w:val="00A03287"/>
    <w:rsid w:val="00A032BF"/>
    <w:rsid w:val="00A05E54"/>
    <w:rsid w:val="00A11489"/>
    <w:rsid w:val="00A11FCE"/>
    <w:rsid w:val="00A139F5"/>
    <w:rsid w:val="00A16B07"/>
    <w:rsid w:val="00A20624"/>
    <w:rsid w:val="00A21547"/>
    <w:rsid w:val="00A22055"/>
    <w:rsid w:val="00A22758"/>
    <w:rsid w:val="00A22F2A"/>
    <w:rsid w:val="00A2458F"/>
    <w:rsid w:val="00A24A6A"/>
    <w:rsid w:val="00A24F88"/>
    <w:rsid w:val="00A256B0"/>
    <w:rsid w:val="00A27453"/>
    <w:rsid w:val="00A274DF"/>
    <w:rsid w:val="00A27507"/>
    <w:rsid w:val="00A3096D"/>
    <w:rsid w:val="00A31E77"/>
    <w:rsid w:val="00A327D5"/>
    <w:rsid w:val="00A32B77"/>
    <w:rsid w:val="00A33D31"/>
    <w:rsid w:val="00A33EEB"/>
    <w:rsid w:val="00A357F5"/>
    <w:rsid w:val="00A365F4"/>
    <w:rsid w:val="00A36E5B"/>
    <w:rsid w:val="00A37871"/>
    <w:rsid w:val="00A406B5"/>
    <w:rsid w:val="00A41DE0"/>
    <w:rsid w:val="00A427F7"/>
    <w:rsid w:val="00A42BED"/>
    <w:rsid w:val="00A44B7F"/>
    <w:rsid w:val="00A45779"/>
    <w:rsid w:val="00A472B0"/>
    <w:rsid w:val="00A47D80"/>
    <w:rsid w:val="00A503EE"/>
    <w:rsid w:val="00A506BA"/>
    <w:rsid w:val="00A5124E"/>
    <w:rsid w:val="00A51E80"/>
    <w:rsid w:val="00A528C0"/>
    <w:rsid w:val="00A53132"/>
    <w:rsid w:val="00A55519"/>
    <w:rsid w:val="00A563F2"/>
    <w:rsid w:val="00A566E8"/>
    <w:rsid w:val="00A56DC1"/>
    <w:rsid w:val="00A60A1A"/>
    <w:rsid w:val="00A621D6"/>
    <w:rsid w:val="00A64090"/>
    <w:rsid w:val="00A646C3"/>
    <w:rsid w:val="00A646C8"/>
    <w:rsid w:val="00A65844"/>
    <w:rsid w:val="00A65DA4"/>
    <w:rsid w:val="00A66FC5"/>
    <w:rsid w:val="00A70EEE"/>
    <w:rsid w:val="00A72E5A"/>
    <w:rsid w:val="00A732A9"/>
    <w:rsid w:val="00A7333E"/>
    <w:rsid w:val="00A74775"/>
    <w:rsid w:val="00A74948"/>
    <w:rsid w:val="00A74967"/>
    <w:rsid w:val="00A7496F"/>
    <w:rsid w:val="00A761BB"/>
    <w:rsid w:val="00A7685D"/>
    <w:rsid w:val="00A770D7"/>
    <w:rsid w:val="00A77911"/>
    <w:rsid w:val="00A77CEE"/>
    <w:rsid w:val="00A808AA"/>
    <w:rsid w:val="00A810F9"/>
    <w:rsid w:val="00A83FCC"/>
    <w:rsid w:val="00A84CE6"/>
    <w:rsid w:val="00A85F83"/>
    <w:rsid w:val="00A869C9"/>
    <w:rsid w:val="00A86B9F"/>
    <w:rsid w:val="00A86ECC"/>
    <w:rsid w:val="00A86FCC"/>
    <w:rsid w:val="00A90129"/>
    <w:rsid w:val="00A92B98"/>
    <w:rsid w:val="00A93FE5"/>
    <w:rsid w:val="00A94677"/>
    <w:rsid w:val="00A94BFE"/>
    <w:rsid w:val="00A94CC0"/>
    <w:rsid w:val="00A95F26"/>
    <w:rsid w:val="00A97F4D"/>
    <w:rsid w:val="00AA0F25"/>
    <w:rsid w:val="00AA1051"/>
    <w:rsid w:val="00AA17D6"/>
    <w:rsid w:val="00AA1BB8"/>
    <w:rsid w:val="00AA2D3A"/>
    <w:rsid w:val="00AA4208"/>
    <w:rsid w:val="00AA5111"/>
    <w:rsid w:val="00AA5DDE"/>
    <w:rsid w:val="00AA710D"/>
    <w:rsid w:val="00AA7665"/>
    <w:rsid w:val="00AA7F86"/>
    <w:rsid w:val="00AB1115"/>
    <w:rsid w:val="00AB3C32"/>
    <w:rsid w:val="00AB6D25"/>
    <w:rsid w:val="00AB6F24"/>
    <w:rsid w:val="00AB7187"/>
    <w:rsid w:val="00AB72D6"/>
    <w:rsid w:val="00AC0127"/>
    <w:rsid w:val="00AC05B3"/>
    <w:rsid w:val="00AC36C2"/>
    <w:rsid w:val="00AC42C3"/>
    <w:rsid w:val="00AC4957"/>
    <w:rsid w:val="00AC5132"/>
    <w:rsid w:val="00AC51C1"/>
    <w:rsid w:val="00AC5552"/>
    <w:rsid w:val="00AC5E9B"/>
    <w:rsid w:val="00AC64CB"/>
    <w:rsid w:val="00AC6CC3"/>
    <w:rsid w:val="00AC750F"/>
    <w:rsid w:val="00AC75A7"/>
    <w:rsid w:val="00AD1021"/>
    <w:rsid w:val="00AD1D71"/>
    <w:rsid w:val="00AD2499"/>
    <w:rsid w:val="00AD2B0D"/>
    <w:rsid w:val="00AD2D8C"/>
    <w:rsid w:val="00AD36DA"/>
    <w:rsid w:val="00AD662C"/>
    <w:rsid w:val="00AD7066"/>
    <w:rsid w:val="00AE09BA"/>
    <w:rsid w:val="00AE1E5F"/>
    <w:rsid w:val="00AE263C"/>
    <w:rsid w:val="00AE271B"/>
    <w:rsid w:val="00AE2D4B"/>
    <w:rsid w:val="00AE4F99"/>
    <w:rsid w:val="00AE554B"/>
    <w:rsid w:val="00AE5E84"/>
    <w:rsid w:val="00AE65BB"/>
    <w:rsid w:val="00AF04BF"/>
    <w:rsid w:val="00AF0A8C"/>
    <w:rsid w:val="00AF110B"/>
    <w:rsid w:val="00AF1180"/>
    <w:rsid w:val="00AF11C3"/>
    <w:rsid w:val="00AF14F1"/>
    <w:rsid w:val="00AF2E2D"/>
    <w:rsid w:val="00AF3882"/>
    <w:rsid w:val="00AF411A"/>
    <w:rsid w:val="00AF5980"/>
    <w:rsid w:val="00AF6D09"/>
    <w:rsid w:val="00B00BC3"/>
    <w:rsid w:val="00B014A2"/>
    <w:rsid w:val="00B015B5"/>
    <w:rsid w:val="00B0233E"/>
    <w:rsid w:val="00B0383F"/>
    <w:rsid w:val="00B04BBF"/>
    <w:rsid w:val="00B0574F"/>
    <w:rsid w:val="00B060B5"/>
    <w:rsid w:val="00B077B2"/>
    <w:rsid w:val="00B07D0D"/>
    <w:rsid w:val="00B11333"/>
    <w:rsid w:val="00B14952"/>
    <w:rsid w:val="00B14F68"/>
    <w:rsid w:val="00B157CE"/>
    <w:rsid w:val="00B16A63"/>
    <w:rsid w:val="00B17BA0"/>
    <w:rsid w:val="00B22655"/>
    <w:rsid w:val="00B23F07"/>
    <w:rsid w:val="00B240DC"/>
    <w:rsid w:val="00B254E3"/>
    <w:rsid w:val="00B25EE8"/>
    <w:rsid w:val="00B2761E"/>
    <w:rsid w:val="00B30FA2"/>
    <w:rsid w:val="00B31CD7"/>
    <w:rsid w:val="00B31E5A"/>
    <w:rsid w:val="00B34829"/>
    <w:rsid w:val="00B353B6"/>
    <w:rsid w:val="00B42042"/>
    <w:rsid w:val="00B42274"/>
    <w:rsid w:val="00B44B55"/>
    <w:rsid w:val="00B45617"/>
    <w:rsid w:val="00B46B42"/>
    <w:rsid w:val="00B46E1C"/>
    <w:rsid w:val="00B46F49"/>
    <w:rsid w:val="00B46F95"/>
    <w:rsid w:val="00B472A0"/>
    <w:rsid w:val="00B5106E"/>
    <w:rsid w:val="00B51FA5"/>
    <w:rsid w:val="00B527F7"/>
    <w:rsid w:val="00B52D65"/>
    <w:rsid w:val="00B5309C"/>
    <w:rsid w:val="00B531BA"/>
    <w:rsid w:val="00B55A9D"/>
    <w:rsid w:val="00B55AA0"/>
    <w:rsid w:val="00B56A29"/>
    <w:rsid w:val="00B56ABD"/>
    <w:rsid w:val="00B56EAC"/>
    <w:rsid w:val="00B60212"/>
    <w:rsid w:val="00B60390"/>
    <w:rsid w:val="00B60F26"/>
    <w:rsid w:val="00B61195"/>
    <w:rsid w:val="00B624CF"/>
    <w:rsid w:val="00B62F6E"/>
    <w:rsid w:val="00B63610"/>
    <w:rsid w:val="00B6394E"/>
    <w:rsid w:val="00B63CDB"/>
    <w:rsid w:val="00B64276"/>
    <w:rsid w:val="00B653AB"/>
    <w:rsid w:val="00B65F9E"/>
    <w:rsid w:val="00B662F6"/>
    <w:rsid w:val="00B66652"/>
    <w:rsid w:val="00B66B19"/>
    <w:rsid w:val="00B67045"/>
    <w:rsid w:val="00B67C40"/>
    <w:rsid w:val="00B701E8"/>
    <w:rsid w:val="00B70FBB"/>
    <w:rsid w:val="00B71522"/>
    <w:rsid w:val="00B71810"/>
    <w:rsid w:val="00B71AB4"/>
    <w:rsid w:val="00B73F57"/>
    <w:rsid w:val="00B758D9"/>
    <w:rsid w:val="00B811F7"/>
    <w:rsid w:val="00B8296C"/>
    <w:rsid w:val="00B82AF5"/>
    <w:rsid w:val="00B83883"/>
    <w:rsid w:val="00B86890"/>
    <w:rsid w:val="00B86C3E"/>
    <w:rsid w:val="00B875F2"/>
    <w:rsid w:val="00B90AB8"/>
    <w:rsid w:val="00B914E9"/>
    <w:rsid w:val="00B9173B"/>
    <w:rsid w:val="00B9185A"/>
    <w:rsid w:val="00B94822"/>
    <w:rsid w:val="00B956EE"/>
    <w:rsid w:val="00B95A02"/>
    <w:rsid w:val="00B97123"/>
    <w:rsid w:val="00B97CB7"/>
    <w:rsid w:val="00BA01D0"/>
    <w:rsid w:val="00BA1810"/>
    <w:rsid w:val="00BA1D09"/>
    <w:rsid w:val="00BA2BA1"/>
    <w:rsid w:val="00BA3311"/>
    <w:rsid w:val="00BA38B6"/>
    <w:rsid w:val="00BA5243"/>
    <w:rsid w:val="00BA6601"/>
    <w:rsid w:val="00BA6BEF"/>
    <w:rsid w:val="00BA7C89"/>
    <w:rsid w:val="00BB0DD5"/>
    <w:rsid w:val="00BB3136"/>
    <w:rsid w:val="00BB4DD6"/>
    <w:rsid w:val="00BB4F09"/>
    <w:rsid w:val="00BB7338"/>
    <w:rsid w:val="00BB77C3"/>
    <w:rsid w:val="00BC0F74"/>
    <w:rsid w:val="00BC16A0"/>
    <w:rsid w:val="00BC530B"/>
    <w:rsid w:val="00BC5419"/>
    <w:rsid w:val="00BC571C"/>
    <w:rsid w:val="00BC58A0"/>
    <w:rsid w:val="00BC695C"/>
    <w:rsid w:val="00BD1B2E"/>
    <w:rsid w:val="00BD363F"/>
    <w:rsid w:val="00BD3C6A"/>
    <w:rsid w:val="00BD407C"/>
    <w:rsid w:val="00BD4E33"/>
    <w:rsid w:val="00BD539C"/>
    <w:rsid w:val="00BD5FF4"/>
    <w:rsid w:val="00BD7328"/>
    <w:rsid w:val="00BD7D76"/>
    <w:rsid w:val="00BD7EF1"/>
    <w:rsid w:val="00BE293C"/>
    <w:rsid w:val="00BE3051"/>
    <w:rsid w:val="00BE3BE6"/>
    <w:rsid w:val="00BE45DB"/>
    <w:rsid w:val="00BE6C16"/>
    <w:rsid w:val="00BF0329"/>
    <w:rsid w:val="00BF1A84"/>
    <w:rsid w:val="00BF1BFB"/>
    <w:rsid w:val="00BF2ECA"/>
    <w:rsid w:val="00BF587A"/>
    <w:rsid w:val="00BF5E45"/>
    <w:rsid w:val="00BF6029"/>
    <w:rsid w:val="00BF6E53"/>
    <w:rsid w:val="00C00E69"/>
    <w:rsid w:val="00C02359"/>
    <w:rsid w:val="00C027DF"/>
    <w:rsid w:val="00C030DE"/>
    <w:rsid w:val="00C0433A"/>
    <w:rsid w:val="00C04F3E"/>
    <w:rsid w:val="00C05255"/>
    <w:rsid w:val="00C0668D"/>
    <w:rsid w:val="00C0693C"/>
    <w:rsid w:val="00C07AC3"/>
    <w:rsid w:val="00C121A6"/>
    <w:rsid w:val="00C12385"/>
    <w:rsid w:val="00C124C8"/>
    <w:rsid w:val="00C134FB"/>
    <w:rsid w:val="00C13ACF"/>
    <w:rsid w:val="00C15AD6"/>
    <w:rsid w:val="00C15C2B"/>
    <w:rsid w:val="00C17289"/>
    <w:rsid w:val="00C174CC"/>
    <w:rsid w:val="00C17B52"/>
    <w:rsid w:val="00C21E78"/>
    <w:rsid w:val="00C22105"/>
    <w:rsid w:val="00C235A6"/>
    <w:rsid w:val="00C244B6"/>
    <w:rsid w:val="00C27703"/>
    <w:rsid w:val="00C30EA5"/>
    <w:rsid w:val="00C3272C"/>
    <w:rsid w:val="00C33C1A"/>
    <w:rsid w:val="00C33ECF"/>
    <w:rsid w:val="00C34A75"/>
    <w:rsid w:val="00C359D6"/>
    <w:rsid w:val="00C3702F"/>
    <w:rsid w:val="00C37AB7"/>
    <w:rsid w:val="00C40E62"/>
    <w:rsid w:val="00C41474"/>
    <w:rsid w:val="00C41858"/>
    <w:rsid w:val="00C43FF6"/>
    <w:rsid w:val="00C4544F"/>
    <w:rsid w:val="00C4563B"/>
    <w:rsid w:val="00C45CB2"/>
    <w:rsid w:val="00C472CE"/>
    <w:rsid w:val="00C47A53"/>
    <w:rsid w:val="00C52586"/>
    <w:rsid w:val="00C5455E"/>
    <w:rsid w:val="00C55183"/>
    <w:rsid w:val="00C555AC"/>
    <w:rsid w:val="00C62D38"/>
    <w:rsid w:val="00C636D2"/>
    <w:rsid w:val="00C6472A"/>
    <w:rsid w:val="00C64A37"/>
    <w:rsid w:val="00C64FE6"/>
    <w:rsid w:val="00C652C1"/>
    <w:rsid w:val="00C6565D"/>
    <w:rsid w:val="00C66424"/>
    <w:rsid w:val="00C7158E"/>
    <w:rsid w:val="00C7250B"/>
    <w:rsid w:val="00C73033"/>
    <w:rsid w:val="00C7346B"/>
    <w:rsid w:val="00C7361B"/>
    <w:rsid w:val="00C73D46"/>
    <w:rsid w:val="00C742AC"/>
    <w:rsid w:val="00C74C2E"/>
    <w:rsid w:val="00C75A34"/>
    <w:rsid w:val="00C75A8C"/>
    <w:rsid w:val="00C76526"/>
    <w:rsid w:val="00C77C0E"/>
    <w:rsid w:val="00C80CE7"/>
    <w:rsid w:val="00C81D77"/>
    <w:rsid w:val="00C82B1B"/>
    <w:rsid w:val="00C83C61"/>
    <w:rsid w:val="00C84FE4"/>
    <w:rsid w:val="00C851E2"/>
    <w:rsid w:val="00C87772"/>
    <w:rsid w:val="00C911BB"/>
    <w:rsid w:val="00C91283"/>
    <w:rsid w:val="00C91687"/>
    <w:rsid w:val="00C91DB9"/>
    <w:rsid w:val="00C923F3"/>
    <w:rsid w:val="00C924A8"/>
    <w:rsid w:val="00C928B7"/>
    <w:rsid w:val="00C93246"/>
    <w:rsid w:val="00C939A7"/>
    <w:rsid w:val="00C945FE"/>
    <w:rsid w:val="00C946C0"/>
    <w:rsid w:val="00C9548B"/>
    <w:rsid w:val="00C969F2"/>
    <w:rsid w:val="00C96FAA"/>
    <w:rsid w:val="00C97A04"/>
    <w:rsid w:val="00CA107B"/>
    <w:rsid w:val="00CA1085"/>
    <w:rsid w:val="00CA17BF"/>
    <w:rsid w:val="00CA19A3"/>
    <w:rsid w:val="00CA2840"/>
    <w:rsid w:val="00CA484D"/>
    <w:rsid w:val="00CA4A16"/>
    <w:rsid w:val="00CA5570"/>
    <w:rsid w:val="00CA59D7"/>
    <w:rsid w:val="00CA5A66"/>
    <w:rsid w:val="00CA5F2D"/>
    <w:rsid w:val="00CA7022"/>
    <w:rsid w:val="00CA7DB3"/>
    <w:rsid w:val="00CB0874"/>
    <w:rsid w:val="00CB1DCB"/>
    <w:rsid w:val="00CB26B0"/>
    <w:rsid w:val="00CB3B4E"/>
    <w:rsid w:val="00CB3D59"/>
    <w:rsid w:val="00CB4B5B"/>
    <w:rsid w:val="00CB4DD4"/>
    <w:rsid w:val="00CB6FB5"/>
    <w:rsid w:val="00CC2703"/>
    <w:rsid w:val="00CC4977"/>
    <w:rsid w:val="00CC4EBF"/>
    <w:rsid w:val="00CC51E9"/>
    <w:rsid w:val="00CC524A"/>
    <w:rsid w:val="00CC621D"/>
    <w:rsid w:val="00CC739E"/>
    <w:rsid w:val="00CC7BB2"/>
    <w:rsid w:val="00CD19F3"/>
    <w:rsid w:val="00CD1AEB"/>
    <w:rsid w:val="00CD2711"/>
    <w:rsid w:val="00CD37C7"/>
    <w:rsid w:val="00CD3999"/>
    <w:rsid w:val="00CD3C8A"/>
    <w:rsid w:val="00CD45E4"/>
    <w:rsid w:val="00CD58B7"/>
    <w:rsid w:val="00CD6073"/>
    <w:rsid w:val="00CD7539"/>
    <w:rsid w:val="00CE00A2"/>
    <w:rsid w:val="00CE11A4"/>
    <w:rsid w:val="00CE143C"/>
    <w:rsid w:val="00CE196D"/>
    <w:rsid w:val="00CE31BC"/>
    <w:rsid w:val="00CE40E1"/>
    <w:rsid w:val="00CE54FD"/>
    <w:rsid w:val="00CE5BBD"/>
    <w:rsid w:val="00CE6312"/>
    <w:rsid w:val="00CE6A88"/>
    <w:rsid w:val="00CF30BC"/>
    <w:rsid w:val="00CF4099"/>
    <w:rsid w:val="00CF7D75"/>
    <w:rsid w:val="00D006D0"/>
    <w:rsid w:val="00D00796"/>
    <w:rsid w:val="00D01FB4"/>
    <w:rsid w:val="00D02B78"/>
    <w:rsid w:val="00D04337"/>
    <w:rsid w:val="00D04C40"/>
    <w:rsid w:val="00D10D2A"/>
    <w:rsid w:val="00D10DB1"/>
    <w:rsid w:val="00D10F4B"/>
    <w:rsid w:val="00D1161C"/>
    <w:rsid w:val="00D11C75"/>
    <w:rsid w:val="00D1232B"/>
    <w:rsid w:val="00D12456"/>
    <w:rsid w:val="00D13520"/>
    <w:rsid w:val="00D169D6"/>
    <w:rsid w:val="00D16E7B"/>
    <w:rsid w:val="00D171CF"/>
    <w:rsid w:val="00D1780C"/>
    <w:rsid w:val="00D22D27"/>
    <w:rsid w:val="00D23C64"/>
    <w:rsid w:val="00D243EB"/>
    <w:rsid w:val="00D249F5"/>
    <w:rsid w:val="00D261A2"/>
    <w:rsid w:val="00D27CF6"/>
    <w:rsid w:val="00D31A0D"/>
    <w:rsid w:val="00D31B3F"/>
    <w:rsid w:val="00D32B1B"/>
    <w:rsid w:val="00D33B5F"/>
    <w:rsid w:val="00D3472C"/>
    <w:rsid w:val="00D358DF"/>
    <w:rsid w:val="00D358FC"/>
    <w:rsid w:val="00D37A4D"/>
    <w:rsid w:val="00D40D4C"/>
    <w:rsid w:val="00D42D11"/>
    <w:rsid w:val="00D43AF4"/>
    <w:rsid w:val="00D44934"/>
    <w:rsid w:val="00D46101"/>
    <w:rsid w:val="00D47010"/>
    <w:rsid w:val="00D47112"/>
    <w:rsid w:val="00D47ADD"/>
    <w:rsid w:val="00D47B00"/>
    <w:rsid w:val="00D509E1"/>
    <w:rsid w:val="00D52DF0"/>
    <w:rsid w:val="00D53A39"/>
    <w:rsid w:val="00D54090"/>
    <w:rsid w:val="00D54358"/>
    <w:rsid w:val="00D54751"/>
    <w:rsid w:val="00D54B31"/>
    <w:rsid w:val="00D554AF"/>
    <w:rsid w:val="00D600BA"/>
    <w:rsid w:val="00D6060F"/>
    <w:rsid w:val="00D60701"/>
    <w:rsid w:val="00D616D2"/>
    <w:rsid w:val="00D6247F"/>
    <w:rsid w:val="00D6377F"/>
    <w:rsid w:val="00D63B5F"/>
    <w:rsid w:val="00D63B83"/>
    <w:rsid w:val="00D63D88"/>
    <w:rsid w:val="00D641C9"/>
    <w:rsid w:val="00D64CFB"/>
    <w:rsid w:val="00D66513"/>
    <w:rsid w:val="00D67BFF"/>
    <w:rsid w:val="00D70EF7"/>
    <w:rsid w:val="00D712A6"/>
    <w:rsid w:val="00D730B6"/>
    <w:rsid w:val="00D75496"/>
    <w:rsid w:val="00D76AA4"/>
    <w:rsid w:val="00D77C69"/>
    <w:rsid w:val="00D8007A"/>
    <w:rsid w:val="00D81B83"/>
    <w:rsid w:val="00D8321C"/>
    <w:rsid w:val="00D83231"/>
    <w:rsid w:val="00D8397C"/>
    <w:rsid w:val="00D86C26"/>
    <w:rsid w:val="00D905A6"/>
    <w:rsid w:val="00D92177"/>
    <w:rsid w:val="00D9217F"/>
    <w:rsid w:val="00D94EED"/>
    <w:rsid w:val="00D95575"/>
    <w:rsid w:val="00D959B3"/>
    <w:rsid w:val="00D96026"/>
    <w:rsid w:val="00D96A97"/>
    <w:rsid w:val="00D96D81"/>
    <w:rsid w:val="00D97135"/>
    <w:rsid w:val="00D97A7C"/>
    <w:rsid w:val="00DA07A7"/>
    <w:rsid w:val="00DA3059"/>
    <w:rsid w:val="00DA4BAC"/>
    <w:rsid w:val="00DA4F76"/>
    <w:rsid w:val="00DA5780"/>
    <w:rsid w:val="00DA60DA"/>
    <w:rsid w:val="00DA7C1C"/>
    <w:rsid w:val="00DB098D"/>
    <w:rsid w:val="00DB147A"/>
    <w:rsid w:val="00DB1B7A"/>
    <w:rsid w:val="00DB2744"/>
    <w:rsid w:val="00DB39C2"/>
    <w:rsid w:val="00DB472B"/>
    <w:rsid w:val="00DB562E"/>
    <w:rsid w:val="00DB5DD0"/>
    <w:rsid w:val="00DB6746"/>
    <w:rsid w:val="00DC0069"/>
    <w:rsid w:val="00DC0B7F"/>
    <w:rsid w:val="00DC217A"/>
    <w:rsid w:val="00DC370F"/>
    <w:rsid w:val="00DC3B40"/>
    <w:rsid w:val="00DC5A13"/>
    <w:rsid w:val="00DC6460"/>
    <w:rsid w:val="00DC6708"/>
    <w:rsid w:val="00DC6731"/>
    <w:rsid w:val="00DD15E4"/>
    <w:rsid w:val="00DD2D9F"/>
    <w:rsid w:val="00DD4319"/>
    <w:rsid w:val="00DD4406"/>
    <w:rsid w:val="00DD44DF"/>
    <w:rsid w:val="00DD52DE"/>
    <w:rsid w:val="00DD57B8"/>
    <w:rsid w:val="00DD67FB"/>
    <w:rsid w:val="00DE0077"/>
    <w:rsid w:val="00DE17D6"/>
    <w:rsid w:val="00DE35DD"/>
    <w:rsid w:val="00DE5572"/>
    <w:rsid w:val="00DE5656"/>
    <w:rsid w:val="00DE5E99"/>
    <w:rsid w:val="00DF01E8"/>
    <w:rsid w:val="00DF19B2"/>
    <w:rsid w:val="00DF2DDE"/>
    <w:rsid w:val="00DF60F9"/>
    <w:rsid w:val="00DF6682"/>
    <w:rsid w:val="00E0020E"/>
    <w:rsid w:val="00E0123B"/>
    <w:rsid w:val="00E01436"/>
    <w:rsid w:val="00E014C8"/>
    <w:rsid w:val="00E01656"/>
    <w:rsid w:val="00E0171F"/>
    <w:rsid w:val="00E01CEC"/>
    <w:rsid w:val="00E033D4"/>
    <w:rsid w:val="00E042B9"/>
    <w:rsid w:val="00E045BD"/>
    <w:rsid w:val="00E04B9B"/>
    <w:rsid w:val="00E13BED"/>
    <w:rsid w:val="00E149E0"/>
    <w:rsid w:val="00E16D89"/>
    <w:rsid w:val="00E17B77"/>
    <w:rsid w:val="00E21D84"/>
    <w:rsid w:val="00E23337"/>
    <w:rsid w:val="00E235AE"/>
    <w:rsid w:val="00E24BC3"/>
    <w:rsid w:val="00E24E9E"/>
    <w:rsid w:val="00E24EFD"/>
    <w:rsid w:val="00E259EA"/>
    <w:rsid w:val="00E300C0"/>
    <w:rsid w:val="00E30E56"/>
    <w:rsid w:val="00E3146A"/>
    <w:rsid w:val="00E31581"/>
    <w:rsid w:val="00E32061"/>
    <w:rsid w:val="00E32920"/>
    <w:rsid w:val="00E332D8"/>
    <w:rsid w:val="00E33885"/>
    <w:rsid w:val="00E34A32"/>
    <w:rsid w:val="00E351A2"/>
    <w:rsid w:val="00E36C5C"/>
    <w:rsid w:val="00E373D3"/>
    <w:rsid w:val="00E37890"/>
    <w:rsid w:val="00E37D56"/>
    <w:rsid w:val="00E401D2"/>
    <w:rsid w:val="00E40C72"/>
    <w:rsid w:val="00E41E94"/>
    <w:rsid w:val="00E42FF9"/>
    <w:rsid w:val="00E445CF"/>
    <w:rsid w:val="00E44869"/>
    <w:rsid w:val="00E4569E"/>
    <w:rsid w:val="00E46D59"/>
    <w:rsid w:val="00E4714C"/>
    <w:rsid w:val="00E5089A"/>
    <w:rsid w:val="00E511E4"/>
    <w:rsid w:val="00E51AEB"/>
    <w:rsid w:val="00E522A7"/>
    <w:rsid w:val="00E5393D"/>
    <w:rsid w:val="00E53A8D"/>
    <w:rsid w:val="00E53DAC"/>
    <w:rsid w:val="00E54452"/>
    <w:rsid w:val="00E5446B"/>
    <w:rsid w:val="00E57382"/>
    <w:rsid w:val="00E608B3"/>
    <w:rsid w:val="00E63C1B"/>
    <w:rsid w:val="00E64FFD"/>
    <w:rsid w:val="00E658E6"/>
    <w:rsid w:val="00E664C5"/>
    <w:rsid w:val="00E671A2"/>
    <w:rsid w:val="00E70CE9"/>
    <w:rsid w:val="00E73BFB"/>
    <w:rsid w:val="00E746E2"/>
    <w:rsid w:val="00E75502"/>
    <w:rsid w:val="00E75939"/>
    <w:rsid w:val="00E76D26"/>
    <w:rsid w:val="00E77E61"/>
    <w:rsid w:val="00E80C30"/>
    <w:rsid w:val="00E81F20"/>
    <w:rsid w:val="00E82D45"/>
    <w:rsid w:val="00E83D90"/>
    <w:rsid w:val="00E83E4E"/>
    <w:rsid w:val="00E83EF2"/>
    <w:rsid w:val="00E8695A"/>
    <w:rsid w:val="00E878E5"/>
    <w:rsid w:val="00E87E1C"/>
    <w:rsid w:val="00E901EB"/>
    <w:rsid w:val="00E919B9"/>
    <w:rsid w:val="00E92A1D"/>
    <w:rsid w:val="00E92FB0"/>
    <w:rsid w:val="00E9433A"/>
    <w:rsid w:val="00E960C2"/>
    <w:rsid w:val="00EA04B8"/>
    <w:rsid w:val="00EA0DF3"/>
    <w:rsid w:val="00EA349F"/>
    <w:rsid w:val="00EA3916"/>
    <w:rsid w:val="00EA4F91"/>
    <w:rsid w:val="00EA5300"/>
    <w:rsid w:val="00EA5ED1"/>
    <w:rsid w:val="00EA65C5"/>
    <w:rsid w:val="00EA6C83"/>
    <w:rsid w:val="00EA739E"/>
    <w:rsid w:val="00EB0319"/>
    <w:rsid w:val="00EB0A5A"/>
    <w:rsid w:val="00EB1390"/>
    <w:rsid w:val="00EB2A51"/>
    <w:rsid w:val="00EB2C71"/>
    <w:rsid w:val="00EB34FA"/>
    <w:rsid w:val="00EB34FB"/>
    <w:rsid w:val="00EB4340"/>
    <w:rsid w:val="00EB556D"/>
    <w:rsid w:val="00EB5A7D"/>
    <w:rsid w:val="00EB711C"/>
    <w:rsid w:val="00EB7899"/>
    <w:rsid w:val="00EB7EBE"/>
    <w:rsid w:val="00EC0552"/>
    <w:rsid w:val="00EC0FD5"/>
    <w:rsid w:val="00EC1228"/>
    <w:rsid w:val="00EC25EA"/>
    <w:rsid w:val="00EC2A8F"/>
    <w:rsid w:val="00EC3F9B"/>
    <w:rsid w:val="00EC4173"/>
    <w:rsid w:val="00EC6564"/>
    <w:rsid w:val="00EC7BB1"/>
    <w:rsid w:val="00ED0FE6"/>
    <w:rsid w:val="00ED19CD"/>
    <w:rsid w:val="00ED1B54"/>
    <w:rsid w:val="00ED2115"/>
    <w:rsid w:val="00ED259D"/>
    <w:rsid w:val="00ED421C"/>
    <w:rsid w:val="00ED42E6"/>
    <w:rsid w:val="00ED4808"/>
    <w:rsid w:val="00ED4F74"/>
    <w:rsid w:val="00ED55C0"/>
    <w:rsid w:val="00ED682B"/>
    <w:rsid w:val="00ED68C8"/>
    <w:rsid w:val="00ED6F67"/>
    <w:rsid w:val="00ED7B23"/>
    <w:rsid w:val="00ED7B43"/>
    <w:rsid w:val="00ED7B53"/>
    <w:rsid w:val="00EE0D77"/>
    <w:rsid w:val="00EE236C"/>
    <w:rsid w:val="00EE2BAC"/>
    <w:rsid w:val="00EE2CF0"/>
    <w:rsid w:val="00EE3BC7"/>
    <w:rsid w:val="00EE41D5"/>
    <w:rsid w:val="00EE4985"/>
    <w:rsid w:val="00EE49D9"/>
    <w:rsid w:val="00EE5AEB"/>
    <w:rsid w:val="00EE618B"/>
    <w:rsid w:val="00EE62E0"/>
    <w:rsid w:val="00EE6B09"/>
    <w:rsid w:val="00EF156C"/>
    <w:rsid w:val="00EF2DFF"/>
    <w:rsid w:val="00EF6DD1"/>
    <w:rsid w:val="00EF7090"/>
    <w:rsid w:val="00EF7BA5"/>
    <w:rsid w:val="00F005D6"/>
    <w:rsid w:val="00F01839"/>
    <w:rsid w:val="00F01B33"/>
    <w:rsid w:val="00F0229B"/>
    <w:rsid w:val="00F02C7A"/>
    <w:rsid w:val="00F02FA5"/>
    <w:rsid w:val="00F037A4"/>
    <w:rsid w:val="00F04A2A"/>
    <w:rsid w:val="00F077CC"/>
    <w:rsid w:val="00F10A47"/>
    <w:rsid w:val="00F119BF"/>
    <w:rsid w:val="00F1392B"/>
    <w:rsid w:val="00F14457"/>
    <w:rsid w:val="00F1454C"/>
    <w:rsid w:val="00F148BD"/>
    <w:rsid w:val="00F15EA9"/>
    <w:rsid w:val="00F164F5"/>
    <w:rsid w:val="00F16A95"/>
    <w:rsid w:val="00F1786B"/>
    <w:rsid w:val="00F20495"/>
    <w:rsid w:val="00F220A6"/>
    <w:rsid w:val="00F235F4"/>
    <w:rsid w:val="00F23ABC"/>
    <w:rsid w:val="00F23B32"/>
    <w:rsid w:val="00F24830"/>
    <w:rsid w:val="00F24F67"/>
    <w:rsid w:val="00F250B7"/>
    <w:rsid w:val="00F251B7"/>
    <w:rsid w:val="00F257C1"/>
    <w:rsid w:val="00F27C8F"/>
    <w:rsid w:val="00F31251"/>
    <w:rsid w:val="00F32749"/>
    <w:rsid w:val="00F34143"/>
    <w:rsid w:val="00F3441A"/>
    <w:rsid w:val="00F34438"/>
    <w:rsid w:val="00F3483D"/>
    <w:rsid w:val="00F356A7"/>
    <w:rsid w:val="00F36237"/>
    <w:rsid w:val="00F36A45"/>
    <w:rsid w:val="00F37172"/>
    <w:rsid w:val="00F40D11"/>
    <w:rsid w:val="00F40F30"/>
    <w:rsid w:val="00F421A5"/>
    <w:rsid w:val="00F429ED"/>
    <w:rsid w:val="00F43188"/>
    <w:rsid w:val="00F4477E"/>
    <w:rsid w:val="00F447F2"/>
    <w:rsid w:val="00F50437"/>
    <w:rsid w:val="00F50CE6"/>
    <w:rsid w:val="00F51051"/>
    <w:rsid w:val="00F516C0"/>
    <w:rsid w:val="00F53FB1"/>
    <w:rsid w:val="00F54002"/>
    <w:rsid w:val="00F54238"/>
    <w:rsid w:val="00F542B0"/>
    <w:rsid w:val="00F55A9A"/>
    <w:rsid w:val="00F638D8"/>
    <w:rsid w:val="00F66EB8"/>
    <w:rsid w:val="00F67BEC"/>
    <w:rsid w:val="00F67D8F"/>
    <w:rsid w:val="00F71AFD"/>
    <w:rsid w:val="00F71D73"/>
    <w:rsid w:val="00F72DC8"/>
    <w:rsid w:val="00F73765"/>
    <w:rsid w:val="00F73993"/>
    <w:rsid w:val="00F77B89"/>
    <w:rsid w:val="00F802BE"/>
    <w:rsid w:val="00F816DD"/>
    <w:rsid w:val="00F8204F"/>
    <w:rsid w:val="00F83ECB"/>
    <w:rsid w:val="00F8499A"/>
    <w:rsid w:val="00F84C9E"/>
    <w:rsid w:val="00F85DC4"/>
    <w:rsid w:val="00F86024"/>
    <w:rsid w:val="00F8611A"/>
    <w:rsid w:val="00F8642A"/>
    <w:rsid w:val="00F9063A"/>
    <w:rsid w:val="00F93411"/>
    <w:rsid w:val="00F9418E"/>
    <w:rsid w:val="00F9456C"/>
    <w:rsid w:val="00F958FD"/>
    <w:rsid w:val="00F96B05"/>
    <w:rsid w:val="00F96B3B"/>
    <w:rsid w:val="00FA0DB9"/>
    <w:rsid w:val="00FA130D"/>
    <w:rsid w:val="00FA1DA1"/>
    <w:rsid w:val="00FA328D"/>
    <w:rsid w:val="00FA5128"/>
    <w:rsid w:val="00FA65EC"/>
    <w:rsid w:val="00FA7FBE"/>
    <w:rsid w:val="00FB16B7"/>
    <w:rsid w:val="00FB2052"/>
    <w:rsid w:val="00FB277F"/>
    <w:rsid w:val="00FB42D4"/>
    <w:rsid w:val="00FB4EB4"/>
    <w:rsid w:val="00FB5906"/>
    <w:rsid w:val="00FB5917"/>
    <w:rsid w:val="00FB762F"/>
    <w:rsid w:val="00FB7FAA"/>
    <w:rsid w:val="00FC0453"/>
    <w:rsid w:val="00FC128D"/>
    <w:rsid w:val="00FC27C1"/>
    <w:rsid w:val="00FC2AED"/>
    <w:rsid w:val="00FC4151"/>
    <w:rsid w:val="00FC61A2"/>
    <w:rsid w:val="00FC6940"/>
    <w:rsid w:val="00FD103C"/>
    <w:rsid w:val="00FD11C9"/>
    <w:rsid w:val="00FD131F"/>
    <w:rsid w:val="00FD2EAD"/>
    <w:rsid w:val="00FD5B26"/>
    <w:rsid w:val="00FD5EA7"/>
    <w:rsid w:val="00FD640D"/>
    <w:rsid w:val="00FD7191"/>
    <w:rsid w:val="00FD7786"/>
    <w:rsid w:val="00FE0BD2"/>
    <w:rsid w:val="00FE163A"/>
    <w:rsid w:val="00FE1C40"/>
    <w:rsid w:val="00FE2AE3"/>
    <w:rsid w:val="00FE2DA3"/>
    <w:rsid w:val="00FE408E"/>
    <w:rsid w:val="00FE62F5"/>
    <w:rsid w:val="00FE655C"/>
    <w:rsid w:val="00FE6A1E"/>
    <w:rsid w:val="00FE6D40"/>
    <w:rsid w:val="00FE7F6E"/>
    <w:rsid w:val="00FF0FEE"/>
    <w:rsid w:val="00FF1AF5"/>
    <w:rsid w:val="00FF202F"/>
    <w:rsid w:val="00FF2C0B"/>
    <w:rsid w:val="00FF47C4"/>
    <w:rsid w:val="00FF4977"/>
    <w:rsid w:val="00FF49E6"/>
    <w:rsid w:val="00FF4AAC"/>
    <w:rsid w:val="00FF7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1F148B-59B0-4108-8501-6D50B32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3C2CAA"/>
    <w:pPr>
      <w:autoSpaceDE w:val="0"/>
      <w:autoSpaceDN w:val="0"/>
      <w:adjustRightInd w:val="0"/>
      <w:spacing w:after="0" w:line="240" w:lineRule="auto"/>
    </w:pPr>
    <w:rPr>
      <w:rFonts w:ascii="Fira Sans" w:hAnsi="Fira Sans" w:cs="Fira Sans"/>
      <w:color w:val="000000"/>
      <w:sz w:val="24"/>
      <w:szCs w:val="24"/>
    </w:rPr>
  </w:style>
  <w:style w:type="paragraph" w:styleId="Legenda">
    <w:name w:val="caption"/>
    <w:basedOn w:val="Normalny"/>
    <w:next w:val="Normalny"/>
    <w:uiPriority w:val="35"/>
    <w:unhideWhenUsed/>
    <w:qFormat/>
    <w:rsid w:val="006A2E6E"/>
    <w:pPr>
      <w:spacing w:before="0" w:after="200" w:line="240" w:lineRule="auto"/>
    </w:pPr>
    <w:rPr>
      <w:b/>
      <w:bCs/>
      <w:color w:val="5B9BD5" w:themeColor="accent1"/>
      <w:sz w:val="18"/>
      <w:szCs w:val="18"/>
    </w:rPr>
  </w:style>
  <w:style w:type="character" w:styleId="UyteHipercze">
    <w:name w:val="FollowedHyperlink"/>
    <w:basedOn w:val="Domylnaczcionkaakapitu"/>
    <w:uiPriority w:val="99"/>
    <w:semiHidden/>
    <w:unhideWhenUsed/>
    <w:rsid w:val="00A770D7"/>
    <w:rPr>
      <w:color w:val="954F72" w:themeColor="followedHyperlink"/>
      <w:u w:val="single"/>
    </w:rPr>
  </w:style>
  <w:style w:type="character" w:customStyle="1" w:styleId="tlid-translation">
    <w:name w:val="tlid-translation"/>
    <w:basedOn w:val="Domylnaczcionkaakapitu"/>
    <w:rsid w:val="00CB3D59"/>
  </w:style>
  <w:style w:type="table" w:customStyle="1" w:styleId="Tabela-Siatka11">
    <w:name w:val="Tabela - Siatka11"/>
    <w:basedOn w:val="Standardowy"/>
    <w:next w:val="Tabela-Siatka"/>
    <w:uiPriority w:val="39"/>
    <w:rsid w:val="001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7466">
      <w:bodyDiv w:val="1"/>
      <w:marLeft w:val="0"/>
      <w:marRight w:val="0"/>
      <w:marTop w:val="0"/>
      <w:marBottom w:val="0"/>
      <w:divBdr>
        <w:top w:val="none" w:sz="0" w:space="0" w:color="auto"/>
        <w:left w:val="none" w:sz="0" w:space="0" w:color="auto"/>
        <w:bottom w:val="none" w:sz="0" w:space="0" w:color="auto"/>
        <w:right w:val="none" w:sz="0" w:space="0" w:color="auto"/>
      </w:divBdr>
    </w:div>
    <w:div w:id="305164641">
      <w:bodyDiv w:val="1"/>
      <w:marLeft w:val="0"/>
      <w:marRight w:val="0"/>
      <w:marTop w:val="0"/>
      <w:marBottom w:val="0"/>
      <w:divBdr>
        <w:top w:val="none" w:sz="0" w:space="0" w:color="auto"/>
        <w:left w:val="none" w:sz="0" w:space="0" w:color="auto"/>
        <w:bottom w:val="none" w:sz="0" w:space="0" w:color="auto"/>
        <w:right w:val="none" w:sz="0" w:space="0" w:color="auto"/>
      </w:divBdr>
      <w:divsChild>
        <w:div w:id="771053176">
          <w:marLeft w:val="0"/>
          <w:marRight w:val="0"/>
          <w:marTop w:val="0"/>
          <w:marBottom w:val="0"/>
          <w:divBdr>
            <w:top w:val="none" w:sz="0" w:space="0" w:color="auto"/>
            <w:left w:val="none" w:sz="0" w:space="0" w:color="auto"/>
            <w:bottom w:val="none" w:sz="0" w:space="0" w:color="auto"/>
            <w:right w:val="none" w:sz="0" w:space="0" w:color="auto"/>
          </w:divBdr>
        </w:div>
        <w:div w:id="681904968">
          <w:marLeft w:val="0"/>
          <w:marRight w:val="0"/>
          <w:marTop w:val="0"/>
          <w:marBottom w:val="0"/>
          <w:divBdr>
            <w:top w:val="none" w:sz="0" w:space="0" w:color="auto"/>
            <w:left w:val="none" w:sz="0" w:space="0" w:color="auto"/>
            <w:bottom w:val="none" w:sz="0" w:space="0" w:color="auto"/>
            <w:right w:val="none" w:sz="0" w:space="0" w:color="auto"/>
          </w:divBdr>
          <w:divsChild>
            <w:div w:id="83769679">
              <w:marLeft w:val="0"/>
              <w:marRight w:val="0"/>
              <w:marTop w:val="0"/>
              <w:marBottom w:val="0"/>
              <w:divBdr>
                <w:top w:val="none" w:sz="0" w:space="0" w:color="auto"/>
                <w:left w:val="none" w:sz="0" w:space="0" w:color="auto"/>
                <w:bottom w:val="none" w:sz="0" w:space="0" w:color="auto"/>
                <w:right w:val="none" w:sz="0" w:space="0" w:color="auto"/>
              </w:divBdr>
              <w:divsChild>
                <w:div w:id="870462287">
                  <w:marLeft w:val="0"/>
                  <w:marRight w:val="0"/>
                  <w:marTop w:val="0"/>
                  <w:marBottom w:val="0"/>
                  <w:divBdr>
                    <w:top w:val="none" w:sz="0" w:space="0" w:color="auto"/>
                    <w:left w:val="none" w:sz="0" w:space="0" w:color="auto"/>
                    <w:bottom w:val="none" w:sz="0" w:space="0" w:color="auto"/>
                    <w:right w:val="none" w:sz="0" w:space="0" w:color="auto"/>
                  </w:divBdr>
                  <w:divsChild>
                    <w:div w:id="1425684705">
                      <w:marLeft w:val="0"/>
                      <w:marRight w:val="0"/>
                      <w:marTop w:val="0"/>
                      <w:marBottom w:val="0"/>
                      <w:divBdr>
                        <w:top w:val="none" w:sz="0" w:space="0" w:color="auto"/>
                        <w:left w:val="none" w:sz="0" w:space="0" w:color="auto"/>
                        <w:bottom w:val="none" w:sz="0" w:space="0" w:color="auto"/>
                        <w:right w:val="none" w:sz="0" w:space="0" w:color="auto"/>
                      </w:divBdr>
                      <w:divsChild>
                        <w:div w:id="13044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5474">
          <w:marLeft w:val="0"/>
          <w:marRight w:val="0"/>
          <w:marTop w:val="0"/>
          <w:marBottom w:val="0"/>
          <w:divBdr>
            <w:top w:val="none" w:sz="0" w:space="0" w:color="auto"/>
            <w:left w:val="none" w:sz="0" w:space="0" w:color="auto"/>
            <w:bottom w:val="none" w:sz="0" w:space="0" w:color="auto"/>
            <w:right w:val="none" w:sz="0" w:space="0" w:color="auto"/>
          </w:divBdr>
          <w:divsChild>
            <w:div w:id="1508980375">
              <w:marLeft w:val="0"/>
              <w:marRight w:val="0"/>
              <w:marTop w:val="0"/>
              <w:marBottom w:val="0"/>
              <w:divBdr>
                <w:top w:val="none" w:sz="0" w:space="0" w:color="auto"/>
                <w:left w:val="none" w:sz="0" w:space="0" w:color="auto"/>
                <w:bottom w:val="none" w:sz="0" w:space="0" w:color="auto"/>
                <w:right w:val="none" w:sz="0" w:space="0" w:color="auto"/>
              </w:divBdr>
              <w:divsChild>
                <w:div w:id="724068105">
                  <w:marLeft w:val="0"/>
                  <w:marRight w:val="0"/>
                  <w:marTop w:val="0"/>
                  <w:marBottom w:val="0"/>
                  <w:divBdr>
                    <w:top w:val="none" w:sz="0" w:space="0" w:color="auto"/>
                    <w:left w:val="none" w:sz="0" w:space="0" w:color="auto"/>
                    <w:bottom w:val="none" w:sz="0" w:space="0" w:color="auto"/>
                    <w:right w:val="none" w:sz="0" w:space="0" w:color="auto"/>
                  </w:divBdr>
                  <w:divsChild>
                    <w:div w:id="979188775">
                      <w:marLeft w:val="0"/>
                      <w:marRight w:val="0"/>
                      <w:marTop w:val="0"/>
                      <w:marBottom w:val="0"/>
                      <w:divBdr>
                        <w:top w:val="none" w:sz="0" w:space="0" w:color="auto"/>
                        <w:left w:val="none" w:sz="0" w:space="0" w:color="auto"/>
                        <w:bottom w:val="none" w:sz="0" w:space="0" w:color="auto"/>
                        <w:right w:val="none" w:sz="0" w:space="0" w:color="auto"/>
                      </w:divBdr>
                      <w:divsChild>
                        <w:div w:id="546798932">
                          <w:marLeft w:val="0"/>
                          <w:marRight w:val="0"/>
                          <w:marTop w:val="0"/>
                          <w:marBottom w:val="0"/>
                          <w:divBdr>
                            <w:top w:val="none" w:sz="0" w:space="0" w:color="auto"/>
                            <w:left w:val="none" w:sz="0" w:space="0" w:color="auto"/>
                            <w:bottom w:val="none" w:sz="0" w:space="0" w:color="auto"/>
                            <w:right w:val="none" w:sz="0" w:space="0" w:color="auto"/>
                          </w:divBdr>
                          <w:divsChild>
                            <w:div w:id="17117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5619080">
      <w:bodyDiv w:val="1"/>
      <w:marLeft w:val="0"/>
      <w:marRight w:val="0"/>
      <w:marTop w:val="0"/>
      <w:marBottom w:val="0"/>
      <w:divBdr>
        <w:top w:val="none" w:sz="0" w:space="0" w:color="auto"/>
        <w:left w:val="none" w:sz="0" w:space="0" w:color="auto"/>
        <w:bottom w:val="none" w:sz="0" w:space="0" w:color="auto"/>
        <w:right w:val="none" w:sz="0" w:space="0" w:color="auto"/>
      </w:divBdr>
    </w:div>
    <w:div w:id="119152948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17419148">
      <w:bodyDiv w:val="1"/>
      <w:marLeft w:val="0"/>
      <w:marRight w:val="0"/>
      <w:marTop w:val="0"/>
      <w:marBottom w:val="0"/>
      <w:divBdr>
        <w:top w:val="none" w:sz="0" w:space="0" w:color="auto"/>
        <w:left w:val="none" w:sz="0" w:space="0" w:color="auto"/>
        <w:bottom w:val="none" w:sz="0" w:space="0" w:color="auto"/>
        <w:right w:val="none" w:sz="0" w:space="0" w:color="auto"/>
      </w:divBdr>
    </w:div>
    <w:div w:id="16353352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61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eader" Target="header2.xml"/><Relationship Id="rId26" Type="http://schemas.openxmlformats.org/officeDocument/2006/relationships/hyperlink" Target="http://swaid.stat.gov.pl/EN/SitePagesDBW/Ceny.aspx"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stat.gov.pl/en/metainformations/glossary/terms-used-in-official-statistics/3200,term.html" TargetMode="External"/><Relationship Id="rId7" Type="http://schemas.openxmlformats.org/officeDocument/2006/relationships/settings" Target="settings.xml"/><Relationship Id="rId12" Type="http://schemas.openxmlformats.org/officeDocument/2006/relationships/image" Target="media/image30.emf"/><Relationship Id="rId17" Type="http://schemas.openxmlformats.org/officeDocument/2006/relationships/footer" Target="footer1.xml"/><Relationship Id="rId25" Type="http://schemas.openxmlformats.org/officeDocument/2006/relationships/hyperlink" Target="https://stat.gov.pl/en/topics/prices-trade/prices/prices-in-the-national-economy-in-2019,2,16.html" TargetMode="External"/><Relationship Id="rId33" Type="http://schemas.openxmlformats.org/officeDocument/2006/relationships/hyperlink" Target="https://stat.gov.pl/en/topics/prices-trade/"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hyperlink" Target="https://stat.gov.pl/en/metainformation/glossary/terms-used-in-official-statistics/3200,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latest-statistical-news/news-releases/8,2021,category.html" TargetMode="External"/><Relationship Id="rId32" Type="http://schemas.openxmlformats.org/officeDocument/2006/relationships/hyperlink" Target="http://swaid.stat.gov.pl/EN/SitePagesDBW/Ceny.aspx" TargetMode="External"/><Relationship Id="rId37" Type="http://schemas.openxmlformats.org/officeDocument/2006/relationships/hyperlink" Target="https://bdm.stat.gov.p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7.png"/><Relationship Id="rId28" Type="http://schemas.openxmlformats.org/officeDocument/2006/relationships/hyperlink" Target="https://stat.gov.pl/en/metainformations/glossary/terms-used-in-official-statistics/3200,term.html" TargetMode="External"/><Relationship Id="rId36"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stat.gov.pl/en/topics/prices-trade/prices/prices-in-the-national-economy-in-2019,2,1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6.png"/><Relationship Id="rId27" Type="http://schemas.openxmlformats.org/officeDocument/2006/relationships/hyperlink" Target="https://stat.gov.pl/en/topics/prices-trade/" TargetMode="External"/><Relationship Id="rId30" Type="http://schemas.openxmlformats.org/officeDocument/2006/relationships/hyperlink" Target="https://stat.gov.pl/en/latest-statistical-news/news-releases/8,2021,category.html" TargetMode="External"/><Relationship Id="rId35" Type="http://schemas.openxmlformats.org/officeDocument/2006/relationships/hyperlink" Target="https://stat.gov.pl/en/metainformation/glossary/terms-used-in-official-statistics/3200,term.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manualLayout>
          <c:layoutTarget val="inner"/>
          <c:xMode val="edge"/>
          <c:yMode val="edge"/>
          <c:x val="6.3419572553430822E-2"/>
          <c:y val="9.5124903504708966E-2"/>
          <c:w val="0.90643677763963715"/>
          <c:h val="0.75146147907982086"/>
        </c:manualLayout>
      </c:layout>
      <c:lineChart>
        <c:grouping val="standard"/>
        <c:varyColors val="0"/>
        <c:ser>
          <c:idx val="0"/>
          <c:order val="0"/>
          <c:spPr>
            <a:ln w="25400">
              <a:solidFill>
                <a:srgbClr val="001D77"/>
              </a:solidFill>
            </a:ln>
          </c:spPr>
          <c:marker>
            <c:spPr>
              <a:solidFill>
                <a:srgbClr val="001D77"/>
              </a:solidFill>
              <a:ln>
                <a:solidFill>
                  <a:srgbClr val="001D77"/>
                </a:solidFill>
              </a:ln>
            </c:spPr>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'wykres 1 1Q2021 (2)'!$A$6:$B$18</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'wykres 1 1Q2021 (2)'!$C$6:$C$18</c:f>
              <c:numCache>
                <c:formatCode>General</c:formatCode>
                <c:ptCount val="13"/>
                <c:pt idx="0">
                  <c:v>0.7</c:v>
                </c:pt>
                <c:pt idx="1">
                  <c:v>0.5</c:v>
                </c:pt>
                <c:pt idx="2">
                  <c:v>0.2</c:v>
                </c:pt>
                <c:pt idx="3">
                  <c:v>0.3</c:v>
                </c:pt>
                <c:pt idx="4">
                  <c:v>0.8</c:v>
                </c:pt>
                <c:pt idx="5">
                  <c:v>0.4</c:v>
                </c:pt>
                <c:pt idx="6">
                  <c:v>0.5</c:v>
                </c:pt>
                <c:pt idx="7">
                  <c:v>0.2</c:v>
                </c:pt>
                <c:pt idx="8">
                  <c:v>0.9</c:v>
                </c:pt>
                <c:pt idx="9">
                  <c:v>-0.4</c:v>
                </c:pt>
                <c:pt idx="10">
                  <c:v>0.5</c:v>
                </c:pt>
                <c:pt idx="11">
                  <c:v>0.1</c:v>
                </c:pt>
                <c:pt idx="12">
                  <c:v>0.6</c:v>
                </c:pt>
              </c:numCache>
            </c:numRef>
          </c:val>
          <c:smooth val="0"/>
          <c:extLst xmlns:c16r2="http://schemas.microsoft.com/office/drawing/2015/06/chart">
            <c:ext xmlns:c16="http://schemas.microsoft.com/office/drawing/2014/chart" uri="{C3380CC4-5D6E-409C-BE32-E72D297353CC}">
              <c16:uniqueId val="{00000000-7458-494B-AE70-D2A87C37A74C}"/>
            </c:ext>
          </c:extLst>
        </c:ser>
        <c:dLbls>
          <c:showLegendKey val="0"/>
          <c:showVal val="1"/>
          <c:showCatName val="0"/>
          <c:showSerName val="0"/>
          <c:showPercent val="0"/>
          <c:showBubbleSize val="0"/>
        </c:dLbls>
        <c:marker val="1"/>
        <c:smooth val="0"/>
        <c:axId val="-1922754000"/>
        <c:axId val="-1922746384"/>
      </c:lineChart>
      <c:catAx>
        <c:axId val="-1922754000"/>
        <c:scaling>
          <c:orientation val="minMax"/>
        </c:scaling>
        <c:delete val="0"/>
        <c:axPos val="b"/>
        <c:numFmt formatCode="General" sourceLinked="1"/>
        <c:majorTickMark val="none"/>
        <c:minorTickMark val="none"/>
        <c:tickLblPos val="low"/>
        <c:txPr>
          <a:bodyPr rot="-60000000" vert="horz"/>
          <a:lstStyle/>
          <a:p>
            <a:pPr>
              <a:defRPr/>
            </a:pPr>
            <a:endParaRPr lang="pl-PL"/>
          </a:p>
        </c:txPr>
        <c:crossAx val="-1922746384"/>
        <c:crosses val="autoZero"/>
        <c:auto val="1"/>
        <c:lblAlgn val="ctr"/>
        <c:lblOffset val="100"/>
        <c:noMultiLvlLbl val="0"/>
      </c:catAx>
      <c:valAx>
        <c:axId val="-1922746384"/>
        <c:scaling>
          <c:orientation val="minMax"/>
          <c:max val="1"/>
          <c:min val="-0.5"/>
        </c:scaling>
        <c:delete val="0"/>
        <c:axPos val="l"/>
        <c:majorGridlines/>
        <c:numFmt formatCode="#,##0.0" sourceLinked="0"/>
        <c:majorTickMark val="none"/>
        <c:minorTickMark val="none"/>
        <c:tickLblPos val="nextTo"/>
        <c:txPr>
          <a:bodyPr rot="-60000000" vert="horz"/>
          <a:lstStyle/>
          <a:p>
            <a:pPr>
              <a:defRPr/>
            </a:pPr>
            <a:endParaRPr lang="pl-PL"/>
          </a:p>
        </c:txPr>
        <c:crossAx val="-1922754000"/>
        <c:crosses val="autoZero"/>
        <c:crossBetween val="between"/>
        <c:majorUnit val="0.5"/>
        <c:minorUnit val="0.5"/>
      </c:valAx>
      <c:spPr>
        <a:noFill/>
      </c:spPr>
    </c:plotArea>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manualLayout>
          <c:layoutTarget val="inner"/>
          <c:xMode val="edge"/>
          <c:yMode val="edge"/>
          <c:x val="6.3419611164165113E-2"/>
          <c:y val="4.5854704083934592E-2"/>
          <c:w val="0.92655536478992573"/>
          <c:h val="0.75467445174345649"/>
        </c:manualLayout>
      </c:layout>
      <c:lineChart>
        <c:grouping val="standard"/>
        <c:varyColors val="0"/>
        <c:ser>
          <c:idx val="0"/>
          <c:order val="0"/>
          <c:spPr>
            <a:ln w="25400">
              <a:solidFill>
                <a:srgbClr val="001D77"/>
              </a:solidFill>
            </a:ln>
          </c:spPr>
          <c:marker>
            <c:spPr>
              <a:solidFill>
                <a:srgbClr val="001D77"/>
              </a:solidFill>
              <a:ln>
                <a:solidFill>
                  <a:srgbClr val="001D77"/>
                </a:solidFill>
              </a:ln>
            </c:spPr>
          </c:marker>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'wykres 2 1Q2021 (2)'!$A$6:$B$18</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'wykres 2 1Q2021 (2)'!$C$6:$C$18</c:f>
              <c:numCache>
                <c:formatCode>0.0</c:formatCode>
                <c:ptCount val="13"/>
                <c:pt idx="0">
                  <c:v>2.1</c:v>
                </c:pt>
                <c:pt idx="1">
                  <c:v>2.2000000000000002</c:v>
                </c:pt>
                <c:pt idx="2">
                  <c:v>1.7</c:v>
                </c:pt>
                <c:pt idx="3">
                  <c:v>1.7</c:v>
                </c:pt>
                <c:pt idx="4">
                  <c:v>1.8</c:v>
                </c:pt>
                <c:pt idx="5">
                  <c:v>1.7</c:v>
                </c:pt>
                <c:pt idx="6">
                  <c:v>2</c:v>
                </c:pt>
                <c:pt idx="7">
                  <c:v>1.9</c:v>
                </c:pt>
                <c:pt idx="8">
                  <c:v>2</c:v>
                </c:pt>
                <c:pt idx="9" formatCode="General">
                  <c:v>1.2</c:v>
                </c:pt>
                <c:pt idx="10" formatCode="General">
                  <c:v>1.2</c:v>
                </c:pt>
                <c:pt idx="11" formatCode="General">
                  <c:v>1.1000000000000001</c:v>
                </c:pt>
                <c:pt idx="12" formatCode="General">
                  <c:v>0.8</c:v>
                </c:pt>
              </c:numCache>
            </c:numRef>
          </c:val>
          <c:smooth val="0"/>
          <c:extLst xmlns:c16r2="http://schemas.microsoft.com/office/drawing/2015/06/chart">
            <c:ext xmlns:c16="http://schemas.microsoft.com/office/drawing/2014/chart" uri="{C3380CC4-5D6E-409C-BE32-E72D297353CC}">
              <c16:uniqueId val="{00000000-5B27-41B9-8376-B49E5E9DAC72}"/>
            </c:ext>
          </c:extLst>
        </c:ser>
        <c:dLbls>
          <c:showLegendKey val="0"/>
          <c:showVal val="0"/>
          <c:showCatName val="0"/>
          <c:showSerName val="0"/>
          <c:showPercent val="0"/>
          <c:showBubbleSize val="0"/>
        </c:dLbls>
        <c:marker val="1"/>
        <c:smooth val="0"/>
        <c:axId val="-1771128080"/>
        <c:axId val="-1771127536"/>
      </c:lineChart>
      <c:catAx>
        <c:axId val="-1771128080"/>
        <c:scaling>
          <c:orientation val="minMax"/>
        </c:scaling>
        <c:delete val="0"/>
        <c:axPos val="b"/>
        <c:numFmt formatCode="General" sourceLinked="1"/>
        <c:majorTickMark val="none"/>
        <c:minorTickMark val="none"/>
        <c:tickLblPos val="low"/>
        <c:txPr>
          <a:bodyPr rot="-60000000" vert="horz"/>
          <a:lstStyle/>
          <a:p>
            <a:pPr>
              <a:defRPr/>
            </a:pPr>
            <a:endParaRPr lang="pl-PL"/>
          </a:p>
        </c:txPr>
        <c:crossAx val="-1771127536"/>
        <c:crosses val="autoZero"/>
        <c:auto val="1"/>
        <c:lblAlgn val="ctr"/>
        <c:lblOffset val="100"/>
        <c:noMultiLvlLbl val="0"/>
      </c:catAx>
      <c:valAx>
        <c:axId val="-1771127536"/>
        <c:scaling>
          <c:orientation val="minMax"/>
          <c:max val="3"/>
          <c:min val="0"/>
        </c:scaling>
        <c:delete val="0"/>
        <c:axPos val="l"/>
        <c:majorGridlines/>
        <c:numFmt formatCode="#,##0.0" sourceLinked="0"/>
        <c:majorTickMark val="none"/>
        <c:minorTickMark val="in"/>
        <c:tickLblPos val="nextTo"/>
        <c:txPr>
          <a:bodyPr rot="-60000000" vert="horz"/>
          <a:lstStyle/>
          <a:p>
            <a:pPr>
              <a:defRPr/>
            </a:pPr>
            <a:endParaRPr lang="pl-PL"/>
          </a:p>
        </c:txPr>
        <c:crossAx val="-1771128080"/>
        <c:crosses val="autoZero"/>
        <c:crossBetween val="between"/>
        <c:majorUnit val="1"/>
        <c:minorUnit val="0.5"/>
      </c:valAx>
      <c:spPr>
        <a:noFill/>
        <a:ln>
          <a:noFill/>
        </a:ln>
      </c:spPr>
    </c:plotArea>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manualLayout>
          <c:layoutTarget val="inner"/>
          <c:xMode val="edge"/>
          <c:yMode val="edge"/>
          <c:x val="6.3419611164165113E-2"/>
          <c:y val="4.5854704083934592E-2"/>
          <c:w val="0.92655536478992573"/>
          <c:h val="0.75467445174345649"/>
        </c:manualLayout>
      </c:layout>
      <c:lineChart>
        <c:grouping val="standard"/>
        <c:varyColors val="0"/>
        <c:ser>
          <c:idx val="0"/>
          <c:order val="0"/>
          <c:spPr>
            <a:ln w="25400">
              <a:solidFill>
                <a:srgbClr val="001D77"/>
              </a:solidFill>
            </a:ln>
          </c:spPr>
          <c:marker>
            <c:spPr>
              <a:solidFill>
                <a:srgbClr val="001D77"/>
              </a:solidFill>
              <a:ln>
                <a:solidFill>
                  <a:srgbClr val="001D77"/>
                </a:solidFill>
              </a:ln>
            </c:spPr>
          </c:marker>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'wykres 2 1Q2021 (2)'!$A$6:$B$18</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'wykres 2 1Q2021 (2)'!$C$6:$C$18</c:f>
              <c:numCache>
                <c:formatCode>0.0</c:formatCode>
                <c:ptCount val="13"/>
                <c:pt idx="0">
                  <c:v>2.1</c:v>
                </c:pt>
                <c:pt idx="1">
                  <c:v>2.2000000000000002</c:v>
                </c:pt>
                <c:pt idx="2">
                  <c:v>1.7</c:v>
                </c:pt>
                <c:pt idx="3">
                  <c:v>1.7</c:v>
                </c:pt>
                <c:pt idx="4">
                  <c:v>1.8</c:v>
                </c:pt>
                <c:pt idx="5">
                  <c:v>1.7</c:v>
                </c:pt>
                <c:pt idx="6">
                  <c:v>2</c:v>
                </c:pt>
                <c:pt idx="7">
                  <c:v>1.9</c:v>
                </c:pt>
                <c:pt idx="8">
                  <c:v>2</c:v>
                </c:pt>
                <c:pt idx="9" formatCode="General">
                  <c:v>1.2</c:v>
                </c:pt>
                <c:pt idx="10" formatCode="General">
                  <c:v>1.2</c:v>
                </c:pt>
                <c:pt idx="11" formatCode="General">
                  <c:v>1.1000000000000001</c:v>
                </c:pt>
                <c:pt idx="12" formatCode="General">
                  <c:v>0.8</c:v>
                </c:pt>
              </c:numCache>
            </c:numRef>
          </c:val>
          <c:smooth val="0"/>
          <c:extLst xmlns:c16r2="http://schemas.microsoft.com/office/drawing/2015/06/chart">
            <c:ext xmlns:c16="http://schemas.microsoft.com/office/drawing/2014/chart" uri="{C3380CC4-5D6E-409C-BE32-E72D297353CC}">
              <c16:uniqueId val="{00000000-8FC5-48C0-A4F6-04729D323798}"/>
            </c:ext>
          </c:extLst>
        </c:ser>
        <c:dLbls>
          <c:showLegendKey val="0"/>
          <c:showVal val="0"/>
          <c:showCatName val="0"/>
          <c:showSerName val="0"/>
          <c:showPercent val="0"/>
          <c:showBubbleSize val="0"/>
        </c:dLbls>
        <c:marker val="1"/>
        <c:smooth val="0"/>
        <c:axId val="-1849665152"/>
        <c:axId val="-1849674400"/>
      </c:lineChart>
      <c:catAx>
        <c:axId val="-1849665152"/>
        <c:scaling>
          <c:orientation val="minMax"/>
        </c:scaling>
        <c:delete val="0"/>
        <c:axPos val="b"/>
        <c:numFmt formatCode="General" sourceLinked="1"/>
        <c:majorTickMark val="none"/>
        <c:minorTickMark val="none"/>
        <c:tickLblPos val="low"/>
        <c:txPr>
          <a:bodyPr rot="-60000000" vert="horz"/>
          <a:lstStyle/>
          <a:p>
            <a:pPr>
              <a:defRPr/>
            </a:pPr>
            <a:endParaRPr lang="pl-PL"/>
          </a:p>
        </c:txPr>
        <c:crossAx val="-1849674400"/>
        <c:crosses val="autoZero"/>
        <c:auto val="1"/>
        <c:lblAlgn val="ctr"/>
        <c:lblOffset val="100"/>
        <c:noMultiLvlLbl val="0"/>
      </c:catAx>
      <c:valAx>
        <c:axId val="-1849674400"/>
        <c:scaling>
          <c:orientation val="minMax"/>
          <c:max val="3"/>
          <c:min val="0"/>
        </c:scaling>
        <c:delete val="0"/>
        <c:axPos val="l"/>
        <c:majorGridlines/>
        <c:numFmt formatCode="#,##0.0" sourceLinked="0"/>
        <c:majorTickMark val="none"/>
        <c:minorTickMark val="in"/>
        <c:tickLblPos val="nextTo"/>
        <c:txPr>
          <a:bodyPr rot="-60000000" vert="horz"/>
          <a:lstStyle/>
          <a:p>
            <a:pPr>
              <a:defRPr/>
            </a:pPr>
            <a:endParaRPr lang="pl-PL"/>
          </a:p>
        </c:txPr>
        <c:crossAx val="-1849665152"/>
        <c:crosses val="autoZero"/>
        <c:crossBetween val="between"/>
        <c:majorUnit val="1"/>
        <c:minorUnit val="0.5"/>
      </c:valAx>
      <c:spPr>
        <a:noFill/>
        <a:ln>
          <a:noFill/>
        </a:ln>
      </c:spPr>
    </c:plotArea>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CA8B5C-31D1-44D8-BAA2-D57C9058BECB}">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C2A85C72-DB65-4853-902E-1C419687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669</Words>
  <Characters>4016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2021-06-08T13:20:00Z</cp:lastPrinted>
  <dcterms:created xsi:type="dcterms:W3CDTF">2021-06-08T13:13:00Z</dcterms:created>
  <dcterms:modified xsi:type="dcterms:W3CDTF">2021-06-10T06:10:00Z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