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5.xml" ContentType="application/vnd.openxmlformats-officedocument.drawingml.chartshapes+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charts/chart9.xml" ContentType="application/vnd.openxmlformats-officedocument.drawingml.chart+xml"/>
  <Override PartName="/word/drawings/drawing8.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C0371" w14:textId="77777777" w:rsidR="00393761" w:rsidRPr="007F562D" w:rsidRDefault="007F562D" w:rsidP="00074DD8">
      <w:pPr>
        <w:pStyle w:val="tytuinformacji"/>
        <w:rPr>
          <w:color w:val="auto"/>
          <w:sz w:val="32"/>
          <w:lang w:val="en-GB"/>
        </w:rPr>
      </w:pPr>
      <w:r w:rsidRPr="007F562D">
        <w:rPr>
          <w:shd w:val="clear" w:color="auto" w:fill="FFFFFF"/>
          <w:lang w:val="en-GB"/>
        </w:rPr>
        <w:t>The demand for labour in the first quarter of 2021</w:t>
      </w:r>
      <w:r w:rsidR="00593F44" w:rsidRPr="007F562D">
        <w:rPr>
          <w:shd w:val="clear" w:color="auto" w:fill="FFFFFF"/>
          <w:lang w:val="en-GB"/>
        </w:rPr>
        <w:t xml:space="preserve"> </w:t>
      </w:r>
      <w:r w:rsidR="008D3718" w:rsidRPr="007F562D">
        <w:rPr>
          <w:shd w:val="clear" w:color="auto" w:fill="FFFFFF"/>
          <w:lang w:val="en-GB"/>
        </w:rPr>
        <w:br/>
      </w:r>
    </w:p>
    <w:p w14:paraId="752CF9BD" w14:textId="33959B73" w:rsidR="00593F44" w:rsidRPr="00235C0F" w:rsidRDefault="00EE0D17" w:rsidP="002F77A4">
      <w:pPr>
        <w:pStyle w:val="LID"/>
        <w:rPr>
          <w:lang w:val="en-GB"/>
        </w:rPr>
      </w:pPr>
      <w:r>
        <mc:AlternateContent>
          <mc:Choice Requires="wps">
            <w:drawing>
              <wp:anchor distT="45720" distB="45720" distL="114300" distR="114300" simplePos="0" relativeHeight="251655168" behindDoc="0" locked="0" layoutInCell="1" allowOverlap="1" wp14:anchorId="63463159" wp14:editId="407A0C07">
                <wp:simplePos x="0" y="0"/>
                <wp:positionH relativeFrom="margin">
                  <wp:align>left</wp:align>
                </wp:positionH>
                <wp:positionV relativeFrom="paragraph">
                  <wp:posOffset>87630</wp:posOffset>
                </wp:positionV>
                <wp:extent cx="1889760" cy="1331595"/>
                <wp:effectExtent l="0" t="0" r="0" b="1905"/>
                <wp:wrapSquare wrapText="bothSides"/>
                <wp:docPr id="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1331595"/>
                        </a:xfrm>
                        <a:prstGeom prst="rect">
                          <a:avLst/>
                        </a:prstGeom>
                        <a:solidFill>
                          <a:srgbClr val="001D77"/>
                        </a:solidFill>
                        <a:ln w="9525">
                          <a:noFill/>
                          <a:miter lim="800000"/>
                          <a:headEnd/>
                          <a:tailEnd/>
                        </a:ln>
                      </wps:spPr>
                      <wps:txbx>
                        <w:txbxContent>
                          <w:p w14:paraId="7EDDEE76" w14:textId="77777777" w:rsidR="003F5188" w:rsidRPr="000426F7" w:rsidRDefault="00932FB7" w:rsidP="00C95A32">
                            <w:pPr>
                              <w:spacing w:after="0" w:line="240" w:lineRule="auto"/>
                              <w:rPr>
                                <w:color w:val="FFFFFF"/>
                                <w:sz w:val="72"/>
                                <w:szCs w:val="72"/>
                                <w:lang w:val="en-GB"/>
                              </w:rPr>
                            </w:pPr>
                            <w:r w:rsidRPr="000426F7">
                              <w:rPr>
                                <w:rFonts w:ascii="Fira Sans SemiBold" w:hAnsi="Fira Sans SemiBold"/>
                                <w:color w:val="92D050"/>
                                <w:sz w:val="72"/>
                                <w:szCs w:val="72"/>
                                <w:lang w:val="en-GB"/>
                              </w:rPr>
                              <w:t>↑</w:t>
                            </w:r>
                            <w:r w:rsidR="007F562D" w:rsidRPr="000426F7">
                              <w:rPr>
                                <w:b/>
                                <w:noProof/>
                                <w:color w:val="FFFFFF"/>
                                <w:sz w:val="72"/>
                                <w:szCs w:val="72"/>
                                <w:lang w:val="en-GB" w:eastAsia="pl-PL"/>
                              </w:rPr>
                              <w:t>30.</w:t>
                            </w:r>
                            <w:r w:rsidR="003F5188" w:rsidRPr="000426F7">
                              <w:rPr>
                                <w:b/>
                                <w:noProof/>
                                <w:color w:val="FFFFFF"/>
                                <w:sz w:val="72"/>
                                <w:szCs w:val="72"/>
                                <w:lang w:val="en-GB" w:eastAsia="pl-PL"/>
                              </w:rPr>
                              <w:t>6</w:t>
                            </w:r>
                            <w:r w:rsidR="003F5188" w:rsidRPr="000426F7">
                              <w:rPr>
                                <w:color w:val="FFFFFF"/>
                                <w:sz w:val="72"/>
                                <w:szCs w:val="72"/>
                                <w:lang w:val="en-GB"/>
                              </w:rPr>
                              <w:t>%</w:t>
                            </w:r>
                          </w:p>
                          <w:p w14:paraId="23121796" w14:textId="77777777" w:rsidR="003F5188" w:rsidRPr="003B6FCA" w:rsidRDefault="007F562D" w:rsidP="00C95A32">
                            <w:pPr>
                              <w:pStyle w:val="tekstnaniebieskimtle"/>
                              <w:spacing w:before="120"/>
                              <w:rPr>
                                <w:color w:val="FFFFFF"/>
                                <w:szCs w:val="19"/>
                                <w:lang w:val="en-GB"/>
                              </w:rPr>
                            </w:pPr>
                            <w:r w:rsidRPr="003B6FCA">
                              <w:rPr>
                                <w:szCs w:val="19"/>
                                <w:lang w:val="en-GB"/>
                              </w:rPr>
                              <w:t>increase in the number of job vacancies compared to the fourth quarter</w:t>
                            </w:r>
                            <w:r w:rsidRPr="003B6FCA">
                              <w:rPr>
                                <w:rFonts w:eastAsia="Times New Roman"/>
                                <w:spacing w:val="-2"/>
                                <w:szCs w:val="19"/>
                                <w:lang w:val="en-GB"/>
                              </w:rPr>
                              <w:t xml:space="preserve"> of 2020</w:t>
                            </w:r>
                          </w:p>
                          <w:p w14:paraId="081F8C91" w14:textId="77777777" w:rsidR="003F5188" w:rsidRPr="007F562D" w:rsidRDefault="003F5188" w:rsidP="00800D5F">
                            <w:pPr>
                              <w:pStyle w:val="tekstnaniebieskimtle"/>
                              <w:rPr>
                                <w:sz w:val="18"/>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63159" id="_x0000_t202" coordsize="21600,21600" o:spt="202" path="m,l,21600r21600,l21600,xe">
                <v:stroke joinstyle="miter"/>
                <v:path gradientshapeok="t" o:connecttype="rect"/>
              </v:shapetype>
              <v:shape id="Pole tekstowe 2" o:spid="_x0000_s1026" type="#_x0000_t202" style="position:absolute;margin-left:0;margin-top:6.9pt;width:148.8pt;height:104.8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" fillcolor="#001d77" stroked="f">
                <v:textbox>
                  <w:txbxContent>
                    <w:p w14:paraId="7EDDEE76" w14:textId="77777777" w:rsidR="003F5188" w:rsidRPr="003B6FCA" w:rsidRDefault="00932FB7" w:rsidP="00C95A32">
                      <w:pPr>
                        <w:spacing w:after="0" w:line="240" w:lineRule="auto"/>
                        <w:rPr>
                          <w:color w:val="FFFFFF"/>
                          <w:sz w:val="72"/>
                          <w:szCs w:val="72"/>
                        </w:rPr>
                      </w:pPr>
                      <w:r w:rsidRPr="003B6FCA">
                        <w:rPr>
                          <w:rFonts w:ascii="Fira Sans SemiBold" w:hAnsi="Fira Sans SemiBold"/>
                          <w:color w:val="92D050"/>
                          <w:sz w:val="72"/>
                          <w:szCs w:val="72"/>
                        </w:rPr>
                        <w:t>↑</w:t>
                      </w:r>
                      <w:r w:rsidR="007F562D" w:rsidRPr="003B6FCA">
                        <w:rPr>
                          <w:b/>
                          <w:noProof/>
                          <w:color w:val="FFFFFF"/>
                          <w:sz w:val="72"/>
                          <w:szCs w:val="72"/>
                          <w:lang w:eastAsia="pl-PL"/>
                        </w:rPr>
                        <w:t>30.</w:t>
                      </w:r>
                      <w:r w:rsidR="003F5188" w:rsidRPr="003B6FCA">
                        <w:rPr>
                          <w:b/>
                          <w:noProof/>
                          <w:color w:val="FFFFFF"/>
                          <w:sz w:val="72"/>
                          <w:szCs w:val="72"/>
                          <w:lang w:eastAsia="pl-PL"/>
                        </w:rPr>
                        <w:t>6</w:t>
                      </w:r>
                      <w:r w:rsidR="003F5188" w:rsidRPr="003B6FCA">
                        <w:rPr>
                          <w:color w:val="FFFFFF"/>
                          <w:sz w:val="72"/>
                          <w:szCs w:val="72"/>
                        </w:rPr>
                        <w:t>%</w:t>
                      </w:r>
                    </w:p>
                    <w:p w14:paraId="23121796" w14:textId="77777777" w:rsidR="003F5188" w:rsidRPr="003B6FCA" w:rsidRDefault="007F562D" w:rsidP="00C95A32">
                      <w:pPr>
                        <w:pStyle w:val="tekstnaniebieskimtle"/>
                        <w:spacing w:before="120"/>
                        <w:rPr>
                          <w:color w:val="FFFFFF"/>
                          <w:szCs w:val="19"/>
                          <w:lang w:val="en-GB"/>
                        </w:rPr>
                      </w:pPr>
                      <w:r w:rsidRPr="003B6FCA">
                        <w:rPr>
                          <w:szCs w:val="19"/>
                          <w:lang w:val="en-GB"/>
                        </w:rPr>
                        <w:t>increase in the number of job vacancies compared to the fourth quarter</w:t>
                      </w:r>
                      <w:r w:rsidRPr="003B6FCA">
                        <w:rPr>
                          <w:rFonts w:eastAsia="Times New Roman"/>
                          <w:spacing w:val="-2"/>
                          <w:szCs w:val="19"/>
                          <w:lang w:val="en-GB"/>
                        </w:rPr>
                        <w:t xml:space="preserve"> of 2020</w:t>
                      </w:r>
                    </w:p>
                    <w:p w14:paraId="081F8C91" w14:textId="77777777" w:rsidR="003F5188" w:rsidRPr="007F562D" w:rsidRDefault="003F5188" w:rsidP="00800D5F">
                      <w:pPr>
                        <w:pStyle w:val="tekstnaniebieskimtle"/>
                        <w:rPr>
                          <w:sz w:val="18"/>
                          <w:lang w:val="en-GB"/>
                        </w:rPr>
                      </w:pPr>
                    </w:p>
                  </w:txbxContent>
                </v:textbox>
                <w10:wrap type="square" anchorx="margin"/>
              </v:shape>
            </w:pict>
          </mc:Fallback>
        </mc:AlternateContent>
      </w:r>
      <w:r w:rsidR="007F562D" w:rsidRPr="007F562D">
        <w:rPr>
          <w:lang w:val="en-GB"/>
        </w:rPr>
        <w:t>At the end of the first quarter of 2021, the number of job vacancies in Poland, in the entities o</w:t>
      </w:r>
      <w:r w:rsidR="009D399A">
        <w:rPr>
          <w:lang w:val="en-GB"/>
        </w:rPr>
        <w:t>f the national economy (parent</w:t>
      </w:r>
      <w:r w:rsidR="007F562D" w:rsidRPr="007F562D">
        <w:rPr>
          <w:lang w:val="en-GB"/>
        </w:rPr>
        <w:t xml:space="preserve"> units or their local units) employing at least 1 person</w:t>
      </w:r>
      <w:r w:rsidR="007F562D">
        <w:rPr>
          <w:lang w:val="en-GB"/>
        </w:rPr>
        <w:t>, was</w:t>
      </w:r>
      <w:r w:rsidR="00D26EC7" w:rsidRPr="007F562D">
        <w:rPr>
          <w:lang w:val="en-GB"/>
        </w:rPr>
        <w:t xml:space="preserve"> </w:t>
      </w:r>
      <w:r w:rsidR="007F562D">
        <w:rPr>
          <w:lang w:val="en-GB"/>
        </w:rPr>
        <w:t>110.</w:t>
      </w:r>
      <w:r w:rsidR="006A5E28" w:rsidRPr="007F562D">
        <w:rPr>
          <w:lang w:val="en-GB"/>
        </w:rPr>
        <w:t>2</w:t>
      </w:r>
      <w:r w:rsidR="007F562D">
        <w:rPr>
          <w:lang w:val="en-GB"/>
        </w:rPr>
        <w:t xml:space="preserve"> thousand </w:t>
      </w:r>
      <w:r w:rsidR="00CE26A6">
        <w:rPr>
          <w:lang w:val="en-GB"/>
        </w:rPr>
        <w:t xml:space="preserve">and was 25.8 thousand or 30.6% higher than at the end of the fourth quarter of 2020. </w:t>
      </w:r>
      <w:r w:rsidR="00CE26A6" w:rsidRPr="00CE26A6">
        <w:rPr>
          <w:lang w:val="en-GB"/>
        </w:rPr>
        <w:t>As compared to the corresponding period of the previous year the number of job vaca</w:t>
      </w:r>
      <w:r w:rsidR="00CE26A6">
        <w:rPr>
          <w:lang w:val="en-GB"/>
        </w:rPr>
        <w:t>ncies was</w:t>
      </w:r>
      <w:r w:rsidR="006E4EE4" w:rsidRPr="00CE26A6">
        <w:rPr>
          <w:lang w:val="en-GB"/>
        </w:rPr>
        <w:t xml:space="preserve"> </w:t>
      </w:r>
      <w:r w:rsidR="00CE26A6">
        <w:rPr>
          <w:lang w:val="en-GB"/>
        </w:rPr>
        <w:t>33.</w:t>
      </w:r>
      <w:r w:rsidR="006A5E28" w:rsidRPr="00CE26A6">
        <w:rPr>
          <w:lang w:val="en-GB"/>
        </w:rPr>
        <w:t>7</w:t>
      </w:r>
      <w:r w:rsidR="00CE26A6">
        <w:rPr>
          <w:lang w:val="en-GB"/>
        </w:rPr>
        <w:t xml:space="preserve"> thousand or</w:t>
      </w:r>
      <w:r w:rsidR="00D26EC7" w:rsidRPr="00CE26A6">
        <w:rPr>
          <w:lang w:val="en-GB"/>
        </w:rPr>
        <w:t xml:space="preserve"> </w:t>
      </w:r>
      <w:r w:rsidR="00CE26A6">
        <w:rPr>
          <w:lang w:val="en-GB"/>
        </w:rPr>
        <w:t>44.</w:t>
      </w:r>
      <w:r w:rsidR="006A5E28" w:rsidRPr="00CE26A6">
        <w:rPr>
          <w:lang w:val="en-GB"/>
        </w:rPr>
        <w:t>1</w:t>
      </w:r>
      <w:r w:rsidR="006E4EE4" w:rsidRPr="00CE26A6">
        <w:rPr>
          <w:lang w:val="en-GB"/>
        </w:rPr>
        <w:t>%</w:t>
      </w:r>
      <w:r w:rsidR="00CE26A6">
        <w:rPr>
          <w:lang w:val="en-GB"/>
        </w:rPr>
        <w:t xml:space="preserve"> higher</w:t>
      </w:r>
      <w:r w:rsidR="006E4EE4" w:rsidRPr="00CE26A6">
        <w:rPr>
          <w:lang w:val="en-GB"/>
        </w:rPr>
        <w:t xml:space="preserve">. </w:t>
      </w:r>
      <w:r w:rsidR="00CE26A6" w:rsidRPr="00235C0F">
        <w:rPr>
          <w:lang w:val="en-GB"/>
        </w:rPr>
        <w:t>At the end of the first quarter of 2021</w:t>
      </w:r>
      <w:r w:rsidR="00235C0F" w:rsidRPr="00235C0F">
        <w:rPr>
          <w:lang w:val="en-GB"/>
        </w:rPr>
        <w:t>, there were 24.0 thousand unoccupied newly created jobs</w:t>
      </w:r>
      <w:r w:rsidR="00235C0F">
        <w:rPr>
          <w:lang w:val="en-GB"/>
        </w:rPr>
        <w:t>.</w:t>
      </w:r>
    </w:p>
    <w:p w14:paraId="5975B2E2" w14:textId="77777777" w:rsidR="00D7282D" w:rsidRPr="00235C0F" w:rsidRDefault="00D7282D" w:rsidP="002F77A4">
      <w:pPr>
        <w:pStyle w:val="LID"/>
        <w:rPr>
          <w:lang w:val="en-GB"/>
        </w:rPr>
      </w:pPr>
    </w:p>
    <w:p w14:paraId="135C5F3F" w14:textId="22E11516" w:rsidR="00E32275" w:rsidRPr="00235C0F" w:rsidRDefault="00EE0D17" w:rsidP="00235C0F">
      <w:pPr>
        <w:pStyle w:val="LID"/>
        <w:rPr>
          <w:b w:val="0"/>
          <w:lang w:val="en-GB"/>
        </w:rPr>
      </w:pPr>
      <w:r>
        <mc:AlternateContent>
          <mc:Choice Requires="wps">
            <w:drawing>
              <wp:anchor distT="45720" distB="45720" distL="114300" distR="114300" simplePos="0" relativeHeight="251654144" behindDoc="1" locked="0" layoutInCell="1" allowOverlap="1" wp14:anchorId="16E00005" wp14:editId="35CA2E09">
                <wp:simplePos x="0" y="0"/>
                <wp:positionH relativeFrom="column">
                  <wp:posOffset>5238115</wp:posOffset>
                </wp:positionH>
                <wp:positionV relativeFrom="paragraph">
                  <wp:posOffset>471170</wp:posOffset>
                </wp:positionV>
                <wp:extent cx="1673225" cy="1200785"/>
                <wp:effectExtent l="0" t="0" r="0" b="0"/>
                <wp:wrapTight wrapText="bothSides">
                  <wp:wrapPolygon edited="0">
                    <wp:start x="738" y="0"/>
                    <wp:lineTo x="738" y="21246"/>
                    <wp:lineTo x="20657" y="21246"/>
                    <wp:lineTo x="20657" y="0"/>
                    <wp:lineTo x="738"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1200785"/>
                        </a:xfrm>
                        <a:prstGeom prst="rect">
                          <a:avLst/>
                        </a:prstGeom>
                        <a:noFill/>
                        <a:ln w="9525">
                          <a:noFill/>
                          <a:miter lim="800000"/>
                          <a:headEnd/>
                          <a:tailEnd/>
                        </a:ln>
                      </wps:spPr>
                      <wps:txbx>
                        <w:txbxContent>
                          <w:p w14:paraId="4483B22D" w14:textId="77777777" w:rsidR="003F5188" w:rsidRPr="00352721" w:rsidRDefault="00352721" w:rsidP="00460F7B">
                            <w:pPr>
                              <w:pStyle w:val="tekstzboku"/>
                              <w:spacing w:before="0"/>
                              <w:rPr>
                                <w:spacing w:val="-3"/>
                                <w:lang w:val="en-GB"/>
                              </w:rPr>
                            </w:pPr>
                            <w:r w:rsidRPr="00352721">
                              <w:rPr>
                                <w:spacing w:val="-3"/>
                                <w:lang w:val="en-GB"/>
                              </w:rPr>
                              <w:t>In the first quarter of 2021, more new jobs were created and fewer jobs were liquidated than a year ago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E00005" id="_x0000_t202" coordsize="21600,21600" o:spt="202" path="m,l,21600r21600,l21600,xe">
                <v:stroke joinstyle="miter"/>
                <v:path gradientshapeok="t" o:connecttype="rect"/>
              </v:shapetype>
              <v:shape id="_x0000_s1027" type="#_x0000_t202" style="position:absolute;margin-left:412.45pt;margin-top:37.1pt;width:131.75pt;height:9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" filled="f" stroked="f">
                <v:textbox>
                  <w:txbxContent>
                    <w:p w14:paraId="4483B22D" w14:textId="77777777" w:rsidR="003F5188" w:rsidRPr="00352721" w:rsidRDefault="00352721" w:rsidP="00460F7B">
                      <w:pPr>
                        <w:pStyle w:val="tekstzboku"/>
                        <w:spacing w:before="0"/>
                        <w:rPr>
                          <w:spacing w:val="-3"/>
                          <w:lang w:val="en-GB"/>
                        </w:rPr>
                      </w:pPr>
                      <w:r w:rsidRPr="00352721">
                        <w:rPr>
                          <w:spacing w:val="-3"/>
                          <w:lang w:val="en-GB"/>
                        </w:rPr>
                        <w:t>In the first quarter of 2021, more new jobs were created and fewer jobs were liquidated than a year ago</w:t>
                      </w:r>
                    </w:p>
                  </w:txbxContent>
                </v:textbox>
                <w10:wrap type="tight"/>
              </v:shape>
            </w:pict>
          </mc:Fallback>
        </mc:AlternateContent>
      </w:r>
      <w:r w:rsidR="00235C0F" w:rsidRPr="00235C0F">
        <w:rPr>
          <w:b w:val="0"/>
          <w:lang w:val="en-GB"/>
        </w:rPr>
        <w:t>In the first quarter of 2021, there were</w:t>
      </w:r>
      <w:r w:rsidR="003B6FCA">
        <w:rPr>
          <w:b w:val="0"/>
          <w:lang w:val="en-GB"/>
        </w:rPr>
        <w:t xml:space="preserve"> </w:t>
      </w:r>
      <w:r w:rsidR="00235C0F" w:rsidRPr="00235C0F">
        <w:rPr>
          <w:b w:val="0"/>
          <w:lang w:val="en-GB"/>
        </w:rPr>
        <w:t>12.</w:t>
      </w:r>
      <w:r w:rsidR="00C73F2A" w:rsidRPr="00235C0F">
        <w:rPr>
          <w:b w:val="0"/>
          <w:lang w:val="en-GB"/>
        </w:rPr>
        <w:t>4</w:t>
      </w:r>
      <w:r w:rsidR="006E4EE4" w:rsidRPr="00235C0F">
        <w:rPr>
          <w:b w:val="0"/>
          <w:lang w:val="en-GB"/>
        </w:rPr>
        <w:t xml:space="preserve">% </w:t>
      </w:r>
      <w:r w:rsidR="00235C0F" w:rsidRPr="00235C0F">
        <w:rPr>
          <w:b w:val="0"/>
          <w:lang w:val="en-GB"/>
        </w:rPr>
        <w:t xml:space="preserve">more new jobs </w:t>
      </w:r>
      <w:r w:rsidR="00235C0F">
        <w:rPr>
          <w:b w:val="0"/>
          <w:lang w:val="en-GB"/>
        </w:rPr>
        <w:t xml:space="preserve">than in the corresponding period of the previous year. </w:t>
      </w:r>
      <w:r w:rsidR="00235C0F" w:rsidRPr="00235C0F">
        <w:rPr>
          <w:b w:val="0"/>
          <w:lang w:val="en-GB"/>
        </w:rPr>
        <w:t xml:space="preserve">At the same </w:t>
      </w:r>
      <w:r w:rsidR="00235C0F">
        <w:rPr>
          <w:b w:val="0"/>
          <w:lang w:val="en-GB"/>
        </w:rPr>
        <w:t>time, 41.5% fewer jobs were liquidated</w:t>
      </w:r>
      <w:r w:rsidR="00235C0F" w:rsidRPr="00235C0F">
        <w:rPr>
          <w:b w:val="0"/>
          <w:lang w:val="en-GB"/>
        </w:rPr>
        <w:t xml:space="preserve"> than in the first quarter of 2020 and 30.2% more than in the fourth quarter of 2020.</w:t>
      </w:r>
    </w:p>
    <w:p w14:paraId="59BEB0E1" w14:textId="518F8DCE" w:rsidR="00C80317" w:rsidRPr="00352721" w:rsidRDefault="00235C0F" w:rsidP="00C80317">
      <w:pPr>
        <w:rPr>
          <w:rFonts w:eastAsia="Times New Roman"/>
          <w:szCs w:val="19"/>
          <w:lang w:val="en-GB" w:eastAsia="pl-PL"/>
        </w:rPr>
      </w:pPr>
      <w:r>
        <w:rPr>
          <w:color w:val="000000"/>
          <w:lang w:val="en-GB"/>
        </w:rPr>
        <w:t>The Labour Demand Survey</w:t>
      </w:r>
      <w:r w:rsidRPr="00235C0F">
        <w:rPr>
          <w:color w:val="000000"/>
          <w:lang w:val="en-GB"/>
        </w:rPr>
        <w:t xml:space="preserve"> is conducted using a representative meth</w:t>
      </w:r>
      <w:r>
        <w:rPr>
          <w:color w:val="000000"/>
          <w:lang w:val="en-GB"/>
        </w:rPr>
        <w:t>od on a quar</w:t>
      </w:r>
      <w:r w:rsidRPr="00235C0F">
        <w:rPr>
          <w:color w:val="000000"/>
          <w:lang w:val="en-GB"/>
        </w:rPr>
        <w:t xml:space="preserve">terly </w:t>
      </w:r>
      <w:r w:rsidR="003B6FCA">
        <w:rPr>
          <w:color w:val="000000"/>
          <w:lang w:val="en-GB"/>
        </w:rPr>
        <w:br/>
      </w:r>
      <w:r w:rsidRPr="00235C0F">
        <w:rPr>
          <w:color w:val="000000"/>
          <w:lang w:val="en-GB"/>
        </w:rPr>
        <w:t>basis, on the Z</w:t>
      </w:r>
      <w:r w:rsidR="003B6FCA">
        <w:rPr>
          <w:color w:val="000000"/>
          <w:lang w:val="en-GB"/>
        </w:rPr>
        <w:t>–</w:t>
      </w:r>
      <w:r w:rsidRPr="00235C0F">
        <w:rPr>
          <w:color w:val="000000"/>
          <w:lang w:val="en-GB"/>
        </w:rPr>
        <w:t xml:space="preserve">05 reporting form. It covers reporting units employing at least one person. </w:t>
      </w:r>
      <w:r w:rsidR="003B6FCA">
        <w:rPr>
          <w:color w:val="000000"/>
          <w:lang w:val="en-GB"/>
        </w:rPr>
        <w:br/>
      </w:r>
      <w:r w:rsidRPr="00352721">
        <w:rPr>
          <w:color w:val="000000"/>
          <w:lang w:val="en-GB"/>
        </w:rPr>
        <w:t xml:space="preserve">In the first quarter of 2021, </w:t>
      </w:r>
      <w:r w:rsidRPr="00352721">
        <w:rPr>
          <w:rFonts w:eastAsia="Times New Roman"/>
          <w:szCs w:val="19"/>
          <w:lang w:val="en-GB" w:eastAsia="pl-PL"/>
        </w:rPr>
        <w:t>most of them</w:t>
      </w:r>
      <w:r w:rsidRPr="00352721">
        <w:rPr>
          <w:szCs w:val="19"/>
          <w:lang w:val="en-GB"/>
        </w:rPr>
        <w:t>, i.e.</w:t>
      </w:r>
      <w:r w:rsidR="00C80317" w:rsidRPr="00352721">
        <w:rPr>
          <w:szCs w:val="19"/>
          <w:lang w:val="en-GB"/>
        </w:rPr>
        <w:t xml:space="preserve"> 9</w:t>
      </w:r>
      <w:r w:rsidRPr="00352721">
        <w:rPr>
          <w:szCs w:val="19"/>
          <w:lang w:val="en-GB"/>
        </w:rPr>
        <w:t>1.</w:t>
      </w:r>
      <w:r w:rsidR="003045FB" w:rsidRPr="00352721">
        <w:rPr>
          <w:szCs w:val="19"/>
          <w:lang w:val="en-GB"/>
        </w:rPr>
        <w:t>1</w:t>
      </w:r>
      <w:r w:rsidRPr="00352721">
        <w:rPr>
          <w:szCs w:val="19"/>
          <w:lang w:val="en-GB"/>
        </w:rPr>
        <w:t>% were private sector units</w:t>
      </w:r>
      <w:r w:rsidR="00C80317" w:rsidRPr="00352721">
        <w:rPr>
          <w:szCs w:val="19"/>
          <w:lang w:val="en-GB"/>
        </w:rPr>
        <w:t>.</w:t>
      </w:r>
      <w:r w:rsidR="00352721">
        <w:rPr>
          <w:szCs w:val="19"/>
          <w:lang w:val="en-GB"/>
        </w:rPr>
        <w:t xml:space="preserve"> </w:t>
      </w:r>
      <w:r w:rsidR="00352721" w:rsidRPr="00352721">
        <w:rPr>
          <w:szCs w:val="19"/>
          <w:lang w:val="en-GB"/>
        </w:rPr>
        <w:t xml:space="preserve">In terms </w:t>
      </w:r>
      <w:r w:rsidR="003B6FCA">
        <w:rPr>
          <w:szCs w:val="19"/>
          <w:lang w:val="en-GB"/>
        </w:rPr>
        <w:br/>
      </w:r>
      <w:r w:rsidR="00352721" w:rsidRPr="00352721">
        <w:rPr>
          <w:szCs w:val="19"/>
          <w:lang w:val="en-GB"/>
        </w:rPr>
        <w:t xml:space="preserve">of size, expressed by the number of employed persons, the majority were units with up to 9 employed persons </w:t>
      </w:r>
      <w:r w:rsidR="00C80317" w:rsidRPr="00352721">
        <w:rPr>
          <w:szCs w:val="19"/>
          <w:lang w:val="en-GB"/>
        </w:rPr>
        <w:t xml:space="preserve">– </w:t>
      </w:r>
      <w:r w:rsidR="00352721" w:rsidRPr="00352721">
        <w:rPr>
          <w:szCs w:val="19"/>
          <w:lang w:val="en-GB"/>
        </w:rPr>
        <w:t>they accounted for</w:t>
      </w:r>
      <w:r w:rsidR="00352721">
        <w:rPr>
          <w:szCs w:val="19"/>
          <w:lang w:val="en-GB"/>
        </w:rPr>
        <w:t xml:space="preserve"> </w:t>
      </w:r>
      <w:r w:rsidR="00352721">
        <w:rPr>
          <w:rFonts w:eastAsia="Times New Roman"/>
          <w:szCs w:val="19"/>
          <w:lang w:val="en-GB" w:eastAsia="pl-PL"/>
        </w:rPr>
        <w:t>69.</w:t>
      </w:r>
      <w:r w:rsidR="00793814" w:rsidRPr="00352721">
        <w:rPr>
          <w:rFonts w:eastAsia="Times New Roman"/>
          <w:szCs w:val="19"/>
          <w:lang w:val="en-GB" w:eastAsia="pl-PL"/>
        </w:rPr>
        <w:t>4</w:t>
      </w:r>
      <w:r w:rsidR="00C80317" w:rsidRPr="00352721">
        <w:rPr>
          <w:rFonts w:eastAsia="Times New Roman"/>
          <w:szCs w:val="19"/>
          <w:lang w:val="en-GB" w:eastAsia="pl-PL"/>
        </w:rPr>
        <w:t>%</w:t>
      </w:r>
      <w:r w:rsidR="00352721">
        <w:rPr>
          <w:rFonts w:eastAsia="Times New Roman"/>
          <w:szCs w:val="19"/>
          <w:lang w:val="en-GB" w:eastAsia="pl-PL"/>
        </w:rPr>
        <w:t xml:space="preserve"> of all units.</w:t>
      </w:r>
    </w:p>
    <w:p w14:paraId="03947C09" w14:textId="77777777" w:rsidR="008B56FC" w:rsidRPr="00352721" w:rsidRDefault="00352721" w:rsidP="008B56FC">
      <w:pPr>
        <w:rPr>
          <w:rFonts w:eastAsia="Times New Roman"/>
          <w:spacing w:val="2"/>
          <w:szCs w:val="19"/>
          <w:lang w:val="en-GB" w:eastAsia="pl-PL"/>
        </w:rPr>
      </w:pPr>
      <w:r w:rsidRPr="00352721">
        <w:rPr>
          <w:lang w:val="en-GB"/>
        </w:rPr>
        <w:t>The basic results of the survey for</w:t>
      </w:r>
      <w:r w:rsidR="0091065E" w:rsidRPr="00352721">
        <w:rPr>
          <w:lang w:val="en-GB"/>
        </w:rPr>
        <w:t xml:space="preserve"> </w:t>
      </w:r>
      <w:r w:rsidRPr="00352721">
        <w:rPr>
          <w:lang w:val="en-GB"/>
        </w:rPr>
        <w:t>the first quarter of 2021</w:t>
      </w:r>
      <w:r w:rsidR="008B56FC" w:rsidRPr="00352721">
        <w:rPr>
          <w:lang w:val="en-GB"/>
        </w:rPr>
        <w:t xml:space="preserve"> </w:t>
      </w:r>
      <w:r w:rsidRPr="00352721">
        <w:rPr>
          <w:lang w:val="en-GB"/>
        </w:rPr>
        <w:t xml:space="preserve">indicate that despite </w:t>
      </w:r>
      <w:r>
        <w:rPr>
          <w:lang w:val="en-GB"/>
        </w:rPr>
        <w:t xml:space="preserve">the ongoing epidemic, the situation on the labour market improved noticeably. </w:t>
      </w:r>
      <w:r w:rsidRPr="00352721">
        <w:rPr>
          <w:lang w:val="en-GB"/>
        </w:rPr>
        <w:t>Compared to all quarters of 2020, the numb</w:t>
      </w:r>
      <w:r>
        <w:rPr>
          <w:lang w:val="en-GB"/>
        </w:rPr>
        <w:t>er of jobs offered and newly cr</w:t>
      </w:r>
      <w:r w:rsidRPr="00352721">
        <w:rPr>
          <w:lang w:val="en-GB"/>
        </w:rPr>
        <w:t>eated increased.</w:t>
      </w:r>
    </w:p>
    <w:p w14:paraId="72672601" w14:textId="77777777" w:rsidR="008B56FC" w:rsidRPr="00352721" w:rsidRDefault="008B56FC" w:rsidP="008B56FC">
      <w:pPr>
        <w:rPr>
          <w:lang w:val="en-GB"/>
        </w:rPr>
      </w:pPr>
    </w:p>
    <w:p w14:paraId="7A29F22A" w14:textId="2C33A5C6" w:rsidR="00F6700A" w:rsidRPr="00404673" w:rsidRDefault="00404673" w:rsidP="00F6700A">
      <w:pPr>
        <w:pStyle w:val="tytuwykresu"/>
        <w:ind w:left="851" w:hanging="851"/>
        <w:rPr>
          <w:lang w:val="en-GB"/>
        </w:rPr>
      </w:pPr>
      <w:r w:rsidRPr="00404673">
        <w:rPr>
          <w:szCs w:val="18"/>
          <w:lang w:val="en-GB"/>
        </w:rPr>
        <w:t xml:space="preserve">Table 1. Jobs in Poland </w:t>
      </w:r>
      <w:r w:rsidR="003B6FCA">
        <w:rPr>
          <w:szCs w:val="18"/>
          <w:lang w:val="en-GB"/>
        </w:rPr>
        <w:t>–</w:t>
      </w:r>
      <w:r w:rsidRPr="00404673">
        <w:rPr>
          <w:szCs w:val="18"/>
          <w:lang w:val="en-GB"/>
        </w:rPr>
        <w:t xml:space="preserve"> basic results of the survey</w:t>
      </w:r>
    </w:p>
    <w:tbl>
      <w:tblPr>
        <w:tblW w:w="7280" w:type="dxa"/>
        <w:tblInd w:w="70" w:type="dxa"/>
        <w:tblBorders>
          <w:bottom w:val="single" w:sz="4" w:space="0" w:color="001D77"/>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960"/>
        <w:gridCol w:w="1440"/>
        <w:gridCol w:w="1440"/>
        <w:gridCol w:w="1440"/>
      </w:tblGrid>
      <w:tr w:rsidR="000C0964" w:rsidRPr="00327EE6" w14:paraId="4E131E5D" w14:textId="77777777" w:rsidTr="003B6FCA">
        <w:trPr>
          <w:trHeight w:val="259"/>
        </w:trPr>
        <w:tc>
          <w:tcPr>
            <w:tcW w:w="2960" w:type="dxa"/>
            <w:vMerge w:val="restart"/>
            <w:shd w:val="clear" w:color="auto" w:fill="auto"/>
            <w:vAlign w:val="center"/>
            <w:hideMark/>
          </w:tcPr>
          <w:p w14:paraId="363C3490" w14:textId="77777777" w:rsidR="000C0964" w:rsidRPr="000C0964" w:rsidRDefault="004E19EC" w:rsidP="000C0964">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JOBS</w:t>
            </w:r>
          </w:p>
        </w:tc>
        <w:tc>
          <w:tcPr>
            <w:tcW w:w="2880" w:type="dxa"/>
            <w:gridSpan w:val="2"/>
            <w:shd w:val="clear" w:color="auto" w:fill="auto"/>
            <w:vAlign w:val="center"/>
            <w:hideMark/>
          </w:tcPr>
          <w:p w14:paraId="3EB9432B" w14:textId="77777777" w:rsidR="000C0964" w:rsidRPr="000C0964" w:rsidRDefault="000C0964" w:rsidP="000C0964">
            <w:pPr>
              <w:spacing w:before="0" w:after="0" w:line="240" w:lineRule="auto"/>
              <w:jc w:val="center"/>
              <w:rPr>
                <w:rFonts w:eastAsia="Times New Roman" w:cs="Calibri"/>
                <w:color w:val="000000"/>
                <w:sz w:val="16"/>
                <w:szCs w:val="16"/>
                <w:lang w:eastAsia="pl-PL"/>
              </w:rPr>
            </w:pPr>
            <w:r w:rsidRPr="000C0964">
              <w:rPr>
                <w:rFonts w:eastAsia="Times New Roman" w:cs="Calibri"/>
                <w:color w:val="000000"/>
                <w:sz w:val="16"/>
                <w:szCs w:val="16"/>
                <w:lang w:eastAsia="pl-PL"/>
              </w:rPr>
              <w:t>2020</w:t>
            </w:r>
          </w:p>
        </w:tc>
        <w:tc>
          <w:tcPr>
            <w:tcW w:w="1440" w:type="dxa"/>
            <w:shd w:val="clear" w:color="auto" w:fill="auto"/>
            <w:vAlign w:val="center"/>
            <w:hideMark/>
          </w:tcPr>
          <w:p w14:paraId="64528DB4" w14:textId="77777777" w:rsidR="000C0964" w:rsidRPr="000C0964" w:rsidRDefault="000C0964" w:rsidP="000C0964">
            <w:pPr>
              <w:spacing w:before="0" w:after="0" w:line="240" w:lineRule="auto"/>
              <w:jc w:val="center"/>
              <w:rPr>
                <w:rFonts w:eastAsia="Times New Roman" w:cs="Calibri"/>
                <w:color w:val="000000"/>
                <w:sz w:val="16"/>
                <w:szCs w:val="16"/>
                <w:lang w:eastAsia="pl-PL"/>
              </w:rPr>
            </w:pPr>
            <w:r w:rsidRPr="000C0964">
              <w:rPr>
                <w:rFonts w:eastAsia="Times New Roman" w:cs="Calibri"/>
                <w:color w:val="000000"/>
                <w:sz w:val="16"/>
                <w:szCs w:val="16"/>
                <w:lang w:eastAsia="pl-PL"/>
              </w:rPr>
              <w:t>2021</w:t>
            </w:r>
          </w:p>
        </w:tc>
      </w:tr>
      <w:tr w:rsidR="000C0964" w:rsidRPr="00327EE6" w14:paraId="5DBEDAFC" w14:textId="77777777" w:rsidTr="003B6FCA">
        <w:trPr>
          <w:trHeight w:val="259"/>
        </w:trPr>
        <w:tc>
          <w:tcPr>
            <w:tcW w:w="2960" w:type="dxa"/>
            <w:vMerge/>
            <w:tcBorders>
              <w:bottom w:val="single" w:sz="12" w:space="0" w:color="001D77"/>
            </w:tcBorders>
            <w:vAlign w:val="center"/>
            <w:hideMark/>
          </w:tcPr>
          <w:p w14:paraId="4E80A5CF" w14:textId="77777777" w:rsidR="000C0964" w:rsidRPr="000C0964" w:rsidRDefault="000C0964" w:rsidP="000C0964">
            <w:pPr>
              <w:spacing w:before="0" w:after="0" w:line="240" w:lineRule="auto"/>
              <w:rPr>
                <w:rFonts w:eastAsia="Times New Roman" w:cs="Calibri"/>
                <w:color w:val="000000"/>
                <w:sz w:val="16"/>
                <w:szCs w:val="16"/>
                <w:lang w:eastAsia="pl-PL"/>
              </w:rPr>
            </w:pPr>
          </w:p>
        </w:tc>
        <w:tc>
          <w:tcPr>
            <w:tcW w:w="1440" w:type="dxa"/>
            <w:tcBorders>
              <w:bottom w:val="single" w:sz="12" w:space="0" w:color="001D77"/>
            </w:tcBorders>
            <w:shd w:val="clear" w:color="auto" w:fill="auto"/>
            <w:vAlign w:val="center"/>
            <w:hideMark/>
          </w:tcPr>
          <w:p w14:paraId="3865CFBD" w14:textId="77777777" w:rsidR="000C0964" w:rsidRPr="000C0964" w:rsidRDefault="004E19EC" w:rsidP="000C0964">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Quarter 1</w:t>
            </w:r>
          </w:p>
        </w:tc>
        <w:tc>
          <w:tcPr>
            <w:tcW w:w="1440" w:type="dxa"/>
            <w:tcBorders>
              <w:bottom w:val="single" w:sz="12" w:space="0" w:color="001D77"/>
            </w:tcBorders>
            <w:shd w:val="clear" w:color="auto" w:fill="auto"/>
            <w:vAlign w:val="center"/>
            <w:hideMark/>
          </w:tcPr>
          <w:p w14:paraId="34DF61D3" w14:textId="77777777" w:rsidR="000C0964" w:rsidRPr="000C0964" w:rsidRDefault="004E19EC" w:rsidP="000C0964">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Quarter 4</w:t>
            </w:r>
          </w:p>
        </w:tc>
        <w:tc>
          <w:tcPr>
            <w:tcW w:w="1440" w:type="dxa"/>
            <w:tcBorders>
              <w:bottom w:val="single" w:sz="12" w:space="0" w:color="001D77"/>
            </w:tcBorders>
            <w:shd w:val="clear" w:color="auto" w:fill="auto"/>
            <w:vAlign w:val="center"/>
            <w:hideMark/>
          </w:tcPr>
          <w:p w14:paraId="78B89F29" w14:textId="77777777" w:rsidR="000C0964" w:rsidRPr="000C0964" w:rsidRDefault="004E19EC" w:rsidP="000C0964">
            <w:pPr>
              <w:spacing w:before="0" w:after="0" w:line="240" w:lineRule="auto"/>
              <w:jc w:val="center"/>
              <w:rPr>
                <w:rFonts w:eastAsia="Times New Roman" w:cs="Calibri"/>
                <w:color w:val="000000"/>
                <w:sz w:val="16"/>
                <w:szCs w:val="16"/>
                <w:lang w:eastAsia="pl-PL"/>
              </w:rPr>
            </w:pPr>
            <w:r>
              <w:rPr>
                <w:rFonts w:eastAsia="Times New Roman" w:cs="Calibri"/>
                <w:color w:val="000000"/>
                <w:sz w:val="16"/>
                <w:szCs w:val="16"/>
                <w:lang w:eastAsia="pl-PL"/>
              </w:rPr>
              <w:t>Quarter 1</w:t>
            </w:r>
          </w:p>
        </w:tc>
      </w:tr>
      <w:tr w:rsidR="000C0964" w:rsidRPr="001819F1" w14:paraId="2797DAA3" w14:textId="77777777" w:rsidTr="003B6FCA">
        <w:trPr>
          <w:trHeight w:val="259"/>
        </w:trPr>
        <w:tc>
          <w:tcPr>
            <w:tcW w:w="7280" w:type="dxa"/>
            <w:gridSpan w:val="4"/>
            <w:tcBorders>
              <w:top w:val="single" w:sz="12" w:space="0" w:color="001D77"/>
            </w:tcBorders>
            <w:shd w:val="clear" w:color="auto" w:fill="auto"/>
            <w:vAlign w:val="center"/>
            <w:hideMark/>
          </w:tcPr>
          <w:p w14:paraId="7DE3CF62" w14:textId="77777777" w:rsidR="000C0964" w:rsidRPr="004E19EC" w:rsidRDefault="000C0964" w:rsidP="000C0964">
            <w:pPr>
              <w:spacing w:before="0" w:after="0" w:line="240" w:lineRule="auto"/>
              <w:jc w:val="center"/>
              <w:rPr>
                <w:rFonts w:eastAsia="Times New Roman" w:cs="Calibri"/>
                <w:color w:val="000000"/>
                <w:sz w:val="16"/>
                <w:szCs w:val="16"/>
                <w:lang w:val="en-GB" w:eastAsia="pl-PL"/>
              </w:rPr>
            </w:pPr>
            <w:r w:rsidRPr="004E19EC">
              <w:rPr>
                <w:rFonts w:eastAsia="Times New Roman" w:cs="Calibri"/>
                <w:color w:val="000000"/>
                <w:sz w:val="16"/>
                <w:szCs w:val="16"/>
                <w:lang w:val="en-GB" w:eastAsia="pl-PL"/>
              </w:rPr>
              <w:t xml:space="preserve">                                       </w:t>
            </w:r>
            <w:r w:rsidR="004E19EC" w:rsidRPr="004E19EC">
              <w:rPr>
                <w:rFonts w:eastAsia="Times New Roman" w:cs="Calibri"/>
                <w:color w:val="000000"/>
                <w:sz w:val="16"/>
                <w:szCs w:val="16"/>
                <w:lang w:val="en-GB" w:eastAsia="pl-PL"/>
              </w:rPr>
              <w:t xml:space="preserve">       </w:t>
            </w:r>
            <w:r w:rsidR="004E19EC">
              <w:rPr>
                <w:rFonts w:eastAsia="Times New Roman" w:cs="Calibri"/>
                <w:color w:val="000000"/>
                <w:sz w:val="16"/>
                <w:szCs w:val="16"/>
                <w:lang w:val="en-GB" w:eastAsia="pl-PL"/>
              </w:rPr>
              <w:t>A</w:t>
            </w:r>
            <w:r w:rsidR="004E19EC" w:rsidRPr="004E19EC">
              <w:rPr>
                <w:rFonts w:eastAsia="Times New Roman" w:cs="Calibri"/>
                <w:color w:val="000000"/>
                <w:sz w:val="16"/>
                <w:szCs w:val="16"/>
                <w:lang w:val="en-GB" w:eastAsia="pl-PL"/>
              </w:rPr>
              <w:t>s at the end of the quarter (in thousands)</w:t>
            </w:r>
          </w:p>
        </w:tc>
      </w:tr>
      <w:tr w:rsidR="000C0964" w:rsidRPr="00327EE6" w14:paraId="3F4367A7" w14:textId="77777777" w:rsidTr="003B6FCA">
        <w:trPr>
          <w:trHeight w:val="259"/>
        </w:trPr>
        <w:tc>
          <w:tcPr>
            <w:tcW w:w="2960" w:type="dxa"/>
            <w:shd w:val="clear" w:color="auto" w:fill="auto"/>
            <w:vAlign w:val="center"/>
            <w:hideMark/>
          </w:tcPr>
          <w:p w14:paraId="07AB78C2" w14:textId="77777777" w:rsidR="000C0964" w:rsidRPr="000C0964" w:rsidRDefault="004E19EC" w:rsidP="000C0964">
            <w:pPr>
              <w:spacing w:before="0" w:after="0" w:line="240" w:lineRule="auto"/>
              <w:rPr>
                <w:rFonts w:eastAsia="Times New Roman" w:cs="Calibri"/>
                <w:color w:val="000000"/>
                <w:sz w:val="16"/>
                <w:szCs w:val="16"/>
                <w:lang w:eastAsia="pl-PL"/>
              </w:rPr>
            </w:pPr>
            <w:r>
              <w:rPr>
                <w:rFonts w:eastAsia="Times New Roman" w:cs="Calibri"/>
                <w:color w:val="000000"/>
                <w:sz w:val="16"/>
                <w:szCs w:val="16"/>
                <w:lang w:eastAsia="pl-PL"/>
              </w:rPr>
              <w:t>Vacancies</w:t>
            </w:r>
          </w:p>
        </w:tc>
        <w:tc>
          <w:tcPr>
            <w:tcW w:w="1440" w:type="dxa"/>
            <w:shd w:val="clear" w:color="auto" w:fill="auto"/>
            <w:vAlign w:val="center"/>
            <w:hideMark/>
          </w:tcPr>
          <w:p w14:paraId="58446046"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76.</w:t>
            </w:r>
            <w:r w:rsidR="000C0964" w:rsidRPr="000C0964">
              <w:rPr>
                <w:rFonts w:eastAsia="Times New Roman" w:cs="Calibri"/>
                <w:color w:val="000000"/>
                <w:sz w:val="16"/>
                <w:szCs w:val="16"/>
                <w:lang w:eastAsia="pl-PL"/>
              </w:rPr>
              <w:t>5</w:t>
            </w:r>
          </w:p>
        </w:tc>
        <w:tc>
          <w:tcPr>
            <w:tcW w:w="1440" w:type="dxa"/>
            <w:shd w:val="clear" w:color="auto" w:fill="auto"/>
            <w:vAlign w:val="center"/>
            <w:hideMark/>
          </w:tcPr>
          <w:p w14:paraId="522E474D"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84.</w:t>
            </w:r>
            <w:r w:rsidR="000C0964" w:rsidRPr="000C0964">
              <w:rPr>
                <w:rFonts w:eastAsia="Times New Roman" w:cs="Calibri"/>
                <w:color w:val="000000"/>
                <w:sz w:val="16"/>
                <w:szCs w:val="16"/>
                <w:lang w:eastAsia="pl-PL"/>
              </w:rPr>
              <w:t>4</w:t>
            </w:r>
          </w:p>
        </w:tc>
        <w:tc>
          <w:tcPr>
            <w:tcW w:w="1440" w:type="dxa"/>
            <w:shd w:val="clear" w:color="auto" w:fill="auto"/>
            <w:vAlign w:val="center"/>
            <w:hideMark/>
          </w:tcPr>
          <w:p w14:paraId="54724810"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110.</w:t>
            </w:r>
            <w:r w:rsidR="000C0964" w:rsidRPr="000C0964">
              <w:rPr>
                <w:rFonts w:eastAsia="Times New Roman" w:cs="Calibri"/>
                <w:color w:val="000000"/>
                <w:sz w:val="16"/>
                <w:szCs w:val="16"/>
                <w:lang w:eastAsia="pl-PL"/>
              </w:rPr>
              <w:t>2</w:t>
            </w:r>
          </w:p>
        </w:tc>
      </w:tr>
      <w:tr w:rsidR="000C0964" w:rsidRPr="00327EE6" w14:paraId="49638EAF" w14:textId="77777777" w:rsidTr="003B6FCA">
        <w:trPr>
          <w:trHeight w:val="259"/>
        </w:trPr>
        <w:tc>
          <w:tcPr>
            <w:tcW w:w="2960" w:type="dxa"/>
            <w:shd w:val="clear" w:color="auto" w:fill="auto"/>
            <w:vAlign w:val="center"/>
            <w:hideMark/>
          </w:tcPr>
          <w:p w14:paraId="17EC4358" w14:textId="77777777" w:rsidR="000C0964" w:rsidRPr="000C0964" w:rsidRDefault="004E19EC" w:rsidP="000C0964">
            <w:pPr>
              <w:spacing w:before="0" w:after="0" w:line="240" w:lineRule="auto"/>
              <w:rPr>
                <w:rFonts w:eastAsia="Times New Roman" w:cs="Calibri"/>
                <w:color w:val="000000"/>
                <w:sz w:val="16"/>
                <w:szCs w:val="16"/>
                <w:lang w:eastAsia="pl-PL"/>
              </w:rPr>
            </w:pPr>
            <w:r>
              <w:rPr>
                <w:rFonts w:eastAsia="Times New Roman" w:cs="Calibri"/>
                <w:color w:val="000000"/>
                <w:sz w:val="16"/>
                <w:szCs w:val="16"/>
                <w:lang w:eastAsia="pl-PL"/>
              </w:rPr>
              <w:t>Vacant newly created jobs</w:t>
            </w:r>
          </w:p>
        </w:tc>
        <w:tc>
          <w:tcPr>
            <w:tcW w:w="1440" w:type="dxa"/>
            <w:shd w:val="clear" w:color="auto" w:fill="auto"/>
            <w:vAlign w:val="center"/>
            <w:hideMark/>
          </w:tcPr>
          <w:p w14:paraId="5DE039FE"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16.</w:t>
            </w:r>
            <w:r w:rsidR="000C0964" w:rsidRPr="000C0964">
              <w:rPr>
                <w:rFonts w:eastAsia="Times New Roman" w:cs="Calibri"/>
                <w:color w:val="000000"/>
                <w:sz w:val="16"/>
                <w:szCs w:val="16"/>
                <w:lang w:eastAsia="pl-PL"/>
              </w:rPr>
              <w:t>2</w:t>
            </w:r>
          </w:p>
        </w:tc>
        <w:tc>
          <w:tcPr>
            <w:tcW w:w="1440" w:type="dxa"/>
            <w:shd w:val="clear" w:color="auto" w:fill="auto"/>
            <w:vAlign w:val="center"/>
            <w:hideMark/>
          </w:tcPr>
          <w:p w14:paraId="7E1DB9DC"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17.</w:t>
            </w:r>
            <w:r w:rsidR="000C0964" w:rsidRPr="000C0964">
              <w:rPr>
                <w:rFonts w:eastAsia="Times New Roman" w:cs="Calibri"/>
                <w:color w:val="000000"/>
                <w:sz w:val="16"/>
                <w:szCs w:val="16"/>
                <w:lang w:eastAsia="pl-PL"/>
              </w:rPr>
              <w:t>5</w:t>
            </w:r>
          </w:p>
        </w:tc>
        <w:tc>
          <w:tcPr>
            <w:tcW w:w="1440" w:type="dxa"/>
            <w:shd w:val="clear" w:color="auto" w:fill="auto"/>
            <w:vAlign w:val="center"/>
            <w:hideMark/>
          </w:tcPr>
          <w:p w14:paraId="55701F09"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24.</w:t>
            </w:r>
            <w:r w:rsidR="000C0964" w:rsidRPr="000C0964">
              <w:rPr>
                <w:rFonts w:eastAsia="Times New Roman" w:cs="Calibri"/>
                <w:color w:val="000000"/>
                <w:sz w:val="16"/>
                <w:szCs w:val="16"/>
                <w:lang w:eastAsia="pl-PL"/>
              </w:rPr>
              <w:t>0</w:t>
            </w:r>
          </w:p>
        </w:tc>
      </w:tr>
      <w:tr w:rsidR="000C0964" w:rsidRPr="001819F1" w14:paraId="583AA0FF" w14:textId="77777777" w:rsidTr="003B6FCA">
        <w:trPr>
          <w:trHeight w:val="259"/>
        </w:trPr>
        <w:tc>
          <w:tcPr>
            <w:tcW w:w="7280" w:type="dxa"/>
            <w:gridSpan w:val="4"/>
            <w:shd w:val="clear" w:color="auto" w:fill="auto"/>
            <w:vAlign w:val="center"/>
            <w:hideMark/>
          </w:tcPr>
          <w:p w14:paraId="0B65B76E" w14:textId="77777777" w:rsidR="000C0964" w:rsidRPr="004E19EC" w:rsidRDefault="000C0964" w:rsidP="000C0964">
            <w:pPr>
              <w:spacing w:before="0" w:after="0" w:line="240" w:lineRule="auto"/>
              <w:jc w:val="center"/>
              <w:rPr>
                <w:rFonts w:eastAsia="Times New Roman" w:cs="Calibri"/>
                <w:color w:val="000000"/>
                <w:sz w:val="16"/>
                <w:szCs w:val="16"/>
                <w:lang w:val="en-GB" w:eastAsia="pl-PL"/>
              </w:rPr>
            </w:pPr>
            <w:r w:rsidRPr="004E19EC">
              <w:rPr>
                <w:rFonts w:eastAsia="Times New Roman" w:cs="Calibri"/>
                <w:color w:val="000000"/>
                <w:sz w:val="16"/>
                <w:szCs w:val="16"/>
                <w:lang w:val="en-GB" w:eastAsia="pl-PL"/>
              </w:rPr>
              <w:t xml:space="preserve">              </w:t>
            </w:r>
            <w:r w:rsidR="004E19EC" w:rsidRPr="004E19EC">
              <w:rPr>
                <w:rFonts w:eastAsia="Times New Roman" w:cs="Calibri"/>
                <w:color w:val="000000"/>
                <w:sz w:val="16"/>
                <w:szCs w:val="16"/>
                <w:lang w:val="en-GB" w:eastAsia="pl-PL"/>
              </w:rPr>
              <w:t xml:space="preserve">                       During the quarter (in thousands</w:t>
            </w:r>
            <w:r w:rsidR="004E19EC">
              <w:rPr>
                <w:rFonts w:eastAsia="Times New Roman" w:cs="Calibri"/>
                <w:color w:val="000000"/>
                <w:sz w:val="16"/>
                <w:szCs w:val="16"/>
                <w:lang w:val="en-GB" w:eastAsia="pl-PL"/>
              </w:rPr>
              <w:t>)</w:t>
            </w:r>
          </w:p>
        </w:tc>
      </w:tr>
      <w:tr w:rsidR="000C0964" w:rsidRPr="00327EE6" w14:paraId="46A6D04C" w14:textId="77777777" w:rsidTr="003B6FCA">
        <w:trPr>
          <w:trHeight w:val="259"/>
        </w:trPr>
        <w:tc>
          <w:tcPr>
            <w:tcW w:w="2960" w:type="dxa"/>
            <w:shd w:val="clear" w:color="auto" w:fill="auto"/>
            <w:vAlign w:val="center"/>
            <w:hideMark/>
          </w:tcPr>
          <w:p w14:paraId="5C3F2CA7" w14:textId="77777777" w:rsidR="000C0964" w:rsidRPr="000C0964" w:rsidRDefault="004E19EC" w:rsidP="000C0964">
            <w:pPr>
              <w:spacing w:before="0" w:after="0" w:line="240" w:lineRule="auto"/>
              <w:rPr>
                <w:rFonts w:eastAsia="Times New Roman" w:cs="Calibri"/>
                <w:color w:val="000000"/>
                <w:sz w:val="16"/>
                <w:szCs w:val="16"/>
                <w:lang w:eastAsia="pl-PL"/>
              </w:rPr>
            </w:pPr>
            <w:r>
              <w:rPr>
                <w:rFonts w:eastAsia="Times New Roman" w:cs="Calibri"/>
                <w:color w:val="000000"/>
                <w:sz w:val="16"/>
                <w:szCs w:val="16"/>
                <w:lang w:eastAsia="pl-PL"/>
              </w:rPr>
              <w:t>Newly created</w:t>
            </w:r>
          </w:p>
        </w:tc>
        <w:tc>
          <w:tcPr>
            <w:tcW w:w="1440" w:type="dxa"/>
            <w:shd w:val="clear" w:color="auto" w:fill="auto"/>
            <w:vAlign w:val="center"/>
            <w:hideMark/>
          </w:tcPr>
          <w:p w14:paraId="7EA0F096"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170.</w:t>
            </w:r>
            <w:r w:rsidR="000C0964" w:rsidRPr="000C0964">
              <w:rPr>
                <w:rFonts w:eastAsia="Times New Roman" w:cs="Calibri"/>
                <w:color w:val="000000"/>
                <w:sz w:val="16"/>
                <w:szCs w:val="16"/>
                <w:lang w:eastAsia="pl-PL"/>
              </w:rPr>
              <w:t>6</w:t>
            </w:r>
          </w:p>
        </w:tc>
        <w:tc>
          <w:tcPr>
            <w:tcW w:w="1440" w:type="dxa"/>
            <w:shd w:val="clear" w:color="auto" w:fill="auto"/>
            <w:vAlign w:val="center"/>
            <w:hideMark/>
          </w:tcPr>
          <w:p w14:paraId="7F3A963C"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91.</w:t>
            </w:r>
            <w:r w:rsidR="000C0964" w:rsidRPr="000C0964">
              <w:rPr>
                <w:rFonts w:eastAsia="Times New Roman" w:cs="Calibri"/>
                <w:color w:val="000000"/>
                <w:sz w:val="16"/>
                <w:szCs w:val="16"/>
                <w:lang w:eastAsia="pl-PL"/>
              </w:rPr>
              <w:t>5</w:t>
            </w:r>
          </w:p>
        </w:tc>
        <w:tc>
          <w:tcPr>
            <w:tcW w:w="1440" w:type="dxa"/>
            <w:shd w:val="clear" w:color="auto" w:fill="auto"/>
            <w:vAlign w:val="center"/>
            <w:hideMark/>
          </w:tcPr>
          <w:p w14:paraId="05A283CC"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191.</w:t>
            </w:r>
            <w:r w:rsidR="000C0964" w:rsidRPr="000C0964">
              <w:rPr>
                <w:rFonts w:eastAsia="Times New Roman" w:cs="Calibri"/>
                <w:color w:val="000000"/>
                <w:sz w:val="16"/>
                <w:szCs w:val="16"/>
                <w:lang w:eastAsia="pl-PL"/>
              </w:rPr>
              <w:t>7</w:t>
            </w:r>
          </w:p>
        </w:tc>
      </w:tr>
      <w:tr w:rsidR="000C0964" w:rsidRPr="00327EE6" w14:paraId="72457736" w14:textId="77777777" w:rsidTr="003B6FCA">
        <w:trPr>
          <w:trHeight w:val="259"/>
        </w:trPr>
        <w:tc>
          <w:tcPr>
            <w:tcW w:w="2960" w:type="dxa"/>
            <w:shd w:val="clear" w:color="auto" w:fill="auto"/>
            <w:vAlign w:val="center"/>
            <w:hideMark/>
          </w:tcPr>
          <w:p w14:paraId="0891CD61" w14:textId="77777777" w:rsidR="000C0964" w:rsidRPr="000C0964" w:rsidRDefault="004E19EC" w:rsidP="000C0964">
            <w:pPr>
              <w:spacing w:before="0" w:after="0" w:line="240" w:lineRule="auto"/>
              <w:rPr>
                <w:rFonts w:eastAsia="Times New Roman" w:cs="Calibri"/>
                <w:color w:val="000000"/>
                <w:sz w:val="16"/>
                <w:szCs w:val="16"/>
                <w:lang w:eastAsia="pl-PL"/>
              </w:rPr>
            </w:pPr>
            <w:r>
              <w:rPr>
                <w:rFonts w:eastAsia="Times New Roman" w:cs="Calibri"/>
                <w:color w:val="000000"/>
                <w:sz w:val="16"/>
                <w:szCs w:val="16"/>
                <w:lang w:eastAsia="pl-PL"/>
              </w:rPr>
              <w:t>Liquidated</w:t>
            </w:r>
          </w:p>
        </w:tc>
        <w:tc>
          <w:tcPr>
            <w:tcW w:w="1440" w:type="dxa"/>
            <w:shd w:val="clear" w:color="auto" w:fill="auto"/>
            <w:vAlign w:val="center"/>
            <w:hideMark/>
          </w:tcPr>
          <w:p w14:paraId="5C80A694"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119.</w:t>
            </w:r>
            <w:r w:rsidR="000C0964" w:rsidRPr="000C0964">
              <w:rPr>
                <w:rFonts w:eastAsia="Times New Roman" w:cs="Calibri"/>
                <w:color w:val="000000"/>
                <w:sz w:val="16"/>
                <w:szCs w:val="16"/>
                <w:lang w:eastAsia="pl-PL"/>
              </w:rPr>
              <w:t>9</w:t>
            </w:r>
          </w:p>
        </w:tc>
        <w:tc>
          <w:tcPr>
            <w:tcW w:w="1440" w:type="dxa"/>
            <w:shd w:val="clear" w:color="auto" w:fill="auto"/>
            <w:vAlign w:val="center"/>
            <w:hideMark/>
          </w:tcPr>
          <w:p w14:paraId="4E835947"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53.</w:t>
            </w:r>
            <w:r w:rsidR="000C0964" w:rsidRPr="000C0964">
              <w:rPr>
                <w:rFonts w:eastAsia="Times New Roman" w:cs="Calibri"/>
                <w:color w:val="000000"/>
                <w:sz w:val="16"/>
                <w:szCs w:val="16"/>
                <w:lang w:eastAsia="pl-PL"/>
              </w:rPr>
              <w:t>9</w:t>
            </w:r>
          </w:p>
        </w:tc>
        <w:tc>
          <w:tcPr>
            <w:tcW w:w="1440" w:type="dxa"/>
            <w:shd w:val="clear" w:color="auto" w:fill="auto"/>
            <w:vAlign w:val="center"/>
            <w:hideMark/>
          </w:tcPr>
          <w:p w14:paraId="2004C6A5" w14:textId="77777777" w:rsidR="000C0964" w:rsidRPr="000C0964" w:rsidRDefault="004E19EC" w:rsidP="000C0964">
            <w:pPr>
              <w:spacing w:before="0" w:after="0" w:line="240" w:lineRule="auto"/>
              <w:jc w:val="right"/>
              <w:rPr>
                <w:rFonts w:eastAsia="Times New Roman" w:cs="Calibri"/>
                <w:color w:val="000000"/>
                <w:sz w:val="16"/>
                <w:szCs w:val="16"/>
                <w:lang w:eastAsia="pl-PL"/>
              </w:rPr>
            </w:pPr>
            <w:r>
              <w:rPr>
                <w:rFonts w:eastAsia="Times New Roman" w:cs="Calibri"/>
                <w:color w:val="000000"/>
                <w:sz w:val="16"/>
                <w:szCs w:val="16"/>
                <w:lang w:eastAsia="pl-PL"/>
              </w:rPr>
              <w:t>70.</w:t>
            </w:r>
            <w:r w:rsidR="000C0964" w:rsidRPr="000C0964">
              <w:rPr>
                <w:rFonts w:eastAsia="Times New Roman" w:cs="Calibri"/>
                <w:color w:val="000000"/>
                <w:sz w:val="16"/>
                <w:szCs w:val="16"/>
                <w:lang w:eastAsia="pl-PL"/>
              </w:rPr>
              <w:t>2</w:t>
            </w:r>
          </w:p>
        </w:tc>
      </w:tr>
    </w:tbl>
    <w:p w14:paraId="6DFB5990" w14:textId="77777777" w:rsidR="000C0964" w:rsidRDefault="000C0964" w:rsidP="004B4CD2">
      <w:pPr>
        <w:pStyle w:val="tytuwykresu"/>
      </w:pPr>
    </w:p>
    <w:p w14:paraId="3DE4E00E" w14:textId="77777777" w:rsidR="00B469D0" w:rsidRDefault="00B469D0">
      <w:pPr>
        <w:spacing w:before="0" w:after="0" w:line="240" w:lineRule="auto"/>
        <w:rPr>
          <w:b/>
          <w:spacing w:val="-2"/>
          <w:sz w:val="18"/>
          <w:szCs w:val="18"/>
          <w:lang w:val="en-GB"/>
        </w:rPr>
      </w:pPr>
      <w:r>
        <w:rPr>
          <w:szCs w:val="18"/>
          <w:lang w:val="en-GB"/>
        </w:rPr>
        <w:br w:type="page"/>
      </w:r>
    </w:p>
    <w:p w14:paraId="5EA7C865" w14:textId="07D174D1" w:rsidR="00785D1A" w:rsidRPr="004E19EC" w:rsidRDefault="001819F1" w:rsidP="00B469D0">
      <w:pPr>
        <w:pStyle w:val="tytuwykresu"/>
        <w:spacing w:before="240"/>
        <w:ind w:left="652" w:hanging="652"/>
        <w:rPr>
          <w:b w:val="0"/>
          <w:szCs w:val="18"/>
          <w:lang w:val="en-GB"/>
        </w:rPr>
      </w:pPr>
      <w:r>
        <w:rPr>
          <w:noProof/>
          <w:lang w:eastAsia="pl-PL"/>
        </w:rPr>
        <w:lastRenderedPageBreak/>
        <w:drawing>
          <wp:anchor distT="0" distB="0" distL="114300" distR="114300" simplePos="0" relativeHeight="251689984" behindDoc="0" locked="0" layoutInCell="1" allowOverlap="1" wp14:anchorId="02A92DD0" wp14:editId="2FF6632B">
            <wp:simplePos x="0" y="0"/>
            <wp:positionH relativeFrom="margin">
              <wp:align>left</wp:align>
            </wp:positionH>
            <wp:positionV relativeFrom="paragraph">
              <wp:posOffset>314325</wp:posOffset>
            </wp:positionV>
            <wp:extent cx="5001759" cy="2680390"/>
            <wp:effectExtent l="0" t="0" r="8890" b="5715"/>
            <wp:wrapSquare wrapText="bothSides"/>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E19EC" w:rsidRPr="004E19EC">
        <w:rPr>
          <w:szCs w:val="18"/>
          <w:lang w:val="en-GB"/>
        </w:rPr>
        <w:t>Chart</w:t>
      </w:r>
      <w:r w:rsidR="00785D1A" w:rsidRPr="004E19EC">
        <w:rPr>
          <w:szCs w:val="18"/>
          <w:lang w:val="en-GB"/>
        </w:rPr>
        <w:t xml:space="preserve"> 1. </w:t>
      </w:r>
      <w:r w:rsidR="004E19EC" w:rsidRPr="004E19EC">
        <w:rPr>
          <w:szCs w:val="18"/>
          <w:lang w:val="en-GB"/>
        </w:rPr>
        <w:t>Newly created and liquidated jobs in Poland</w:t>
      </w:r>
      <w:r w:rsidR="0010704A" w:rsidRPr="004E19EC">
        <w:rPr>
          <w:szCs w:val="18"/>
          <w:lang w:val="en-GB"/>
        </w:rPr>
        <w:t xml:space="preserve"> </w:t>
      </w:r>
      <w:r w:rsidR="008B2AA1" w:rsidRPr="004E19EC">
        <w:rPr>
          <w:szCs w:val="18"/>
          <w:lang w:val="en-GB"/>
        </w:rPr>
        <w:br/>
      </w:r>
      <w:r w:rsidR="00093E8D">
        <w:rPr>
          <w:b w:val="0"/>
          <w:szCs w:val="18"/>
          <w:lang w:val="en-GB"/>
        </w:rPr>
        <w:t>As at the end of the quarter</w:t>
      </w:r>
    </w:p>
    <w:p w14:paraId="65BFB7DC" w14:textId="7A1B63D2" w:rsidR="00A02583" w:rsidRPr="004E19EC" w:rsidRDefault="00A02583" w:rsidP="00B469D0">
      <w:pPr>
        <w:pStyle w:val="tytuwykresu"/>
        <w:ind w:left="794" w:hanging="794"/>
        <w:rPr>
          <w:b w:val="0"/>
          <w:szCs w:val="18"/>
          <w:lang w:val="en-GB"/>
        </w:rPr>
      </w:pPr>
    </w:p>
    <w:p w14:paraId="5A768692" w14:textId="00C0C708" w:rsidR="00BA6A71" w:rsidRPr="00093E8D" w:rsidRDefault="00093E8D" w:rsidP="00093E8D">
      <w:pPr>
        <w:rPr>
          <w:rFonts w:eastAsia="Times New Roman"/>
          <w:szCs w:val="19"/>
          <w:lang w:val="en-GB" w:eastAsia="pl-PL"/>
        </w:rPr>
      </w:pPr>
      <w:r w:rsidRPr="00093E8D">
        <w:rPr>
          <w:rFonts w:eastAsia="Times New Roman"/>
          <w:szCs w:val="19"/>
          <w:lang w:val="en-GB" w:eastAsia="pl-PL"/>
        </w:rPr>
        <w:t>In Poland, the creation and liquidation of jobs are characterised by cyclical intensity. In the case of newly created jobs, their number was the highest in the first quarters, and the lowest – usually in the fourth quarters. The upward trend in the number of newly created jobs in the first quarters has continued since 2012. The largest increase was recorded in 2019. In all quarters of 2020, a decrease in the number of newly created jobs was ob</w:t>
      </w:r>
      <w:r>
        <w:rPr>
          <w:rFonts w:eastAsia="Times New Roman"/>
          <w:szCs w:val="19"/>
          <w:lang w:val="en-GB" w:eastAsia="pl-PL"/>
        </w:rPr>
        <w:t xml:space="preserve">served </w:t>
      </w:r>
      <w:r w:rsidRPr="00093E8D">
        <w:rPr>
          <w:rFonts w:eastAsia="Times New Roman"/>
          <w:szCs w:val="19"/>
          <w:lang w:val="en-GB" w:eastAsia="pl-PL"/>
        </w:rPr>
        <w:t>compared to the corresponding period of 2019 (which cer</w:t>
      </w:r>
      <w:r>
        <w:rPr>
          <w:rFonts w:eastAsia="Times New Roman"/>
          <w:szCs w:val="19"/>
          <w:lang w:val="en-GB" w:eastAsia="pl-PL"/>
        </w:rPr>
        <w:t xml:space="preserve">tainly was caused by the impact </w:t>
      </w:r>
      <w:r w:rsidRPr="00093E8D">
        <w:rPr>
          <w:rFonts w:eastAsia="Times New Roman"/>
          <w:szCs w:val="19"/>
          <w:lang w:val="en-GB" w:eastAsia="pl-PL"/>
        </w:rPr>
        <w:t>of the COVID-19 pandemic).</w:t>
      </w:r>
      <w:r>
        <w:rPr>
          <w:rFonts w:eastAsia="Times New Roman"/>
          <w:szCs w:val="19"/>
          <w:lang w:val="en-GB" w:eastAsia="pl-PL"/>
        </w:rPr>
        <w:t xml:space="preserve"> </w:t>
      </w:r>
      <w:r w:rsidRPr="00093E8D">
        <w:rPr>
          <w:rFonts w:eastAsia="Times New Roman"/>
          <w:szCs w:val="19"/>
          <w:lang w:val="en-GB" w:eastAsia="pl-PL"/>
        </w:rPr>
        <w:t>On the other hand, in the first quarter of 2021, an increase in the number of newly created jobs was recorded compared to all quarters of the previous year.</w:t>
      </w:r>
    </w:p>
    <w:p w14:paraId="101566EF" w14:textId="49F538D0" w:rsidR="000F188D" w:rsidRDefault="00321633" w:rsidP="00754082">
      <w:pPr>
        <w:rPr>
          <w:rFonts w:eastAsia="Times New Roman"/>
          <w:szCs w:val="19"/>
          <w:lang w:val="en-GB" w:eastAsia="pl-PL"/>
        </w:rPr>
      </w:pPr>
      <w:r>
        <w:rPr>
          <w:rFonts w:eastAsia="Times New Roman"/>
          <w:szCs w:val="19"/>
          <w:lang w:val="en-GB" w:eastAsia="pl-PL"/>
        </w:rPr>
        <w:t>In the last ten</w:t>
      </w:r>
      <w:r w:rsidRPr="00321633">
        <w:rPr>
          <w:rFonts w:eastAsia="Times New Roman"/>
          <w:szCs w:val="19"/>
          <w:lang w:val="en-GB" w:eastAsia="pl-PL"/>
        </w:rPr>
        <w:t xml:space="preserve"> years, the number of newly created jobs was usual</w:t>
      </w:r>
      <w:r>
        <w:rPr>
          <w:rFonts w:eastAsia="Times New Roman"/>
          <w:szCs w:val="19"/>
          <w:lang w:val="en-GB" w:eastAsia="pl-PL"/>
        </w:rPr>
        <w:t>ly greater than the num</w:t>
      </w:r>
      <w:r w:rsidRPr="00321633">
        <w:rPr>
          <w:rFonts w:eastAsia="Times New Roman"/>
          <w:szCs w:val="19"/>
          <w:lang w:val="en-GB" w:eastAsia="pl-PL"/>
        </w:rPr>
        <w:t>ber of liquidated jobs.</w:t>
      </w:r>
      <w:r>
        <w:rPr>
          <w:rFonts w:eastAsia="Times New Roman"/>
          <w:szCs w:val="19"/>
          <w:lang w:val="en-GB" w:eastAsia="pl-PL"/>
        </w:rPr>
        <w:t xml:space="preserve"> </w:t>
      </w:r>
      <w:r w:rsidRPr="00321633">
        <w:rPr>
          <w:rFonts w:eastAsia="Times New Roman"/>
          <w:szCs w:val="19"/>
          <w:lang w:val="en-GB" w:eastAsia="pl-PL"/>
        </w:rPr>
        <w:t xml:space="preserve">During this period, the situation was different only in the fourth quarter of 2012 and </w:t>
      </w:r>
      <w:r w:rsidR="00A5786F">
        <w:rPr>
          <w:rFonts w:eastAsia="Times New Roman"/>
          <w:szCs w:val="19"/>
          <w:lang w:val="en-GB" w:eastAsia="pl-PL"/>
        </w:rPr>
        <w:t xml:space="preserve">in </w:t>
      </w:r>
      <w:r w:rsidRPr="00321633">
        <w:rPr>
          <w:rFonts w:eastAsia="Times New Roman"/>
          <w:szCs w:val="19"/>
          <w:lang w:val="en-GB" w:eastAsia="pl-PL"/>
        </w:rPr>
        <w:t>the first quarter of 2020.</w:t>
      </w:r>
    </w:p>
    <w:p w14:paraId="5F916F28" w14:textId="77777777" w:rsidR="00B469D0" w:rsidRPr="00321633" w:rsidRDefault="00B469D0" w:rsidP="00754082">
      <w:pPr>
        <w:rPr>
          <w:rFonts w:eastAsia="Times New Roman"/>
          <w:spacing w:val="2"/>
          <w:szCs w:val="19"/>
          <w:lang w:val="en-GB" w:eastAsia="pl-PL"/>
        </w:rPr>
      </w:pPr>
    </w:p>
    <w:p w14:paraId="201A94C6" w14:textId="59BD7BD7" w:rsidR="00C94F6A" w:rsidRPr="00263964" w:rsidRDefault="00321633" w:rsidP="00726F28">
      <w:pPr>
        <w:spacing w:before="0" w:after="160" w:line="259" w:lineRule="auto"/>
        <w:rPr>
          <w:rFonts w:eastAsia="Times New Roman"/>
          <w:spacing w:val="2"/>
          <w:szCs w:val="19"/>
          <w:lang w:val="en-GB" w:eastAsia="pl-PL"/>
        </w:rPr>
      </w:pPr>
      <w:r w:rsidRPr="00263964">
        <w:rPr>
          <w:rFonts w:ascii="Fira Sans SemiBold" w:hAnsi="Fira Sans SemiBold"/>
          <w:color w:val="001D77"/>
          <w:lang w:val="en-GB"/>
        </w:rPr>
        <w:t>Job vacancies</w:t>
      </w:r>
    </w:p>
    <w:p w14:paraId="36CA4161" w14:textId="0387C249" w:rsidR="00103BC1" w:rsidRDefault="00321633" w:rsidP="00754082">
      <w:pPr>
        <w:rPr>
          <w:rFonts w:eastAsia="Times New Roman"/>
          <w:szCs w:val="19"/>
          <w:lang w:val="en-GB" w:eastAsia="pl-PL"/>
        </w:rPr>
      </w:pPr>
      <w:r w:rsidRPr="00321633">
        <w:rPr>
          <w:rFonts w:eastAsia="Times New Roman"/>
          <w:szCs w:val="19"/>
          <w:lang w:val="en-GB" w:eastAsia="pl-PL"/>
        </w:rPr>
        <w:t xml:space="preserve">Job vacancies are </w:t>
      </w:r>
      <w:r>
        <w:rPr>
          <w:rFonts w:eastAsia="Times New Roman"/>
          <w:szCs w:val="19"/>
          <w:lang w:val="en-GB" w:eastAsia="pl-PL"/>
        </w:rPr>
        <w:t>p</w:t>
      </w:r>
      <w:r w:rsidRPr="00321633">
        <w:rPr>
          <w:rFonts w:eastAsia="Times New Roman"/>
          <w:szCs w:val="19"/>
          <w:lang w:val="en-GB" w:eastAsia="pl-PL"/>
        </w:rPr>
        <w:t xml:space="preserve">ositions or jobs unoccupied due to labour turnover or newly created ones that simultaneously meet the following three conditions: </w:t>
      </w:r>
      <w:r w:rsidR="00B469D0">
        <w:rPr>
          <w:rFonts w:eastAsia="Times New Roman"/>
          <w:szCs w:val="19"/>
          <w:lang w:val="en-GB" w:eastAsia="pl-PL"/>
        </w:rPr>
        <w:br/>
      </w:r>
      <w:r w:rsidRPr="00321633">
        <w:rPr>
          <w:rFonts w:eastAsia="Times New Roman"/>
          <w:szCs w:val="19"/>
          <w:lang w:val="en-GB" w:eastAsia="pl-PL"/>
        </w:rPr>
        <w:t xml:space="preserve">1) the positions and jobs were actually unoccupied on the survey day, </w:t>
      </w:r>
      <w:r w:rsidR="00B469D0">
        <w:rPr>
          <w:rFonts w:eastAsia="Times New Roman"/>
          <w:szCs w:val="19"/>
          <w:lang w:val="en-GB" w:eastAsia="pl-PL"/>
        </w:rPr>
        <w:br/>
      </w:r>
      <w:r w:rsidRPr="00321633">
        <w:rPr>
          <w:rFonts w:eastAsia="Times New Roman"/>
          <w:szCs w:val="19"/>
          <w:lang w:val="en-GB" w:eastAsia="pl-PL"/>
        </w:rPr>
        <w:t xml:space="preserve">2) the employer made efforts to find people willing to take up the job, </w:t>
      </w:r>
      <w:r w:rsidR="00B469D0">
        <w:rPr>
          <w:rFonts w:eastAsia="Times New Roman"/>
          <w:szCs w:val="19"/>
          <w:lang w:val="en-GB" w:eastAsia="pl-PL"/>
        </w:rPr>
        <w:br/>
      </w:r>
      <w:r w:rsidRPr="00321633">
        <w:rPr>
          <w:rFonts w:eastAsia="Times New Roman"/>
          <w:szCs w:val="19"/>
          <w:lang w:val="en-GB" w:eastAsia="pl-PL"/>
        </w:rPr>
        <w:t>3) if adequate candidates were found to occupy the vacancies, the employer would readily take them on.</w:t>
      </w:r>
    </w:p>
    <w:p w14:paraId="0A351921" w14:textId="235E43B5" w:rsidR="006C1230" w:rsidRPr="00321633" w:rsidRDefault="006C1230" w:rsidP="00754082">
      <w:pPr>
        <w:rPr>
          <w:rFonts w:eastAsia="Times New Roman"/>
          <w:szCs w:val="19"/>
          <w:lang w:val="en-GB" w:eastAsia="pl-PL"/>
        </w:rPr>
      </w:pPr>
      <w:r>
        <w:rPr>
          <w:rFonts w:eastAsia="Times New Roman"/>
          <w:szCs w:val="19"/>
          <w:lang w:val="en-GB" w:eastAsia="pl-PL"/>
        </w:rPr>
        <w:t xml:space="preserve">The analysis </w:t>
      </w:r>
      <w:r w:rsidRPr="006C1230">
        <w:rPr>
          <w:rFonts w:eastAsia="Times New Roman"/>
          <w:szCs w:val="19"/>
          <w:lang w:val="en-GB" w:eastAsia="pl-PL"/>
        </w:rPr>
        <w:t>of job vacancies present</w:t>
      </w:r>
      <w:r>
        <w:rPr>
          <w:rFonts w:eastAsia="Times New Roman"/>
          <w:szCs w:val="19"/>
          <w:lang w:val="en-GB" w:eastAsia="pl-PL"/>
        </w:rPr>
        <w:t xml:space="preserve">ed here has two aspects. First </w:t>
      </w:r>
      <w:r w:rsidRPr="006C1230">
        <w:rPr>
          <w:rFonts w:eastAsia="Times New Roman"/>
          <w:szCs w:val="19"/>
          <w:lang w:val="en-GB" w:eastAsia="pl-PL"/>
        </w:rPr>
        <w:t>of them is the number of units with job vacancies and the second one – the number of job vacancies.</w:t>
      </w:r>
    </w:p>
    <w:p w14:paraId="574B95CB" w14:textId="0914E955" w:rsidR="006B0879" w:rsidRPr="00263964" w:rsidRDefault="004A61DB" w:rsidP="00754082">
      <w:pPr>
        <w:rPr>
          <w:noProof/>
          <w:lang w:val="en-GB" w:eastAsia="pl-PL"/>
        </w:rPr>
      </w:pPr>
      <w:r w:rsidRPr="004A61DB">
        <w:rPr>
          <w:rFonts w:eastAsia="Times New Roman"/>
          <w:spacing w:val="2"/>
          <w:szCs w:val="19"/>
          <w:lang w:val="en-GB" w:eastAsia="pl-PL"/>
        </w:rPr>
        <w:t xml:space="preserve">In the first quarter of 2021, 35.5 thousand units, i.e. 5.5% of their total number, had job vacancies. </w:t>
      </w:r>
      <w:r w:rsidRPr="00263964">
        <w:rPr>
          <w:rFonts w:eastAsia="Times New Roman"/>
          <w:szCs w:val="19"/>
          <w:lang w:val="en-GB" w:eastAsia="pl-PL"/>
        </w:rPr>
        <w:t>The vast majority of them, 85.</w:t>
      </w:r>
      <w:r w:rsidR="00217B05" w:rsidRPr="00263964">
        <w:rPr>
          <w:rFonts w:eastAsia="Times New Roman"/>
          <w:szCs w:val="19"/>
          <w:lang w:val="en-GB" w:eastAsia="pl-PL"/>
        </w:rPr>
        <w:t>9%,</w:t>
      </w:r>
      <w:r w:rsidR="00263964" w:rsidRPr="00263964">
        <w:rPr>
          <w:rFonts w:eastAsia="Times New Roman"/>
          <w:szCs w:val="19"/>
          <w:lang w:val="en-GB" w:eastAsia="pl-PL"/>
        </w:rPr>
        <w:t xml:space="preserve"> belonged to the private sector.</w:t>
      </w:r>
      <w:r w:rsidR="00217B05" w:rsidRPr="00263964">
        <w:rPr>
          <w:rFonts w:eastAsia="Times New Roman"/>
          <w:szCs w:val="19"/>
          <w:lang w:val="en-GB" w:eastAsia="pl-PL"/>
        </w:rPr>
        <w:t xml:space="preserve"> </w:t>
      </w:r>
      <w:r w:rsidR="00263964" w:rsidRPr="00263964">
        <w:rPr>
          <w:noProof/>
          <w:lang w:val="en-GB" w:eastAsia="pl-PL"/>
        </w:rPr>
        <w:t>More than half of the entities with job vacancies (57.2%) belonged to the gr</w:t>
      </w:r>
      <w:r w:rsidR="00263964">
        <w:rPr>
          <w:noProof/>
          <w:lang w:val="en-GB" w:eastAsia="pl-PL"/>
        </w:rPr>
        <w:t>oup of the smallest entities, i.e. with up to 9</w:t>
      </w:r>
      <w:r w:rsidR="00193C4C">
        <w:rPr>
          <w:noProof/>
          <w:lang w:val="en-GB" w:eastAsia="pl-PL"/>
        </w:rPr>
        <w:t xml:space="preserve"> </w:t>
      </w:r>
      <w:r w:rsidR="00263964">
        <w:rPr>
          <w:noProof/>
          <w:lang w:val="en-GB" w:eastAsia="pl-PL"/>
        </w:rPr>
        <w:t>employed persons.</w:t>
      </w:r>
    </w:p>
    <w:p w14:paraId="09BE7DBE" w14:textId="7E8A391D" w:rsidR="00BA6198" w:rsidRPr="00CE0A13" w:rsidRDefault="00EE0D17" w:rsidP="00BA6198">
      <w:pPr>
        <w:rPr>
          <w:lang w:val="x-none"/>
        </w:rPr>
      </w:pPr>
      <w:r>
        <w:rPr>
          <w:noProof/>
          <w:lang w:eastAsia="pl-PL"/>
        </w:rPr>
        <mc:AlternateContent>
          <mc:Choice Requires="wps">
            <w:drawing>
              <wp:anchor distT="0" distB="0" distL="114300" distR="114300" simplePos="0" relativeHeight="251657216" behindDoc="0" locked="0" layoutInCell="1" allowOverlap="1" wp14:anchorId="47E38844" wp14:editId="749D0378">
                <wp:simplePos x="0" y="0"/>
                <wp:positionH relativeFrom="column">
                  <wp:posOffset>5205470</wp:posOffset>
                </wp:positionH>
                <wp:positionV relativeFrom="paragraph">
                  <wp:posOffset>4889</wp:posOffset>
                </wp:positionV>
                <wp:extent cx="1697064" cy="1608462"/>
                <wp:effectExtent l="0" t="0" r="0" b="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064" cy="1608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5E10" w14:textId="3D3CFEB7" w:rsidR="003F5188" w:rsidRPr="00BA298E" w:rsidRDefault="00263964" w:rsidP="00603EBB">
                            <w:pPr>
                              <w:spacing w:before="0"/>
                              <w:rPr>
                                <w:bCs/>
                                <w:color w:val="001D77"/>
                                <w:sz w:val="18"/>
                                <w:szCs w:val="18"/>
                                <w:lang w:val="en-GB"/>
                              </w:rPr>
                            </w:pPr>
                            <w:r w:rsidRPr="00263964">
                              <w:rPr>
                                <w:bCs/>
                                <w:color w:val="001D77"/>
                                <w:sz w:val="18"/>
                                <w:szCs w:val="18"/>
                                <w:lang w:val="en-GB"/>
                              </w:rPr>
                              <w:t xml:space="preserve">At the end of the first quarter of 2021, job vacancies were concentrated mainly </w:t>
                            </w:r>
                            <w:r w:rsidR="0068013F">
                              <w:rPr>
                                <w:bCs/>
                                <w:color w:val="001D77"/>
                                <w:sz w:val="18"/>
                                <w:szCs w:val="18"/>
                                <w:lang w:val="en-GB"/>
                              </w:rPr>
                              <w:br/>
                            </w:r>
                            <w:r w:rsidRPr="00263964">
                              <w:rPr>
                                <w:bCs/>
                                <w:color w:val="001D77"/>
                                <w:sz w:val="18"/>
                                <w:szCs w:val="18"/>
                                <w:lang w:val="en-GB"/>
                              </w:rPr>
                              <w:t>in the private sector</w:t>
                            </w:r>
                            <w:r w:rsidR="003F5188" w:rsidRPr="00263964">
                              <w:rPr>
                                <w:bCs/>
                                <w:color w:val="001D77"/>
                                <w:sz w:val="18"/>
                                <w:szCs w:val="18"/>
                                <w:lang w:val="en-GB"/>
                              </w:rPr>
                              <w:t xml:space="preserve"> (8</w:t>
                            </w:r>
                            <w:r>
                              <w:rPr>
                                <w:bCs/>
                                <w:color w:val="001D77"/>
                                <w:sz w:val="18"/>
                                <w:szCs w:val="18"/>
                                <w:lang w:val="en-GB"/>
                              </w:rPr>
                              <w:t>2.</w:t>
                            </w:r>
                            <w:r w:rsidR="00C360ED" w:rsidRPr="00263964">
                              <w:rPr>
                                <w:bCs/>
                                <w:color w:val="001D77"/>
                                <w:sz w:val="18"/>
                                <w:szCs w:val="18"/>
                                <w:lang w:val="en-GB"/>
                              </w:rPr>
                              <w:t>8</w:t>
                            </w:r>
                            <w:r w:rsidR="003F5188" w:rsidRPr="00263964">
                              <w:rPr>
                                <w:bCs/>
                                <w:color w:val="001D77"/>
                                <w:sz w:val="18"/>
                                <w:szCs w:val="18"/>
                                <w:lang w:val="en-GB"/>
                              </w:rPr>
                              <w:t>%)</w:t>
                            </w:r>
                            <w:r w:rsidR="00C360ED" w:rsidRPr="00263964">
                              <w:rPr>
                                <w:bCs/>
                                <w:color w:val="001D77"/>
                                <w:sz w:val="18"/>
                                <w:szCs w:val="18"/>
                                <w:lang w:val="en-GB"/>
                              </w:rPr>
                              <w:t>.</w:t>
                            </w:r>
                            <w:r w:rsidR="003F5188" w:rsidRPr="00263964">
                              <w:rPr>
                                <w:bCs/>
                                <w:color w:val="001D77"/>
                                <w:sz w:val="18"/>
                                <w:szCs w:val="18"/>
                                <w:lang w:val="en-GB"/>
                              </w:rPr>
                              <w:t xml:space="preserve"> </w:t>
                            </w:r>
                            <w:r w:rsidR="00BA298E" w:rsidRPr="00BA298E">
                              <w:rPr>
                                <w:bCs/>
                                <w:color w:val="001D77"/>
                                <w:sz w:val="18"/>
                                <w:szCs w:val="18"/>
                                <w:lang w:val="en-GB"/>
                              </w:rPr>
                              <w:t>Half of them were reported by units with more than</w:t>
                            </w:r>
                            <w:r w:rsidR="00BA298E">
                              <w:rPr>
                                <w:bCs/>
                                <w:color w:val="001D77"/>
                                <w:sz w:val="18"/>
                                <w:szCs w:val="18"/>
                                <w:lang w:val="en-GB"/>
                              </w:rPr>
                              <w:t xml:space="preserve"> 49 employed persons</w:t>
                            </w:r>
                            <w:r w:rsidR="003F5188" w:rsidRPr="00BA298E">
                              <w:rPr>
                                <w:bCs/>
                                <w:color w:val="001D77"/>
                                <w:sz w:val="18"/>
                                <w:szCs w:val="18"/>
                                <w:lang w:val="en-GB"/>
                              </w:rPr>
                              <w:t xml:space="preserve"> (</w:t>
                            </w:r>
                            <w:r w:rsidR="00BA298E">
                              <w:rPr>
                                <w:bCs/>
                                <w:color w:val="001D77"/>
                                <w:sz w:val="18"/>
                                <w:szCs w:val="18"/>
                                <w:lang w:val="en-GB"/>
                              </w:rPr>
                              <w:t>50.</w:t>
                            </w:r>
                            <w:r w:rsidR="003F5188" w:rsidRPr="00BA298E">
                              <w:rPr>
                                <w:bCs/>
                                <w:color w:val="001D77"/>
                                <w:sz w:val="18"/>
                                <w:szCs w:val="18"/>
                                <w:lang w:val="en-GB"/>
                              </w:rPr>
                              <w:t>4%)</w:t>
                            </w:r>
                          </w:p>
                          <w:p w14:paraId="5D143EB0" w14:textId="77777777" w:rsidR="00BA298E" w:rsidRPr="00BA298E" w:rsidRDefault="00BA298E">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38844" id="_x0000_t202" coordsize="21600,21600" o:spt="202" path="m,l,21600r21600,l21600,xe">
                <v:stroke joinstyle="miter"/>
                <v:path gradientshapeok="t" o:connecttype="rect"/>
              </v:shapetype>
              <v:shape id="Text Box 23" o:spid="_x0000_s1028" type="#_x0000_t202" style="position:absolute;margin-left:409.9pt;margin-top:.4pt;width:133.65pt;height:1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J4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" filled="f" stroked="f">
                <v:textbox>
                  <w:txbxContent>
                    <w:p w14:paraId="06BB5E10" w14:textId="3D3CFEB7" w:rsidR="003F5188" w:rsidRPr="00BA298E" w:rsidRDefault="00263964" w:rsidP="00603EBB">
                      <w:pPr>
                        <w:spacing w:before="0"/>
                        <w:rPr>
                          <w:bCs/>
                          <w:color w:val="001D77"/>
                          <w:sz w:val="18"/>
                          <w:szCs w:val="18"/>
                          <w:lang w:val="en-GB"/>
                        </w:rPr>
                      </w:pPr>
                      <w:r w:rsidRPr="00263964">
                        <w:rPr>
                          <w:bCs/>
                          <w:color w:val="001D77"/>
                          <w:sz w:val="18"/>
                          <w:szCs w:val="18"/>
                          <w:lang w:val="en-GB"/>
                        </w:rPr>
                        <w:t xml:space="preserve">At the end of the first quarter of 2021, job vacancies were concentrated mainly </w:t>
                      </w:r>
                      <w:r w:rsidR="0068013F">
                        <w:rPr>
                          <w:bCs/>
                          <w:color w:val="001D77"/>
                          <w:sz w:val="18"/>
                          <w:szCs w:val="18"/>
                          <w:lang w:val="en-GB"/>
                        </w:rPr>
                        <w:br/>
                      </w:r>
                      <w:r w:rsidRPr="00263964">
                        <w:rPr>
                          <w:bCs/>
                          <w:color w:val="001D77"/>
                          <w:sz w:val="18"/>
                          <w:szCs w:val="18"/>
                          <w:lang w:val="en-GB"/>
                        </w:rPr>
                        <w:t>in the private sector</w:t>
                      </w:r>
                      <w:r w:rsidR="003F5188" w:rsidRPr="00263964">
                        <w:rPr>
                          <w:bCs/>
                          <w:color w:val="001D77"/>
                          <w:sz w:val="18"/>
                          <w:szCs w:val="18"/>
                          <w:lang w:val="en-GB"/>
                        </w:rPr>
                        <w:t xml:space="preserve"> (8</w:t>
                      </w:r>
                      <w:r>
                        <w:rPr>
                          <w:bCs/>
                          <w:color w:val="001D77"/>
                          <w:sz w:val="18"/>
                          <w:szCs w:val="18"/>
                          <w:lang w:val="en-GB"/>
                        </w:rPr>
                        <w:t>2.</w:t>
                      </w:r>
                      <w:r w:rsidR="00C360ED" w:rsidRPr="00263964">
                        <w:rPr>
                          <w:bCs/>
                          <w:color w:val="001D77"/>
                          <w:sz w:val="18"/>
                          <w:szCs w:val="18"/>
                          <w:lang w:val="en-GB"/>
                        </w:rPr>
                        <w:t>8</w:t>
                      </w:r>
                      <w:r w:rsidR="003F5188" w:rsidRPr="00263964">
                        <w:rPr>
                          <w:bCs/>
                          <w:color w:val="001D77"/>
                          <w:sz w:val="18"/>
                          <w:szCs w:val="18"/>
                          <w:lang w:val="en-GB"/>
                        </w:rPr>
                        <w:t>%)</w:t>
                      </w:r>
                      <w:r w:rsidR="00C360ED" w:rsidRPr="00263964">
                        <w:rPr>
                          <w:bCs/>
                          <w:color w:val="001D77"/>
                          <w:sz w:val="18"/>
                          <w:szCs w:val="18"/>
                          <w:lang w:val="en-GB"/>
                        </w:rPr>
                        <w:t>.</w:t>
                      </w:r>
                      <w:r w:rsidR="003F5188" w:rsidRPr="00263964">
                        <w:rPr>
                          <w:bCs/>
                          <w:color w:val="001D77"/>
                          <w:sz w:val="18"/>
                          <w:szCs w:val="18"/>
                          <w:lang w:val="en-GB"/>
                        </w:rPr>
                        <w:t xml:space="preserve"> </w:t>
                      </w:r>
                      <w:r w:rsidR="00BA298E" w:rsidRPr="00BA298E">
                        <w:rPr>
                          <w:bCs/>
                          <w:color w:val="001D77"/>
                          <w:sz w:val="18"/>
                          <w:szCs w:val="18"/>
                          <w:lang w:val="en-GB"/>
                        </w:rPr>
                        <w:t>Half of them were reported by units with more than</w:t>
                      </w:r>
                      <w:r w:rsidR="00BA298E">
                        <w:rPr>
                          <w:bCs/>
                          <w:color w:val="001D77"/>
                          <w:sz w:val="18"/>
                          <w:szCs w:val="18"/>
                          <w:lang w:val="en-GB"/>
                        </w:rPr>
                        <w:t xml:space="preserve"> 49 employed persons</w:t>
                      </w:r>
                      <w:r w:rsidR="003F5188" w:rsidRPr="00BA298E">
                        <w:rPr>
                          <w:bCs/>
                          <w:color w:val="001D77"/>
                          <w:sz w:val="18"/>
                          <w:szCs w:val="18"/>
                          <w:lang w:val="en-GB"/>
                        </w:rPr>
                        <w:t xml:space="preserve"> (</w:t>
                      </w:r>
                      <w:r w:rsidR="00BA298E">
                        <w:rPr>
                          <w:bCs/>
                          <w:color w:val="001D77"/>
                          <w:sz w:val="18"/>
                          <w:szCs w:val="18"/>
                          <w:lang w:val="en-GB"/>
                        </w:rPr>
                        <w:t>50.</w:t>
                      </w:r>
                      <w:r w:rsidR="003F5188" w:rsidRPr="00BA298E">
                        <w:rPr>
                          <w:bCs/>
                          <w:color w:val="001D77"/>
                          <w:sz w:val="18"/>
                          <w:szCs w:val="18"/>
                          <w:lang w:val="en-GB"/>
                        </w:rPr>
                        <w:t>4%)</w:t>
                      </w:r>
                    </w:p>
                    <w:p w14:paraId="5D143EB0" w14:textId="77777777" w:rsidR="00BA298E" w:rsidRPr="00BA298E" w:rsidRDefault="00BA298E">
                      <w:pPr>
                        <w:rPr>
                          <w:lang w:val="en-GB"/>
                        </w:rPr>
                      </w:pPr>
                    </w:p>
                  </w:txbxContent>
                </v:textbox>
              </v:shape>
            </w:pict>
          </mc:Fallback>
        </mc:AlternateContent>
      </w:r>
      <w:r w:rsidR="00263964">
        <w:rPr>
          <w:color w:val="000000"/>
          <w:lang w:val="en-GB"/>
        </w:rPr>
        <w:t>The second analys</w:t>
      </w:r>
      <w:r w:rsidR="00263964" w:rsidRPr="00263964">
        <w:rPr>
          <w:color w:val="000000"/>
          <w:lang w:val="en-GB"/>
        </w:rPr>
        <w:t>ed aspect is the number of job vacancies, which at the end of the first quarter of 2021 amounted to 110.2 thousand. The vast majority</w:t>
      </w:r>
      <w:r w:rsidR="00263964">
        <w:rPr>
          <w:color w:val="000000"/>
          <w:lang w:val="en-GB"/>
        </w:rPr>
        <w:t xml:space="preserve"> of them</w:t>
      </w:r>
      <w:r w:rsidR="00263964" w:rsidRPr="00263964">
        <w:rPr>
          <w:color w:val="000000"/>
          <w:lang w:val="en-GB"/>
        </w:rPr>
        <w:t>, 91.3 thousand, were in the private sector. Slightly more than half of the vacancies were concentrated in</w:t>
      </w:r>
      <w:r w:rsidR="00263964">
        <w:rPr>
          <w:color w:val="000000"/>
          <w:lang w:val="en-GB"/>
        </w:rPr>
        <w:t xml:space="preserve"> the largest units with more than 49 employed persons.</w:t>
      </w:r>
    </w:p>
    <w:p w14:paraId="6BEA9233" w14:textId="77777777" w:rsidR="00BA6198" w:rsidRPr="00263964" w:rsidRDefault="00BA6198" w:rsidP="00754082">
      <w:pPr>
        <w:rPr>
          <w:rFonts w:eastAsia="Times New Roman"/>
          <w:szCs w:val="19"/>
          <w:lang w:val="en-GB" w:eastAsia="pl-PL"/>
        </w:rPr>
      </w:pPr>
    </w:p>
    <w:p w14:paraId="20F7A6DD" w14:textId="77777777" w:rsidR="000F188D" w:rsidRPr="00263964" w:rsidRDefault="000F188D" w:rsidP="00754082">
      <w:pPr>
        <w:rPr>
          <w:rFonts w:eastAsia="Times New Roman"/>
          <w:szCs w:val="19"/>
          <w:lang w:val="en-GB" w:eastAsia="pl-PL"/>
        </w:rPr>
      </w:pPr>
    </w:p>
    <w:p w14:paraId="57C93B55" w14:textId="77777777" w:rsidR="00603EBB" w:rsidRPr="00263964" w:rsidRDefault="00603EBB" w:rsidP="003F0B35">
      <w:pPr>
        <w:pStyle w:val="tytuwykresu"/>
        <w:ind w:left="794" w:hanging="794"/>
        <w:rPr>
          <w:szCs w:val="18"/>
          <w:lang w:val="en-GB"/>
        </w:rPr>
      </w:pPr>
    </w:p>
    <w:p w14:paraId="606449B0" w14:textId="0B6A2C49" w:rsidR="00E940D6" w:rsidRPr="00BA298E" w:rsidRDefault="00B469D0" w:rsidP="00B469D0">
      <w:pPr>
        <w:ind w:left="709" w:hanging="709"/>
        <w:rPr>
          <w:b/>
          <w:szCs w:val="18"/>
          <w:lang w:val="en-GB"/>
        </w:rPr>
      </w:pPr>
      <w:r>
        <w:rPr>
          <w:noProof/>
          <w:lang w:eastAsia="pl-PL"/>
        </w:rPr>
        <w:lastRenderedPageBreak/>
        <w:drawing>
          <wp:anchor distT="0" distB="0" distL="114300" distR="114300" simplePos="0" relativeHeight="251673600" behindDoc="0" locked="0" layoutInCell="1" allowOverlap="1" wp14:anchorId="7D8C7C90" wp14:editId="23B6B595">
            <wp:simplePos x="0" y="0"/>
            <wp:positionH relativeFrom="column">
              <wp:posOffset>2548255</wp:posOffset>
            </wp:positionH>
            <wp:positionV relativeFrom="paragraph">
              <wp:posOffset>453806</wp:posOffset>
            </wp:positionV>
            <wp:extent cx="2516505" cy="2200275"/>
            <wp:effectExtent l="0" t="0" r="0" b="0"/>
            <wp:wrapSquare wrapText="bothSides"/>
            <wp:docPr id="31" name="Wykres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BA298E" w:rsidRPr="00BC12F6">
        <w:rPr>
          <w:b/>
          <w:szCs w:val="18"/>
          <w:lang w:val="en-GB"/>
        </w:rPr>
        <w:t>Chart</w:t>
      </w:r>
      <w:r w:rsidR="00E940D6" w:rsidRPr="00BC12F6">
        <w:rPr>
          <w:b/>
          <w:szCs w:val="18"/>
          <w:lang w:val="en-GB"/>
        </w:rPr>
        <w:t xml:space="preserve"> 2. </w:t>
      </w:r>
      <w:r w:rsidR="00BA298E" w:rsidRPr="00BA298E">
        <w:rPr>
          <w:b/>
          <w:szCs w:val="18"/>
          <w:lang w:val="en-GB"/>
        </w:rPr>
        <w:t>The structure of job vacancies and occupied jobs in Poland by size of units as at the end of the first quarter of 2021</w:t>
      </w:r>
    </w:p>
    <w:p w14:paraId="026BBE1B" w14:textId="6FAA9EAE" w:rsidR="00B8250E" w:rsidRPr="00BA298E" w:rsidRDefault="00B469D0" w:rsidP="00E940D6">
      <w:pPr>
        <w:rPr>
          <w:b/>
          <w:szCs w:val="18"/>
          <w:lang w:val="en-GB"/>
        </w:rPr>
      </w:pPr>
      <w:r>
        <w:rPr>
          <w:noProof/>
          <w:lang w:eastAsia="pl-PL"/>
        </w:rPr>
        <w:drawing>
          <wp:anchor distT="0" distB="0" distL="114300" distR="114300" simplePos="0" relativeHeight="251674624" behindDoc="0" locked="0" layoutInCell="1" allowOverlap="1" wp14:anchorId="710E83A9" wp14:editId="46477CAC">
            <wp:simplePos x="0" y="0"/>
            <wp:positionH relativeFrom="column">
              <wp:posOffset>5255</wp:posOffset>
            </wp:positionH>
            <wp:positionV relativeFrom="paragraph">
              <wp:posOffset>61507</wp:posOffset>
            </wp:positionV>
            <wp:extent cx="2517136" cy="2197420"/>
            <wp:effectExtent l="0" t="0" r="0" b="0"/>
            <wp:wrapSquare wrapText="bothSides"/>
            <wp:docPr id="22" name="Wykres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A68CB20" w14:textId="6E00E8FF" w:rsidR="00535DD9" w:rsidRDefault="00206104" w:rsidP="00593F44">
      <w:pPr>
        <w:rPr>
          <w:bCs/>
          <w:lang w:val="en-GB"/>
        </w:rPr>
      </w:pPr>
      <w:r w:rsidRPr="00206104">
        <w:rPr>
          <w:lang w:val="en-GB"/>
        </w:rPr>
        <w:t>In the first quarter of 2021, the largest number of job vacancies – 25.1 thousa</w:t>
      </w:r>
      <w:r w:rsidR="00E33E2C">
        <w:rPr>
          <w:lang w:val="en-GB"/>
        </w:rPr>
        <w:t>nd – were recorded</w:t>
      </w:r>
      <w:r>
        <w:rPr>
          <w:lang w:val="en-GB"/>
        </w:rPr>
        <w:t xml:space="preserve"> </w:t>
      </w:r>
      <w:r w:rsidRPr="00206104">
        <w:rPr>
          <w:lang w:val="en-GB"/>
        </w:rPr>
        <w:t>in units conducting activities in the field of manufacturing</w:t>
      </w:r>
      <w:r>
        <w:rPr>
          <w:lang w:val="en-GB"/>
        </w:rPr>
        <w:t>.</w:t>
      </w:r>
      <w:r w:rsidR="00B8250E" w:rsidRPr="00206104">
        <w:rPr>
          <w:lang w:val="en-GB"/>
        </w:rPr>
        <w:t xml:space="preserve"> </w:t>
      </w:r>
      <w:r>
        <w:rPr>
          <w:lang w:val="en-GB"/>
        </w:rPr>
        <w:t xml:space="preserve">They accounted for slightly more than a fifth of all job vacancies. </w:t>
      </w:r>
      <w:r w:rsidRPr="00206104">
        <w:rPr>
          <w:lang w:val="en-GB"/>
        </w:rPr>
        <w:t xml:space="preserve">Almost 15% of </w:t>
      </w:r>
      <w:r>
        <w:rPr>
          <w:lang w:val="en-GB"/>
        </w:rPr>
        <w:t xml:space="preserve">job </w:t>
      </w:r>
      <w:r w:rsidR="00F56580">
        <w:rPr>
          <w:lang w:val="en-GB"/>
        </w:rPr>
        <w:t>vacancies were offered by units from</w:t>
      </w:r>
      <w:r w:rsidRPr="00206104">
        <w:rPr>
          <w:lang w:val="en-GB"/>
        </w:rPr>
        <w:t xml:space="preserve"> the construction section</w:t>
      </w:r>
      <w:r>
        <w:rPr>
          <w:bCs/>
          <w:lang w:val="en-GB"/>
        </w:rPr>
        <w:t>.</w:t>
      </w:r>
    </w:p>
    <w:p w14:paraId="192CCC13" w14:textId="2F8EE6A4" w:rsidR="00405C07" w:rsidRPr="00206104" w:rsidRDefault="00405C07" w:rsidP="00593F44">
      <w:pPr>
        <w:rPr>
          <w:color w:val="000000"/>
          <w:lang w:val="en-GB"/>
        </w:rPr>
      </w:pPr>
    </w:p>
    <w:p w14:paraId="2145891C" w14:textId="52A54859" w:rsidR="00603EBB" w:rsidRDefault="006C1230" w:rsidP="00405C07">
      <w:pPr>
        <w:pStyle w:val="tytuwykresu"/>
        <w:ind w:left="652" w:hanging="652"/>
        <w:rPr>
          <w:color w:val="000000"/>
          <w:szCs w:val="18"/>
          <w:lang w:val="en-GB"/>
        </w:rPr>
      </w:pPr>
      <w:r>
        <w:rPr>
          <w:noProof/>
          <w:szCs w:val="18"/>
          <w:lang w:eastAsia="pl-PL"/>
        </w:rPr>
        <w:drawing>
          <wp:anchor distT="0" distB="0" distL="114300" distR="114300" simplePos="0" relativeHeight="251687936" behindDoc="0" locked="0" layoutInCell="1" allowOverlap="1" wp14:anchorId="1F3145A1" wp14:editId="24938988">
            <wp:simplePos x="0" y="0"/>
            <wp:positionH relativeFrom="margin">
              <wp:align>left</wp:align>
            </wp:positionH>
            <wp:positionV relativeFrom="paragraph">
              <wp:posOffset>370445</wp:posOffset>
            </wp:positionV>
            <wp:extent cx="5122545" cy="4386580"/>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ykres_3ang.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2545" cy="4386580"/>
                    </a:xfrm>
                    <a:prstGeom prst="rect">
                      <a:avLst/>
                    </a:prstGeom>
                  </pic:spPr>
                </pic:pic>
              </a:graphicData>
            </a:graphic>
            <wp14:sizeRelH relativeFrom="page">
              <wp14:pctWidth>0</wp14:pctWidth>
            </wp14:sizeRelH>
            <wp14:sizeRelV relativeFrom="page">
              <wp14:pctHeight>0</wp14:pctHeight>
            </wp14:sizeRelV>
          </wp:anchor>
        </w:drawing>
      </w:r>
      <w:r w:rsidR="00405C07">
        <w:rPr>
          <w:noProof/>
          <w:lang w:eastAsia="pl-PL"/>
        </w:rPr>
        <mc:AlternateContent>
          <mc:Choice Requires="wps">
            <w:drawing>
              <wp:anchor distT="0" distB="0" distL="114300" distR="114300" simplePos="0" relativeHeight="251658240" behindDoc="0" locked="0" layoutInCell="1" allowOverlap="1" wp14:anchorId="4259E748" wp14:editId="139286B0">
                <wp:simplePos x="0" y="0"/>
                <wp:positionH relativeFrom="column">
                  <wp:posOffset>5215180</wp:posOffset>
                </wp:positionH>
                <wp:positionV relativeFrom="paragraph">
                  <wp:posOffset>741712</wp:posOffset>
                </wp:positionV>
                <wp:extent cx="1681566" cy="1389600"/>
                <wp:effectExtent l="0" t="0" r="0" b="127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566" cy="138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90DA" w14:textId="77777777" w:rsidR="003F5188" w:rsidRPr="002D44B4" w:rsidRDefault="002D44B4" w:rsidP="00603EBB">
                            <w:pPr>
                              <w:spacing w:before="0"/>
                              <w:rPr>
                                <w:bCs/>
                                <w:color w:val="001D77"/>
                                <w:sz w:val="18"/>
                                <w:szCs w:val="18"/>
                                <w:lang w:val="en-GB"/>
                              </w:rPr>
                            </w:pPr>
                            <w:r w:rsidRPr="002D44B4">
                              <w:rPr>
                                <w:bCs/>
                                <w:color w:val="001D77"/>
                                <w:sz w:val="18"/>
                                <w:szCs w:val="18"/>
                                <w:lang w:val="en-GB"/>
                              </w:rPr>
                              <w:t>As in the previous quarters, most job vacancies were in units conducting activities in the field of manufacturing</w:t>
                            </w:r>
                            <w:r w:rsidR="003F5188" w:rsidRPr="002D44B4">
                              <w:rPr>
                                <w:bCs/>
                                <w:color w:val="001D77"/>
                                <w:sz w:val="18"/>
                                <w:szCs w:val="18"/>
                                <w:lang w:val="en-GB"/>
                              </w:rPr>
                              <w:t xml:space="preserve"> (2</w:t>
                            </w:r>
                            <w:r>
                              <w:rPr>
                                <w:bCs/>
                                <w:color w:val="001D77"/>
                                <w:sz w:val="18"/>
                                <w:szCs w:val="18"/>
                                <w:lang w:val="en-GB"/>
                              </w:rPr>
                              <w:t>2.</w:t>
                            </w:r>
                            <w:r w:rsidR="003F5188" w:rsidRPr="002D44B4">
                              <w:rPr>
                                <w:bCs/>
                                <w:color w:val="001D77"/>
                                <w:sz w:val="18"/>
                                <w:szCs w:val="18"/>
                                <w:lang w:val="en-GB"/>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9E748" id="_x0000_s1029" type="#_x0000_t202" style="position:absolute;left:0;text-align:left;margin-left:410.65pt;margin-top:58.4pt;width:132.4pt;height:10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auwIAAMM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" filled="f" stroked="f">
                <v:textbox>
                  <w:txbxContent>
                    <w:p w14:paraId="157690DA" w14:textId="77777777" w:rsidR="003F5188" w:rsidRPr="002D44B4" w:rsidRDefault="002D44B4" w:rsidP="00603EBB">
                      <w:pPr>
                        <w:spacing w:before="0"/>
                        <w:rPr>
                          <w:bCs/>
                          <w:color w:val="001D77"/>
                          <w:sz w:val="18"/>
                          <w:szCs w:val="18"/>
                          <w:lang w:val="en-GB"/>
                        </w:rPr>
                      </w:pPr>
                      <w:r w:rsidRPr="002D44B4">
                        <w:rPr>
                          <w:bCs/>
                          <w:color w:val="001D77"/>
                          <w:sz w:val="18"/>
                          <w:szCs w:val="18"/>
                          <w:lang w:val="en-GB"/>
                        </w:rPr>
                        <w:t>As in the previous quarters, most job vacancies were in units conducting activities in the field of manufacturing</w:t>
                      </w:r>
                      <w:r w:rsidR="003F5188" w:rsidRPr="002D44B4">
                        <w:rPr>
                          <w:bCs/>
                          <w:color w:val="001D77"/>
                          <w:sz w:val="18"/>
                          <w:szCs w:val="18"/>
                          <w:lang w:val="en-GB"/>
                        </w:rPr>
                        <w:t xml:space="preserve"> (2</w:t>
                      </w:r>
                      <w:r>
                        <w:rPr>
                          <w:bCs/>
                          <w:color w:val="001D77"/>
                          <w:sz w:val="18"/>
                          <w:szCs w:val="18"/>
                          <w:lang w:val="en-GB"/>
                        </w:rPr>
                        <w:t>2.</w:t>
                      </w:r>
                      <w:r w:rsidR="003F5188" w:rsidRPr="002D44B4">
                        <w:rPr>
                          <w:bCs/>
                          <w:color w:val="001D77"/>
                          <w:sz w:val="18"/>
                          <w:szCs w:val="18"/>
                          <w:lang w:val="en-GB"/>
                        </w:rPr>
                        <w:t>8%)</w:t>
                      </w:r>
                    </w:p>
                  </w:txbxContent>
                </v:textbox>
              </v:shape>
            </w:pict>
          </mc:Fallback>
        </mc:AlternateContent>
      </w:r>
      <w:r w:rsidR="00F56580" w:rsidRPr="00F56580">
        <w:rPr>
          <w:szCs w:val="18"/>
          <w:lang w:val="en-GB"/>
        </w:rPr>
        <w:t>Chart</w:t>
      </w:r>
      <w:r w:rsidR="00603EBB" w:rsidRPr="00F56580">
        <w:rPr>
          <w:szCs w:val="18"/>
          <w:lang w:val="en-GB"/>
        </w:rPr>
        <w:t xml:space="preserve"> </w:t>
      </w:r>
      <w:r w:rsidR="00726F28" w:rsidRPr="00F56580">
        <w:rPr>
          <w:szCs w:val="18"/>
          <w:lang w:val="en-GB"/>
        </w:rPr>
        <w:t>3</w:t>
      </w:r>
      <w:r w:rsidR="00603EBB" w:rsidRPr="00F56580">
        <w:rPr>
          <w:szCs w:val="18"/>
          <w:lang w:val="en-GB"/>
        </w:rPr>
        <w:t xml:space="preserve">. </w:t>
      </w:r>
      <w:r w:rsidR="00F56580">
        <w:rPr>
          <w:szCs w:val="18"/>
          <w:lang w:val="en-GB"/>
        </w:rPr>
        <w:t>Job vacancies and vacant</w:t>
      </w:r>
      <w:r w:rsidR="00F56580" w:rsidRPr="00F56580">
        <w:rPr>
          <w:szCs w:val="18"/>
          <w:lang w:val="en-GB"/>
        </w:rPr>
        <w:t xml:space="preserve"> newly created jobs in Poland by selected PKD (NACE) sections as at the end of the</w:t>
      </w:r>
      <w:r w:rsidR="00F56580">
        <w:rPr>
          <w:szCs w:val="18"/>
          <w:lang w:val="en-GB"/>
        </w:rPr>
        <w:t xml:space="preserve"> first quarter of 2021</w:t>
      </w:r>
      <w:r w:rsidR="006A3D06">
        <w:rPr>
          <w:color w:val="000000"/>
          <w:szCs w:val="18"/>
          <w:lang w:val="en-GB"/>
        </w:rPr>
        <w:t xml:space="preserve"> </w:t>
      </w:r>
    </w:p>
    <w:p w14:paraId="024CB534" w14:textId="25F8BE32" w:rsidR="006A3D06" w:rsidRPr="00F56580" w:rsidRDefault="006A3D06" w:rsidP="00B60A14">
      <w:pPr>
        <w:pStyle w:val="tytuwykresu"/>
        <w:ind w:left="794" w:hanging="794"/>
        <w:rPr>
          <w:szCs w:val="18"/>
          <w:lang w:val="en-GB"/>
        </w:rPr>
      </w:pPr>
    </w:p>
    <w:p w14:paraId="03A9B2BE" w14:textId="77777777" w:rsidR="00545F9C" w:rsidRPr="00F56580" w:rsidRDefault="00545F9C" w:rsidP="00754082">
      <w:pPr>
        <w:rPr>
          <w:lang w:val="en-GB"/>
        </w:rPr>
      </w:pPr>
    </w:p>
    <w:p w14:paraId="0574CC08" w14:textId="77777777" w:rsidR="0074680D" w:rsidRDefault="0074680D">
      <w:pPr>
        <w:spacing w:before="0" w:after="0" w:line="240" w:lineRule="auto"/>
        <w:rPr>
          <w:b/>
          <w:spacing w:val="-4"/>
          <w:sz w:val="18"/>
          <w:szCs w:val="18"/>
          <w:lang w:val="en-GB"/>
        </w:rPr>
      </w:pPr>
      <w:r>
        <w:rPr>
          <w:spacing w:val="-4"/>
          <w:szCs w:val="18"/>
          <w:lang w:val="en-GB"/>
        </w:rPr>
        <w:br w:type="page"/>
      </w:r>
    </w:p>
    <w:p w14:paraId="203AE603" w14:textId="3ACA6FC6" w:rsidR="002F2EF8" w:rsidRPr="00086248" w:rsidRDefault="00086248" w:rsidP="00405C07">
      <w:pPr>
        <w:pStyle w:val="tytuwykresu"/>
        <w:ind w:left="652" w:hanging="652"/>
        <w:rPr>
          <w:spacing w:val="-4"/>
          <w:szCs w:val="18"/>
          <w:lang w:val="en-GB"/>
        </w:rPr>
      </w:pPr>
      <w:r w:rsidRPr="00086248">
        <w:rPr>
          <w:spacing w:val="-4"/>
          <w:szCs w:val="18"/>
          <w:lang w:val="en-GB"/>
        </w:rPr>
        <w:lastRenderedPageBreak/>
        <w:t xml:space="preserve">Chart </w:t>
      </w:r>
      <w:r w:rsidR="00726F28" w:rsidRPr="00086248">
        <w:rPr>
          <w:spacing w:val="-4"/>
          <w:szCs w:val="18"/>
          <w:lang w:val="en-GB"/>
        </w:rPr>
        <w:t>4</w:t>
      </w:r>
      <w:r w:rsidR="002F2EF8" w:rsidRPr="00086248">
        <w:rPr>
          <w:spacing w:val="-4"/>
          <w:szCs w:val="18"/>
          <w:lang w:val="en-GB"/>
        </w:rPr>
        <w:t xml:space="preserve">. </w:t>
      </w:r>
      <w:r>
        <w:rPr>
          <w:spacing w:val="-4"/>
          <w:szCs w:val="18"/>
          <w:lang w:val="en-GB"/>
        </w:rPr>
        <w:t>T</w:t>
      </w:r>
      <w:r w:rsidRPr="00086248">
        <w:rPr>
          <w:spacing w:val="-4"/>
          <w:szCs w:val="18"/>
          <w:lang w:val="en-GB"/>
        </w:rPr>
        <w:t xml:space="preserve">he structure of job vacancies and occupied jobs in Poland by major occupational group </w:t>
      </w:r>
      <w:r w:rsidR="0074680D">
        <w:rPr>
          <w:spacing w:val="-4"/>
          <w:szCs w:val="18"/>
          <w:lang w:val="en-GB"/>
        </w:rPr>
        <w:br/>
      </w:r>
      <w:r w:rsidRPr="00086248">
        <w:rPr>
          <w:spacing w:val="-4"/>
          <w:szCs w:val="18"/>
          <w:lang w:val="en-GB"/>
        </w:rPr>
        <w:t>as at the end of the</w:t>
      </w:r>
      <w:r>
        <w:rPr>
          <w:spacing w:val="-4"/>
          <w:szCs w:val="18"/>
          <w:lang w:val="en-GB"/>
        </w:rPr>
        <w:t xml:space="preserve"> first quarter of 2021</w:t>
      </w:r>
    </w:p>
    <w:p w14:paraId="48D316BE" w14:textId="01F10864" w:rsidR="002C6979" w:rsidRPr="00086248" w:rsidRDefault="0074680D" w:rsidP="002F2EF8">
      <w:pPr>
        <w:rPr>
          <w:lang w:val="en-GB"/>
        </w:rPr>
      </w:pPr>
      <w:r>
        <w:rPr>
          <w:noProof/>
          <w:lang w:eastAsia="pl-PL"/>
        </w:rPr>
        <w:drawing>
          <wp:anchor distT="0" distB="0" distL="114300" distR="114300" simplePos="0" relativeHeight="251679744" behindDoc="0" locked="0" layoutInCell="1" allowOverlap="1" wp14:anchorId="3E6B7716" wp14:editId="07DCC2B4">
            <wp:simplePos x="0" y="0"/>
            <wp:positionH relativeFrom="column">
              <wp:posOffset>3600</wp:posOffset>
            </wp:positionH>
            <wp:positionV relativeFrom="paragraph">
              <wp:posOffset>-355</wp:posOffset>
            </wp:positionV>
            <wp:extent cx="5004000" cy="2880000"/>
            <wp:effectExtent l="0" t="0" r="6350" b="0"/>
            <wp:wrapSquare wrapText="bothSides"/>
            <wp:docPr id="552" name="Wykres 5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651C4612" w14:textId="67135400" w:rsidR="00260AB5" w:rsidRPr="00C837AC" w:rsidRDefault="00C837AC" w:rsidP="00C837AC">
      <w:pPr>
        <w:rPr>
          <w:rFonts w:eastAsia="Times New Roman"/>
          <w:szCs w:val="19"/>
          <w:lang w:val="en-GB" w:eastAsia="pl-PL"/>
        </w:rPr>
      </w:pPr>
      <w:r w:rsidRPr="00C837AC">
        <w:rPr>
          <w:rFonts w:eastAsia="Times New Roman"/>
          <w:szCs w:val="19"/>
          <w:lang w:val="en-GB" w:eastAsia="pl-PL"/>
        </w:rPr>
        <w:t>U</w:t>
      </w:r>
      <w:r>
        <w:rPr>
          <w:rFonts w:eastAsia="Times New Roman"/>
          <w:szCs w:val="19"/>
          <w:lang w:val="en-GB" w:eastAsia="pl-PL"/>
        </w:rPr>
        <w:t xml:space="preserve">nits </w:t>
      </w:r>
      <w:r w:rsidRPr="00C837AC">
        <w:rPr>
          <w:rFonts w:eastAsia="Times New Roman"/>
          <w:szCs w:val="19"/>
          <w:lang w:val="en-GB" w:eastAsia="pl-PL"/>
        </w:rPr>
        <w:t xml:space="preserve">with vacancies most often were looking </w:t>
      </w:r>
      <w:r>
        <w:rPr>
          <w:rFonts w:eastAsia="Times New Roman"/>
          <w:szCs w:val="19"/>
          <w:lang w:val="en-GB" w:eastAsia="pl-PL"/>
        </w:rPr>
        <w:t xml:space="preserve">for professionals, for whom around a quarter of job vacancies were intended in the first quarter of 2021. </w:t>
      </w:r>
      <w:r w:rsidRPr="00C837AC">
        <w:rPr>
          <w:rFonts w:eastAsia="Times New Roman"/>
          <w:szCs w:val="19"/>
          <w:lang w:val="en-GB" w:eastAsia="pl-PL"/>
        </w:rPr>
        <w:t>Moreover, num</w:t>
      </w:r>
      <w:r>
        <w:rPr>
          <w:rFonts w:eastAsia="Times New Roman"/>
          <w:szCs w:val="19"/>
          <w:lang w:val="en-GB" w:eastAsia="pl-PL"/>
        </w:rPr>
        <w:t xml:space="preserve">erous job offers were intended </w:t>
      </w:r>
      <w:r w:rsidRPr="00C837AC">
        <w:rPr>
          <w:rFonts w:eastAsia="Times New Roman"/>
          <w:szCs w:val="19"/>
          <w:lang w:val="en-GB" w:eastAsia="pl-PL"/>
        </w:rPr>
        <w:t>for craft and related trades workers</w:t>
      </w:r>
      <w:r w:rsidR="00E33E2C">
        <w:rPr>
          <w:rFonts w:eastAsia="Times New Roman"/>
          <w:szCs w:val="19"/>
          <w:lang w:val="en-GB" w:eastAsia="pl-PL"/>
        </w:rPr>
        <w:t>. For these</w:t>
      </w:r>
      <w:r>
        <w:rPr>
          <w:rFonts w:eastAsia="Times New Roman"/>
          <w:szCs w:val="19"/>
          <w:lang w:val="en-GB" w:eastAsia="pl-PL"/>
        </w:rPr>
        <w:t xml:space="preserve"> occupational groups </w:t>
      </w:r>
      <w:r w:rsidRPr="00C837AC">
        <w:rPr>
          <w:rFonts w:eastAsia="Times New Roman"/>
          <w:szCs w:val="19"/>
          <w:lang w:val="en-GB" w:eastAsia="pl-PL"/>
        </w:rPr>
        <w:t>over 10 thousand job vacancies were offered.</w:t>
      </w:r>
    </w:p>
    <w:p w14:paraId="08B91295" w14:textId="11BD434B" w:rsidR="00B21598" w:rsidRPr="00C837AC" w:rsidRDefault="00B21598" w:rsidP="00593F44">
      <w:pPr>
        <w:rPr>
          <w:lang w:val="en-GB"/>
        </w:rPr>
      </w:pPr>
    </w:p>
    <w:p w14:paraId="3F0AA323" w14:textId="175989B2" w:rsidR="00740D98" w:rsidRPr="0015119E" w:rsidRDefault="006C1230" w:rsidP="000426F7">
      <w:pPr>
        <w:pStyle w:val="tytuwykresu"/>
        <w:ind w:left="652" w:hanging="652"/>
        <w:rPr>
          <w:color w:val="000000"/>
          <w:spacing w:val="0"/>
          <w:szCs w:val="18"/>
          <w:lang w:val="en-GB"/>
        </w:rPr>
      </w:pPr>
      <w:r>
        <w:rPr>
          <w:noProof/>
          <w:lang w:eastAsia="pl-PL"/>
        </w:rPr>
        <w:drawing>
          <wp:anchor distT="0" distB="0" distL="114300" distR="114300" simplePos="0" relativeHeight="251688960" behindDoc="0" locked="0" layoutInCell="1" allowOverlap="1" wp14:anchorId="1806504B" wp14:editId="626F168D">
            <wp:simplePos x="0" y="0"/>
            <wp:positionH relativeFrom="margin">
              <wp:align>left</wp:align>
            </wp:positionH>
            <wp:positionV relativeFrom="paragraph">
              <wp:posOffset>337769</wp:posOffset>
            </wp:positionV>
            <wp:extent cx="5122545" cy="2625090"/>
            <wp:effectExtent l="0" t="0" r="0" b="381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ykres_5ang.wm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2545" cy="2625090"/>
                    </a:xfrm>
                    <a:prstGeom prst="rect">
                      <a:avLst/>
                    </a:prstGeom>
                  </pic:spPr>
                </pic:pic>
              </a:graphicData>
            </a:graphic>
            <wp14:sizeRelH relativeFrom="page">
              <wp14:pctWidth>0</wp14:pctWidth>
            </wp14:sizeRelH>
            <wp14:sizeRelV relativeFrom="page">
              <wp14:pctHeight>0</wp14:pctHeight>
            </wp14:sizeRelV>
          </wp:anchor>
        </w:drawing>
      </w:r>
      <w:r w:rsidR="00C837AC" w:rsidRPr="00BC12F6">
        <w:rPr>
          <w:spacing w:val="-3"/>
          <w:szCs w:val="18"/>
          <w:lang w:val="en-GB"/>
        </w:rPr>
        <w:t>Chart</w:t>
      </w:r>
      <w:r w:rsidR="002F2EF8" w:rsidRPr="00BC12F6">
        <w:rPr>
          <w:color w:val="000000"/>
          <w:spacing w:val="-3"/>
          <w:szCs w:val="18"/>
          <w:lang w:val="en-GB"/>
        </w:rPr>
        <w:t xml:space="preserve"> </w:t>
      </w:r>
      <w:r w:rsidR="00726F28" w:rsidRPr="00BC12F6">
        <w:rPr>
          <w:color w:val="000000"/>
          <w:spacing w:val="-3"/>
          <w:szCs w:val="18"/>
          <w:lang w:val="en-GB"/>
        </w:rPr>
        <w:t>5</w:t>
      </w:r>
      <w:r w:rsidR="002F2EF8" w:rsidRPr="00BC12F6">
        <w:rPr>
          <w:color w:val="000000"/>
          <w:spacing w:val="-3"/>
          <w:szCs w:val="18"/>
          <w:lang w:val="en-GB"/>
        </w:rPr>
        <w:t xml:space="preserve">. </w:t>
      </w:r>
      <w:r w:rsidR="00C837AC" w:rsidRPr="0015119E">
        <w:rPr>
          <w:color w:val="000000"/>
          <w:spacing w:val="-3"/>
          <w:szCs w:val="18"/>
          <w:lang w:val="en-GB"/>
        </w:rPr>
        <w:t>Job vacancies and vacant newly created jobs</w:t>
      </w:r>
      <w:r w:rsidR="0015119E" w:rsidRPr="0015119E">
        <w:rPr>
          <w:color w:val="000000"/>
          <w:spacing w:val="-3"/>
          <w:szCs w:val="18"/>
          <w:lang w:val="en-GB"/>
        </w:rPr>
        <w:t xml:space="preserve"> in Poland by major occupational group as at the end of the first quarter of 2021</w:t>
      </w:r>
    </w:p>
    <w:p w14:paraId="16215AB9" w14:textId="47F83016" w:rsidR="00B364FE" w:rsidRPr="0015119E" w:rsidRDefault="00C82653" w:rsidP="00754082">
      <w:pPr>
        <w:pStyle w:val="tytuwykresu"/>
        <w:ind w:left="822" w:hanging="822"/>
        <w:rPr>
          <w:b w:val="0"/>
          <w:spacing w:val="0"/>
          <w:sz w:val="19"/>
          <w:szCs w:val="19"/>
          <w:lang w:val="en-GB"/>
        </w:rPr>
      </w:pPr>
      <w:r>
        <w:rPr>
          <w:noProof/>
          <w:lang w:eastAsia="pl-PL"/>
        </w:rPr>
        <mc:AlternateContent>
          <mc:Choice Requires="wps">
            <w:drawing>
              <wp:anchor distT="0" distB="0" distL="114300" distR="114300" simplePos="0" relativeHeight="251659264" behindDoc="0" locked="0" layoutInCell="1" allowOverlap="1" wp14:anchorId="47E8899E" wp14:editId="2EDB38FB">
                <wp:simplePos x="0" y="0"/>
                <wp:positionH relativeFrom="column">
                  <wp:posOffset>5207431</wp:posOffset>
                </wp:positionH>
                <wp:positionV relativeFrom="paragraph">
                  <wp:posOffset>2815461</wp:posOffset>
                </wp:positionV>
                <wp:extent cx="1697064" cy="1117126"/>
                <wp:effectExtent l="0" t="0" r="0" b="6985"/>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064" cy="1117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E509" w14:textId="77777777" w:rsidR="003F5188" w:rsidRPr="0015119E" w:rsidRDefault="0015119E" w:rsidP="002F2EF8">
                            <w:pPr>
                              <w:spacing w:before="0"/>
                              <w:rPr>
                                <w:bCs/>
                                <w:color w:val="001D77"/>
                                <w:sz w:val="18"/>
                                <w:szCs w:val="18"/>
                                <w:lang w:val="en-GB"/>
                              </w:rPr>
                            </w:pPr>
                            <w:r w:rsidRPr="0015119E">
                              <w:rPr>
                                <w:bCs/>
                                <w:color w:val="001D77"/>
                                <w:sz w:val="18"/>
                                <w:szCs w:val="18"/>
                                <w:lang w:val="en-GB"/>
                              </w:rPr>
                              <w:t>In the first</w:t>
                            </w:r>
                            <w:r>
                              <w:rPr>
                                <w:bCs/>
                                <w:color w:val="001D77"/>
                                <w:sz w:val="18"/>
                                <w:szCs w:val="18"/>
                                <w:lang w:val="en-GB"/>
                              </w:rPr>
                              <w:t xml:space="preserve"> quarter </w:t>
                            </w:r>
                            <w:r w:rsidRPr="0015119E">
                              <w:rPr>
                                <w:bCs/>
                                <w:color w:val="001D77"/>
                                <w:sz w:val="18"/>
                                <w:szCs w:val="18"/>
                                <w:lang w:val="en-GB"/>
                              </w:rPr>
                              <w:t>of 2021, unfilled jobs were offered primarily to professionals</w:t>
                            </w:r>
                            <w:r>
                              <w:rPr>
                                <w:bCs/>
                                <w:color w:val="001D77"/>
                                <w:sz w:val="18"/>
                                <w:szCs w:val="18"/>
                                <w:lang w:val="en-GB"/>
                              </w:rPr>
                              <w:t xml:space="preserve"> (24.</w:t>
                            </w:r>
                            <w:r w:rsidR="003F5188" w:rsidRPr="0015119E">
                              <w:rPr>
                                <w:bCs/>
                                <w:color w:val="001D77"/>
                                <w:sz w:val="18"/>
                                <w:szCs w:val="18"/>
                                <w:lang w:val="en-GB"/>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8899E" id="_x0000_t202" coordsize="21600,21600" o:spt="202" path="m,l,21600r21600,l21600,xe">
                <v:stroke joinstyle="miter"/>
                <v:path gradientshapeok="t" o:connecttype="rect"/>
              </v:shapetype>
              <v:shape id="_x0000_s1030" type="#_x0000_t202" style="position:absolute;left:0;text-align:left;margin-left:410.05pt;margin-top:221.7pt;width:133.65pt;height: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Ipug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" filled="f" stroked="f">
                <v:textbox>
                  <w:txbxContent>
                    <w:p w14:paraId="0C8EE509" w14:textId="77777777" w:rsidR="003F5188" w:rsidRPr="0015119E" w:rsidRDefault="0015119E" w:rsidP="002F2EF8">
                      <w:pPr>
                        <w:spacing w:before="0"/>
                        <w:rPr>
                          <w:bCs/>
                          <w:color w:val="001D77"/>
                          <w:sz w:val="18"/>
                          <w:szCs w:val="18"/>
                          <w:lang w:val="en-GB"/>
                        </w:rPr>
                      </w:pPr>
                      <w:r w:rsidRPr="0015119E">
                        <w:rPr>
                          <w:bCs/>
                          <w:color w:val="001D77"/>
                          <w:sz w:val="18"/>
                          <w:szCs w:val="18"/>
                          <w:lang w:val="en-GB"/>
                        </w:rPr>
                        <w:t>In the first</w:t>
                      </w:r>
                      <w:r>
                        <w:rPr>
                          <w:bCs/>
                          <w:color w:val="001D77"/>
                          <w:sz w:val="18"/>
                          <w:szCs w:val="18"/>
                          <w:lang w:val="en-GB"/>
                        </w:rPr>
                        <w:t xml:space="preserve"> quarter </w:t>
                      </w:r>
                      <w:r w:rsidRPr="0015119E">
                        <w:rPr>
                          <w:bCs/>
                          <w:color w:val="001D77"/>
                          <w:sz w:val="18"/>
                          <w:szCs w:val="18"/>
                          <w:lang w:val="en-GB"/>
                        </w:rPr>
                        <w:t>of 2021, unfilled jobs were offered primarily to professionals</w:t>
                      </w:r>
                      <w:r>
                        <w:rPr>
                          <w:bCs/>
                          <w:color w:val="001D77"/>
                          <w:sz w:val="18"/>
                          <w:szCs w:val="18"/>
                          <w:lang w:val="en-GB"/>
                        </w:rPr>
                        <w:t xml:space="preserve"> (24.</w:t>
                      </w:r>
                      <w:r w:rsidR="003F5188" w:rsidRPr="0015119E">
                        <w:rPr>
                          <w:bCs/>
                          <w:color w:val="001D77"/>
                          <w:sz w:val="18"/>
                          <w:szCs w:val="18"/>
                          <w:lang w:val="en-GB"/>
                        </w:rPr>
                        <w:t>9%)</w:t>
                      </w:r>
                    </w:p>
                  </w:txbxContent>
                </v:textbox>
              </v:shape>
            </w:pict>
          </mc:Fallback>
        </mc:AlternateContent>
      </w:r>
    </w:p>
    <w:p w14:paraId="18A218FE" w14:textId="58172D09" w:rsidR="004624F0" w:rsidRPr="00BC12F6" w:rsidRDefault="00BC12F6">
      <w:pPr>
        <w:rPr>
          <w:noProof/>
          <w:szCs w:val="19"/>
          <w:lang w:val="en-GB" w:eastAsia="pl-PL"/>
        </w:rPr>
      </w:pPr>
      <w:r w:rsidRPr="00BC12F6">
        <w:rPr>
          <w:lang w:val="en-GB"/>
        </w:rPr>
        <w:t>Of the total number of</w:t>
      </w:r>
      <w:r w:rsidR="000F3BBA" w:rsidRPr="00BC12F6">
        <w:rPr>
          <w:noProof/>
          <w:szCs w:val="19"/>
          <w:lang w:val="en-GB" w:eastAsia="pl-PL"/>
        </w:rPr>
        <w:t xml:space="preserve"> </w:t>
      </w:r>
      <w:r w:rsidRPr="00BC12F6">
        <w:rPr>
          <w:noProof/>
          <w:szCs w:val="19"/>
          <w:lang w:val="en-GB" w:eastAsia="pl-PL"/>
        </w:rPr>
        <w:t>110.</w:t>
      </w:r>
      <w:r w:rsidR="009E58D3" w:rsidRPr="00BC12F6">
        <w:rPr>
          <w:noProof/>
          <w:szCs w:val="19"/>
          <w:lang w:val="en-GB" w:eastAsia="pl-PL"/>
        </w:rPr>
        <w:t>2</w:t>
      </w:r>
      <w:r w:rsidRPr="00BC12F6">
        <w:rPr>
          <w:noProof/>
          <w:szCs w:val="19"/>
          <w:lang w:val="en-GB" w:eastAsia="pl-PL"/>
        </w:rPr>
        <w:t xml:space="preserve"> thousand job vacancies, around</w:t>
      </w:r>
      <w:r w:rsidR="003314F0" w:rsidRPr="00BC12F6">
        <w:rPr>
          <w:noProof/>
          <w:szCs w:val="19"/>
          <w:lang w:val="en-GB" w:eastAsia="pl-PL"/>
        </w:rPr>
        <w:t xml:space="preserve"> 12% </w:t>
      </w:r>
      <w:r w:rsidRPr="00BC12F6">
        <w:rPr>
          <w:noProof/>
          <w:szCs w:val="19"/>
          <w:lang w:val="en-GB" w:eastAsia="pl-PL"/>
        </w:rPr>
        <w:t xml:space="preserve">were reported </w:t>
      </w:r>
      <w:r>
        <w:rPr>
          <w:noProof/>
          <w:szCs w:val="19"/>
          <w:lang w:val="en-GB" w:eastAsia="pl-PL"/>
        </w:rPr>
        <w:t>to labour offices by employers</w:t>
      </w:r>
      <w:r w:rsidR="000F3BBA" w:rsidRPr="00BC12F6">
        <w:rPr>
          <w:noProof/>
          <w:szCs w:val="19"/>
          <w:lang w:val="en-GB" w:eastAsia="pl-PL"/>
        </w:rPr>
        <w:t xml:space="preserve">. </w:t>
      </w:r>
      <w:r w:rsidRPr="00BC12F6">
        <w:rPr>
          <w:noProof/>
          <w:szCs w:val="19"/>
          <w:lang w:val="en-GB" w:eastAsia="pl-PL"/>
        </w:rPr>
        <w:t xml:space="preserve">Notifications to labour offices were mainly made by </w:t>
      </w:r>
      <w:r>
        <w:rPr>
          <w:noProof/>
          <w:szCs w:val="19"/>
          <w:lang w:val="en-GB" w:eastAsia="pl-PL"/>
        </w:rPr>
        <w:t>private sector units</w:t>
      </w:r>
      <w:r w:rsidR="001B4671" w:rsidRPr="00BC12F6">
        <w:rPr>
          <w:noProof/>
          <w:szCs w:val="19"/>
          <w:lang w:val="en-GB" w:eastAsia="pl-PL"/>
        </w:rPr>
        <w:t xml:space="preserve"> </w:t>
      </w:r>
      <w:r w:rsidR="00207C51" w:rsidRPr="00BC12F6">
        <w:rPr>
          <w:noProof/>
          <w:szCs w:val="19"/>
          <w:lang w:val="en-GB" w:eastAsia="pl-PL"/>
        </w:rPr>
        <w:t>–</w:t>
      </w:r>
      <w:r w:rsidR="000F3BBA" w:rsidRPr="00BC12F6">
        <w:rPr>
          <w:noProof/>
          <w:szCs w:val="19"/>
          <w:lang w:val="en-GB" w:eastAsia="pl-PL"/>
        </w:rPr>
        <w:t xml:space="preserve"> </w:t>
      </w:r>
      <w:r>
        <w:rPr>
          <w:noProof/>
          <w:szCs w:val="19"/>
          <w:lang w:val="en-GB" w:eastAsia="pl-PL"/>
        </w:rPr>
        <w:t>81.</w:t>
      </w:r>
      <w:r w:rsidR="009E58D3" w:rsidRPr="00BC12F6">
        <w:rPr>
          <w:noProof/>
          <w:szCs w:val="19"/>
          <w:lang w:val="en-GB" w:eastAsia="pl-PL"/>
        </w:rPr>
        <w:t>8</w:t>
      </w:r>
      <w:r w:rsidR="000F3BBA" w:rsidRPr="00BC12F6">
        <w:rPr>
          <w:noProof/>
          <w:szCs w:val="19"/>
          <w:lang w:val="en-GB" w:eastAsia="pl-PL"/>
        </w:rPr>
        <w:t xml:space="preserve">%. </w:t>
      </w:r>
      <w:r w:rsidRPr="00BC12F6">
        <w:rPr>
          <w:noProof/>
          <w:szCs w:val="19"/>
          <w:lang w:val="en-GB" w:eastAsia="pl-PL"/>
        </w:rPr>
        <w:t xml:space="preserve">The number of job vacancies reported to labour offices broken down by size </w:t>
      </w:r>
      <w:r w:rsidR="00C82653">
        <w:rPr>
          <w:noProof/>
          <w:szCs w:val="19"/>
          <w:lang w:val="en-GB" w:eastAsia="pl-PL"/>
        </w:rPr>
        <w:br/>
      </w:r>
      <w:r w:rsidRPr="00BC12F6">
        <w:rPr>
          <w:noProof/>
          <w:szCs w:val="19"/>
          <w:lang w:val="en-GB" w:eastAsia="pl-PL"/>
        </w:rPr>
        <w:t>of units ranged from</w:t>
      </w:r>
      <w:r w:rsidR="0064537C" w:rsidRPr="00BC12F6">
        <w:rPr>
          <w:noProof/>
          <w:szCs w:val="19"/>
          <w:lang w:val="en-GB" w:eastAsia="pl-PL"/>
        </w:rPr>
        <w:t xml:space="preserve"> </w:t>
      </w:r>
      <w:r w:rsidRPr="00BC12F6">
        <w:rPr>
          <w:noProof/>
          <w:szCs w:val="19"/>
          <w:lang w:val="en-GB" w:eastAsia="pl-PL"/>
        </w:rPr>
        <w:t>3.</w:t>
      </w:r>
      <w:r w:rsidR="009E58D3" w:rsidRPr="00BC12F6">
        <w:rPr>
          <w:noProof/>
          <w:szCs w:val="19"/>
          <w:lang w:val="en-GB" w:eastAsia="pl-PL"/>
        </w:rPr>
        <w:t>4</w:t>
      </w:r>
      <w:r w:rsidRPr="00BC12F6">
        <w:rPr>
          <w:noProof/>
          <w:szCs w:val="19"/>
          <w:lang w:val="en-GB" w:eastAsia="pl-PL"/>
        </w:rPr>
        <w:t xml:space="preserve"> t</w:t>
      </w:r>
      <w:r>
        <w:rPr>
          <w:noProof/>
          <w:szCs w:val="19"/>
          <w:lang w:val="en-GB" w:eastAsia="pl-PL"/>
        </w:rPr>
        <w:t>housand in</w:t>
      </w:r>
      <w:r w:rsidRPr="00BC12F6">
        <w:rPr>
          <w:noProof/>
          <w:szCs w:val="19"/>
          <w:lang w:val="en-GB" w:eastAsia="pl-PL"/>
        </w:rPr>
        <w:t xml:space="preserve"> units with 10–49 employed persons</w:t>
      </w:r>
      <w:r>
        <w:rPr>
          <w:noProof/>
          <w:szCs w:val="19"/>
          <w:lang w:val="en-GB" w:eastAsia="pl-PL"/>
        </w:rPr>
        <w:t xml:space="preserve"> up to 5.5 thousand in units with up to 9 employed persons.</w:t>
      </w:r>
    </w:p>
    <w:p w14:paraId="1DA57B14" w14:textId="1B322D6F" w:rsidR="00355611" w:rsidRPr="008D734B" w:rsidRDefault="008D734B" w:rsidP="008D734B">
      <w:pPr>
        <w:rPr>
          <w:noProof/>
          <w:szCs w:val="19"/>
          <w:lang w:val="en-GB" w:eastAsia="pl-PL"/>
        </w:rPr>
      </w:pPr>
      <w:r>
        <w:rPr>
          <w:noProof/>
          <w:szCs w:val="19"/>
          <w:lang w:val="en-GB" w:eastAsia="pl-PL"/>
        </w:rPr>
        <w:t>Most v</w:t>
      </w:r>
      <w:r w:rsidRPr="008D734B">
        <w:rPr>
          <w:noProof/>
          <w:szCs w:val="19"/>
          <w:lang w:val="en-GB" w:eastAsia="pl-PL"/>
        </w:rPr>
        <w:t>acancies were reported to labour offices by units conduct</w:t>
      </w:r>
      <w:r>
        <w:rPr>
          <w:noProof/>
          <w:szCs w:val="19"/>
          <w:lang w:val="en-GB" w:eastAsia="pl-PL"/>
        </w:rPr>
        <w:t xml:space="preserve">ing activities in the field of </w:t>
      </w:r>
      <w:r w:rsidRPr="008D734B">
        <w:rPr>
          <w:noProof/>
          <w:szCs w:val="19"/>
          <w:lang w:val="en-GB" w:eastAsia="pl-PL"/>
        </w:rPr>
        <w:t>manufacturing</w:t>
      </w:r>
      <w:r w:rsidR="000E026E" w:rsidRPr="008D734B">
        <w:rPr>
          <w:noProof/>
          <w:szCs w:val="19"/>
          <w:lang w:val="en-GB" w:eastAsia="pl-PL"/>
        </w:rPr>
        <w:t xml:space="preserve"> </w:t>
      </w:r>
      <w:r w:rsidR="00207C51" w:rsidRPr="008D734B">
        <w:rPr>
          <w:noProof/>
          <w:szCs w:val="19"/>
          <w:lang w:val="en-GB" w:eastAsia="pl-PL"/>
        </w:rPr>
        <w:t xml:space="preserve">– </w:t>
      </w:r>
      <w:r w:rsidR="0064537C" w:rsidRPr="008D734B">
        <w:rPr>
          <w:noProof/>
          <w:szCs w:val="19"/>
          <w:lang w:val="en-GB" w:eastAsia="pl-PL"/>
        </w:rPr>
        <w:t>3</w:t>
      </w:r>
      <w:r>
        <w:rPr>
          <w:noProof/>
          <w:szCs w:val="19"/>
          <w:lang w:val="en-GB" w:eastAsia="pl-PL"/>
        </w:rPr>
        <w:t>.</w:t>
      </w:r>
      <w:r w:rsidR="00AE1E29" w:rsidRPr="008D734B">
        <w:rPr>
          <w:noProof/>
          <w:szCs w:val="19"/>
          <w:lang w:val="en-GB" w:eastAsia="pl-PL"/>
        </w:rPr>
        <w:t>9</w:t>
      </w:r>
      <w:r w:rsidR="000426F7">
        <w:rPr>
          <w:noProof/>
          <w:szCs w:val="19"/>
          <w:lang w:val="en-GB" w:eastAsia="pl-PL"/>
        </w:rPr>
        <w:t xml:space="preserve"> thousand.</w:t>
      </w:r>
      <w:r w:rsidR="006C545B" w:rsidRPr="008D734B">
        <w:rPr>
          <w:noProof/>
          <w:szCs w:val="19"/>
          <w:lang w:val="en-GB" w:eastAsia="pl-PL"/>
        </w:rPr>
        <w:t xml:space="preserve"> </w:t>
      </w:r>
      <w:r>
        <w:rPr>
          <w:noProof/>
          <w:szCs w:val="19"/>
          <w:lang w:val="en-GB" w:eastAsia="pl-PL"/>
        </w:rPr>
        <w:t>T</w:t>
      </w:r>
      <w:r w:rsidRPr="008D734B">
        <w:rPr>
          <w:noProof/>
          <w:szCs w:val="19"/>
          <w:lang w:val="en-GB" w:eastAsia="pl-PL"/>
        </w:rPr>
        <w:t xml:space="preserve">hey accounted for </w:t>
      </w:r>
      <w:r>
        <w:rPr>
          <w:noProof/>
          <w:szCs w:val="19"/>
          <w:lang w:val="en-GB" w:eastAsia="pl-PL"/>
        </w:rPr>
        <w:t>over a quarter</w:t>
      </w:r>
      <w:r w:rsidRPr="008D734B">
        <w:rPr>
          <w:noProof/>
          <w:szCs w:val="19"/>
          <w:lang w:val="en-GB" w:eastAsia="pl-PL"/>
        </w:rPr>
        <w:t xml:space="preserve"> of al</w:t>
      </w:r>
      <w:r>
        <w:rPr>
          <w:noProof/>
          <w:szCs w:val="19"/>
          <w:lang w:val="en-GB" w:eastAsia="pl-PL"/>
        </w:rPr>
        <w:t xml:space="preserve">l vacancies reported to labour </w:t>
      </w:r>
      <w:r w:rsidRPr="008D734B">
        <w:rPr>
          <w:noProof/>
          <w:szCs w:val="19"/>
          <w:lang w:val="en-GB" w:eastAsia="pl-PL"/>
        </w:rPr>
        <w:t>offices.</w:t>
      </w:r>
      <w:r w:rsidR="00C15C7B" w:rsidRPr="008D734B">
        <w:rPr>
          <w:szCs w:val="19"/>
          <w:lang w:val="en-GB"/>
        </w:rPr>
        <w:t xml:space="preserve"> </w:t>
      </w:r>
      <w:r>
        <w:rPr>
          <w:szCs w:val="19"/>
          <w:lang w:val="en-GB"/>
        </w:rPr>
        <w:t>Slightly fewer –</w:t>
      </w:r>
      <w:r w:rsidRPr="008D734B">
        <w:rPr>
          <w:szCs w:val="19"/>
          <w:lang w:val="en-GB"/>
        </w:rPr>
        <w:t xml:space="preserve"> 2.0 thousand vacancies were reported to labour offices</w:t>
      </w:r>
      <w:r w:rsidR="005E187E">
        <w:rPr>
          <w:szCs w:val="19"/>
          <w:lang w:val="en-GB"/>
        </w:rPr>
        <w:t xml:space="preserve"> by units</w:t>
      </w:r>
      <w:r w:rsidRPr="008D734B">
        <w:rPr>
          <w:szCs w:val="19"/>
          <w:lang w:val="en-GB"/>
        </w:rPr>
        <w:t xml:space="preserve"> from the construction section.</w:t>
      </w:r>
    </w:p>
    <w:p w14:paraId="706F6795" w14:textId="5B01DC77" w:rsidR="00E46DA6" w:rsidRPr="00A13EF0" w:rsidRDefault="00C364C1" w:rsidP="00A13EF0">
      <w:pPr>
        <w:rPr>
          <w:noProof/>
          <w:szCs w:val="19"/>
          <w:lang w:val="en-GB" w:eastAsia="pl-PL"/>
        </w:rPr>
      </w:pPr>
      <w:r w:rsidRPr="00C364C1">
        <w:rPr>
          <w:noProof/>
          <w:szCs w:val="19"/>
          <w:lang w:val="en-GB" w:eastAsia="pl-PL"/>
        </w:rPr>
        <w:t xml:space="preserve">Employers most often looked through labour offices for craft and related trades workers </w:t>
      </w:r>
      <w:r w:rsidR="000E026E" w:rsidRPr="00C364C1">
        <w:rPr>
          <w:noProof/>
          <w:szCs w:val="19"/>
          <w:lang w:val="en-GB" w:eastAsia="pl-PL"/>
        </w:rPr>
        <w:t>(</w:t>
      </w:r>
      <w:r w:rsidR="00BC46D9" w:rsidRPr="00C364C1">
        <w:rPr>
          <w:noProof/>
          <w:szCs w:val="19"/>
          <w:lang w:val="en-GB" w:eastAsia="pl-PL"/>
        </w:rPr>
        <w:t>2</w:t>
      </w:r>
      <w:r>
        <w:rPr>
          <w:noProof/>
          <w:szCs w:val="19"/>
          <w:lang w:val="en-GB" w:eastAsia="pl-PL"/>
        </w:rPr>
        <w:t>9.</w:t>
      </w:r>
      <w:r w:rsidR="009E58D3" w:rsidRPr="00C364C1">
        <w:rPr>
          <w:noProof/>
          <w:szCs w:val="19"/>
          <w:lang w:val="en-GB" w:eastAsia="pl-PL"/>
        </w:rPr>
        <w:t>2</w:t>
      </w:r>
      <w:r w:rsidR="00C15C7B" w:rsidRPr="00C364C1">
        <w:rPr>
          <w:noProof/>
          <w:szCs w:val="19"/>
          <w:lang w:val="en-GB" w:eastAsia="pl-PL"/>
        </w:rPr>
        <w:t>%</w:t>
      </w:r>
      <w:r w:rsidR="00355611" w:rsidRPr="00C364C1">
        <w:rPr>
          <w:noProof/>
          <w:szCs w:val="19"/>
          <w:lang w:val="en-GB" w:eastAsia="pl-PL"/>
        </w:rPr>
        <w:t xml:space="preserve"> </w:t>
      </w:r>
      <w:r>
        <w:rPr>
          <w:noProof/>
          <w:szCs w:val="19"/>
          <w:lang w:val="en-GB" w:eastAsia="pl-PL"/>
        </w:rPr>
        <w:t xml:space="preserve">of the total number of reported job vacancies). </w:t>
      </w:r>
      <w:r w:rsidR="00A13EF0" w:rsidRPr="00A13EF0">
        <w:rPr>
          <w:noProof/>
          <w:szCs w:val="19"/>
          <w:lang w:val="en-GB" w:eastAsia="pl-PL"/>
        </w:rPr>
        <w:t>The occupations</w:t>
      </w:r>
      <w:r w:rsidR="00A13EF0">
        <w:rPr>
          <w:noProof/>
          <w:szCs w:val="19"/>
          <w:lang w:val="en-GB" w:eastAsia="pl-PL"/>
        </w:rPr>
        <w:t xml:space="preserve"> sought by labour </w:t>
      </w:r>
      <w:r w:rsidR="00A13EF0">
        <w:rPr>
          <w:noProof/>
          <w:szCs w:val="19"/>
          <w:lang w:val="en-GB" w:eastAsia="pl-PL"/>
        </w:rPr>
        <w:lastRenderedPageBreak/>
        <w:t xml:space="preserve">offices also </w:t>
      </w:r>
      <w:r w:rsidR="00A13EF0" w:rsidRPr="00A13EF0">
        <w:rPr>
          <w:noProof/>
          <w:szCs w:val="19"/>
          <w:lang w:val="en-GB" w:eastAsia="pl-PL"/>
        </w:rPr>
        <w:t>included those from the group</w:t>
      </w:r>
      <w:r w:rsidR="00A13EF0">
        <w:rPr>
          <w:noProof/>
          <w:szCs w:val="19"/>
          <w:lang w:val="en-GB" w:eastAsia="pl-PL"/>
        </w:rPr>
        <w:t>s</w:t>
      </w:r>
      <w:r w:rsidR="00A13EF0" w:rsidRPr="00A13EF0">
        <w:rPr>
          <w:noProof/>
          <w:szCs w:val="19"/>
          <w:lang w:val="en-GB" w:eastAsia="pl-PL"/>
        </w:rPr>
        <w:t xml:space="preserve"> of plant and machine operators and assemblers</w:t>
      </w:r>
      <w:r w:rsidR="000E026E" w:rsidRPr="00A13EF0">
        <w:rPr>
          <w:noProof/>
          <w:szCs w:val="19"/>
          <w:lang w:val="en-GB" w:eastAsia="pl-PL"/>
        </w:rPr>
        <w:t xml:space="preserve"> (</w:t>
      </w:r>
      <w:r w:rsidR="00A13EF0">
        <w:rPr>
          <w:noProof/>
          <w:szCs w:val="19"/>
          <w:lang w:val="en-GB" w:eastAsia="pl-PL"/>
        </w:rPr>
        <w:t>21.</w:t>
      </w:r>
      <w:r w:rsidR="009E58D3" w:rsidRPr="00A13EF0">
        <w:rPr>
          <w:noProof/>
          <w:szCs w:val="19"/>
          <w:lang w:val="en-GB" w:eastAsia="pl-PL"/>
        </w:rPr>
        <w:t>2</w:t>
      </w:r>
      <w:r w:rsidR="008B293E" w:rsidRPr="00A13EF0">
        <w:rPr>
          <w:noProof/>
          <w:szCs w:val="19"/>
          <w:lang w:val="en-GB" w:eastAsia="pl-PL"/>
        </w:rPr>
        <w:t>%</w:t>
      </w:r>
      <w:r w:rsidR="000426F7">
        <w:rPr>
          <w:noProof/>
          <w:szCs w:val="19"/>
          <w:lang w:val="en-GB" w:eastAsia="pl-PL"/>
        </w:rPr>
        <w:t>) and</w:t>
      </w:r>
      <w:r w:rsidR="00AA456E" w:rsidRPr="00A13EF0">
        <w:rPr>
          <w:noProof/>
          <w:szCs w:val="19"/>
          <w:lang w:val="en-GB" w:eastAsia="pl-PL"/>
        </w:rPr>
        <w:t xml:space="preserve"> </w:t>
      </w:r>
      <w:r w:rsidR="00A13EF0" w:rsidRPr="00A13EF0">
        <w:rPr>
          <w:noProof/>
          <w:szCs w:val="19"/>
          <w:lang w:val="en-GB" w:eastAsia="pl-PL"/>
        </w:rPr>
        <w:t xml:space="preserve">professionals </w:t>
      </w:r>
      <w:r w:rsidR="00AA456E" w:rsidRPr="00A13EF0">
        <w:rPr>
          <w:noProof/>
          <w:szCs w:val="19"/>
          <w:lang w:val="en-GB" w:eastAsia="pl-PL"/>
        </w:rPr>
        <w:t>(</w:t>
      </w:r>
      <w:r w:rsidR="00A13EF0">
        <w:rPr>
          <w:noProof/>
          <w:szCs w:val="19"/>
          <w:lang w:val="en-GB" w:eastAsia="pl-PL"/>
        </w:rPr>
        <w:t>13.</w:t>
      </w:r>
      <w:r w:rsidR="009E58D3" w:rsidRPr="00A13EF0">
        <w:rPr>
          <w:noProof/>
          <w:szCs w:val="19"/>
          <w:lang w:val="en-GB" w:eastAsia="pl-PL"/>
        </w:rPr>
        <w:t>1</w:t>
      </w:r>
      <w:r w:rsidR="00AA456E" w:rsidRPr="00A13EF0">
        <w:rPr>
          <w:noProof/>
          <w:szCs w:val="19"/>
          <w:lang w:val="en-GB" w:eastAsia="pl-PL"/>
        </w:rPr>
        <w:t>%).</w:t>
      </w:r>
    </w:p>
    <w:p w14:paraId="7CE5BD9B" w14:textId="1AC4504B" w:rsidR="00E46DA6" w:rsidRPr="00A13EF0" w:rsidRDefault="00E46DA6" w:rsidP="00754082">
      <w:pPr>
        <w:pStyle w:val="LID"/>
        <w:tabs>
          <w:tab w:val="left" w:pos="284"/>
        </w:tabs>
        <w:rPr>
          <w:spacing w:val="-2"/>
          <w:lang w:val="en-GB"/>
        </w:rPr>
      </w:pPr>
    </w:p>
    <w:p w14:paraId="14A7D487" w14:textId="5EEAA9DC" w:rsidR="004A036A" w:rsidRPr="00585847" w:rsidRDefault="00C82653" w:rsidP="002914DD">
      <w:pPr>
        <w:pStyle w:val="LID"/>
        <w:tabs>
          <w:tab w:val="left" w:pos="284"/>
        </w:tabs>
        <w:rPr>
          <w:spacing w:val="-2"/>
          <w:sz w:val="18"/>
          <w:szCs w:val="18"/>
          <w:lang w:val="en-GB"/>
        </w:rPr>
      </w:pPr>
      <w:r>
        <mc:AlternateContent>
          <mc:Choice Requires="wps">
            <w:drawing>
              <wp:anchor distT="0" distB="0" distL="114300" distR="114300" simplePos="0" relativeHeight="251660288" behindDoc="0" locked="0" layoutInCell="1" allowOverlap="1" wp14:anchorId="033AAD06" wp14:editId="23BEC9AD">
                <wp:simplePos x="0" y="0"/>
                <wp:positionH relativeFrom="column">
                  <wp:posOffset>5222928</wp:posOffset>
                </wp:positionH>
                <wp:positionV relativeFrom="paragraph">
                  <wp:posOffset>396057</wp:posOffset>
                </wp:positionV>
                <wp:extent cx="1712563" cy="1248410"/>
                <wp:effectExtent l="0" t="0" r="0" b="889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63" cy="124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46A54" w14:textId="77777777" w:rsidR="003F5188" w:rsidRPr="00585847" w:rsidRDefault="00585847" w:rsidP="00460F7B">
                            <w:pPr>
                              <w:spacing w:before="0"/>
                              <w:rPr>
                                <w:bCs/>
                                <w:color w:val="001D77"/>
                                <w:sz w:val="18"/>
                                <w:szCs w:val="18"/>
                                <w:lang w:val="en-GB"/>
                              </w:rPr>
                            </w:pPr>
                            <w:r w:rsidRPr="00585847">
                              <w:rPr>
                                <w:bCs/>
                                <w:color w:val="001D77"/>
                                <w:sz w:val="18"/>
                                <w:szCs w:val="18"/>
                                <w:lang w:val="en-GB"/>
                              </w:rPr>
                              <w:t>The job vacancy rate – the proportion of total posts that are vacant, expressed as a percentage of the sum of the number of occupied posts and the number of job vacancies</w:t>
                            </w:r>
                          </w:p>
                          <w:p w14:paraId="4AFFCF83" w14:textId="77777777" w:rsidR="003F5188" w:rsidRPr="00585847" w:rsidRDefault="003F5188" w:rsidP="00460F7B">
                            <w:pPr>
                              <w:spacing w:before="0"/>
                              <w:rPr>
                                <w:bCs/>
                                <w:color w:val="001D77"/>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AAD06" id="_x0000_t202" coordsize="21600,21600" o:spt="202" path="m,l,21600r21600,l21600,xe">
                <v:stroke joinstyle="miter"/>
                <v:path gradientshapeok="t" o:connecttype="rect"/>
              </v:shapetype>
              <v:shape id="_x0000_s1031" type="#_x0000_t202" style="position:absolute;margin-left:411.25pt;margin-top:31.2pt;width:134.85pt;height:9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2BvvA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" filled="f" stroked="f">
                <v:textbox>
                  <w:txbxContent>
                    <w:p w14:paraId="17D46A54" w14:textId="77777777" w:rsidR="003F5188" w:rsidRPr="00585847" w:rsidRDefault="00585847" w:rsidP="00460F7B">
                      <w:pPr>
                        <w:spacing w:before="0"/>
                        <w:rPr>
                          <w:bCs/>
                          <w:color w:val="001D77"/>
                          <w:sz w:val="18"/>
                          <w:szCs w:val="18"/>
                          <w:lang w:val="en-GB"/>
                        </w:rPr>
                      </w:pPr>
                      <w:r w:rsidRPr="00585847">
                        <w:rPr>
                          <w:bCs/>
                          <w:color w:val="001D77"/>
                          <w:sz w:val="18"/>
                          <w:szCs w:val="18"/>
                          <w:lang w:val="en-GB"/>
                        </w:rPr>
                        <w:t>The job vacancy rate – the proportion of total posts that are vacant, expressed as a percentage of the sum of the number of occupied posts and the number of job vacancies</w:t>
                      </w:r>
                    </w:p>
                    <w:p w14:paraId="4AFFCF83" w14:textId="77777777" w:rsidR="003F5188" w:rsidRPr="00585847" w:rsidRDefault="003F5188" w:rsidP="00460F7B">
                      <w:pPr>
                        <w:spacing w:before="0"/>
                        <w:rPr>
                          <w:bCs/>
                          <w:color w:val="001D77"/>
                          <w:sz w:val="18"/>
                          <w:szCs w:val="18"/>
                          <w:lang w:val="en-GB"/>
                        </w:rPr>
                      </w:pPr>
                    </w:p>
                  </w:txbxContent>
                </v:textbox>
              </v:shape>
            </w:pict>
          </mc:Fallback>
        </mc:AlternateContent>
      </w:r>
      <w:r w:rsidR="000426F7">
        <w:rPr>
          <w:rFonts w:eastAsia="Times New Roman"/>
        </w:rPr>
        <w:drawing>
          <wp:anchor distT="0" distB="0" distL="114300" distR="114300" simplePos="0" relativeHeight="251681792" behindDoc="0" locked="0" layoutInCell="1" allowOverlap="1" wp14:anchorId="0F72A028" wp14:editId="1F57C024">
            <wp:simplePos x="0" y="0"/>
            <wp:positionH relativeFrom="margin">
              <wp:align>right</wp:align>
            </wp:positionH>
            <wp:positionV relativeFrom="paragraph">
              <wp:posOffset>189600</wp:posOffset>
            </wp:positionV>
            <wp:extent cx="5122545" cy="3191510"/>
            <wp:effectExtent l="0" t="0" r="0" b="0"/>
            <wp:wrapSquare wrapText="bothSides"/>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apa01ang.wm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22545" cy="3191510"/>
                    </a:xfrm>
                    <a:prstGeom prst="rect">
                      <a:avLst/>
                    </a:prstGeom>
                  </pic:spPr>
                </pic:pic>
              </a:graphicData>
            </a:graphic>
            <wp14:sizeRelH relativeFrom="page">
              <wp14:pctWidth>0</wp14:pctWidth>
            </wp14:sizeRelH>
            <wp14:sizeRelV relativeFrom="page">
              <wp14:pctHeight>0</wp14:pctHeight>
            </wp14:sizeRelV>
          </wp:anchor>
        </w:drawing>
      </w:r>
      <w:r w:rsidR="00A13EF0" w:rsidRPr="006A3D06">
        <w:rPr>
          <w:spacing w:val="-2"/>
          <w:sz w:val="18"/>
          <w:szCs w:val="18"/>
          <w:lang w:val="en-GB"/>
        </w:rPr>
        <w:t>Map</w:t>
      </w:r>
      <w:r w:rsidR="004A036A" w:rsidRPr="006A3D06">
        <w:rPr>
          <w:spacing w:val="-2"/>
          <w:sz w:val="18"/>
          <w:szCs w:val="18"/>
          <w:lang w:val="en-GB"/>
        </w:rPr>
        <w:t xml:space="preserve"> 1.</w:t>
      </w:r>
      <w:r w:rsidR="004A036A" w:rsidRPr="006A3D06">
        <w:rPr>
          <w:spacing w:val="-2"/>
          <w:lang w:val="en-GB"/>
        </w:rPr>
        <w:t xml:space="preserve"> </w:t>
      </w:r>
      <w:r w:rsidR="00585847" w:rsidRPr="00585847">
        <w:rPr>
          <w:spacing w:val="-2"/>
          <w:lang w:val="en-GB"/>
        </w:rPr>
        <w:t>Job vacancy rate by voivodship as at the end of the first quarter of 2021</w:t>
      </w:r>
    </w:p>
    <w:p w14:paraId="05910435" w14:textId="24A6A9AF" w:rsidR="00740D98" w:rsidRPr="00585847" w:rsidRDefault="00740D98" w:rsidP="00740D98">
      <w:pPr>
        <w:rPr>
          <w:rFonts w:eastAsia="Times New Roman"/>
          <w:szCs w:val="19"/>
          <w:lang w:val="en-GB" w:eastAsia="pl-PL"/>
        </w:rPr>
      </w:pPr>
    </w:p>
    <w:p w14:paraId="275B0B78" w14:textId="6264EE6C" w:rsidR="00740D98" w:rsidRPr="004C28EE" w:rsidRDefault="00585847" w:rsidP="00585847">
      <w:pPr>
        <w:rPr>
          <w:rFonts w:eastAsia="Times New Roman"/>
          <w:color w:val="000000"/>
          <w:szCs w:val="19"/>
          <w:lang w:val="en-GB" w:eastAsia="pl-PL"/>
        </w:rPr>
      </w:pPr>
      <w:r w:rsidRPr="004C28EE">
        <w:rPr>
          <w:bCs/>
          <w:color w:val="000000"/>
          <w:szCs w:val="19"/>
          <w:lang w:val="en-GB"/>
        </w:rPr>
        <w:t>One of the measures for assessing the situation on the labo</w:t>
      </w:r>
      <w:r w:rsidR="00652B28">
        <w:rPr>
          <w:bCs/>
          <w:color w:val="000000"/>
          <w:szCs w:val="19"/>
          <w:lang w:val="en-GB"/>
        </w:rPr>
        <w:t>u</w:t>
      </w:r>
      <w:r w:rsidRPr="004C28EE">
        <w:rPr>
          <w:bCs/>
          <w:color w:val="000000"/>
          <w:szCs w:val="19"/>
          <w:lang w:val="en-GB"/>
        </w:rPr>
        <w:t>r market is the job vacancy rate. It is calculated as the share of job vacancies in the total numb</w:t>
      </w:r>
      <w:r w:rsidR="00652B28">
        <w:rPr>
          <w:bCs/>
          <w:color w:val="000000"/>
          <w:szCs w:val="19"/>
          <w:lang w:val="en-GB"/>
        </w:rPr>
        <w:t>er of occupied and unoccupied</w:t>
      </w:r>
      <w:r w:rsidRPr="004C28EE">
        <w:rPr>
          <w:bCs/>
          <w:color w:val="000000"/>
          <w:szCs w:val="19"/>
          <w:lang w:val="en-GB"/>
        </w:rPr>
        <w:t xml:space="preserve"> jobs. In the first quarter of 2021, the rate for Poland was</w:t>
      </w:r>
      <w:r w:rsidRPr="004C28EE">
        <w:rPr>
          <w:rFonts w:eastAsia="Times New Roman"/>
          <w:color w:val="000000"/>
          <w:szCs w:val="19"/>
          <w:lang w:val="en-GB" w:eastAsia="pl-PL"/>
        </w:rPr>
        <w:t xml:space="preserve"> 0.</w:t>
      </w:r>
      <w:r w:rsidR="00892124" w:rsidRPr="004C28EE">
        <w:rPr>
          <w:rFonts w:eastAsia="Times New Roman"/>
          <w:color w:val="000000"/>
          <w:szCs w:val="19"/>
          <w:lang w:val="en-GB" w:eastAsia="pl-PL"/>
        </w:rPr>
        <w:t>90</w:t>
      </w:r>
      <w:r w:rsidR="002914DD" w:rsidRPr="004C28EE">
        <w:rPr>
          <w:rFonts w:eastAsia="Times New Roman"/>
          <w:color w:val="000000"/>
          <w:szCs w:val="19"/>
          <w:lang w:val="en-GB" w:eastAsia="pl-PL"/>
        </w:rPr>
        <w:t xml:space="preserve">%. </w:t>
      </w:r>
      <w:r w:rsidRPr="004C28EE">
        <w:rPr>
          <w:rFonts w:eastAsia="Times New Roman"/>
          <w:color w:val="000000"/>
          <w:szCs w:val="19"/>
          <w:lang w:val="en-GB" w:eastAsia="pl-PL"/>
        </w:rPr>
        <w:t>The lowest job vacancy rate was recorded in the Podkarpackie Voivodship – 0.</w:t>
      </w:r>
      <w:r w:rsidR="00D60E99" w:rsidRPr="004C28EE">
        <w:rPr>
          <w:rFonts w:eastAsia="Times New Roman"/>
          <w:color w:val="000000"/>
          <w:szCs w:val="19"/>
          <w:lang w:val="en-GB" w:eastAsia="pl-PL"/>
        </w:rPr>
        <w:t>3</w:t>
      </w:r>
      <w:r w:rsidR="00892124" w:rsidRPr="004C28EE">
        <w:rPr>
          <w:rFonts w:eastAsia="Times New Roman"/>
          <w:color w:val="000000"/>
          <w:szCs w:val="19"/>
          <w:lang w:val="en-GB" w:eastAsia="pl-PL"/>
        </w:rPr>
        <w:t>8</w:t>
      </w:r>
      <w:r w:rsidR="00C93F6B" w:rsidRPr="004C28EE">
        <w:rPr>
          <w:rFonts w:eastAsia="Times New Roman"/>
          <w:color w:val="000000"/>
          <w:szCs w:val="19"/>
          <w:lang w:val="en-GB" w:eastAsia="pl-PL"/>
        </w:rPr>
        <w:t xml:space="preserve">%, </w:t>
      </w:r>
      <w:r w:rsidRPr="004C28EE">
        <w:rPr>
          <w:rFonts w:eastAsia="Times New Roman"/>
          <w:color w:val="000000"/>
          <w:szCs w:val="19"/>
          <w:lang w:val="en-GB" w:eastAsia="pl-PL"/>
        </w:rPr>
        <w:t>whereas the highest rate</w:t>
      </w:r>
      <w:r w:rsidR="00BE3FD7">
        <w:rPr>
          <w:rFonts w:eastAsia="Times New Roman"/>
          <w:color w:val="000000"/>
          <w:szCs w:val="19"/>
          <w:lang w:val="en-GB" w:eastAsia="pl-PL"/>
        </w:rPr>
        <w:t xml:space="preserve"> was recorded in the Pomorskie </w:t>
      </w:r>
      <w:r w:rsidRPr="004C28EE">
        <w:rPr>
          <w:rFonts w:eastAsia="Times New Roman"/>
          <w:color w:val="000000"/>
          <w:szCs w:val="19"/>
          <w:lang w:val="en-GB" w:eastAsia="pl-PL"/>
        </w:rPr>
        <w:t>Voivodship – 1.</w:t>
      </w:r>
      <w:r w:rsidR="00892124" w:rsidRPr="004C28EE">
        <w:rPr>
          <w:rFonts w:eastAsia="Times New Roman"/>
          <w:color w:val="000000"/>
          <w:szCs w:val="19"/>
          <w:lang w:val="en-GB" w:eastAsia="pl-PL"/>
        </w:rPr>
        <w:t>11</w:t>
      </w:r>
      <w:r w:rsidR="002914DD" w:rsidRPr="004C28EE">
        <w:rPr>
          <w:rFonts w:eastAsia="Times New Roman"/>
          <w:color w:val="000000"/>
          <w:szCs w:val="19"/>
          <w:lang w:val="en-GB" w:eastAsia="pl-PL"/>
        </w:rPr>
        <w:t>%.</w:t>
      </w:r>
    </w:p>
    <w:p w14:paraId="6AD3C67E" w14:textId="545AE388" w:rsidR="00740D98" w:rsidRPr="00585847" w:rsidRDefault="00740D98" w:rsidP="00740D98">
      <w:pPr>
        <w:rPr>
          <w:rFonts w:eastAsia="Times New Roman"/>
          <w:szCs w:val="19"/>
          <w:lang w:val="en-GB" w:eastAsia="pl-PL"/>
        </w:rPr>
      </w:pPr>
    </w:p>
    <w:p w14:paraId="5051D40E" w14:textId="20E9CFA6" w:rsidR="00883EFE" w:rsidRPr="00585847" w:rsidRDefault="001819F1" w:rsidP="00FC484A">
      <w:pPr>
        <w:ind w:left="658" w:hanging="658"/>
        <w:rPr>
          <w:b/>
          <w:noProof/>
          <w:spacing w:val="-2"/>
          <w:sz w:val="18"/>
          <w:szCs w:val="18"/>
          <w:lang w:val="en-GB" w:eastAsia="pl-PL"/>
        </w:rPr>
      </w:pPr>
      <w:bookmarkStart w:id="0" w:name="_GoBack"/>
      <w:r>
        <w:rPr>
          <w:noProof/>
          <w:lang w:eastAsia="pl-PL"/>
        </w:rPr>
        <w:drawing>
          <wp:anchor distT="0" distB="0" distL="114300" distR="114300" simplePos="0" relativeHeight="251691008" behindDoc="0" locked="0" layoutInCell="1" allowOverlap="1" wp14:anchorId="5CF9E0B3" wp14:editId="1706AAD9">
            <wp:simplePos x="0" y="0"/>
            <wp:positionH relativeFrom="margin">
              <wp:align>left</wp:align>
            </wp:positionH>
            <wp:positionV relativeFrom="paragraph">
              <wp:posOffset>350520</wp:posOffset>
            </wp:positionV>
            <wp:extent cx="5004000" cy="2700000"/>
            <wp:effectExtent l="0" t="0" r="6350" b="5715"/>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bookmarkEnd w:id="0"/>
      <w:r w:rsidR="00585847" w:rsidRPr="00585847">
        <w:rPr>
          <w:b/>
          <w:noProof/>
          <w:spacing w:val="-2"/>
          <w:sz w:val="18"/>
          <w:szCs w:val="18"/>
          <w:lang w:val="en-GB" w:eastAsia="pl-PL"/>
        </w:rPr>
        <w:t>Chart</w:t>
      </w:r>
      <w:r w:rsidR="00726F28" w:rsidRPr="00585847">
        <w:rPr>
          <w:b/>
          <w:noProof/>
          <w:spacing w:val="-2"/>
          <w:sz w:val="18"/>
          <w:szCs w:val="18"/>
          <w:lang w:val="en-GB" w:eastAsia="pl-PL"/>
        </w:rPr>
        <w:t xml:space="preserve"> 6</w:t>
      </w:r>
      <w:r w:rsidR="00193F18" w:rsidRPr="00585847">
        <w:rPr>
          <w:b/>
          <w:noProof/>
          <w:spacing w:val="-2"/>
          <w:sz w:val="18"/>
          <w:szCs w:val="18"/>
          <w:lang w:val="en-GB" w:eastAsia="pl-PL"/>
        </w:rPr>
        <w:t xml:space="preserve">. </w:t>
      </w:r>
      <w:r w:rsidR="00585847" w:rsidRPr="00585847">
        <w:rPr>
          <w:b/>
          <w:noProof/>
          <w:spacing w:val="-2"/>
          <w:sz w:val="18"/>
          <w:szCs w:val="18"/>
          <w:lang w:val="en-GB" w:eastAsia="pl-PL"/>
        </w:rPr>
        <w:t>Job vacancy rate in Poland by quarter</w:t>
      </w:r>
      <w:r w:rsidR="00FC484A">
        <w:rPr>
          <w:b/>
          <w:noProof/>
          <w:spacing w:val="-2"/>
          <w:sz w:val="18"/>
          <w:szCs w:val="18"/>
          <w:lang w:val="en-GB" w:eastAsia="pl-PL"/>
        </w:rPr>
        <w:br/>
      </w:r>
      <w:r w:rsidR="00585847" w:rsidRPr="00585847">
        <w:rPr>
          <w:noProof/>
          <w:spacing w:val="-2"/>
          <w:sz w:val="18"/>
          <w:szCs w:val="18"/>
          <w:lang w:val="en-GB" w:eastAsia="pl-PL"/>
        </w:rPr>
        <w:t>As at the end of the quarter</w:t>
      </w:r>
    </w:p>
    <w:p w14:paraId="4B9E872B" w14:textId="59468B0F" w:rsidR="00ED071B" w:rsidRPr="00C631DF" w:rsidRDefault="00C631DF" w:rsidP="00C631DF">
      <w:pPr>
        <w:rPr>
          <w:lang w:val="en-GB"/>
        </w:rPr>
      </w:pPr>
      <w:r w:rsidRPr="00C631DF">
        <w:rPr>
          <w:lang w:val="en-GB"/>
        </w:rPr>
        <w:t xml:space="preserve">From 2012, the job vacancy rate showed an upward trend and reached the highest value </w:t>
      </w:r>
      <w:r w:rsidR="00C82653">
        <w:rPr>
          <w:lang w:val="en-GB"/>
        </w:rPr>
        <w:br/>
      </w:r>
      <w:r w:rsidRPr="00C631DF">
        <w:rPr>
          <w:lang w:val="en-GB"/>
        </w:rPr>
        <w:t>in the second quarter of 2018 (1.27%).</w:t>
      </w:r>
      <w:r>
        <w:rPr>
          <w:lang w:val="en-GB"/>
        </w:rPr>
        <w:t xml:space="preserve"> </w:t>
      </w:r>
      <w:r w:rsidRPr="00C631DF">
        <w:rPr>
          <w:lang w:val="en-GB"/>
        </w:rPr>
        <w:t xml:space="preserve">It remained above 1% until the fourth quarter of 2019. </w:t>
      </w:r>
      <w:r w:rsidRPr="006A3D06">
        <w:rPr>
          <w:lang w:val="en-GB"/>
        </w:rPr>
        <w:t xml:space="preserve">In 2020, its values were much lower, oscillating around 0.6% </w:t>
      </w:r>
      <w:r w:rsidR="00FC484A">
        <w:rPr>
          <w:lang w:val="en-GB"/>
        </w:rPr>
        <w:t>–</w:t>
      </w:r>
      <w:r w:rsidRPr="006A3D06">
        <w:rPr>
          <w:lang w:val="en-GB"/>
        </w:rPr>
        <w:t xml:space="preserve"> 0.7%. </w:t>
      </w:r>
      <w:r w:rsidRPr="00C631DF">
        <w:rPr>
          <w:lang w:val="en-GB"/>
        </w:rPr>
        <w:t xml:space="preserve">In the first quarter </w:t>
      </w:r>
      <w:r w:rsidR="00C82653">
        <w:rPr>
          <w:lang w:val="en-GB"/>
        </w:rPr>
        <w:br/>
      </w:r>
      <w:r w:rsidRPr="00C631DF">
        <w:rPr>
          <w:lang w:val="en-GB"/>
        </w:rPr>
        <w:t xml:space="preserve">of 2021, the rate increased significantly compared to all quarters of the previous year. </w:t>
      </w:r>
    </w:p>
    <w:p w14:paraId="1837D144" w14:textId="77777777" w:rsidR="00FC484A" w:rsidRDefault="00FC484A">
      <w:pPr>
        <w:spacing w:before="0" w:after="0" w:line="240" w:lineRule="auto"/>
        <w:rPr>
          <w:rFonts w:ascii="Fira Sans SemiBold" w:hAnsi="Fira Sans SemiBold"/>
          <w:color w:val="001D77"/>
          <w:lang w:val="en-GB"/>
        </w:rPr>
      </w:pPr>
      <w:r>
        <w:rPr>
          <w:rFonts w:ascii="Fira Sans SemiBold" w:hAnsi="Fira Sans SemiBold"/>
          <w:color w:val="001D77"/>
          <w:lang w:val="en-GB"/>
        </w:rPr>
        <w:br w:type="page"/>
      </w:r>
    </w:p>
    <w:p w14:paraId="1BB45A5C" w14:textId="26868131" w:rsidR="002914DD" w:rsidRPr="006A3D06" w:rsidRDefault="0068013F" w:rsidP="009154E3">
      <w:pPr>
        <w:spacing w:before="240" w:line="240" w:lineRule="auto"/>
        <w:jc w:val="both"/>
        <w:rPr>
          <w:rFonts w:ascii="Fira Sans SemiBold" w:hAnsi="Fira Sans SemiBold"/>
          <w:color w:val="001D77"/>
          <w:lang w:val="en-GB"/>
        </w:rPr>
      </w:pPr>
      <w:r>
        <w:rPr>
          <w:noProof/>
          <w:lang w:eastAsia="pl-PL"/>
        </w:rPr>
        <w:lastRenderedPageBreak/>
        <mc:AlternateContent>
          <mc:Choice Requires="wps">
            <w:drawing>
              <wp:anchor distT="0" distB="0" distL="114300" distR="114300" simplePos="0" relativeHeight="251661312" behindDoc="0" locked="0" layoutInCell="1" allowOverlap="1" wp14:anchorId="62C25B41" wp14:editId="27732D7E">
                <wp:simplePos x="0" y="0"/>
                <wp:positionH relativeFrom="column">
                  <wp:posOffset>5227504</wp:posOffset>
                </wp:positionH>
                <wp:positionV relativeFrom="paragraph">
                  <wp:posOffset>171549</wp:posOffset>
                </wp:positionV>
                <wp:extent cx="1681480" cy="906459"/>
                <wp:effectExtent l="0" t="0" r="0" b="8255"/>
                <wp:wrapNone/>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90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5AE29" w14:textId="77777777" w:rsidR="003F5188" w:rsidRPr="00396630" w:rsidRDefault="00396630" w:rsidP="00A2001D">
                            <w:pPr>
                              <w:spacing w:before="0"/>
                              <w:rPr>
                                <w:bCs/>
                                <w:color w:val="001D77"/>
                                <w:sz w:val="18"/>
                                <w:szCs w:val="18"/>
                                <w:lang w:val="en-GB"/>
                              </w:rPr>
                            </w:pPr>
                            <w:r w:rsidRPr="00396630">
                              <w:rPr>
                                <w:bCs/>
                                <w:color w:val="001D77"/>
                                <w:sz w:val="18"/>
                                <w:szCs w:val="18"/>
                                <w:lang w:val="en-GB"/>
                              </w:rPr>
                              <w:t>I</w:t>
                            </w:r>
                            <w:r>
                              <w:rPr>
                                <w:bCs/>
                                <w:color w:val="001D77"/>
                                <w:sz w:val="18"/>
                                <w:szCs w:val="18"/>
                                <w:lang w:val="en-GB"/>
                              </w:rPr>
                              <w:t xml:space="preserve">n the first quarter </w:t>
                            </w:r>
                            <w:r w:rsidRPr="00396630">
                              <w:rPr>
                                <w:bCs/>
                                <w:color w:val="001D77"/>
                                <w:sz w:val="18"/>
                                <w:szCs w:val="18"/>
                                <w:lang w:val="en-GB"/>
                              </w:rPr>
                              <w:t>of 2021</w:t>
                            </w:r>
                            <w:r>
                              <w:rPr>
                                <w:bCs/>
                                <w:color w:val="001D77"/>
                                <w:sz w:val="18"/>
                                <w:szCs w:val="18"/>
                                <w:lang w:val="en-GB"/>
                              </w:rPr>
                              <w:t>,</w:t>
                            </w:r>
                            <w:r w:rsidR="003F5188" w:rsidRPr="00396630">
                              <w:rPr>
                                <w:bCs/>
                                <w:color w:val="001D77"/>
                                <w:sz w:val="18"/>
                                <w:szCs w:val="18"/>
                                <w:lang w:val="en-GB"/>
                              </w:rPr>
                              <w:t xml:space="preserve"> </w:t>
                            </w:r>
                            <w:r>
                              <w:rPr>
                                <w:bCs/>
                                <w:color w:val="001D77"/>
                                <w:sz w:val="18"/>
                                <w:szCs w:val="18"/>
                                <w:lang w:val="en-GB"/>
                              </w:rPr>
                              <w:t xml:space="preserve">the </w:t>
                            </w:r>
                            <w:r w:rsidRPr="00396630">
                              <w:rPr>
                                <w:bCs/>
                                <w:color w:val="001D77"/>
                                <w:sz w:val="18"/>
                                <w:szCs w:val="18"/>
                                <w:lang w:val="en-GB"/>
                              </w:rPr>
                              <w:t xml:space="preserve">majority of new jobs were created in the private sector </w:t>
                            </w:r>
                            <w:r w:rsidR="003F5188" w:rsidRPr="00396630">
                              <w:rPr>
                                <w:bCs/>
                                <w:color w:val="001D77"/>
                                <w:sz w:val="18"/>
                                <w:szCs w:val="18"/>
                                <w:lang w:val="en-GB"/>
                              </w:rPr>
                              <w:t>(92</w:t>
                            </w:r>
                            <w:r>
                              <w:rPr>
                                <w:bCs/>
                                <w:color w:val="001D77"/>
                                <w:sz w:val="18"/>
                                <w:szCs w:val="18"/>
                                <w:lang w:val="en-GB"/>
                              </w:rPr>
                              <w:t>.</w:t>
                            </w:r>
                            <w:r w:rsidR="003F5188" w:rsidRPr="00396630">
                              <w:rPr>
                                <w:bCs/>
                                <w:color w:val="001D77"/>
                                <w:sz w:val="18"/>
                                <w:szCs w:val="18"/>
                                <w:lang w:val="en-G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25B41" id="_x0000_s1032" type="#_x0000_t202" style="position:absolute;left:0;text-align:left;margin-left:411.6pt;margin-top:13.5pt;width:132.4pt;height:7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52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" filled="f" stroked="f">
                <v:textbox>
                  <w:txbxContent>
                    <w:p w14:paraId="79B5AE29" w14:textId="77777777" w:rsidR="003F5188" w:rsidRPr="00396630" w:rsidRDefault="00396630" w:rsidP="00A2001D">
                      <w:pPr>
                        <w:spacing w:before="0"/>
                        <w:rPr>
                          <w:bCs/>
                          <w:color w:val="001D77"/>
                          <w:sz w:val="18"/>
                          <w:szCs w:val="18"/>
                          <w:lang w:val="en-GB"/>
                        </w:rPr>
                      </w:pPr>
                      <w:bookmarkStart w:id="9" w:name="_GoBack"/>
                      <w:r w:rsidRPr="00396630">
                        <w:rPr>
                          <w:bCs/>
                          <w:color w:val="001D77"/>
                          <w:sz w:val="18"/>
                          <w:szCs w:val="18"/>
                          <w:lang w:val="en-GB"/>
                        </w:rPr>
                        <w:t>I</w:t>
                      </w:r>
                      <w:r>
                        <w:rPr>
                          <w:bCs/>
                          <w:color w:val="001D77"/>
                          <w:sz w:val="18"/>
                          <w:szCs w:val="18"/>
                          <w:lang w:val="en-GB"/>
                        </w:rPr>
                        <w:t xml:space="preserve">n the first quarter </w:t>
                      </w:r>
                      <w:r w:rsidRPr="00396630">
                        <w:rPr>
                          <w:bCs/>
                          <w:color w:val="001D77"/>
                          <w:sz w:val="18"/>
                          <w:szCs w:val="18"/>
                          <w:lang w:val="en-GB"/>
                        </w:rPr>
                        <w:t>of 2021</w:t>
                      </w:r>
                      <w:r>
                        <w:rPr>
                          <w:bCs/>
                          <w:color w:val="001D77"/>
                          <w:sz w:val="18"/>
                          <w:szCs w:val="18"/>
                          <w:lang w:val="en-GB"/>
                        </w:rPr>
                        <w:t>,</w:t>
                      </w:r>
                      <w:r w:rsidR="003F5188" w:rsidRPr="00396630">
                        <w:rPr>
                          <w:bCs/>
                          <w:color w:val="001D77"/>
                          <w:sz w:val="18"/>
                          <w:szCs w:val="18"/>
                          <w:lang w:val="en-GB"/>
                        </w:rPr>
                        <w:t xml:space="preserve"> </w:t>
                      </w:r>
                      <w:r>
                        <w:rPr>
                          <w:bCs/>
                          <w:color w:val="001D77"/>
                          <w:sz w:val="18"/>
                          <w:szCs w:val="18"/>
                          <w:lang w:val="en-GB"/>
                        </w:rPr>
                        <w:t xml:space="preserve">the </w:t>
                      </w:r>
                      <w:r w:rsidRPr="00396630">
                        <w:rPr>
                          <w:bCs/>
                          <w:color w:val="001D77"/>
                          <w:sz w:val="18"/>
                          <w:szCs w:val="18"/>
                          <w:lang w:val="en-GB"/>
                        </w:rPr>
                        <w:t xml:space="preserve">majority of new jobs were created in the private sector </w:t>
                      </w:r>
                      <w:r w:rsidR="003F5188" w:rsidRPr="00396630">
                        <w:rPr>
                          <w:bCs/>
                          <w:color w:val="001D77"/>
                          <w:sz w:val="18"/>
                          <w:szCs w:val="18"/>
                          <w:lang w:val="en-GB"/>
                        </w:rPr>
                        <w:t>(92</w:t>
                      </w:r>
                      <w:r>
                        <w:rPr>
                          <w:bCs/>
                          <w:color w:val="001D77"/>
                          <w:sz w:val="18"/>
                          <w:szCs w:val="18"/>
                          <w:lang w:val="en-GB"/>
                        </w:rPr>
                        <w:t>.</w:t>
                      </w:r>
                      <w:r w:rsidR="003F5188" w:rsidRPr="00396630">
                        <w:rPr>
                          <w:bCs/>
                          <w:color w:val="001D77"/>
                          <w:sz w:val="18"/>
                          <w:szCs w:val="18"/>
                          <w:lang w:val="en-GB"/>
                        </w:rPr>
                        <w:t>5%)</w:t>
                      </w:r>
                      <w:bookmarkEnd w:id="9"/>
                    </w:p>
                  </w:txbxContent>
                </v:textbox>
              </v:shape>
            </w:pict>
          </mc:Fallback>
        </mc:AlternateContent>
      </w:r>
      <w:r w:rsidR="00C631DF" w:rsidRPr="006A3D06">
        <w:rPr>
          <w:rFonts w:ascii="Fira Sans SemiBold" w:hAnsi="Fira Sans SemiBold"/>
          <w:color w:val="001D77"/>
          <w:lang w:val="en-GB"/>
        </w:rPr>
        <w:t>Newly created jobs</w:t>
      </w:r>
    </w:p>
    <w:p w14:paraId="70FB37D0" w14:textId="4517362F" w:rsidR="00D36B02" w:rsidRDefault="00786156" w:rsidP="00963EFA">
      <w:pPr>
        <w:rPr>
          <w:szCs w:val="19"/>
          <w:lang w:val="en-GB"/>
        </w:rPr>
      </w:pPr>
      <w:r w:rsidRPr="00786156">
        <w:rPr>
          <w:szCs w:val="19"/>
          <w:lang w:val="en-GB"/>
        </w:rPr>
        <w:t>In the first quarter of 2021,</w:t>
      </w:r>
      <w:r w:rsidR="00171D2C" w:rsidRPr="00786156">
        <w:rPr>
          <w:szCs w:val="19"/>
          <w:lang w:val="en-GB"/>
        </w:rPr>
        <w:t xml:space="preserve"> </w:t>
      </w:r>
      <w:r w:rsidR="00F80098" w:rsidRPr="00786156">
        <w:rPr>
          <w:szCs w:val="19"/>
          <w:lang w:val="en-GB"/>
        </w:rPr>
        <w:t>1</w:t>
      </w:r>
      <w:r w:rsidRPr="00786156">
        <w:rPr>
          <w:szCs w:val="19"/>
          <w:lang w:val="en-GB"/>
        </w:rPr>
        <w:t>91.</w:t>
      </w:r>
      <w:r w:rsidR="00F80098" w:rsidRPr="00786156">
        <w:rPr>
          <w:szCs w:val="19"/>
          <w:lang w:val="en-GB"/>
        </w:rPr>
        <w:t>7</w:t>
      </w:r>
      <w:r w:rsidR="00963EFA" w:rsidRPr="00786156">
        <w:rPr>
          <w:szCs w:val="19"/>
          <w:lang w:val="en-GB"/>
        </w:rPr>
        <w:t xml:space="preserve"> </w:t>
      </w:r>
      <w:r w:rsidRPr="00786156">
        <w:rPr>
          <w:szCs w:val="19"/>
          <w:lang w:val="en-GB"/>
        </w:rPr>
        <w:t xml:space="preserve">thousand new jobs were created in Poland, i.e. </w:t>
      </w:r>
      <w:r w:rsidR="00396630">
        <w:rPr>
          <w:szCs w:val="19"/>
          <w:lang w:val="en-GB"/>
        </w:rPr>
        <w:t>more than twice as many as in the fourth quarter of 2020.</w:t>
      </w:r>
      <w:r w:rsidR="00963EFA" w:rsidRPr="00396630">
        <w:rPr>
          <w:szCs w:val="19"/>
          <w:lang w:val="en-GB"/>
        </w:rPr>
        <w:t xml:space="preserve"> </w:t>
      </w:r>
      <w:r w:rsidR="00396630" w:rsidRPr="00396630">
        <w:rPr>
          <w:szCs w:val="19"/>
          <w:lang w:val="en-GB"/>
        </w:rPr>
        <w:t xml:space="preserve">Almost half of all new jobs were created </w:t>
      </w:r>
      <w:r w:rsidR="00396630">
        <w:rPr>
          <w:szCs w:val="19"/>
          <w:lang w:val="en-GB"/>
        </w:rPr>
        <w:t>in units with up to 9 employed persons.</w:t>
      </w:r>
    </w:p>
    <w:p w14:paraId="6C5DCED1" w14:textId="77777777" w:rsidR="004B4534" w:rsidRPr="00396630" w:rsidRDefault="004B4534" w:rsidP="00963EFA">
      <w:pPr>
        <w:rPr>
          <w:szCs w:val="19"/>
          <w:lang w:val="en-GB"/>
        </w:rPr>
      </w:pPr>
    </w:p>
    <w:p w14:paraId="70990FD6" w14:textId="716694F5" w:rsidR="00A57C17" w:rsidRPr="00FC484A" w:rsidRDefault="00FC484A" w:rsidP="00316D63">
      <w:pPr>
        <w:spacing w:before="0" w:after="0" w:line="240" w:lineRule="auto"/>
        <w:ind w:left="851" w:hanging="851"/>
        <w:rPr>
          <w:rFonts w:eastAsia="Times New Roman" w:cs="Calibri"/>
          <w:b/>
          <w:bCs/>
          <w:color w:val="000000"/>
          <w:sz w:val="18"/>
          <w:szCs w:val="18"/>
          <w:lang w:val="en-GB" w:eastAsia="pl-PL"/>
        </w:rPr>
      </w:pPr>
      <w:r>
        <w:rPr>
          <w:noProof/>
          <w:lang w:eastAsia="pl-PL"/>
        </w:rPr>
        <w:drawing>
          <wp:anchor distT="0" distB="0" distL="114300" distR="114300" simplePos="0" relativeHeight="251683840" behindDoc="0" locked="0" layoutInCell="1" allowOverlap="1" wp14:anchorId="200E83A4" wp14:editId="65C8754E">
            <wp:simplePos x="0" y="0"/>
            <wp:positionH relativeFrom="margin">
              <wp:align>left</wp:align>
            </wp:positionH>
            <wp:positionV relativeFrom="paragraph">
              <wp:posOffset>154868</wp:posOffset>
            </wp:positionV>
            <wp:extent cx="4937624" cy="1610045"/>
            <wp:effectExtent l="0" t="0" r="15875" b="0"/>
            <wp:wrapSquare wrapText="bothSides"/>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396630" w:rsidRPr="00FC484A">
        <w:rPr>
          <w:rFonts w:eastAsia="Times New Roman" w:cs="Calibri"/>
          <w:b/>
          <w:bCs/>
          <w:color w:val="000000"/>
          <w:sz w:val="18"/>
          <w:szCs w:val="18"/>
          <w:lang w:val="en-GB" w:eastAsia="pl-PL"/>
        </w:rPr>
        <w:t>Chart</w:t>
      </w:r>
      <w:r w:rsidR="00A57C17" w:rsidRPr="00FC484A">
        <w:rPr>
          <w:rFonts w:eastAsia="Times New Roman" w:cs="Calibri"/>
          <w:b/>
          <w:bCs/>
          <w:color w:val="000000"/>
          <w:sz w:val="18"/>
          <w:szCs w:val="18"/>
          <w:lang w:val="en-GB" w:eastAsia="pl-PL"/>
        </w:rPr>
        <w:t xml:space="preserve"> </w:t>
      </w:r>
      <w:r w:rsidR="00726F28" w:rsidRPr="00FC484A">
        <w:rPr>
          <w:rFonts w:eastAsia="Times New Roman" w:cs="Calibri"/>
          <w:b/>
          <w:bCs/>
          <w:color w:val="000000"/>
          <w:sz w:val="18"/>
          <w:szCs w:val="18"/>
          <w:lang w:val="en-GB" w:eastAsia="pl-PL"/>
        </w:rPr>
        <w:t>7</w:t>
      </w:r>
      <w:r w:rsidR="00396630" w:rsidRPr="00FC484A">
        <w:rPr>
          <w:rFonts w:eastAsia="Times New Roman" w:cs="Calibri"/>
          <w:b/>
          <w:bCs/>
          <w:color w:val="000000"/>
          <w:sz w:val="18"/>
          <w:szCs w:val="18"/>
          <w:lang w:val="en-GB" w:eastAsia="pl-PL"/>
        </w:rPr>
        <w:t>. The structure of newly created jobs in Poland by size of units in the first quarter of 2021</w:t>
      </w:r>
    </w:p>
    <w:p w14:paraId="3B016686" w14:textId="09C54EA4" w:rsidR="00FD1E4F" w:rsidRPr="006A3D06" w:rsidRDefault="00FD1E4F" w:rsidP="00963EFA">
      <w:pPr>
        <w:rPr>
          <w:szCs w:val="19"/>
          <w:lang w:val="en-GB"/>
        </w:rPr>
      </w:pPr>
    </w:p>
    <w:p w14:paraId="3FC6FE2B" w14:textId="77777777" w:rsidR="00D33296" w:rsidRPr="00E25296" w:rsidRDefault="00396630" w:rsidP="00396630">
      <w:pPr>
        <w:rPr>
          <w:szCs w:val="19"/>
          <w:shd w:val="clear" w:color="auto" w:fill="FFFFFF"/>
          <w:lang w:val="en-GB"/>
        </w:rPr>
      </w:pPr>
      <w:r w:rsidRPr="00E25296">
        <w:rPr>
          <w:szCs w:val="19"/>
          <w:shd w:val="clear" w:color="auto" w:fill="FFFFFF"/>
          <w:lang w:val="en-GB"/>
        </w:rPr>
        <w:t>Over 35 thousand new jobs were created</w:t>
      </w:r>
      <w:r w:rsidR="0031445B">
        <w:rPr>
          <w:szCs w:val="19"/>
          <w:shd w:val="clear" w:color="auto" w:fill="FFFFFF"/>
          <w:lang w:val="en-GB"/>
        </w:rPr>
        <w:t xml:space="preserve"> by </w:t>
      </w:r>
      <w:r w:rsidRPr="00E25296">
        <w:rPr>
          <w:szCs w:val="19"/>
          <w:shd w:val="clear" w:color="auto" w:fill="FFFFFF"/>
          <w:lang w:val="en-GB"/>
        </w:rPr>
        <w:t>entities conducting business activi</w:t>
      </w:r>
      <w:r w:rsidR="00E25296">
        <w:rPr>
          <w:szCs w:val="19"/>
          <w:shd w:val="clear" w:color="auto" w:fill="FFFFFF"/>
          <w:lang w:val="en-GB"/>
        </w:rPr>
        <w:t xml:space="preserve">ty </w:t>
      </w:r>
      <w:r w:rsidRPr="00396630">
        <w:rPr>
          <w:szCs w:val="19"/>
          <w:shd w:val="clear" w:color="auto" w:fill="FFFFFF"/>
          <w:lang w:val="en-GB"/>
        </w:rPr>
        <w:t>in th</w:t>
      </w:r>
      <w:r w:rsidR="00E25296">
        <w:rPr>
          <w:szCs w:val="19"/>
          <w:shd w:val="clear" w:color="auto" w:fill="FFFFFF"/>
          <w:lang w:val="en-GB"/>
        </w:rPr>
        <w:t>e fields of both manufacturing and trade; repair of motor vehicles</w:t>
      </w:r>
      <w:r w:rsidR="00E25296" w:rsidRPr="00E25296">
        <w:rPr>
          <w:szCs w:val="19"/>
          <w:shd w:val="clear" w:color="auto" w:fill="FFFFFF"/>
          <w:vertAlign w:val="superscript"/>
          <w:lang w:val="en-GB"/>
        </w:rPr>
        <w:t>∆</w:t>
      </w:r>
      <w:r w:rsidR="00E25296">
        <w:rPr>
          <w:szCs w:val="19"/>
          <w:shd w:val="clear" w:color="auto" w:fill="FFFFFF"/>
          <w:lang w:val="en-GB"/>
        </w:rPr>
        <w:t>.</w:t>
      </w:r>
    </w:p>
    <w:p w14:paraId="50118924" w14:textId="258C04CD" w:rsidR="0030201A" w:rsidRPr="00E25296" w:rsidRDefault="001333DC" w:rsidP="0030201A">
      <w:pPr>
        <w:rPr>
          <w:rFonts w:ascii="Calibri" w:hAnsi="Calibri"/>
          <w:sz w:val="22"/>
          <w:lang w:val="en-GB"/>
        </w:rPr>
      </w:pPr>
      <w:r w:rsidRPr="001333DC">
        <w:rPr>
          <w:shd w:val="clear" w:color="auto" w:fill="FFFFFF"/>
          <w:lang w:val="en-GB"/>
        </w:rPr>
        <w:t>Vacant n</w:t>
      </w:r>
      <w:r w:rsidR="00E25296" w:rsidRPr="001333DC">
        <w:rPr>
          <w:shd w:val="clear" w:color="auto" w:fill="FFFFFF"/>
          <w:lang w:val="en-GB"/>
        </w:rPr>
        <w:t xml:space="preserve">ewly created jobs are singled out from among job vacancies. </w:t>
      </w:r>
      <w:r w:rsidR="00E25296" w:rsidRPr="00E25296">
        <w:rPr>
          <w:shd w:val="clear" w:color="auto" w:fill="FFFFFF"/>
          <w:lang w:val="en-GB"/>
        </w:rPr>
        <w:t>At the end of the first quarter</w:t>
      </w:r>
      <w:r>
        <w:rPr>
          <w:shd w:val="clear" w:color="auto" w:fill="FFFFFF"/>
          <w:lang w:val="en-GB"/>
        </w:rPr>
        <w:t xml:space="preserve"> of 2021, there were 24.0 thousand</w:t>
      </w:r>
      <w:r w:rsidR="00E25296" w:rsidRPr="00E25296">
        <w:rPr>
          <w:shd w:val="clear" w:color="auto" w:fill="FFFFFF"/>
          <w:lang w:val="en-GB"/>
        </w:rPr>
        <w:t xml:space="preserve"> </w:t>
      </w:r>
      <w:r>
        <w:rPr>
          <w:shd w:val="clear" w:color="auto" w:fill="FFFFFF"/>
          <w:lang w:val="en-GB"/>
        </w:rPr>
        <w:t xml:space="preserve">vacant </w:t>
      </w:r>
      <w:r w:rsidR="00E25296" w:rsidRPr="00E25296">
        <w:rPr>
          <w:shd w:val="clear" w:color="auto" w:fill="FFFFFF"/>
          <w:lang w:val="en-GB"/>
        </w:rPr>
        <w:t xml:space="preserve">newly created jobs. They occurred mainly in the private sector (92.9%). In terms of the size of </w:t>
      </w:r>
      <w:r w:rsidR="003E3D33">
        <w:rPr>
          <w:shd w:val="clear" w:color="auto" w:fill="FFFFFF"/>
          <w:lang w:val="en-GB"/>
        </w:rPr>
        <w:t>the unit</w:t>
      </w:r>
      <w:r w:rsidR="00E25296" w:rsidRPr="00E25296">
        <w:rPr>
          <w:shd w:val="clear" w:color="auto" w:fill="FFFFFF"/>
          <w:lang w:val="en-GB"/>
        </w:rPr>
        <w:t>, the largest num</w:t>
      </w:r>
      <w:r>
        <w:rPr>
          <w:shd w:val="clear" w:color="auto" w:fill="FFFFFF"/>
          <w:lang w:val="en-GB"/>
        </w:rPr>
        <w:t>ber, i.e. around</w:t>
      </w:r>
      <w:r w:rsidR="00E25296" w:rsidRPr="00E25296">
        <w:rPr>
          <w:shd w:val="clear" w:color="auto" w:fill="FFFFFF"/>
          <w:lang w:val="en-GB"/>
        </w:rPr>
        <w:t xml:space="preserve"> half (47.1%) o</w:t>
      </w:r>
      <w:r>
        <w:rPr>
          <w:shd w:val="clear" w:color="auto" w:fill="FFFFFF"/>
          <w:lang w:val="en-GB"/>
        </w:rPr>
        <w:t>f vacant newly created jobs, were</w:t>
      </w:r>
      <w:r w:rsidR="00E25296" w:rsidRPr="00E25296">
        <w:rPr>
          <w:shd w:val="clear" w:color="auto" w:fill="FFFFFF"/>
          <w:lang w:val="en-GB"/>
        </w:rPr>
        <w:t xml:space="preserve"> recorded in units </w:t>
      </w:r>
      <w:r>
        <w:rPr>
          <w:shd w:val="clear" w:color="auto" w:fill="FFFFFF"/>
          <w:lang w:val="en-GB"/>
        </w:rPr>
        <w:t>with more than 49 employed persons. T</w:t>
      </w:r>
      <w:r w:rsidR="00E25296" w:rsidRPr="00E25296">
        <w:rPr>
          <w:shd w:val="clear" w:color="auto" w:fill="FFFFFF"/>
          <w:lang w:val="en-GB"/>
        </w:rPr>
        <w:t>he size</w:t>
      </w:r>
      <w:r>
        <w:rPr>
          <w:shd w:val="clear" w:color="auto" w:fill="FFFFFF"/>
          <w:lang w:val="en-GB"/>
        </w:rPr>
        <w:t xml:space="preserve"> group up to 9 employed persons, accounted for approximately</w:t>
      </w:r>
      <w:r w:rsidR="00E25296" w:rsidRPr="00E25296">
        <w:rPr>
          <w:shd w:val="clear" w:color="auto" w:fill="FFFFFF"/>
          <w:lang w:val="en-GB"/>
        </w:rPr>
        <w:t xml:space="preserve"> 35% of </w:t>
      </w:r>
      <w:r>
        <w:rPr>
          <w:shd w:val="clear" w:color="auto" w:fill="FFFFFF"/>
          <w:lang w:val="en-GB"/>
        </w:rPr>
        <w:t xml:space="preserve">vacant </w:t>
      </w:r>
      <w:r w:rsidR="00E25296" w:rsidRPr="00E25296">
        <w:rPr>
          <w:shd w:val="clear" w:color="auto" w:fill="FFFFFF"/>
          <w:lang w:val="en-GB"/>
        </w:rPr>
        <w:t>newly created jobs.</w:t>
      </w:r>
    </w:p>
    <w:p w14:paraId="4BC71BE5" w14:textId="7F881A10" w:rsidR="0030201A" w:rsidRPr="005D4A96" w:rsidRDefault="003E3D33" w:rsidP="0030201A">
      <w:pPr>
        <w:rPr>
          <w:lang w:val="en-GB"/>
        </w:rPr>
      </w:pPr>
      <w:r w:rsidRPr="005D4A96">
        <w:rPr>
          <w:lang w:val="en-GB"/>
        </w:rPr>
        <w:t xml:space="preserve">As compared to the fourth quarter of 2020, the number of vacant newly created jobs </w:t>
      </w:r>
      <w:r w:rsidR="004B4534">
        <w:rPr>
          <w:lang w:val="en-GB"/>
        </w:rPr>
        <w:br/>
      </w:r>
      <w:r w:rsidR="005D4A96" w:rsidRPr="005D4A96">
        <w:rPr>
          <w:lang w:val="en-GB"/>
        </w:rPr>
        <w:t>increased by</w:t>
      </w:r>
      <w:r w:rsidR="0097192E" w:rsidRPr="005D4A96">
        <w:rPr>
          <w:lang w:val="en-GB"/>
        </w:rPr>
        <w:t xml:space="preserve"> </w:t>
      </w:r>
      <w:r w:rsidR="009F7678" w:rsidRPr="005D4A96">
        <w:rPr>
          <w:lang w:val="en-GB"/>
        </w:rPr>
        <w:t>3</w:t>
      </w:r>
      <w:r w:rsidR="005D4A96">
        <w:rPr>
          <w:lang w:val="en-GB"/>
        </w:rPr>
        <w:t>7.</w:t>
      </w:r>
      <w:r w:rsidR="009F7678" w:rsidRPr="005D4A96">
        <w:rPr>
          <w:lang w:val="en-GB"/>
        </w:rPr>
        <w:t>1</w:t>
      </w:r>
      <w:r w:rsidR="00700742" w:rsidRPr="005D4A96">
        <w:rPr>
          <w:lang w:val="en-GB"/>
        </w:rPr>
        <w:t>%</w:t>
      </w:r>
      <w:r w:rsidR="005D4A96">
        <w:rPr>
          <w:lang w:val="en-GB"/>
        </w:rPr>
        <w:t xml:space="preserve"> and it also increased in comparison with the corresponding period of 2020 – by 48.</w:t>
      </w:r>
      <w:r w:rsidR="0034321C" w:rsidRPr="005D4A96">
        <w:rPr>
          <w:lang w:val="en-GB"/>
        </w:rPr>
        <w:t>1</w:t>
      </w:r>
      <w:r w:rsidR="0030201A" w:rsidRPr="005D4A96">
        <w:rPr>
          <w:lang w:val="en-GB"/>
        </w:rPr>
        <w:t>%.</w:t>
      </w:r>
    </w:p>
    <w:p w14:paraId="3085F6A9" w14:textId="77777777" w:rsidR="0030201A" w:rsidRPr="004E450A" w:rsidRDefault="005D4A96" w:rsidP="0030201A">
      <w:pPr>
        <w:rPr>
          <w:rFonts w:eastAsia="Times New Roman"/>
          <w:szCs w:val="19"/>
          <w:lang w:val="en-GB" w:eastAsia="pl-PL"/>
        </w:rPr>
      </w:pPr>
      <w:r w:rsidRPr="005D4A96">
        <w:rPr>
          <w:rFonts w:eastAsia="Times New Roman"/>
          <w:szCs w:val="19"/>
          <w:lang w:val="en-GB" w:eastAsia="pl-PL"/>
        </w:rPr>
        <w:t>Unfilled newly created jobs, similarly to the previous quarter, were mainly in units operating in the field of manufacturing</w:t>
      </w:r>
      <w:r>
        <w:rPr>
          <w:rFonts w:eastAsia="Times New Roman"/>
          <w:szCs w:val="19"/>
          <w:lang w:val="en-GB" w:eastAsia="pl-PL"/>
        </w:rPr>
        <w:t xml:space="preserve"> </w:t>
      </w:r>
      <w:r w:rsidR="0097192E" w:rsidRPr="005D4A96">
        <w:rPr>
          <w:rFonts w:eastAsia="Times New Roman"/>
          <w:szCs w:val="19"/>
          <w:lang w:val="en-GB" w:eastAsia="pl-PL"/>
        </w:rPr>
        <w:t>–</w:t>
      </w:r>
      <w:r w:rsidR="0030201A" w:rsidRPr="005D4A96">
        <w:rPr>
          <w:rFonts w:eastAsia="Times New Roman"/>
          <w:szCs w:val="19"/>
          <w:lang w:val="en-GB" w:eastAsia="pl-PL"/>
        </w:rPr>
        <w:t xml:space="preserve"> </w:t>
      </w:r>
      <w:r>
        <w:rPr>
          <w:rFonts w:eastAsia="Times New Roman"/>
          <w:szCs w:val="19"/>
          <w:lang w:val="en-GB" w:eastAsia="pl-PL"/>
        </w:rPr>
        <w:t>5.</w:t>
      </w:r>
      <w:r w:rsidR="00B0383A" w:rsidRPr="005D4A96">
        <w:rPr>
          <w:rFonts w:eastAsia="Times New Roman"/>
          <w:szCs w:val="19"/>
          <w:lang w:val="en-GB" w:eastAsia="pl-PL"/>
        </w:rPr>
        <w:t>9</w:t>
      </w:r>
      <w:r>
        <w:rPr>
          <w:rFonts w:eastAsia="Times New Roman"/>
          <w:szCs w:val="19"/>
          <w:lang w:val="en-GB" w:eastAsia="pl-PL"/>
        </w:rPr>
        <w:t xml:space="preserve"> thousand</w:t>
      </w:r>
      <w:r w:rsidR="0030201A" w:rsidRPr="005D4A96">
        <w:rPr>
          <w:rFonts w:eastAsia="Times New Roman"/>
          <w:szCs w:val="19"/>
          <w:lang w:val="en-GB" w:eastAsia="pl-PL"/>
        </w:rPr>
        <w:t xml:space="preserve"> (</w:t>
      </w:r>
      <w:r>
        <w:rPr>
          <w:rFonts w:eastAsia="Times New Roman"/>
          <w:szCs w:val="19"/>
          <w:lang w:val="en-GB" w:eastAsia="pl-PL"/>
        </w:rPr>
        <w:t>24.</w:t>
      </w:r>
      <w:r w:rsidR="007D2C4B" w:rsidRPr="005D4A96">
        <w:rPr>
          <w:rFonts w:eastAsia="Times New Roman"/>
          <w:szCs w:val="19"/>
          <w:lang w:val="en-GB" w:eastAsia="pl-PL"/>
        </w:rPr>
        <w:t>6</w:t>
      </w:r>
      <w:r w:rsidR="0030201A" w:rsidRPr="005D4A96">
        <w:rPr>
          <w:rFonts w:eastAsia="Times New Roman"/>
          <w:szCs w:val="19"/>
          <w:lang w:val="en-GB" w:eastAsia="pl-PL"/>
        </w:rPr>
        <w:t>%)</w:t>
      </w:r>
      <w:r w:rsidR="00C965AA" w:rsidRPr="005D4A96">
        <w:rPr>
          <w:rFonts w:eastAsia="Times New Roman"/>
          <w:szCs w:val="19"/>
          <w:lang w:val="en-GB" w:eastAsia="pl-PL"/>
        </w:rPr>
        <w:t xml:space="preserve">. </w:t>
      </w:r>
      <w:r>
        <w:rPr>
          <w:rFonts w:eastAsia="Times New Roman"/>
          <w:szCs w:val="19"/>
          <w:lang w:val="en-GB" w:eastAsia="pl-PL"/>
        </w:rPr>
        <w:t>A</w:t>
      </w:r>
      <w:r w:rsidRPr="005D4A96">
        <w:rPr>
          <w:rFonts w:eastAsia="Times New Roman"/>
          <w:szCs w:val="19"/>
          <w:lang w:val="en-GB" w:eastAsia="pl-PL"/>
        </w:rPr>
        <w:t xml:space="preserve"> large number of newly created jobs remained unfilled also in the fie</w:t>
      </w:r>
      <w:r>
        <w:rPr>
          <w:rFonts w:eastAsia="Times New Roman"/>
          <w:szCs w:val="19"/>
          <w:lang w:val="en-GB" w:eastAsia="pl-PL"/>
        </w:rPr>
        <w:t>lds of</w:t>
      </w:r>
      <w:r w:rsidRPr="005D4A96">
        <w:rPr>
          <w:rFonts w:eastAsia="Times New Roman"/>
          <w:szCs w:val="19"/>
          <w:lang w:val="en-GB" w:eastAsia="pl-PL"/>
        </w:rPr>
        <w:t xml:space="preserve"> information and communica</w:t>
      </w:r>
      <w:r>
        <w:rPr>
          <w:rFonts w:eastAsia="Times New Roman"/>
          <w:szCs w:val="19"/>
          <w:lang w:val="en-GB" w:eastAsia="pl-PL"/>
        </w:rPr>
        <w:t>tion as well as construction.</w:t>
      </w:r>
      <w:r w:rsidR="00EC42CC" w:rsidRPr="005D4A96">
        <w:rPr>
          <w:rFonts w:eastAsia="Times New Roman"/>
          <w:szCs w:val="19"/>
          <w:lang w:val="en-GB" w:eastAsia="pl-PL"/>
        </w:rPr>
        <w:t xml:space="preserve"> </w:t>
      </w:r>
      <w:r w:rsidR="004E450A">
        <w:rPr>
          <w:rFonts w:eastAsia="Times New Roman"/>
          <w:szCs w:val="19"/>
          <w:lang w:val="en-GB" w:eastAsia="pl-PL"/>
        </w:rPr>
        <w:t>There were around 3</w:t>
      </w:r>
      <w:r w:rsidR="004E450A" w:rsidRPr="004E450A">
        <w:rPr>
          <w:rFonts w:eastAsia="Times New Roman"/>
          <w:szCs w:val="19"/>
          <w:lang w:val="en-GB" w:eastAsia="pl-PL"/>
        </w:rPr>
        <w:t xml:space="preserve"> thousand vacancies in eac</w:t>
      </w:r>
      <w:r w:rsidR="004E450A">
        <w:rPr>
          <w:rFonts w:eastAsia="Times New Roman"/>
          <w:szCs w:val="19"/>
          <w:lang w:val="en-GB" w:eastAsia="pl-PL"/>
        </w:rPr>
        <w:t>h of these kinds of activities.</w:t>
      </w:r>
      <w:r w:rsidR="0030201A" w:rsidRPr="004E450A">
        <w:rPr>
          <w:rFonts w:eastAsia="Times New Roman"/>
          <w:szCs w:val="19"/>
          <w:lang w:val="en-GB" w:eastAsia="pl-PL"/>
        </w:rPr>
        <w:t xml:space="preserve"> </w:t>
      </w:r>
      <w:r w:rsidR="004E450A">
        <w:rPr>
          <w:rFonts w:eastAsia="Times New Roman"/>
          <w:szCs w:val="19"/>
          <w:lang w:val="en-GB" w:eastAsia="pl-PL"/>
        </w:rPr>
        <w:t xml:space="preserve">Around a third of jobs of the analysed category </w:t>
      </w:r>
      <w:r w:rsidR="004E450A" w:rsidRPr="004E450A">
        <w:rPr>
          <w:rFonts w:eastAsia="Times New Roman"/>
          <w:szCs w:val="19"/>
          <w:lang w:val="en-GB" w:eastAsia="pl-PL"/>
        </w:rPr>
        <w:t>were int</w:t>
      </w:r>
      <w:r w:rsidR="004E450A">
        <w:rPr>
          <w:rFonts w:eastAsia="Times New Roman"/>
          <w:szCs w:val="19"/>
          <w:lang w:val="en-GB" w:eastAsia="pl-PL"/>
        </w:rPr>
        <w:t>end</w:t>
      </w:r>
      <w:r w:rsidR="00D2154D">
        <w:rPr>
          <w:rFonts w:eastAsia="Times New Roman"/>
          <w:szCs w:val="19"/>
          <w:lang w:val="en-GB" w:eastAsia="pl-PL"/>
        </w:rPr>
        <w:t xml:space="preserve">ed for </w:t>
      </w:r>
      <w:r w:rsidR="00435B74">
        <w:rPr>
          <w:rFonts w:eastAsia="Times New Roman"/>
          <w:szCs w:val="19"/>
          <w:lang w:val="en-GB" w:eastAsia="pl-PL"/>
        </w:rPr>
        <w:t>pro</w:t>
      </w:r>
      <w:r w:rsidR="00D2154D">
        <w:rPr>
          <w:rFonts w:eastAsia="Times New Roman"/>
          <w:szCs w:val="19"/>
          <w:lang w:val="en-GB" w:eastAsia="pl-PL"/>
        </w:rPr>
        <w:t>fes</w:t>
      </w:r>
      <w:r w:rsidR="00435B74">
        <w:rPr>
          <w:rFonts w:eastAsia="Times New Roman"/>
          <w:szCs w:val="19"/>
          <w:lang w:val="en-GB" w:eastAsia="pl-PL"/>
        </w:rPr>
        <w:t>s</w:t>
      </w:r>
      <w:r w:rsidR="00D2154D">
        <w:rPr>
          <w:rFonts w:eastAsia="Times New Roman"/>
          <w:szCs w:val="19"/>
          <w:lang w:val="en-GB" w:eastAsia="pl-PL"/>
        </w:rPr>
        <w:t>ionals</w:t>
      </w:r>
      <w:r w:rsidR="004E450A">
        <w:rPr>
          <w:rFonts w:eastAsia="Times New Roman"/>
          <w:szCs w:val="19"/>
          <w:lang w:val="en-GB" w:eastAsia="pl-PL"/>
        </w:rPr>
        <w:t>. Every sixth</w:t>
      </w:r>
      <w:r w:rsidR="004E450A" w:rsidRPr="004E450A">
        <w:rPr>
          <w:rFonts w:eastAsia="Times New Roman"/>
          <w:szCs w:val="19"/>
          <w:lang w:val="en-GB" w:eastAsia="pl-PL"/>
        </w:rPr>
        <w:t xml:space="preserve"> newly creat</w:t>
      </w:r>
      <w:r w:rsidR="004E450A">
        <w:rPr>
          <w:rFonts w:eastAsia="Times New Roman"/>
          <w:szCs w:val="19"/>
          <w:lang w:val="en-GB" w:eastAsia="pl-PL"/>
        </w:rPr>
        <w:t>ed job</w:t>
      </w:r>
      <w:r w:rsidR="004E450A" w:rsidRPr="004E450A">
        <w:rPr>
          <w:rFonts w:eastAsia="Times New Roman"/>
          <w:szCs w:val="19"/>
          <w:lang w:val="en-GB" w:eastAsia="pl-PL"/>
        </w:rPr>
        <w:t xml:space="preserve"> was intended for</w:t>
      </w:r>
      <w:r w:rsidR="004E450A" w:rsidRPr="004E450A">
        <w:rPr>
          <w:lang w:val="en-GB"/>
        </w:rPr>
        <w:t xml:space="preserve"> </w:t>
      </w:r>
      <w:r w:rsidR="004E450A">
        <w:rPr>
          <w:rFonts w:eastAsia="Times New Roman"/>
          <w:szCs w:val="19"/>
          <w:lang w:val="en-GB" w:eastAsia="pl-PL"/>
        </w:rPr>
        <w:t>c</w:t>
      </w:r>
      <w:r w:rsidR="004E450A" w:rsidRPr="004E450A">
        <w:rPr>
          <w:rFonts w:eastAsia="Times New Roman"/>
          <w:szCs w:val="19"/>
          <w:lang w:val="en-GB" w:eastAsia="pl-PL"/>
        </w:rPr>
        <w:t>raft and related trades workers</w:t>
      </w:r>
      <w:r w:rsidR="004E450A">
        <w:rPr>
          <w:rFonts w:eastAsia="Times New Roman"/>
          <w:szCs w:val="19"/>
          <w:lang w:val="en-GB" w:eastAsia="pl-PL"/>
        </w:rPr>
        <w:t>, and every seventh for p</w:t>
      </w:r>
      <w:r w:rsidR="004E450A" w:rsidRPr="004E450A">
        <w:rPr>
          <w:rFonts w:eastAsia="Times New Roman"/>
          <w:szCs w:val="19"/>
          <w:lang w:val="en-GB" w:eastAsia="pl-PL"/>
        </w:rPr>
        <w:t>lant and machine operators and assemblers.</w:t>
      </w:r>
    </w:p>
    <w:p w14:paraId="1E547C66" w14:textId="77777777" w:rsidR="00ED071B" w:rsidRPr="004E450A" w:rsidRDefault="00ED071B" w:rsidP="0030201A">
      <w:pPr>
        <w:rPr>
          <w:rFonts w:eastAsia="Times New Roman"/>
          <w:sz w:val="18"/>
          <w:szCs w:val="18"/>
          <w:lang w:val="en-GB" w:eastAsia="pl-PL"/>
        </w:rPr>
      </w:pPr>
    </w:p>
    <w:p w14:paraId="2A352814" w14:textId="52C10EDC" w:rsidR="00A2001D" w:rsidRPr="006A3D06" w:rsidRDefault="00EE0D17" w:rsidP="00A2001D">
      <w:pPr>
        <w:spacing w:before="240" w:line="240" w:lineRule="auto"/>
        <w:rPr>
          <w:rFonts w:ascii="Fira Sans SemiBold" w:hAnsi="Fira Sans SemiBold"/>
          <w:color w:val="001D77"/>
          <w:lang w:val="en-GB"/>
        </w:rPr>
      </w:pPr>
      <w:r>
        <w:rPr>
          <w:noProof/>
          <w:lang w:eastAsia="pl-PL"/>
        </w:rPr>
        <mc:AlternateContent>
          <mc:Choice Requires="wps">
            <w:drawing>
              <wp:anchor distT="0" distB="0" distL="114300" distR="114300" simplePos="0" relativeHeight="251662336" behindDoc="0" locked="0" layoutInCell="1" allowOverlap="1" wp14:anchorId="3BECA623" wp14:editId="20FCDD9A">
                <wp:simplePos x="0" y="0"/>
                <wp:positionH relativeFrom="column">
                  <wp:posOffset>5215179</wp:posOffset>
                </wp:positionH>
                <wp:positionV relativeFrom="paragraph">
                  <wp:posOffset>241139</wp:posOffset>
                </wp:positionV>
                <wp:extent cx="1666067" cy="674370"/>
                <wp:effectExtent l="0" t="0" r="0" b="0"/>
                <wp:wrapNone/>
                <wp:docPr id="4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067"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4957B" w14:textId="77777777" w:rsidR="003F5188" w:rsidRPr="00B96F25" w:rsidRDefault="00B96F25" w:rsidP="00A2001D">
                            <w:pPr>
                              <w:spacing w:before="0"/>
                              <w:rPr>
                                <w:bCs/>
                                <w:color w:val="001D77"/>
                                <w:sz w:val="18"/>
                                <w:szCs w:val="18"/>
                                <w:lang w:val="en-GB"/>
                              </w:rPr>
                            </w:pPr>
                            <w:r w:rsidRPr="00B96F25">
                              <w:rPr>
                                <w:bCs/>
                                <w:color w:val="001D77"/>
                                <w:sz w:val="18"/>
                                <w:szCs w:val="18"/>
                                <w:lang w:val="en-GB"/>
                              </w:rPr>
                              <w:t>I</w:t>
                            </w:r>
                            <w:r>
                              <w:rPr>
                                <w:bCs/>
                                <w:color w:val="001D77"/>
                                <w:sz w:val="18"/>
                                <w:szCs w:val="18"/>
                                <w:lang w:val="en-GB"/>
                              </w:rPr>
                              <w:t>n the first quarter</w:t>
                            </w:r>
                            <w:r w:rsidR="00435B74">
                              <w:rPr>
                                <w:bCs/>
                                <w:color w:val="001D77"/>
                                <w:sz w:val="18"/>
                                <w:szCs w:val="18"/>
                                <w:lang w:val="en-GB"/>
                              </w:rPr>
                              <w:t xml:space="preserve"> </w:t>
                            </w:r>
                            <w:r>
                              <w:rPr>
                                <w:bCs/>
                                <w:color w:val="001D77"/>
                                <w:sz w:val="18"/>
                                <w:szCs w:val="18"/>
                                <w:lang w:val="en-GB"/>
                              </w:rPr>
                              <w:t>of 2021,</w:t>
                            </w:r>
                            <w:r w:rsidR="003F5188" w:rsidRPr="00B96F25">
                              <w:rPr>
                                <w:bCs/>
                                <w:color w:val="001D77"/>
                                <w:sz w:val="18"/>
                                <w:szCs w:val="18"/>
                                <w:lang w:val="en-GB"/>
                              </w:rPr>
                              <w:t xml:space="preserve"> </w:t>
                            </w:r>
                            <w:r>
                              <w:rPr>
                                <w:bCs/>
                                <w:color w:val="001D77"/>
                                <w:sz w:val="18"/>
                                <w:szCs w:val="18"/>
                                <w:lang w:val="en-GB"/>
                              </w:rPr>
                              <w:t>j</w:t>
                            </w:r>
                            <w:r w:rsidRPr="00B96F25">
                              <w:rPr>
                                <w:bCs/>
                                <w:color w:val="001D77"/>
                                <w:sz w:val="18"/>
                                <w:szCs w:val="18"/>
                                <w:lang w:val="en-GB"/>
                              </w:rPr>
                              <w:t xml:space="preserve">obs were liquidated mainly in the private sector </w:t>
                            </w:r>
                            <w:r w:rsidR="003F5188" w:rsidRPr="00B96F25">
                              <w:rPr>
                                <w:bCs/>
                                <w:color w:val="001D77"/>
                                <w:sz w:val="18"/>
                                <w:szCs w:val="18"/>
                                <w:lang w:val="en-GB"/>
                              </w:rPr>
                              <w:t>(</w:t>
                            </w:r>
                            <w:r>
                              <w:rPr>
                                <w:bCs/>
                                <w:color w:val="001D77"/>
                                <w:sz w:val="18"/>
                                <w:szCs w:val="18"/>
                                <w:lang w:val="en-GB"/>
                              </w:rPr>
                              <w:t>92.</w:t>
                            </w:r>
                            <w:r w:rsidR="003F5188" w:rsidRPr="00B96F25">
                              <w:rPr>
                                <w:bCs/>
                                <w:color w:val="001D77"/>
                                <w:sz w:val="18"/>
                                <w:szCs w:val="18"/>
                                <w:lang w:val="en-GB"/>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CA623" id="_x0000_s1033" type="#_x0000_t202" style="position:absolute;margin-left:410.65pt;margin-top:19pt;width:131.2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WuwIAAMI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" filled="f" stroked="f">
                <v:textbox>
                  <w:txbxContent>
                    <w:p w14:paraId="4C84957B" w14:textId="77777777" w:rsidR="003F5188" w:rsidRPr="00B96F25" w:rsidRDefault="00B96F25" w:rsidP="00A2001D">
                      <w:pPr>
                        <w:spacing w:before="0"/>
                        <w:rPr>
                          <w:bCs/>
                          <w:color w:val="001D77"/>
                          <w:sz w:val="18"/>
                          <w:szCs w:val="18"/>
                          <w:lang w:val="en-GB"/>
                        </w:rPr>
                      </w:pPr>
                      <w:r w:rsidRPr="00B96F25">
                        <w:rPr>
                          <w:bCs/>
                          <w:color w:val="001D77"/>
                          <w:sz w:val="18"/>
                          <w:szCs w:val="18"/>
                          <w:lang w:val="en-GB"/>
                        </w:rPr>
                        <w:t>I</w:t>
                      </w:r>
                      <w:r>
                        <w:rPr>
                          <w:bCs/>
                          <w:color w:val="001D77"/>
                          <w:sz w:val="18"/>
                          <w:szCs w:val="18"/>
                          <w:lang w:val="en-GB"/>
                        </w:rPr>
                        <w:t>n the first quarter</w:t>
                      </w:r>
                      <w:r w:rsidR="00435B74">
                        <w:rPr>
                          <w:bCs/>
                          <w:color w:val="001D77"/>
                          <w:sz w:val="18"/>
                          <w:szCs w:val="18"/>
                          <w:lang w:val="en-GB"/>
                        </w:rPr>
                        <w:t xml:space="preserve"> </w:t>
                      </w:r>
                      <w:r>
                        <w:rPr>
                          <w:bCs/>
                          <w:color w:val="001D77"/>
                          <w:sz w:val="18"/>
                          <w:szCs w:val="18"/>
                          <w:lang w:val="en-GB"/>
                        </w:rPr>
                        <w:t>of 2021,</w:t>
                      </w:r>
                      <w:r w:rsidR="003F5188" w:rsidRPr="00B96F25">
                        <w:rPr>
                          <w:bCs/>
                          <w:color w:val="001D77"/>
                          <w:sz w:val="18"/>
                          <w:szCs w:val="18"/>
                          <w:lang w:val="en-GB"/>
                        </w:rPr>
                        <w:t xml:space="preserve"> </w:t>
                      </w:r>
                      <w:r>
                        <w:rPr>
                          <w:bCs/>
                          <w:color w:val="001D77"/>
                          <w:sz w:val="18"/>
                          <w:szCs w:val="18"/>
                          <w:lang w:val="en-GB"/>
                        </w:rPr>
                        <w:t>j</w:t>
                      </w:r>
                      <w:r w:rsidRPr="00B96F25">
                        <w:rPr>
                          <w:bCs/>
                          <w:color w:val="001D77"/>
                          <w:sz w:val="18"/>
                          <w:szCs w:val="18"/>
                          <w:lang w:val="en-GB"/>
                        </w:rPr>
                        <w:t xml:space="preserve">obs were liquidated mainly in the private sector </w:t>
                      </w:r>
                      <w:r w:rsidR="003F5188" w:rsidRPr="00B96F25">
                        <w:rPr>
                          <w:bCs/>
                          <w:color w:val="001D77"/>
                          <w:sz w:val="18"/>
                          <w:szCs w:val="18"/>
                          <w:lang w:val="en-GB"/>
                        </w:rPr>
                        <w:t>(</w:t>
                      </w:r>
                      <w:r>
                        <w:rPr>
                          <w:bCs/>
                          <w:color w:val="001D77"/>
                          <w:sz w:val="18"/>
                          <w:szCs w:val="18"/>
                          <w:lang w:val="en-GB"/>
                        </w:rPr>
                        <w:t>92.</w:t>
                      </w:r>
                      <w:r w:rsidR="003F5188" w:rsidRPr="00B96F25">
                        <w:rPr>
                          <w:bCs/>
                          <w:color w:val="001D77"/>
                          <w:sz w:val="18"/>
                          <w:szCs w:val="18"/>
                          <w:lang w:val="en-GB"/>
                        </w:rPr>
                        <w:t>9%)</w:t>
                      </w:r>
                    </w:p>
                  </w:txbxContent>
                </v:textbox>
              </v:shape>
            </w:pict>
          </mc:Fallback>
        </mc:AlternateContent>
      </w:r>
      <w:r w:rsidR="00B96F25" w:rsidRPr="006A3D06">
        <w:rPr>
          <w:rFonts w:ascii="Fira Sans SemiBold" w:hAnsi="Fira Sans SemiBold"/>
          <w:color w:val="001D77"/>
          <w:lang w:val="en-GB"/>
        </w:rPr>
        <w:t>Liquidated jobs</w:t>
      </w:r>
    </w:p>
    <w:p w14:paraId="544F44A2" w14:textId="37A55100" w:rsidR="005347D8" w:rsidRPr="00A43B8B" w:rsidRDefault="00A43B8B" w:rsidP="002F77A4">
      <w:pPr>
        <w:rPr>
          <w:szCs w:val="19"/>
          <w:lang w:val="en-GB"/>
        </w:rPr>
      </w:pPr>
      <w:r w:rsidRPr="00A43B8B">
        <w:rPr>
          <w:szCs w:val="19"/>
          <w:lang w:val="en-GB"/>
        </w:rPr>
        <w:t>In the first quarter of 2021,</w:t>
      </w:r>
      <w:r w:rsidR="0030201A" w:rsidRPr="00A43B8B">
        <w:rPr>
          <w:szCs w:val="19"/>
          <w:lang w:val="en-GB"/>
        </w:rPr>
        <w:t xml:space="preserve"> </w:t>
      </w:r>
      <w:r w:rsidRPr="00A43B8B">
        <w:rPr>
          <w:szCs w:val="19"/>
          <w:lang w:val="en-GB"/>
        </w:rPr>
        <w:t>70.</w:t>
      </w:r>
      <w:r w:rsidR="00952D37" w:rsidRPr="00A43B8B">
        <w:rPr>
          <w:szCs w:val="19"/>
          <w:lang w:val="en-GB"/>
        </w:rPr>
        <w:t>2</w:t>
      </w:r>
      <w:r w:rsidR="0030201A" w:rsidRPr="00A43B8B">
        <w:rPr>
          <w:szCs w:val="19"/>
          <w:lang w:val="en-GB"/>
        </w:rPr>
        <w:t xml:space="preserve"> </w:t>
      </w:r>
      <w:r w:rsidRPr="00A43B8B">
        <w:rPr>
          <w:szCs w:val="19"/>
          <w:lang w:val="en-GB"/>
        </w:rPr>
        <w:t>thousand jobs were liquidated in Poland, 30.</w:t>
      </w:r>
      <w:r w:rsidR="00952D37" w:rsidRPr="00A43B8B">
        <w:rPr>
          <w:szCs w:val="19"/>
          <w:lang w:val="en-GB"/>
        </w:rPr>
        <w:t>2</w:t>
      </w:r>
      <w:r w:rsidR="0030201A" w:rsidRPr="00A43B8B">
        <w:rPr>
          <w:szCs w:val="19"/>
          <w:lang w:val="en-GB"/>
        </w:rPr>
        <w:t xml:space="preserve">% </w:t>
      </w:r>
      <w:r w:rsidRPr="00A43B8B">
        <w:rPr>
          <w:szCs w:val="19"/>
          <w:lang w:val="en-GB"/>
        </w:rPr>
        <w:t>more than in the fourth quarter of 2020 and</w:t>
      </w:r>
      <w:r w:rsidR="00C37298" w:rsidRPr="00A43B8B">
        <w:rPr>
          <w:szCs w:val="19"/>
          <w:lang w:val="en-GB"/>
        </w:rPr>
        <w:t xml:space="preserve"> </w:t>
      </w:r>
      <w:r w:rsidR="00952D37" w:rsidRPr="00A43B8B">
        <w:rPr>
          <w:szCs w:val="19"/>
          <w:lang w:val="en-GB"/>
        </w:rPr>
        <w:t>41</w:t>
      </w:r>
      <w:r w:rsidRPr="00A43B8B">
        <w:rPr>
          <w:szCs w:val="19"/>
          <w:lang w:val="en-GB"/>
        </w:rPr>
        <w:t>.</w:t>
      </w:r>
      <w:r w:rsidR="007D2C4B" w:rsidRPr="00A43B8B">
        <w:rPr>
          <w:szCs w:val="19"/>
          <w:lang w:val="en-GB"/>
        </w:rPr>
        <w:t>5</w:t>
      </w:r>
      <w:r w:rsidR="00C37298" w:rsidRPr="00A43B8B">
        <w:rPr>
          <w:szCs w:val="19"/>
          <w:lang w:val="en-GB"/>
        </w:rPr>
        <w:t xml:space="preserve">% </w:t>
      </w:r>
      <w:r w:rsidRPr="00A43B8B">
        <w:rPr>
          <w:szCs w:val="19"/>
          <w:lang w:val="en-GB"/>
        </w:rPr>
        <w:t>fewer than in the corresponding period of 2020.</w:t>
      </w:r>
      <w:r>
        <w:rPr>
          <w:szCs w:val="19"/>
          <w:lang w:val="en-GB"/>
        </w:rPr>
        <w:t xml:space="preserve"> </w:t>
      </w:r>
      <w:r w:rsidRPr="00A43B8B">
        <w:rPr>
          <w:szCs w:val="19"/>
          <w:lang w:val="en-GB"/>
        </w:rPr>
        <w:t>In the analysed quarter, most jobs were liquidated in units with up to 9 employed persons</w:t>
      </w:r>
      <w:r w:rsidR="00952D37" w:rsidRPr="00A43B8B">
        <w:rPr>
          <w:szCs w:val="19"/>
          <w:lang w:val="en-GB"/>
        </w:rPr>
        <w:t xml:space="preserve"> </w:t>
      </w:r>
      <w:r>
        <w:rPr>
          <w:szCs w:val="19"/>
          <w:lang w:val="en-GB"/>
        </w:rPr>
        <w:t>–</w:t>
      </w:r>
      <w:r w:rsidR="005C2129" w:rsidRPr="00A43B8B">
        <w:rPr>
          <w:szCs w:val="19"/>
          <w:lang w:val="en-GB"/>
        </w:rPr>
        <w:t xml:space="preserve"> </w:t>
      </w:r>
      <w:r w:rsidR="00B62D35" w:rsidRPr="00A43B8B">
        <w:rPr>
          <w:szCs w:val="19"/>
          <w:lang w:val="en-GB"/>
        </w:rPr>
        <w:t>4</w:t>
      </w:r>
      <w:r w:rsidR="00952D37" w:rsidRPr="00A43B8B">
        <w:rPr>
          <w:szCs w:val="19"/>
          <w:lang w:val="en-GB"/>
        </w:rPr>
        <w:t>4</w:t>
      </w:r>
      <w:r w:rsidR="00585286">
        <w:rPr>
          <w:szCs w:val="19"/>
          <w:lang w:val="en-GB"/>
        </w:rPr>
        <w:t>.</w:t>
      </w:r>
      <w:r w:rsidR="00952D37" w:rsidRPr="00A43B8B">
        <w:rPr>
          <w:szCs w:val="19"/>
          <w:lang w:val="en-GB"/>
        </w:rPr>
        <w:t>0</w:t>
      </w:r>
      <w:r w:rsidR="008425D2" w:rsidRPr="00A43B8B">
        <w:rPr>
          <w:szCs w:val="19"/>
          <w:lang w:val="en-GB"/>
        </w:rPr>
        <w:t>%</w:t>
      </w:r>
      <w:r w:rsidR="00EC42CC" w:rsidRPr="00A43B8B">
        <w:rPr>
          <w:szCs w:val="19"/>
          <w:lang w:val="en-GB"/>
        </w:rPr>
        <w:t xml:space="preserve">. </w:t>
      </w:r>
      <w:r w:rsidRPr="00A43B8B">
        <w:rPr>
          <w:szCs w:val="19"/>
          <w:lang w:val="en-GB"/>
        </w:rPr>
        <w:t xml:space="preserve">Jobs liquidated in units with 10-49 employed persons accounted for 32.5% of all liquidated jobs, and jobs liquidated in units with more than </w:t>
      </w:r>
      <w:r>
        <w:rPr>
          <w:szCs w:val="19"/>
          <w:lang w:val="en-GB"/>
        </w:rPr>
        <w:t xml:space="preserve">49 employed persons </w:t>
      </w:r>
      <w:r w:rsidR="00585286">
        <w:rPr>
          <w:szCs w:val="19"/>
          <w:lang w:val="en-GB"/>
        </w:rPr>
        <w:t>–</w:t>
      </w:r>
      <w:r w:rsidR="00DB0670" w:rsidRPr="00A43B8B">
        <w:rPr>
          <w:szCs w:val="19"/>
          <w:lang w:val="en-GB"/>
        </w:rPr>
        <w:t xml:space="preserve"> </w:t>
      </w:r>
      <w:r w:rsidR="00B62D35" w:rsidRPr="00A43B8B">
        <w:rPr>
          <w:szCs w:val="19"/>
          <w:lang w:val="en-GB"/>
        </w:rPr>
        <w:t>2</w:t>
      </w:r>
      <w:r w:rsidR="006E39C7">
        <w:rPr>
          <w:szCs w:val="19"/>
          <w:lang w:val="en-GB"/>
        </w:rPr>
        <w:t>3.</w:t>
      </w:r>
      <w:r w:rsidR="005C2129" w:rsidRPr="00A43B8B">
        <w:rPr>
          <w:szCs w:val="19"/>
          <w:lang w:val="en-GB"/>
        </w:rPr>
        <w:t>5</w:t>
      </w:r>
      <w:r w:rsidR="00DB0670" w:rsidRPr="00A43B8B">
        <w:rPr>
          <w:szCs w:val="19"/>
          <w:lang w:val="en-GB"/>
        </w:rPr>
        <w:t>%.</w:t>
      </w:r>
    </w:p>
    <w:p w14:paraId="0008CBA1" w14:textId="77777777" w:rsidR="009E6BDE" w:rsidRPr="00A43B8B" w:rsidRDefault="009E6BDE">
      <w:pPr>
        <w:spacing w:before="0" w:after="160" w:line="259" w:lineRule="auto"/>
        <w:rPr>
          <w:b/>
          <w:sz w:val="18"/>
          <w:szCs w:val="18"/>
          <w:lang w:val="en-GB"/>
        </w:rPr>
      </w:pPr>
    </w:p>
    <w:p w14:paraId="3C719EBB" w14:textId="77777777" w:rsidR="004B4534" w:rsidRDefault="004B4534">
      <w:pPr>
        <w:spacing w:before="0" w:after="0" w:line="240" w:lineRule="auto"/>
        <w:rPr>
          <w:b/>
          <w:sz w:val="18"/>
          <w:szCs w:val="18"/>
          <w:lang w:val="en-GB"/>
        </w:rPr>
      </w:pPr>
      <w:r>
        <w:rPr>
          <w:szCs w:val="18"/>
          <w:lang w:val="en-GB"/>
        </w:rPr>
        <w:br w:type="page"/>
      </w:r>
    </w:p>
    <w:p w14:paraId="6C788B9E" w14:textId="34E80062" w:rsidR="00A2001D" w:rsidRPr="004B4534" w:rsidRDefault="002A35F4" w:rsidP="004B4534">
      <w:pPr>
        <w:pStyle w:val="tytuwykresu"/>
        <w:ind w:left="680" w:hanging="680"/>
        <w:rPr>
          <w:spacing w:val="0"/>
          <w:szCs w:val="18"/>
          <w:lang w:val="en-GB"/>
        </w:rPr>
      </w:pPr>
      <w:r>
        <w:rPr>
          <w:noProof/>
          <w:lang w:eastAsia="pl-PL"/>
        </w:rPr>
        <w:lastRenderedPageBreak/>
        <mc:AlternateContent>
          <mc:Choice Requires="wps">
            <w:drawing>
              <wp:anchor distT="0" distB="0" distL="114300" distR="114300" simplePos="0" relativeHeight="251663360" behindDoc="0" locked="0" layoutInCell="1" allowOverlap="1" wp14:anchorId="00AE668F" wp14:editId="7B79A863">
                <wp:simplePos x="0" y="0"/>
                <wp:positionH relativeFrom="column">
                  <wp:posOffset>5215180</wp:posOffset>
                </wp:positionH>
                <wp:positionV relativeFrom="paragraph">
                  <wp:posOffset>873921</wp:posOffset>
                </wp:positionV>
                <wp:extent cx="1666067" cy="1239865"/>
                <wp:effectExtent l="0" t="0" r="0" b="0"/>
                <wp:wrapNone/>
                <wp:docPr id="4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067" cy="123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80533" w14:textId="3A392ED8" w:rsidR="003F5188" w:rsidRPr="00B96F25" w:rsidRDefault="00B96F25" w:rsidP="004D0F46">
                            <w:pPr>
                              <w:pStyle w:val="tekstzboku"/>
                              <w:rPr>
                                <w:lang w:val="en-GB"/>
                              </w:rPr>
                            </w:pPr>
                            <w:r w:rsidRPr="00B96F25">
                              <w:rPr>
                                <w:bCs w:val="0"/>
                                <w:lang w:val="en-GB"/>
                              </w:rPr>
                              <w:t xml:space="preserve">In the first </w:t>
                            </w:r>
                            <w:r>
                              <w:rPr>
                                <w:bCs w:val="0"/>
                                <w:lang w:val="en-GB"/>
                              </w:rPr>
                              <w:t xml:space="preserve">quarter </w:t>
                            </w:r>
                            <w:r w:rsidRPr="00B96F25">
                              <w:rPr>
                                <w:bCs w:val="0"/>
                                <w:lang w:val="en-GB"/>
                              </w:rPr>
                              <w:t xml:space="preserve">of 2021, </w:t>
                            </w:r>
                            <w:r>
                              <w:rPr>
                                <w:lang w:val="en-GB"/>
                              </w:rPr>
                              <w:t xml:space="preserve">jobs </w:t>
                            </w:r>
                            <w:r w:rsidRPr="00B96F25">
                              <w:rPr>
                                <w:lang w:val="en-GB"/>
                              </w:rPr>
                              <w:t xml:space="preserve">were liquidated most often in units conducting </w:t>
                            </w:r>
                            <w:r>
                              <w:rPr>
                                <w:lang w:val="en-GB"/>
                              </w:rPr>
                              <w:t>activities in the field of manu</w:t>
                            </w:r>
                            <w:r w:rsidRPr="00B96F25">
                              <w:rPr>
                                <w:lang w:val="en-GB"/>
                              </w:rPr>
                              <w:t xml:space="preserve">facturing </w:t>
                            </w:r>
                            <w:r w:rsidR="003F5188" w:rsidRPr="00B96F25">
                              <w:rPr>
                                <w:lang w:val="en-GB"/>
                              </w:rPr>
                              <w:t>(</w:t>
                            </w:r>
                            <w:r>
                              <w:rPr>
                                <w:lang w:val="en-GB"/>
                              </w:rPr>
                              <w:t>19.</w:t>
                            </w:r>
                            <w:r w:rsidR="003F5188" w:rsidRPr="00B96F25">
                              <w:rPr>
                                <w:lang w:val="en-GB"/>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668F" id="_x0000_s1034" type="#_x0000_t202" style="position:absolute;left:0;text-align:left;margin-left:410.65pt;margin-top:68.8pt;width:131.2pt;height:9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wIug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" filled="f" stroked="f">
                <v:textbox>
                  <w:txbxContent>
                    <w:p w14:paraId="3E980533" w14:textId="3A392ED8" w:rsidR="003F5188" w:rsidRPr="00B96F25" w:rsidRDefault="00B96F25" w:rsidP="004D0F46">
                      <w:pPr>
                        <w:pStyle w:val="tekstzboku"/>
                        <w:rPr>
                          <w:lang w:val="en-GB"/>
                        </w:rPr>
                      </w:pPr>
                      <w:r w:rsidRPr="00B96F25">
                        <w:rPr>
                          <w:bCs w:val="0"/>
                          <w:lang w:val="en-GB"/>
                        </w:rPr>
                        <w:t xml:space="preserve">In the first </w:t>
                      </w:r>
                      <w:r>
                        <w:rPr>
                          <w:bCs w:val="0"/>
                          <w:lang w:val="en-GB"/>
                        </w:rPr>
                        <w:t xml:space="preserve">quarter </w:t>
                      </w:r>
                      <w:r w:rsidRPr="00B96F25">
                        <w:rPr>
                          <w:bCs w:val="0"/>
                          <w:lang w:val="en-GB"/>
                        </w:rPr>
                        <w:t xml:space="preserve">of 2021, </w:t>
                      </w:r>
                      <w:r>
                        <w:rPr>
                          <w:lang w:val="en-GB"/>
                        </w:rPr>
                        <w:t xml:space="preserve">jobs </w:t>
                      </w:r>
                      <w:r w:rsidRPr="00B96F25">
                        <w:rPr>
                          <w:lang w:val="en-GB"/>
                        </w:rPr>
                        <w:t xml:space="preserve">were liquidated most often in units conducting </w:t>
                      </w:r>
                      <w:r>
                        <w:rPr>
                          <w:lang w:val="en-GB"/>
                        </w:rPr>
                        <w:t>activities in the field of m</w:t>
                      </w:r>
                      <w:bookmarkStart w:id="10" w:name="_GoBack"/>
                      <w:bookmarkEnd w:id="10"/>
                      <w:r>
                        <w:rPr>
                          <w:lang w:val="en-GB"/>
                        </w:rPr>
                        <w:t>anu</w:t>
                      </w:r>
                      <w:r w:rsidRPr="00B96F25">
                        <w:rPr>
                          <w:lang w:val="en-GB"/>
                        </w:rPr>
                        <w:t xml:space="preserve">facturing </w:t>
                      </w:r>
                      <w:r w:rsidR="003F5188" w:rsidRPr="00B96F25">
                        <w:rPr>
                          <w:lang w:val="en-GB"/>
                        </w:rPr>
                        <w:t>(</w:t>
                      </w:r>
                      <w:r>
                        <w:rPr>
                          <w:lang w:val="en-GB"/>
                        </w:rPr>
                        <w:t>19.</w:t>
                      </w:r>
                      <w:r w:rsidR="003F5188" w:rsidRPr="00B96F25">
                        <w:rPr>
                          <w:lang w:val="en-GB"/>
                        </w:rPr>
                        <w:t>9%)</w:t>
                      </w:r>
                    </w:p>
                  </w:txbxContent>
                </v:textbox>
              </v:shape>
            </w:pict>
          </mc:Fallback>
        </mc:AlternateContent>
      </w:r>
      <w:r w:rsidR="004B4534">
        <w:rPr>
          <w:noProof/>
          <w:lang w:eastAsia="pl-PL"/>
        </w:rPr>
        <w:drawing>
          <wp:anchor distT="0" distB="0" distL="114300" distR="114300" simplePos="0" relativeHeight="251684864" behindDoc="0" locked="0" layoutInCell="1" allowOverlap="1" wp14:anchorId="5B7E8C1B" wp14:editId="1181A013">
            <wp:simplePos x="0" y="0"/>
            <wp:positionH relativeFrom="margin">
              <wp:align>right</wp:align>
            </wp:positionH>
            <wp:positionV relativeFrom="paragraph">
              <wp:posOffset>330896</wp:posOffset>
            </wp:positionV>
            <wp:extent cx="5017154" cy="2184946"/>
            <wp:effectExtent l="0" t="0" r="0" b="6350"/>
            <wp:wrapSquare wrapText="bothSides"/>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B96F25">
        <w:rPr>
          <w:spacing w:val="0"/>
          <w:szCs w:val="18"/>
          <w:lang w:val="en-GB"/>
        </w:rPr>
        <w:t>C</w:t>
      </w:r>
      <w:r w:rsidR="00B96F25" w:rsidRPr="004B4534">
        <w:rPr>
          <w:spacing w:val="0"/>
          <w:szCs w:val="18"/>
          <w:lang w:val="en-GB"/>
        </w:rPr>
        <w:t>hart</w:t>
      </w:r>
      <w:r w:rsidR="00A2001D" w:rsidRPr="004B4534">
        <w:rPr>
          <w:spacing w:val="0"/>
          <w:szCs w:val="18"/>
          <w:lang w:val="en-GB"/>
        </w:rPr>
        <w:t xml:space="preserve"> </w:t>
      </w:r>
      <w:r w:rsidR="00726F28" w:rsidRPr="004B4534">
        <w:rPr>
          <w:spacing w:val="0"/>
          <w:szCs w:val="18"/>
          <w:lang w:val="en-GB"/>
        </w:rPr>
        <w:t>8</w:t>
      </w:r>
      <w:r w:rsidR="00B96F25" w:rsidRPr="004B4534">
        <w:rPr>
          <w:spacing w:val="0"/>
          <w:szCs w:val="18"/>
          <w:lang w:val="en-GB"/>
        </w:rPr>
        <w:t xml:space="preserve">. The structure of liquidated jobs in Poland by PKD (NACE) section in the first quarter </w:t>
      </w:r>
      <w:r w:rsidR="004B4534">
        <w:rPr>
          <w:spacing w:val="0"/>
          <w:szCs w:val="18"/>
          <w:lang w:val="en-GB"/>
        </w:rPr>
        <w:br/>
      </w:r>
      <w:r w:rsidR="00B96F25" w:rsidRPr="004B4534">
        <w:rPr>
          <w:spacing w:val="0"/>
          <w:szCs w:val="18"/>
          <w:lang w:val="en-GB"/>
        </w:rPr>
        <w:t>of 2021</w:t>
      </w:r>
    </w:p>
    <w:p w14:paraId="67912C13" w14:textId="34869035" w:rsidR="00DE7595" w:rsidRPr="00B96F25" w:rsidRDefault="00DE7595" w:rsidP="009E6BDE">
      <w:pPr>
        <w:rPr>
          <w:sz w:val="18"/>
          <w:szCs w:val="18"/>
          <w:lang w:val="en-GB"/>
        </w:rPr>
      </w:pPr>
    </w:p>
    <w:p w14:paraId="177F7027" w14:textId="71EDFC3E" w:rsidR="00A2001D" w:rsidRPr="00585286" w:rsidRDefault="004B4534" w:rsidP="004B4534">
      <w:pPr>
        <w:pStyle w:val="tytuwykresu"/>
        <w:ind w:left="680" w:hanging="680"/>
        <w:rPr>
          <w:spacing w:val="0"/>
          <w:szCs w:val="18"/>
          <w:lang w:val="en-GB"/>
        </w:rPr>
      </w:pPr>
      <w:r>
        <w:rPr>
          <w:noProof/>
          <w:lang w:eastAsia="pl-PL"/>
        </w:rPr>
        <w:drawing>
          <wp:anchor distT="0" distB="0" distL="114300" distR="114300" simplePos="0" relativeHeight="251685888" behindDoc="0" locked="0" layoutInCell="1" allowOverlap="1" wp14:anchorId="0836CD56" wp14:editId="12693A0E">
            <wp:simplePos x="0" y="0"/>
            <wp:positionH relativeFrom="margin">
              <wp:align>left</wp:align>
            </wp:positionH>
            <wp:positionV relativeFrom="paragraph">
              <wp:posOffset>362437</wp:posOffset>
            </wp:positionV>
            <wp:extent cx="4997929" cy="3998021"/>
            <wp:effectExtent l="0" t="0" r="0" b="2540"/>
            <wp:wrapSquare wrapText="bothSides"/>
            <wp:docPr id="11" name="Wykres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585286" w:rsidRPr="006A3D06">
        <w:rPr>
          <w:spacing w:val="0"/>
          <w:szCs w:val="18"/>
          <w:lang w:val="en-GB"/>
        </w:rPr>
        <w:t>Chart</w:t>
      </w:r>
      <w:r w:rsidR="00A2001D" w:rsidRPr="006A3D06">
        <w:rPr>
          <w:spacing w:val="0"/>
          <w:szCs w:val="18"/>
          <w:lang w:val="en-GB"/>
        </w:rPr>
        <w:t xml:space="preserve"> </w:t>
      </w:r>
      <w:r w:rsidR="00726F28" w:rsidRPr="006A3D06">
        <w:rPr>
          <w:spacing w:val="0"/>
          <w:szCs w:val="18"/>
          <w:lang w:val="en-GB"/>
        </w:rPr>
        <w:t>9</w:t>
      </w:r>
      <w:r w:rsidR="0097192E" w:rsidRPr="006A3D06">
        <w:rPr>
          <w:spacing w:val="0"/>
          <w:szCs w:val="18"/>
          <w:lang w:val="en-GB"/>
        </w:rPr>
        <w:t>.</w:t>
      </w:r>
      <w:r w:rsidR="00A2001D" w:rsidRPr="006A3D06">
        <w:rPr>
          <w:spacing w:val="0"/>
          <w:szCs w:val="18"/>
          <w:lang w:val="en-GB"/>
        </w:rPr>
        <w:t xml:space="preserve"> </w:t>
      </w:r>
      <w:r w:rsidR="00585286" w:rsidRPr="00585286">
        <w:rPr>
          <w:spacing w:val="0"/>
          <w:szCs w:val="18"/>
          <w:lang w:val="en-GB"/>
        </w:rPr>
        <w:t>Newly created and liquidated jobs in Poland by selected PKD (NACE) sections in the first quarter of 2021</w:t>
      </w:r>
    </w:p>
    <w:p w14:paraId="4D2E58FD" w14:textId="6FFA24FB" w:rsidR="0070197E" w:rsidRPr="00585286" w:rsidRDefault="0070197E" w:rsidP="00036CAE">
      <w:pPr>
        <w:rPr>
          <w:spacing w:val="-2"/>
          <w:lang w:val="en-GB"/>
        </w:rPr>
      </w:pPr>
    </w:p>
    <w:p w14:paraId="0618BE00" w14:textId="19A8E59B" w:rsidR="00C965AA" w:rsidRPr="0088640C" w:rsidRDefault="00F25B5C" w:rsidP="00036CAE">
      <w:pPr>
        <w:rPr>
          <w:spacing w:val="-2"/>
          <w:lang w:val="en-GB"/>
        </w:rPr>
      </w:pPr>
      <w:r w:rsidRPr="00F25B5C">
        <w:rPr>
          <w:spacing w:val="-2"/>
          <w:lang w:val="en-GB"/>
        </w:rPr>
        <w:t>Every fifth liquidated job was recorded in entities operating in th</w:t>
      </w:r>
      <w:r w:rsidR="002A35F4">
        <w:rPr>
          <w:spacing w:val="-2"/>
          <w:lang w:val="en-GB"/>
        </w:rPr>
        <w:t xml:space="preserve">e field of manufacturing </w:t>
      </w:r>
      <w:r>
        <w:rPr>
          <w:spacing w:val="-2"/>
          <w:lang w:val="en-GB"/>
        </w:rPr>
        <w:t>as well as</w:t>
      </w:r>
      <w:r w:rsidR="0088640C" w:rsidRPr="0088640C">
        <w:rPr>
          <w:lang w:val="en-GB"/>
        </w:rPr>
        <w:t xml:space="preserve"> </w:t>
      </w:r>
      <w:r w:rsidR="0088640C">
        <w:rPr>
          <w:spacing w:val="-2"/>
          <w:lang w:val="en-GB"/>
        </w:rPr>
        <w:t>t</w:t>
      </w:r>
      <w:r w:rsidR="006E39C7">
        <w:rPr>
          <w:spacing w:val="-2"/>
          <w:lang w:val="en-GB"/>
        </w:rPr>
        <w:t>rade; repair of motor vehicles</w:t>
      </w:r>
      <w:r w:rsidR="0088640C" w:rsidRPr="0088640C">
        <w:rPr>
          <w:spacing w:val="-2"/>
          <w:vertAlign w:val="superscript"/>
          <w:lang w:val="en-GB"/>
        </w:rPr>
        <w:t>∆</w:t>
      </w:r>
      <w:r w:rsidRPr="00F25B5C">
        <w:rPr>
          <w:spacing w:val="-2"/>
          <w:lang w:val="en-GB"/>
        </w:rPr>
        <w:t xml:space="preserve">. </w:t>
      </w:r>
      <w:r w:rsidR="0088640C" w:rsidRPr="0088640C">
        <w:rPr>
          <w:spacing w:val="-2"/>
          <w:lang w:val="en-GB"/>
        </w:rPr>
        <w:t>The fewest jobs were liquidated in units conducting activities in the field</w:t>
      </w:r>
      <w:r w:rsidR="0088640C">
        <w:rPr>
          <w:spacing w:val="-2"/>
          <w:lang w:val="en-GB"/>
        </w:rPr>
        <w:t xml:space="preserve"> of mining and quarrying as well as</w:t>
      </w:r>
      <w:r w:rsidR="0088640C" w:rsidRPr="0088640C">
        <w:rPr>
          <w:spacing w:val="-2"/>
          <w:lang w:val="en-GB"/>
        </w:rPr>
        <w:t xml:space="preserve"> electricity, gas, steam and air conditioning supply</w:t>
      </w:r>
      <w:r w:rsidR="0088640C">
        <w:rPr>
          <w:spacing w:val="-2"/>
          <w:lang w:val="en-GB"/>
        </w:rPr>
        <w:t xml:space="preserve"> – 0.1 thousand (0.1%) each.</w:t>
      </w:r>
    </w:p>
    <w:p w14:paraId="7E3DC28A" w14:textId="5BB3C417" w:rsidR="008538B4" w:rsidRPr="0088640C" w:rsidRDefault="008538B4">
      <w:pPr>
        <w:spacing w:before="0" w:after="160" w:line="259" w:lineRule="auto"/>
        <w:rPr>
          <w:rFonts w:ascii="Fira Sans SemiBold" w:hAnsi="Fira Sans SemiBold"/>
          <w:color w:val="001D77"/>
          <w:lang w:val="en-GB"/>
        </w:rPr>
      </w:pPr>
    </w:p>
    <w:p w14:paraId="225D1F59" w14:textId="65DBE9B7" w:rsidR="00FB00C6" w:rsidRPr="00EB718B" w:rsidRDefault="00EB718B" w:rsidP="00561358">
      <w:pPr>
        <w:rPr>
          <w:rFonts w:ascii="Fira Sans SemiBold" w:hAnsi="Fira Sans SemiBold"/>
          <w:color w:val="001D77"/>
          <w:lang w:val="en-GB"/>
        </w:rPr>
      </w:pPr>
      <w:r w:rsidRPr="00EB718B">
        <w:rPr>
          <w:rFonts w:ascii="Fira Sans SemiBold" w:hAnsi="Fira Sans SemiBold"/>
          <w:color w:val="001D77"/>
          <w:lang w:val="en-GB"/>
        </w:rPr>
        <w:t>Basic data on the demand for labour by voivodship</w:t>
      </w:r>
    </w:p>
    <w:p w14:paraId="69884C81" w14:textId="03C92D36" w:rsidR="00740D98" w:rsidRPr="006A3AFF" w:rsidRDefault="00EB718B" w:rsidP="00EB718B">
      <w:pPr>
        <w:rPr>
          <w:szCs w:val="19"/>
          <w:lang w:val="en-GB"/>
        </w:rPr>
      </w:pPr>
      <w:r w:rsidRPr="00EB718B">
        <w:rPr>
          <w:szCs w:val="19"/>
          <w:lang w:val="en-GB"/>
        </w:rPr>
        <w:t>In the first quarter of 2021, the number of liquidated, vacant and newly created jobs in individual voivodships was closely related to the num</w:t>
      </w:r>
      <w:r w:rsidR="00013BF5">
        <w:rPr>
          <w:szCs w:val="19"/>
          <w:lang w:val="en-GB"/>
        </w:rPr>
        <w:t>ber of filled</w:t>
      </w:r>
      <w:r w:rsidRPr="00EB718B">
        <w:rPr>
          <w:szCs w:val="19"/>
          <w:lang w:val="en-GB"/>
        </w:rPr>
        <w:t xml:space="preserve"> jobs. On a national scale, the Mazowieckie Voivodship</w:t>
      </w:r>
      <w:r>
        <w:rPr>
          <w:szCs w:val="19"/>
          <w:lang w:val="en-GB"/>
        </w:rPr>
        <w:t xml:space="preserve"> played a dominant role in terms of the number of occupied jobs, </w:t>
      </w:r>
      <w:r w:rsidR="00A55796">
        <w:rPr>
          <w:szCs w:val="19"/>
          <w:lang w:val="en-GB"/>
        </w:rPr>
        <w:br/>
      </w:r>
      <w:r>
        <w:rPr>
          <w:szCs w:val="19"/>
          <w:lang w:val="en-GB"/>
        </w:rPr>
        <w:t xml:space="preserve">accounting for a little more than </w:t>
      </w:r>
      <w:r w:rsidRPr="00EB718B">
        <w:rPr>
          <w:szCs w:val="19"/>
          <w:lang w:val="en-GB"/>
        </w:rPr>
        <w:t>20% of all occupi</w:t>
      </w:r>
      <w:r>
        <w:rPr>
          <w:szCs w:val="19"/>
          <w:lang w:val="en-GB"/>
        </w:rPr>
        <w:t>ed jobs in Poland.</w:t>
      </w:r>
      <w:r w:rsidRPr="00EB718B">
        <w:rPr>
          <w:szCs w:val="19"/>
          <w:lang w:val="en-GB"/>
        </w:rPr>
        <w:t xml:space="preserve"> </w:t>
      </w:r>
      <w:r w:rsidRPr="006A3AFF">
        <w:rPr>
          <w:rFonts w:eastAsia="Times New Roman" w:cs="Arial"/>
          <w:bCs/>
          <w:szCs w:val="19"/>
          <w:lang w:val="en-GB" w:eastAsia="pl-PL"/>
        </w:rPr>
        <w:t xml:space="preserve">In the first quarter </w:t>
      </w:r>
      <w:r w:rsidR="00A55796">
        <w:rPr>
          <w:rFonts w:eastAsia="Times New Roman" w:cs="Arial"/>
          <w:bCs/>
          <w:szCs w:val="19"/>
          <w:lang w:val="en-GB" w:eastAsia="pl-PL"/>
        </w:rPr>
        <w:br/>
      </w:r>
      <w:r w:rsidRPr="006A3AFF">
        <w:rPr>
          <w:rFonts w:eastAsia="Times New Roman" w:cs="Arial"/>
          <w:bCs/>
          <w:szCs w:val="19"/>
          <w:lang w:val="en-GB" w:eastAsia="pl-PL"/>
        </w:rPr>
        <w:t xml:space="preserve">of </w:t>
      </w:r>
      <w:r w:rsidR="006B1C7B" w:rsidRPr="006A3AFF">
        <w:rPr>
          <w:rFonts w:eastAsia="Times New Roman" w:cs="Arial"/>
          <w:bCs/>
          <w:szCs w:val="19"/>
          <w:lang w:val="en-GB" w:eastAsia="pl-PL"/>
        </w:rPr>
        <w:t xml:space="preserve">the current year, around a fifth of vacant and newly created jobs were located </w:t>
      </w:r>
      <w:r w:rsidR="006A3AFF" w:rsidRPr="006A3AFF">
        <w:rPr>
          <w:rFonts w:eastAsia="Times New Roman" w:cs="Arial"/>
          <w:bCs/>
          <w:szCs w:val="19"/>
          <w:lang w:val="en-GB" w:eastAsia="pl-PL"/>
        </w:rPr>
        <w:t xml:space="preserve">in this </w:t>
      </w:r>
      <w:r w:rsidR="00C82653">
        <w:rPr>
          <w:rFonts w:eastAsia="Times New Roman" w:cs="Arial"/>
          <w:bCs/>
          <w:szCs w:val="19"/>
          <w:lang w:val="en-GB" w:eastAsia="pl-PL"/>
        </w:rPr>
        <w:br/>
      </w:r>
      <w:r w:rsidR="006A3AFF" w:rsidRPr="006A3AFF">
        <w:rPr>
          <w:rFonts w:eastAsia="Times New Roman" w:cs="Arial"/>
          <w:bCs/>
          <w:szCs w:val="19"/>
          <w:lang w:val="en-GB" w:eastAsia="pl-PL"/>
        </w:rPr>
        <w:t>voivodship. Every fourth liquidated job in Poland was located in the Mazowieckie Voivodship</w:t>
      </w:r>
      <w:r w:rsidR="006A3AFF" w:rsidRPr="006A3AFF">
        <w:rPr>
          <w:rFonts w:eastAsia="Times New Roman"/>
          <w:spacing w:val="4"/>
          <w:szCs w:val="19"/>
          <w:lang w:val="en-GB" w:eastAsia="pl-PL"/>
        </w:rPr>
        <w:t xml:space="preserve">. </w:t>
      </w:r>
    </w:p>
    <w:p w14:paraId="574432D5" w14:textId="2B3329CB" w:rsidR="006B0879" w:rsidRPr="006A3D06" w:rsidRDefault="002A35F4" w:rsidP="006A3AFF">
      <w:pPr>
        <w:spacing w:before="0" w:after="160" w:line="259" w:lineRule="auto"/>
        <w:ind w:left="907" w:hanging="907"/>
        <w:rPr>
          <w:b/>
          <w:sz w:val="18"/>
          <w:szCs w:val="18"/>
          <w:lang w:val="en-GB"/>
        </w:rPr>
      </w:pPr>
      <w:r>
        <w:rPr>
          <w:noProof/>
          <w:lang w:eastAsia="pl-PL"/>
        </w:rPr>
        <w:lastRenderedPageBreak/>
        <w:drawing>
          <wp:anchor distT="0" distB="0" distL="114300" distR="114300" simplePos="0" relativeHeight="251686912" behindDoc="0" locked="0" layoutInCell="1" allowOverlap="1" wp14:anchorId="29454284" wp14:editId="4191B540">
            <wp:simplePos x="0" y="0"/>
            <wp:positionH relativeFrom="margin">
              <wp:align>left</wp:align>
            </wp:positionH>
            <wp:positionV relativeFrom="paragraph">
              <wp:posOffset>191738</wp:posOffset>
            </wp:positionV>
            <wp:extent cx="5025771" cy="2898555"/>
            <wp:effectExtent l="0" t="0" r="3810" b="0"/>
            <wp:wrapSquare wrapText="bothSides"/>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A3AFF" w:rsidRPr="006A3D06">
        <w:rPr>
          <w:b/>
          <w:sz w:val="18"/>
          <w:szCs w:val="18"/>
          <w:lang w:val="en-GB"/>
        </w:rPr>
        <w:t>Chart</w:t>
      </w:r>
      <w:r w:rsidR="009F4CBE" w:rsidRPr="006A3D06">
        <w:rPr>
          <w:b/>
          <w:sz w:val="18"/>
          <w:szCs w:val="18"/>
          <w:lang w:val="en-GB"/>
        </w:rPr>
        <w:t xml:space="preserve"> </w:t>
      </w:r>
      <w:r w:rsidR="00D36B02" w:rsidRPr="006A3D06">
        <w:rPr>
          <w:b/>
          <w:sz w:val="18"/>
          <w:szCs w:val="18"/>
          <w:lang w:val="en-GB"/>
        </w:rPr>
        <w:t>1</w:t>
      </w:r>
      <w:r w:rsidR="00726F28" w:rsidRPr="006A3D06">
        <w:rPr>
          <w:b/>
          <w:sz w:val="18"/>
          <w:szCs w:val="18"/>
          <w:lang w:val="en-GB"/>
        </w:rPr>
        <w:t>0</w:t>
      </w:r>
      <w:r w:rsidR="006A3AFF" w:rsidRPr="006A3D06">
        <w:rPr>
          <w:b/>
          <w:sz w:val="18"/>
          <w:szCs w:val="18"/>
          <w:lang w:val="en-GB"/>
        </w:rPr>
        <w:t>. Liquidated, vacant and newly created jobs by voivodship in the first quarter of 2021</w:t>
      </w:r>
    </w:p>
    <w:p w14:paraId="6E5EEF37" w14:textId="5FA72B40" w:rsidR="002C1AF0" w:rsidRPr="006A3D06" w:rsidRDefault="002C1AF0" w:rsidP="00F06658">
      <w:pPr>
        <w:spacing w:before="0" w:after="160" w:line="259" w:lineRule="auto"/>
        <w:ind w:left="907" w:hanging="907"/>
        <w:rPr>
          <w:b/>
          <w:sz w:val="18"/>
          <w:szCs w:val="18"/>
          <w:lang w:val="en-GB"/>
        </w:rPr>
      </w:pPr>
    </w:p>
    <w:p w14:paraId="27C2B7FF" w14:textId="0847F1BD" w:rsidR="002A7ED4" w:rsidRPr="006A3D06" w:rsidRDefault="00C63080" w:rsidP="002A35F4">
      <w:pPr>
        <w:spacing w:before="0" w:after="0"/>
        <w:rPr>
          <w:spacing w:val="-2"/>
          <w:szCs w:val="19"/>
          <w:lang w:val="en-GB"/>
        </w:rPr>
      </w:pPr>
      <w:r w:rsidRPr="00CB3A55">
        <w:rPr>
          <w:szCs w:val="19"/>
          <w:lang w:val="en-GB"/>
        </w:rPr>
        <w:t xml:space="preserve">The number of liquidated jobs was also significant in the Małopolskie and Śląskie </w:t>
      </w:r>
      <w:r w:rsidR="002A35F4">
        <w:rPr>
          <w:szCs w:val="19"/>
          <w:lang w:val="en-GB"/>
        </w:rPr>
        <w:br/>
      </w:r>
      <w:r w:rsidRPr="00CB3A55">
        <w:rPr>
          <w:szCs w:val="19"/>
          <w:lang w:val="en-GB"/>
        </w:rPr>
        <w:t>voivodship</w:t>
      </w:r>
      <w:r w:rsidR="00CB3A55">
        <w:rPr>
          <w:szCs w:val="19"/>
          <w:lang w:val="en-GB"/>
        </w:rPr>
        <w:t xml:space="preserve">s. </w:t>
      </w:r>
      <w:r>
        <w:rPr>
          <w:szCs w:val="19"/>
          <w:lang w:val="en-GB"/>
        </w:rPr>
        <w:t>Every tenth liquidated job in the country was located in these voivodships.</w:t>
      </w:r>
      <w:r w:rsidR="00CB3A55">
        <w:rPr>
          <w:szCs w:val="19"/>
          <w:lang w:val="en-GB"/>
        </w:rPr>
        <w:t xml:space="preserve"> </w:t>
      </w:r>
      <w:r w:rsidR="002A35F4">
        <w:rPr>
          <w:szCs w:val="19"/>
          <w:lang w:val="en-GB"/>
        </w:rPr>
        <w:br/>
      </w:r>
      <w:r>
        <w:rPr>
          <w:szCs w:val="19"/>
          <w:lang w:val="en-GB"/>
        </w:rPr>
        <w:t>As regards vacant</w:t>
      </w:r>
      <w:r w:rsidRPr="00C63080">
        <w:rPr>
          <w:szCs w:val="19"/>
          <w:lang w:val="en-GB"/>
        </w:rPr>
        <w:t xml:space="preserve"> and newly created jobs, quite large markets </w:t>
      </w:r>
      <w:r>
        <w:rPr>
          <w:szCs w:val="19"/>
          <w:lang w:val="en-GB"/>
        </w:rPr>
        <w:t xml:space="preserve">in terms of their number were </w:t>
      </w:r>
      <w:r w:rsidRPr="00C63080">
        <w:rPr>
          <w:szCs w:val="19"/>
          <w:lang w:val="en-GB"/>
        </w:rPr>
        <w:t>the following voivodships: Śląskie, Małopolskie and Wielkopol</w:t>
      </w:r>
      <w:r>
        <w:rPr>
          <w:szCs w:val="19"/>
          <w:lang w:val="en-GB"/>
        </w:rPr>
        <w:t>skie. The</w:t>
      </w:r>
      <w:r w:rsidR="00CB3A55">
        <w:rPr>
          <w:szCs w:val="19"/>
          <w:lang w:val="en-GB"/>
        </w:rPr>
        <w:t>se</w:t>
      </w:r>
      <w:r>
        <w:rPr>
          <w:szCs w:val="19"/>
          <w:lang w:val="en-GB"/>
        </w:rPr>
        <w:t xml:space="preserve"> voivodships </w:t>
      </w:r>
      <w:r w:rsidR="002A35F4">
        <w:rPr>
          <w:szCs w:val="19"/>
          <w:lang w:val="en-GB"/>
        </w:rPr>
        <w:br/>
      </w:r>
      <w:r w:rsidR="00CB3A55">
        <w:rPr>
          <w:szCs w:val="19"/>
          <w:lang w:val="en-GB"/>
        </w:rPr>
        <w:t xml:space="preserve">together </w:t>
      </w:r>
      <w:r>
        <w:rPr>
          <w:szCs w:val="19"/>
          <w:lang w:val="en-GB"/>
        </w:rPr>
        <w:t>accounted for over 30% of vacant</w:t>
      </w:r>
      <w:r w:rsidRPr="00C63080">
        <w:rPr>
          <w:szCs w:val="19"/>
          <w:lang w:val="en-GB"/>
        </w:rPr>
        <w:t xml:space="preserve"> and newly created jobs i</w:t>
      </w:r>
      <w:r>
        <w:rPr>
          <w:szCs w:val="19"/>
          <w:lang w:val="en-GB"/>
        </w:rPr>
        <w:t>n the country.</w:t>
      </w:r>
    </w:p>
    <w:p w14:paraId="7419676F" w14:textId="695B2C2C" w:rsidR="002A7ED4" w:rsidRPr="00C63080" w:rsidRDefault="002A7ED4" w:rsidP="002A7ED4">
      <w:pPr>
        <w:rPr>
          <w:szCs w:val="19"/>
          <w:lang w:val="en-GB"/>
        </w:rPr>
      </w:pPr>
    </w:p>
    <w:p w14:paraId="0DA1F734" w14:textId="654A1BA9" w:rsidR="002A7ED4" w:rsidRPr="00C63080" w:rsidRDefault="002A7ED4" w:rsidP="00593F44">
      <w:pPr>
        <w:rPr>
          <w:szCs w:val="19"/>
          <w:lang w:val="en-GB"/>
        </w:rPr>
      </w:pPr>
    </w:p>
    <w:p w14:paraId="19952C55" w14:textId="77777777" w:rsidR="002A7ED4" w:rsidRPr="00C63080" w:rsidRDefault="002A7ED4" w:rsidP="00593F44">
      <w:pPr>
        <w:rPr>
          <w:szCs w:val="19"/>
          <w:lang w:val="en-GB"/>
        </w:rPr>
      </w:pPr>
    </w:p>
    <w:p w14:paraId="0AD27354" w14:textId="5472E7AA" w:rsidR="006A6B12" w:rsidRPr="00C63080" w:rsidRDefault="006A6B12" w:rsidP="00593F44">
      <w:pPr>
        <w:rPr>
          <w:szCs w:val="19"/>
          <w:lang w:val="en-GB"/>
        </w:rPr>
      </w:pPr>
    </w:p>
    <w:p w14:paraId="469F04B4" w14:textId="77777777" w:rsidR="006A6B12" w:rsidRPr="00C63080" w:rsidRDefault="006A6B12" w:rsidP="00593F44">
      <w:pPr>
        <w:rPr>
          <w:szCs w:val="19"/>
          <w:lang w:val="en-GB"/>
        </w:rPr>
      </w:pPr>
    </w:p>
    <w:p w14:paraId="5D844727" w14:textId="451E0A7F" w:rsidR="006A6B12" w:rsidRDefault="006A6B12" w:rsidP="00593F44">
      <w:pPr>
        <w:rPr>
          <w:szCs w:val="19"/>
          <w:lang w:val="en-GB"/>
        </w:rPr>
      </w:pPr>
    </w:p>
    <w:p w14:paraId="2C858314" w14:textId="3AB9C778" w:rsidR="002A35F4" w:rsidRDefault="002A35F4" w:rsidP="00593F44">
      <w:pPr>
        <w:rPr>
          <w:szCs w:val="19"/>
          <w:lang w:val="en-GB"/>
        </w:rPr>
      </w:pPr>
    </w:p>
    <w:p w14:paraId="042625D5" w14:textId="0FFBB9FA" w:rsidR="002A35F4" w:rsidRDefault="002A35F4" w:rsidP="00593F44">
      <w:pPr>
        <w:rPr>
          <w:szCs w:val="19"/>
          <w:lang w:val="en-GB"/>
        </w:rPr>
      </w:pPr>
    </w:p>
    <w:p w14:paraId="471A73AD" w14:textId="0164A5B5" w:rsidR="002A35F4" w:rsidRDefault="002A35F4" w:rsidP="00593F44">
      <w:pPr>
        <w:rPr>
          <w:szCs w:val="19"/>
          <w:lang w:val="en-GB"/>
        </w:rPr>
      </w:pPr>
    </w:p>
    <w:p w14:paraId="0D35C342" w14:textId="33E5CD8A" w:rsidR="002A35F4" w:rsidRDefault="002A35F4" w:rsidP="00593F44">
      <w:pPr>
        <w:rPr>
          <w:szCs w:val="19"/>
          <w:lang w:val="en-GB"/>
        </w:rPr>
      </w:pPr>
    </w:p>
    <w:p w14:paraId="120AF7FC" w14:textId="6465F5E9" w:rsidR="002A35F4" w:rsidRDefault="002A35F4" w:rsidP="00593F44">
      <w:pPr>
        <w:rPr>
          <w:szCs w:val="19"/>
          <w:lang w:val="en-GB"/>
        </w:rPr>
      </w:pPr>
    </w:p>
    <w:p w14:paraId="3697E913" w14:textId="0A6A7F0E" w:rsidR="002A35F4" w:rsidRDefault="002A35F4" w:rsidP="00593F44">
      <w:pPr>
        <w:rPr>
          <w:szCs w:val="19"/>
          <w:lang w:val="en-GB"/>
        </w:rPr>
      </w:pPr>
    </w:p>
    <w:p w14:paraId="3298F961" w14:textId="76BB116B" w:rsidR="002A35F4" w:rsidRDefault="002A35F4" w:rsidP="00593F44">
      <w:pPr>
        <w:rPr>
          <w:szCs w:val="19"/>
          <w:lang w:val="en-GB"/>
        </w:rPr>
      </w:pPr>
    </w:p>
    <w:p w14:paraId="01983CD2" w14:textId="5D54BCA7" w:rsidR="002A35F4" w:rsidRDefault="002A35F4" w:rsidP="00593F44">
      <w:pPr>
        <w:rPr>
          <w:szCs w:val="19"/>
          <w:lang w:val="en-GB"/>
        </w:rPr>
      </w:pPr>
    </w:p>
    <w:p w14:paraId="16D641CA" w14:textId="29A1C83C" w:rsidR="002A35F4" w:rsidRDefault="002A35F4" w:rsidP="00593F44">
      <w:pPr>
        <w:rPr>
          <w:szCs w:val="19"/>
          <w:lang w:val="en-GB"/>
        </w:rPr>
      </w:pPr>
    </w:p>
    <w:p w14:paraId="3E8B60C4" w14:textId="28B428FB" w:rsidR="002A35F4" w:rsidRDefault="002A35F4" w:rsidP="00593F44">
      <w:pPr>
        <w:rPr>
          <w:szCs w:val="19"/>
          <w:lang w:val="en-GB"/>
        </w:rPr>
      </w:pPr>
    </w:p>
    <w:p w14:paraId="2294E15A" w14:textId="77777777" w:rsidR="002A35F4" w:rsidRPr="00C63080" w:rsidRDefault="002A35F4" w:rsidP="00593F44">
      <w:pPr>
        <w:rPr>
          <w:szCs w:val="19"/>
          <w:lang w:val="en-GB"/>
        </w:rPr>
      </w:pPr>
    </w:p>
    <w:p w14:paraId="36AA943C" w14:textId="77777777" w:rsidR="00740D98" w:rsidRPr="00C63080" w:rsidRDefault="00740D98" w:rsidP="00593F44">
      <w:pPr>
        <w:rPr>
          <w:szCs w:val="19"/>
          <w:lang w:val="en-GB"/>
        </w:rPr>
      </w:pPr>
    </w:p>
    <w:p w14:paraId="49059F4F" w14:textId="77777777" w:rsidR="00BD159E" w:rsidRPr="00CB3A55" w:rsidRDefault="00CB3A55" w:rsidP="00593F44">
      <w:pPr>
        <w:rPr>
          <w:color w:val="000000"/>
          <w:lang w:val="en-GB"/>
        </w:rPr>
      </w:pPr>
      <w:r w:rsidRPr="00CB3A55">
        <w:rPr>
          <w:szCs w:val="19"/>
          <w:lang w:val="en-GB"/>
        </w:rPr>
        <w:t>In this news release abbreviated names of NACE, Rev. 2 sections were used. Abbreviations are marked with a ‘</w:t>
      </w:r>
      <w:r w:rsidRPr="00CB3A55">
        <w:rPr>
          <w:szCs w:val="19"/>
        </w:rPr>
        <w:t>Δ</w:t>
      </w:r>
      <w:r w:rsidRPr="00CB3A55">
        <w:rPr>
          <w:szCs w:val="19"/>
          <w:lang w:val="en-GB"/>
        </w:rPr>
        <w:t>’ symbol. Full names are available on the Eurostat website at: https://ec.europa.eu/eurostat/data/classifications</w:t>
      </w:r>
    </w:p>
    <w:p w14:paraId="77BD678C" w14:textId="77777777" w:rsidR="000046D3" w:rsidRPr="00CB3A55" w:rsidRDefault="000046D3" w:rsidP="006851D8">
      <w:pPr>
        <w:jc w:val="both"/>
        <w:rPr>
          <w:lang w:val="en-GB" w:eastAsia="pl-PL"/>
        </w:rPr>
      </w:pPr>
    </w:p>
    <w:p w14:paraId="383A5B7F" w14:textId="77777777" w:rsidR="00694AF0" w:rsidRPr="006A3D06" w:rsidRDefault="00CB3A55" w:rsidP="00CB3A55">
      <w:pPr>
        <w:jc w:val="both"/>
        <w:rPr>
          <w:lang w:val="en-GB" w:eastAsia="pl-PL"/>
        </w:rPr>
        <w:sectPr w:rsidR="00694AF0" w:rsidRPr="006A3D06" w:rsidSect="00FC52FD">
          <w:headerReference w:type="default" r:id="rId22"/>
          <w:footerReference w:type="default" r:id="rId23"/>
          <w:headerReference w:type="first" r:id="rId24"/>
          <w:footerReference w:type="first" r:id="rId25"/>
          <w:pgSz w:w="11906" w:h="16838" w:code="9"/>
          <w:pgMar w:top="720" w:right="3119" w:bottom="720" w:left="720" w:header="283" w:footer="397" w:gutter="0"/>
          <w:cols w:space="708"/>
          <w:titlePg/>
          <w:docGrid w:linePitch="360"/>
        </w:sectPr>
      </w:pPr>
      <w:r w:rsidRPr="00CB3A55">
        <w:rPr>
          <w:lang w:val="en-GB"/>
        </w:rPr>
        <w:t>In the case of quoting Statistics Poland data, please provide information: "Source of data: Statistics Poland", and in the case of publishing calculations made on data published by Statistics Poland, please provide information: "Own elaboration ba</w:t>
      </w:r>
      <w:r>
        <w:rPr>
          <w:lang w:val="en-GB"/>
        </w:rPr>
        <w:t>sed on Statistics Poland data."</w:t>
      </w:r>
    </w:p>
    <w:p w14:paraId="31D4F7DF" w14:textId="77777777" w:rsidR="008E1770" w:rsidRPr="006A3D06" w:rsidRDefault="008E1770" w:rsidP="008E1770">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53"/>
        <w:gridCol w:w="3814"/>
      </w:tblGrid>
      <w:tr w:rsidR="008E1770" w:rsidRPr="001819F1" w14:paraId="3B88CEAC" w14:textId="77777777" w:rsidTr="008E1770">
        <w:trPr>
          <w:trHeight w:val="1912"/>
        </w:trPr>
        <w:tc>
          <w:tcPr>
            <w:tcW w:w="4253" w:type="dxa"/>
          </w:tcPr>
          <w:p w14:paraId="5235EC98" w14:textId="77777777" w:rsidR="008E1770" w:rsidRPr="004A61DB" w:rsidRDefault="00D3743A" w:rsidP="00AA5EEE">
            <w:pPr>
              <w:spacing w:before="0" w:after="0" w:line="276" w:lineRule="auto"/>
              <w:rPr>
                <w:rFonts w:cs="Arial"/>
                <w:color w:val="000000"/>
                <w:sz w:val="20"/>
                <w:lang w:val="en-GB"/>
              </w:rPr>
            </w:pPr>
            <w:r w:rsidRPr="004A61DB">
              <w:rPr>
                <w:rFonts w:cs="Arial"/>
                <w:color w:val="000000"/>
                <w:sz w:val="20"/>
                <w:lang w:val="en-GB"/>
              </w:rPr>
              <w:t>Prepared by</w:t>
            </w:r>
            <w:r w:rsidR="008E1770" w:rsidRPr="004A61DB">
              <w:rPr>
                <w:rFonts w:cs="Arial"/>
                <w:color w:val="000000"/>
                <w:sz w:val="20"/>
                <w:lang w:val="en-GB"/>
              </w:rPr>
              <w:t>:</w:t>
            </w:r>
          </w:p>
          <w:p w14:paraId="79C2611A" w14:textId="77777777" w:rsidR="008E1770" w:rsidRPr="00D3743A" w:rsidRDefault="00D3743A" w:rsidP="008E1770">
            <w:pPr>
              <w:spacing w:before="0" w:after="0" w:line="240" w:lineRule="auto"/>
              <w:rPr>
                <w:rFonts w:cs="Arial"/>
                <w:b/>
                <w:color w:val="000000"/>
                <w:sz w:val="20"/>
                <w:lang w:val="en-GB"/>
              </w:rPr>
            </w:pPr>
            <w:r w:rsidRPr="00D3743A">
              <w:rPr>
                <w:rFonts w:cs="Arial"/>
                <w:b/>
                <w:color w:val="000000"/>
                <w:sz w:val="20"/>
                <w:lang w:val="en-GB"/>
              </w:rPr>
              <w:t>The Statistical Office in Bydgoszcz</w:t>
            </w:r>
          </w:p>
          <w:p w14:paraId="31141324" w14:textId="77777777" w:rsidR="00BD159E" w:rsidRPr="004A61DB" w:rsidRDefault="00D3743A" w:rsidP="005363D0">
            <w:pPr>
              <w:pStyle w:val="Nagwek3"/>
              <w:spacing w:before="60" w:line="276" w:lineRule="auto"/>
              <w:rPr>
                <w:rFonts w:ascii="Fira Sans" w:hAnsi="Fira Sans" w:cs="Arial"/>
                <w:b/>
                <w:color w:val="000000"/>
                <w:sz w:val="20"/>
                <w:szCs w:val="28"/>
                <w:lang w:val="pl-PL" w:eastAsia="en-US"/>
              </w:rPr>
            </w:pPr>
            <w:r w:rsidRPr="004A61DB">
              <w:rPr>
                <w:rFonts w:ascii="Fira Sans" w:hAnsi="Fira Sans" w:cs="Arial"/>
                <w:b/>
                <w:color w:val="000000"/>
                <w:sz w:val="20"/>
                <w:szCs w:val="28"/>
                <w:lang w:val="pl-PL" w:eastAsia="en-US"/>
              </w:rPr>
              <w:t>Director Wiesława Gierańczyk, Ph.D.</w:t>
            </w:r>
          </w:p>
          <w:p w14:paraId="6A2F06BF" w14:textId="77777777" w:rsidR="00BD159E" w:rsidRPr="00327EE6" w:rsidRDefault="00D3743A" w:rsidP="005363D0">
            <w:pPr>
              <w:pStyle w:val="Nagwek3"/>
              <w:spacing w:before="0" w:line="276" w:lineRule="auto"/>
              <w:rPr>
                <w:rFonts w:ascii="Fira Sans" w:hAnsi="Fira Sans" w:cs="Arial"/>
                <w:color w:val="000000"/>
                <w:sz w:val="20"/>
                <w:lang w:val="fi-FI" w:eastAsia="en-US"/>
              </w:rPr>
            </w:pPr>
            <w:r w:rsidRPr="00D3743A">
              <w:rPr>
                <w:rFonts w:ascii="Fira Sans" w:hAnsi="Fira Sans" w:cs="Arial"/>
                <w:color w:val="000000"/>
                <w:sz w:val="20"/>
                <w:lang w:val="fi-FI" w:eastAsia="en-US"/>
              </w:rPr>
              <w:t>Office: tel. (+48 52) 366 93 90</w:t>
            </w:r>
          </w:p>
          <w:p w14:paraId="2922AFD8" w14:textId="77777777" w:rsidR="008E1770" w:rsidRPr="00C40887" w:rsidRDefault="008E1770" w:rsidP="00BD159E">
            <w:pPr>
              <w:pStyle w:val="Nagwek3"/>
              <w:spacing w:before="0" w:line="240" w:lineRule="auto"/>
              <w:rPr>
                <w:rFonts w:ascii="Fira Sans" w:hAnsi="Fira Sans" w:cs="Arial"/>
                <w:b/>
                <w:color w:val="001D77"/>
                <w:sz w:val="20"/>
                <w:szCs w:val="20"/>
                <w:u w:val="single"/>
                <w:lang w:val="pl-PL" w:eastAsia="en-US"/>
              </w:rPr>
            </w:pPr>
          </w:p>
        </w:tc>
        <w:tc>
          <w:tcPr>
            <w:tcW w:w="3814" w:type="dxa"/>
          </w:tcPr>
          <w:p w14:paraId="32C0BEDF" w14:textId="77777777" w:rsidR="008E1770" w:rsidRDefault="00D3743A" w:rsidP="00AA5EEE">
            <w:pPr>
              <w:spacing w:before="0" w:after="0" w:line="276" w:lineRule="auto"/>
              <w:rPr>
                <w:rFonts w:cs="Arial"/>
                <w:b/>
                <w:color w:val="000000"/>
                <w:sz w:val="20"/>
                <w:lang w:val="en-GB"/>
              </w:rPr>
            </w:pPr>
            <w:r w:rsidRPr="00D3743A">
              <w:rPr>
                <w:rFonts w:cs="Arial"/>
                <w:color w:val="000000"/>
                <w:sz w:val="20"/>
                <w:lang w:val="en-GB"/>
              </w:rPr>
              <w:t>Issued by</w:t>
            </w:r>
            <w:r w:rsidR="008E1770" w:rsidRPr="00D3743A">
              <w:rPr>
                <w:rFonts w:cs="Arial"/>
                <w:color w:val="000000"/>
                <w:sz w:val="20"/>
                <w:lang w:val="en-GB"/>
              </w:rPr>
              <w:t>:</w:t>
            </w:r>
            <w:r w:rsidR="008E1770" w:rsidRPr="00D3743A">
              <w:rPr>
                <w:rFonts w:cs="Arial"/>
                <w:color w:val="000000"/>
                <w:sz w:val="20"/>
                <w:lang w:val="en-GB"/>
              </w:rPr>
              <w:br/>
            </w:r>
            <w:r w:rsidRPr="00D3743A">
              <w:rPr>
                <w:rFonts w:cs="Arial"/>
                <w:b/>
                <w:color w:val="000000"/>
                <w:sz w:val="20"/>
                <w:lang w:val="en-GB"/>
              </w:rPr>
              <w:t>The Spokeperson for the President</w:t>
            </w:r>
          </w:p>
          <w:p w14:paraId="27673CD7" w14:textId="77777777" w:rsidR="00D3743A" w:rsidRPr="00D3743A" w:rsidRDefault="00D3743A" w:rsidP="00AA5EEE">
            <w:pPr>
              <w:spacing w:before="0" w:after="0" w:line="276" w:lineRule="auto"/>
              <w:rPr>
                <w:rFonts w:cs="Arial"/>
                <w:b/>
                <w:color w:val="000000"/>
                <w:sz w:val="20"/>
                <w:lang w:val="en-GB"/>
              </w:rPr>
            </w:pPr>
            <w:r w:rsidRPr="00D3743A">
              <w:rPr>
                <w:rFonts w:cs="Arial"/>
                <w:b/>
                <w:color w:val="000000"/>
                <w:sz w:val="20"/>
                <w:lang w:val="en-GB"/>
              </w:rPr>
              <w:t>of Statistics Poland</w:t>
            </w:r>
          </w:p>
          <w:p w14:paraId="3E95D70D" w14:textId="77777777" w:rsidR="008E1770" w:rsidRPr="00D3743A" w:rsidRDefault="008E1770" w:rsidP="00807D81">
            <w:pPr>
              <w:pStyle w:val="Nagwek3"/>
              <w:spacing w:before="0" w:line="276" w:lineRule="auto"/>
              <w:rPr>
                <w:rFonts w:ascii="Fira Sans" w:hAnsi="Fira Sans" w:cs="Arial"/>
                <w:b/>
                <w:color w:val="000000"/>
                <w:sz w:val="20"/>
                <w:szCs w:val="28"/>
                <w:lang w:val="en-GB" w:eastAsia="en-US"/>
              </w:rPr>
            </w:pPr>
            <w:r w:rsidRPr="00D3743A">
              <w:rPr>
                <w:rFonts w:ascii="Fira Sans" w:hAnsi="Fira Sans" w:cs="Arial"/>
                <w:b/>
                <w:color w:val="000000"/>
                <w:sz w:val="20"/>
                <w:szCs w:val="28"/>
                <w:lang w:val="en-GB" w:eastAsia="en-US"/>
              </w:rPr>
              <w:t xml:space="preserve">Karolina </w:t>
            </w:r>
            <w:r w:rsidR="00D3743A" w:rsidRPr="00D3743A">
              <w:rPr>
                <w:rFonts w:ascii="Fira Sans" w:hAnsi="Fira Sans" w:cs="Arial"/>
                <w:b/>
                <w:color w:val="000000"/>
                <w:sz w:val="20"/>
                <w:szCs w:val="28"/>
                <w:lang w:val="en-GB" w:eastAsia="en-US"/>
              </w:rPr>
              <w:t>Banaszek</w:t>
            </w:r>
          </w:p>
          <w:p w14:paraId="1567EA7D" w14:textId="77777777" w:rsidR="00807D81" w:rsidRPr="00327EE6" w:rsidRDefault="00D3743A" w:rsidP="00807D81">
            <w:pPr>
              <w:pStyle w:val="Nagwek3"/>
              <w:spacing w:before="0" w:line="276" w:lineRule="auto"/>
              <w:rPr>
                <w:rFonts w:ascii="Fira Sans" w:hAnsi="Fira Sans" w:cs="Arial"/>
                <w:color w:val="auto"/>
                <w:sz w:val="20"/>
                <w:szCs w:val="20"/>
                <w:lang w:val="en-US" w:eastAsia="en-US"/>
              </w:rPr>
            </w:pPr>
            <w:r w:rsidRPr="00D3743A">
              <w:rPr>
                <w:rFonts w:ascii="Fira Sans" w:hAnsi="Fira Sans" w:cs="Arial"/>
                <w:color w:val="auto"/>
                <w:sz w:val="20"/>
                <w:szCs w:val="20"/>
                <w:lang w:val="en-US" w:eastAsia="en-US"/>
              </w:rPr>
              <w:t>Mobile: (+48) 695 255 011</w:t>
            </w:r>
          </w:p>
          <w:p w14:paraId="4E9B6BF1" w14:textId="77777777" w:rsidR="008E1770" w:rsidRPr="00327EE6" w:rsidRDefault="008E1770" w:rsidP="00AA5EEE">
            <w:pPr>
              <w:pStyle w:val="Nagwek3"/>
              <w:spacing w:before="0" w:line="240" w:lineRule="auto"/>
              <w:rPr>
                <w:rFonts w:ascii="Fira Sans" w:hAnsi="Fira Sans" w:cs="Arial"/>
                <w:color w:val="000000"/>
                <w:sz w:val="20"/>
                <w:szCs w:val="20"/>
                <w:lang w:val="en-US" w:eastAsia="en-US"/>
              </w:rPr>
            </w:pPr>
          </w:p>
        </w:tc>
      </w:tr>
    </w:tbl>
    <w:p w14:paraId="0A6D7953" w14:textId="77777777" w:rsidR="008E1770" w:rsidRPr="009872E1" w:rsidRDefault="008E1770" w:rsidP="008E1770">
      <w:pPr>
        <w:rPr>
          <w:sz w:val="18"/>
          <w:lang w:val="en-GB"/>
        </w:rPr>
      </w:pPr>
    </w:p>
    <w:p w14:paraId="24D41AA7" w14:textId="77777777" w:rsidR="008E1770" w:rsidRPr="009872E1" w:rsidRDefault="008E1770" w:rsidP="008E1770">
      <w:pPr>
        <w:rPr>
          <w:sz w:val="18"/>
          <w:lang w:val="en-GB"/>
        </w:rPr>
      </w:pPr>
    </w:p>
    <w:tbl>
      <w:tblPr>
        <w:tblW w:w="5000" w:type="pct"/>
        <w:tblCellMar>
          <w:left w:w="57" w:type="dxa"/>
          <w:right w:w="57" w:type="dxa"/>
        </w:tblCellMar>
        <w:tblLook w:val="04A0" w:firstRow="1" w:lastRow="0" w:firstColumn="1" w:lastColumn="0" w:noHBand="0" w:noVBand="1"/>
      </w:tblPr>
      <w:tblGrid>
        <w:gridCol w:w="4390"/>
        <w:gridCol w:w="595"/>
        <w:gridCol w:w="3082"/>
      </w:tblGrid>
      <w:tr w:rsidR="008E1770" w:rsidRPr="001819F1" w14:paraId="19AACDE7" w14:textId="77777777" w:rsidTr="00327EE6">
        <w:trPr>
          <w:trHeight w:val="610"/>
        </w:trPr>
        <w:tc>
          <w:tcPr>
            <w:tcW w:w="2721" w:type="pct"/>
            <w:vMerge w:val="restart"/>
            <w:shd w:val="clear" w:color="auto" w:fill="auto"/>
          </w:tcPr>
          <w:p w14:paraId="780F46AA" w14:textId="77777777" w:rsidR="008E1770" w:rsidRPr="004A61DB" w:rsidRDefault="00D3743A" w:rsidP="00807D81">
            <w:pPr>
              <w:rPr>
                <w:b/>
                <w:sz w:val="20"/>
                <w:lang w:val="en-GB"/>
              </w:rPr>
            </w:pPr>
            <w:r w:rsidRPr="004A61DB">
              <w:rPr>
                <w:b/>
                <w:sz w:val="20"/>
                <w:lang w:val="en-GB"/>
              </w:rPr>
              <w:t>Press Office</w:t>
            </w:r>
          </w:p>
          <w:p w14:paraId="7D16EB54" w14:textId="77777777" w:rsidR="008E1770" w:rsidRPr="004A61DB" w:rsidRDefault="00D3743A" w:rsidP="00327EE6">
            <w:pPr>
              <w:tabs>
                <w:tab w:val="right" w:pos="4276"/>
              </w:tabs>
              <w:rPr>
                <w:sz w:val="20"/>
                <w:lang w:val="en-GB"/>
              </w:rPr>
            </w:pPr>
            <w:r w:rsidRPr="004A61DB">
              <w:rPr>
                <w:sz w:val="20"/>
                <w:lang w:val="en-GB"/>
              </w:rPr>
              <w:t>Office: tel. (+48 22) 608 34 91, 608 38 04</w:t>
            </w:r>
            <w:r w:rsidR="006F61CF" w:rsidRPr="004A61DB">
              <w:rPr>
                <w:sz w:val="20"/>
                <w:lang w:val="en-GB"/>
              </w:rPr>
              <w:tab/>
            </w:r>
          </w:p>
          <w:p w14:paraId="734EF437" w14:textId="77777777" w:rsidR="008E1770" w:rsidRPr="00327EE6" w:rsidRDefault="00A241F9" w:rsidP="00327EE6">
            <w:pPr>
              <w:keepNext/>
              <w:outlineLvl w:val="0"/>
              <w:rPr>
                <w:rFonts w:eastAsia="Times New Roman"/>
                <w:bCs/>
                <w:color w:val="001D77"/>
                <w:sz w:val="18"/>
                <w:szCs w:val="24"/>
                <w:lang w:val="en-US" w:eastAsia="pl-PL"/>
              </w:rPr>
            </w:pPr>
            <w:r w:rsidRPr="00327EE6">
              <w:rPr>
                <w:b/>
                <w:sz w:val="20"/>
                <w:lang w:val="en-US"/>
              </w:rPr>
              <w:t>e</w:t>
            </w:r>
            <w:r w:rsidR="00207C51" w:rsidRPr="00327EE6">
              <w:rPr>
                <w:b/>
                <w:sz w:val="20"/>
                <w:lang w:val="en-US"/>
              </w:rPr>
              <w:t>–</w:t>
            </w:r>
            <w:r w:rsidRPr="00327EE6">
              <w:rPr>
                <w:b/>
                <w:sz w:val="20"/>
                <w:lang w:val="en-US"/>
              </w:rPr>
              <w:t>mail:</w:t>
            </w:r>
            <w:r w:rsidRPr="00327EE6">
              <w:rPr>
                <w:sz w:val="20"/>
                <w:lang w:val="en-US"/>
              </w:rPr>
              <w:t xml:space="preserve"> </w:t>
            </w:r>
            <w:hyperlink r:id="rId26" w:history="1">
              <w:r w:rsidR="002605D4" w:rsidRPr="00327EE6">
                <w:rPr>
                  <w:rStyle w:val="Hipercze"/>
                  <w:b/>
                  <w:sz w:val="20"/>
                  <w:lang w:val="en-US"/>
                </w:rPr>
                <w:t>obslugaprasowa@stat.gov.pl</w:t>
              </w:r>
            </w:hyperlink>
          </w:p>
        </w:tc>
        <w:tc>
          <w:tcPr>
            <w:tcW w:w="369" w:type="pct"/>
            <w:shd w:val="clear" w:color="auto" w:fill="auto"/>
            <w:vAlign w:val="center"/>
          </w:tcPr>
          <w:p w14:paraId="36FBE82E" w14:textId="41E0A86B" w:rsidR="008E1770" w:rsidRPr="00327EE6" w:rsidRDefault="00EE0D17" w:rsidP="00AA5EEE">
            <w:pPr>
              <w:rPr>
                <w:sz w:val="18"/>
                <w:lang w:val="en-US"/>
              </w:rPr>
            </w:pPr>
            <w:r>
              <w:rPr>
                <w:noProof/>
                <w:lang w:eastAsia="pl-PL"/>
              </w:rPr>
              <w:drawing>
                <wp:anchor distT="0" distB="0" distL="114300" distR="114300" simplePos="0" relativeHeight="251643904" behindDoc="0" locked="0" layoutInCell="1" allowOverlap="1" wp14:anchorId="4470F6D7" wp14:editId="1542E1E4">
                  <wp:simplePos x="0" y="0"/>
                  <wp:positionH relativeFrom="column">
                    <wp:posOffset>78740</wp:posOffset>
                  </wp:positionH>
                  <wp:positionV relativeFrom="paragraph">
                    <wp:posOffset>21590</wp:posOffset>
                  </wp:positionV>
                  <wp:extent cx="173990" cy="170815"/>
                  <wp:effectExtent l="0" t="0" r="0" b="0"/>
                  <wp:wrapNone/>
                  <wp:docPr id="7"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3990"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10" w:type="pct"/>
            <w:shd w:val="clear" w:color="auto" w:fill="auto"/>
            <w:vAlign w:val="center"/>
          </w:tcPr>
          <w:p w14:paraId="7906EC79" w14:textId="77777777" w:rsidR="008E1770" w:rsidRPr="00327EE6" w:rsidRDefault="00D3743A" w:rsidP="00AA5EEE">
            <w:pPr>
              <w:rPr>
                <w:sz w:val="18"/>
                <w:lang w:val="en-US"/>
              </w:rPr>
            </w:pPr>
            <w:r w:rsidRPr="00D3743A">
              <w:rPr>
                <w:sz w:val="18"/>
                <w:lang w:val="en-US"/>
              </w:rPr>
              <w:t>https://stat.gov.pl/en/</w:t>
            </w:r>
          </w:p>
        </w:tc>
      </w:tr>
      <w:tr w:rsidR="008E1770" w:rsidRPr="00327EE6" w14:paraId="6E183E80" w14:textId="77777777" w:rsidTr="00327EE6">
        <w:trPr>
          <w:trHeight w:val="436"/>
        </w:trPr>
        <w:tc>
          <w:tcPr>
            <w:tcW w:w="2721" w:type="pct"/>
            <w:vMerge/>
            <w:shd w:val="clear" w:color="auto" w:fill="auto"/>
            <w:vAlign w:val="center"/>
          </w:tcPr>
          <w:p w14:paraId="48A9D8C8" w14:textId="77777777" w:rsidR="008E1770" w:rsidRPr="00327EE6" w:rsidRDefault="008E1770" w:rsidP="00AA5EEE">
            <w:pPr>
              <w:rPr>
                <w:sz w:val="18"/>
                <w:lang w:val="en-US"/>
              </w:rPr>
            </w:pPr>
          </w:p>
        </w:tc>
        <w:tc>
          <w:tcPr>
            <w:tcW w:w="369" w:type="pct"/>
            <w:shd w:val="clear" w:color="auto" w:fill="auto"/>
            <w:vAlign w:val="center"/>
          </w:tcPr>
          <w:p w14:paraId="36EE3D89" w14:textId="5E949063" w:rsidR="008E1770" w:rsidRPr="00327EE6" w:rsidRDefault="00EE0D17" w:rsidP="00AA5EEE">
            <w:pPr>
              <w:rPr>
                <w:sz w:val="18"/>
                <w:lang w:val="en-US"/>
              </w:rPr>
            </w:pPr>
            <w:r>
              <w:rPr>
                <w:noProof/>
                <w:lang w:eastAsia="pl-PL"/>
              </w:rPr>
              <w:drawing>
                <wp:anchor distT="0" distB="0" distL="114300" distR="114300" simplePos="0" relativeHeight="251646976" behindDoc="0" locked="0" layoutInCell="1" allowOverlap="1" wp14:anchorId="3CBA77BD" wp14:editId="27D2D726">
                  <wp:simplePos x="0" y="0"/>
                  <wp:positionH relativeFrom="column">
                    <wp:posOffset>81280</wp:posOffset>
                  </wp:positionH>
                  <wp:positionV relativeFrom="paragraph">
                    <wp:posOffset>18415</wp:posOffset>
                  </wp:positionV>
                  <wp:extent cx="173990" cy="170815"/>
                  <wp:effectExtent l="0" t="0" r="0" b="0"/>
                  <wp:wrapNone/>
                  <wp:docPr id="6"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3990"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10" w:type="pct"/>
            <w:shd w:val="clear" w:color="auto" w:fill="auto"/>
          </w:tcPr>
          <w:p w14:paraId="6CBB722E" w14:textId="77777777" w:rsidR="008E1770" w:rsidRPr="00327EE6" w:rsidRDefault="008E1770" w:rsidP="00AA5EEE">
            <w:pPr>
              <w:rPr>
                <w:sz w:val="18"/>
                <w:lang w:val="en-US"/>
              </w:rPr>
            </w:pPr>
            <w:r w:rsidRPr="00327EE6">
              <w:rPr>
                <w:sz w:val="20"/>
                <w:lang w:val="en-US"/>
              </w:rPr>
              <w:t>@GUS_STAT</w:t>
            </w:r>
          </w:p>
        </w:tc>
      </w:tr>
      <w:tr w:rsidR="008E1770" w:rsidRPr="00327EE6" w14:paraId="4EDB0DD1" w14:textId="77777777" w:rsidTr="00327EE6">
        <w:trPr>
          <w:trHeight w:val="436"/>
        </w:trPr>
        <w:tc>
          <w:tcPr>
            <w:tcW w:w="2721" w:type="pct"/>
            <w:vMerge/>
            <w:shd w:val="clear" w:color="auto" w:fill="auto"/>
            <w:vAlign w:val="center"/>
          </w:tcPr>
          <w:p w14:paraId="3322B501" w14:textId="77777777" w:rsidR="008E1770" w:rsidRPr="00327EE6" w:rsidRDefault="008E1770" w:rsidP="00AA5EEE">
            <w:pPr>
              <w:rPr>
                <w:sz w:val="18"/>
                <w:lang w:val="en-US"/>
              </w:rPr>
            </w:pPr>
          </w:p>
        </w:tc>
        <w:tc>
          <w:tcPr>
            <w:tcW w:w="369" w:type="pct"/>
            <w:shd w:val="clear" w:color="auto" w:fill="auto"/>
            <w:vAlign w:val="center"/>
          </w:tcPr>
          <w:p w14:paraId="5586AE9E" w14:textId="0C84C741" w:rsidR="008E1770" w:rsidRPr="00327EE6" w:rsidRDefault="00EE0D17" w:rsidP="00AA5EEE">
            <w:pPr>
              <w:rPr>
                <w:sz w:val="18"/>
                <w:lang w:val="en-US"/>
              </w:rPr>
            </w:pPr>
            <w:r>
              <w:rPr>
                <w:noProof/>
                <w:lang w:eastAsia="pl-PL"/>
              </w:rPr>
              <w:drawing>
                <wp:anchor distT="0" distB="0" distL="114300" distR="114300" simplePos="0" relativeHeight="251645952" behindDoc="0" locked="0" layoutInCell="1" allowOverlap="1" wp14:anchorId="58905B23" wp14:editId="1B9A60EB">
                  <wp:simplePos x="0" y="0"/>
                  <wp:positionH relativeFrom="column">
                    <wp:posOffset>78740</wp:posOffset>
                  </wp:positionH>
                  <wp:positionV relativeFrom="paragraph">
                    <wp:posOffset>15240</wp:posOffset>
                  </wp:positionV>
                  <wp:extent cx="173990" cy="170815"/>
                  <wp:effectExtent l="0" t="0" r="0" b="0"/>
                  <wp:wrapNone/>
                  <wp:docPr id="5"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990" cy="170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10" w:type="pct"/>
            <w:shd w:val="clear" w:color="auto" w:fill="auto"/>
          </w:tcPr>
          <w:p w14:paraId="2AE5D9A3" w14:textId="77777777" w:rsidR="008E1770" w:rsidRPr="00327EE6" w:rsidRDefault="008E1770" w:rsidP="00AA5EEE">
            <w:pPr>
              <w:rPr>
                <w:sz w:val="20"/>
                <w:lang w:val="en-US"/>
              </w:rPr>
            </w:pPr>
            <w:r w:rsidRPr="00327EE6">
              <w:rPr>
                <w:sz w:val="20"/>
                <w:lang w:val="en-US"/>
              </w:rPr>
              <w:t>@GlownyUrzadStatystyczny</w:t>
            </w:r>
          </w:p>
        </w:tc>
      </w:tr>
    </w:tbl>
    <w:p w14:paraId="44ADEF54" w14:textId="080D8067" w:rsidR="00896319" w:rsidRPr="0042209C" w:rsidRDefault="00896319" w:rsidP="00896319">
      <w:pPr>
        <w:rPr>
          <w:sz w:val="18"/>
          <w:lang w:val="en-US"/>
        </w:rPr>
      </w:pPr>
    </w:p>
    <w:p w14:paraId="5FC352A3" w14:textId="0903B64E" w:rsidR="00896319" w:rsidRPr="00821E99" w:rsidRDefault="00ED7778" w:rsidP="00896319">
      <w:pPr>
        <w:spacing w:after="100" w:afterAutospacing="1"/>
        <w:rPr>
          <w:sz w:val="20"/>
          <w:lang w:val="en-US"/>
        </w:rPr>
      </w:pPr>
      <w:r>
        <w:rPr>
          <w:noProof/>
          <w:lang w:eastAsia="pl-PL"/>
        </w:rPr>
        <mc:AlternateContent>
          <mc:Choice Requires="wps">
            <w:drawing>
              <wp:anchor distT="45720" distB="45720" distL="114300" distR="114300" simplePos="0" relativeHeight="251656192" behindDoc="0" locked="0" layoutInCell="1" allowOverlap="1" wp14:anchorId="35052083" wp14:editId="61F48606">
                <wp:simplePos x="0" y="0"/>
                <wp:positionH relativeFrom="margin">
                  <wp:posOffset>17780</wp:posOffset>
                </wp:positionH>
                <wp:positionV relativeFrom="paragraph">
                  <wp:posOffset>116205</wp:posOffset>
                </wp:positionV>
                <wp:extent cx="4460240" cy="4300855"/>
                <wp:effectExtent l="0" t="0" r="16510" b="23495"/>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0240" cy="4300855"/>
                        </a:xfrm>
                        <a:prstGeom prst="rect">
                          <a:avLst/>
                        </a:prstGeom>
                        <a:solidFill>
                          <a:sysClr val="window" lastClr="FFFFFF">
                            <a:lumMod val="95000"/>
                          </a:sysClr>
                        </a:solidFill>
                        <a:ln w="9525">
                          <a:solidFill>
                            <a:sysClr val="window" lastClr="FFFFFF"/>
                          </a:solidFill>
                          <a:miter lim="800000"/>
                          <a:headEnd/>
                          <a:tailEnd/>
                        </a:ln>
                      </wps:spPr>
                      <wps:txbx>
                        <w:txbxContent>
                          <w:p w14:paraId="4C822775" w14:textId="77777777" w:rsidR="003F5188" w:rsidRDefault="003F5188" w:rsidP="003138BE">
                            <w:pPr>
                              <w:rPr>
                                <w:b/>
                              </w:rPr>
                            </w:pPr>
                          </w:p>
                          <w:p w14:paraId="3830A3E6" w14:textId="77777777" w:rsidR="003F5188" w:rsidRPr="001F7496" w:rsidRDefault="00D3743A" w:rsidP="003138BE">
                            <w:pPr>
                              <w:rPr>
                                <w:b/>
                                <w:lang w:val="en-GB"/>
                              </w:rPr>
                            </w:pPr>
                            <w:r w:rsidRPr="001F7496">
                              <w:rPr>
                                <w:b/>
                                <w:lang w:val="en-GB"/>
                              </w:rPr>
                              <w:t>Related information</w:t>
                            </w:r>
                          </w:p>
                          <w:p w14:paraId="3D0C73B7" w14:textId="77777777" w:rsidR="003F5188" w:rsidRPr="001F7496" w:rsidRDefault="005F34AE" w:rsidP="003138BE">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003F5188" w:rsidRPr="001F7496">
                              <w:rPr>
                                <w:rFonts w:cs="Arial"/>
                                <w:color w:val="001D77"/>
                                <w:sz w:val="18"/>
                                <w:szCs w:val="30"/>
                                <w:shd w:val="clear" w:color="auto" w:fill="F0F0F0"/>
                                <w:lang w:val="en-GB"/>
                              </w:rPr>
                              <w:instrText xml:space="preserve"> HYPERLINK "http://stat.gov.pl/obszary-tematyczne/rynek-pracy/popyt-na-prace/popyt-na-prace-w-2017-roku,1,13.html" </w:instrText>
                            </w:r>
                            <w:r w:rsidRPr="00F27291">
                              <w:rPr>
                                <w:rFonts w:cs="Arial"/>
                                <w:color w:val="001D77"/>
                                <w:sz w:val="18"/>
                                <w:szCs w:val="30"/>
                                <w:shd w:val="clear" w:color="auto" w:fill="F0F0F0"/>
                              </w:rPr>
                              <w:fldChar w:fldCharType="separate"/>
                            </w:r>
                            <w:r w:rsidR="001F7496" w:rsidRPr="001F7496">
                              <w:rPr>
                                <w:rStyle w:val="Hipercze"/>
                                <w:rFonts w:cs="Arial"/>
                                <w:color w:val="001D77"/>
                                <w:sz w:val="18"/>
                                <w:szCs w:val="30"/>
                                <w:shd w:val="clear" w:color="auto" w:fill="F0F0F0"/>
                                <w:lang w:val="en-GB"/>
                              </w:rPr>
                              <w:t xml:space="preserve">The demand for labour </w:t>
                            </w:r>
                            <w:r w:rsidR="001F7496">
                              <w:rPr>
                                <w:rStyle w:val="Hipercze"/>
                                <w:rFonts w:cs="Arial"/>
                                <w:color w:val="001D77"/>
                                <w:sz w:val="18"/>
                                <w:szCs w:val="30"/>
                                <w:shd w:val="clear" w:color="auto" w:fill="F0F0F0"/>
                                <w:lang w:val="en-GB"/>
                              </w:rPr>
                              <w:t>–</w:t>
                            </w:r>
                            <w:r w:rsidR="001F7496" w:rsidRPr="001F7496">
                              <w:rPr>
                                <w:rStyle w:val="Hipercze"/>
                                <w:rFonts w:cs="Arial"/>
                                <w:color w:val="001D77"/>
                                <w:sz w:val="18"/>
                                <w:szCs w:val="30"/>
                                <w:shd w:val="clear" w:color="auto" w:fill="F0F0F0"/>
                                <w:lang w:val="en-GB"/>
                              </w:rPr>
                              <w:t xml:space="preserve"> </w:t>
                            </w:r>
                            <w:r w:rsidR="001F7496">
                              <w:rPr>
                                <w:rStyle w:val="Hipercze"/>
                                <w:rFonts w:cs="Arial"/>
                                <w:color w:val="001D77"/>
                                <w:sz w:val="18"/>
                                <w:szCs w:val="30"/>
                                <w:shd w:val="clear" w:color="auto" w:fill="F0F0F0"/>
                                <w:lang w:val="en-GB"/>
                              </w:rPr>
                              <w:t>annual publication</w:t>
                            </w:r>
                          </w:p>
                          <w:p w14:paraId="21C0000F" w14:textId="77777777" w:rsidR="003F5188" w:rsidRPr="001F7496" w:rsidRDefault="005F34AE" w:rsidP="003138BE">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30" w:history="1">
                              <w:r w:rsidR="001F7496" w:rsidRPr="001F7496">
                                <w:rPr>
                                  <w:rStyle w:val="Hipercze"/>
                                  <w:rFonts w:cs="Arial"/>
                                  <w:color w:val="001D77"/>
                                  <w:sz w:val="18"/>
                                  <w:szCs w:val="30"/>
                                  <w:shd w:val="clear" w:color="auto" w:fill="F0F0F0"/>
                                  <w:lang w:val="en-GB"/>
                                </w:rPr>
                                <w:t>Other publications that contain the results of these surveys</w:t>
                              </w:r>
                              <w:r w:rsidR="003F5188" w:rsidRPr="001F7496">
                                <w:rPr>
                                  <w:rStyle w:val="Hipercze"/>
                                  <w:rFonts w:cs="Arial"/>
                                  <w:color w:val="001D77"/>
                                  <w:sz w:val="18"/>
                                  <w:szCs w:val="30"/>
                                  <w:shd w:val="clear" w:color="auto" w:fill="F0F0F0"/>
                                  <w:lang w:val="en-GB"/>
                                </w:rPr>
                                <w:t xml:space="preserve">: </w:t>
                              </w:r>
                              <w:r w:rsidR="001F7496">
                                <w:rPr>
                                  <w:rStyle w:val="Hipercze"/>
                                  <w:rFonts w:cs="Arial"/>
                                  <w:color w:val="001D77"/>
                                  <w:sz w:val="18"/>
                                  <w:szCs w:val="30"/>
                                  <w:shd w:val="clear" w:color="auto" w:fill="F0F0F0"/>
                                  <w:lang w:val="en-GB"/>
                                </w:rPr>
                                <w:t>stat.gov.pl → Topics → Labour market</w:t>
                              </w:r>
                            </w:hyperlink>
                            <w:r w:rsidR="003F5188" w:rsidRPr="001F7496">
                              <w:rPr>
                                <w:rStyle w:val="Hipercze"/>
                                <w:rFonts w:cs="Arial"/>
                                <w:color w:val="001D77"/>
                                <w:sz w:val="18"/>
                                <w:szCs w:val="30"/>
                                <w:shd w:val="clear" w:color="auto" w:fill="F0F0F0"/>
                                <w:lang w:val="en-GB"/>
                              </w:rPr>
                              <w:t xml:space="preserve"> </w:t>
                            </w:r>
                          </w:p>
                          <w:p w14:paraId="5DCF0B5A" w14:textId="77777777" w:rsidR="003F5188" w:rsidRPr="001F7496" w:rsidRDefault="003F5188" w:rsidP="003138BE">
                            <w:pPr>
                              <w:rPr>
                                <w:b/>
                                <w:color w:val="000000"/>
                                <w:szCs w:val="24"/>
                                <w:lang w:val="en-GB"/>
                              </w:rPr>
                            </w:pPr>
                          </w:p>
                          <w:p w14:paraId="6AF3559B" w14:textId="77777777" w:rsidR="003F5188" w:rsidRPr="000426F7" w:rsidRDefault="001F7496" w:rsidP="003138BE">
                            <w:pPr>
                              <w:rPr>
                                <w:b/>
                                <w:color w:val="000000"/>
                                <w:szCs w:val="24"/>
                                <w:lang w:val="en-GB"/>
                              </w:rPr>
                            </w:pPr>
                            <w:r w:rsidRPr="000426F7">
                              <w:rPr>
                                <w:b/>
                                <w:color w:val="000000"/>
                                <w:szCs w:val="24"/>
                                <w:lang w:val="en-GB"/>
                              </w:rPr>
                              <w:t>Data available in databases</w:t>
                            </w:r>
                          </w:p>
                          <w:p w14:paraId="14281A51" w14:textId="77777777" w:rsidR="003F5188" w:rsidRPr="005F1C59" w:rsidRDefault="00ED5A74" w:rsidP="003138BE">
                            <w:pPr>
                              <w:rPr>
                                <w:rStyle w:val="Hipercze"/>
                                <w:rFonts w:cs="Arial"/>
                                <w:color w:val="001D77"/>
                                <w:sz w:val="18"/>
                                <w:szCs w:val="30"/>
                                <w:shd w:val="clear" w:color="auto" w:fill="F0F0F0"/>
                                <w:lang w:val="en-GB"/>
                              </w:rPr>
                            </w:pPr>
                            <w:hyperlink r:id="rId31" w:history="1">
                              <w:r w:rsidR="001F7496" w:rsidRPr="005F1C59">
                                <w:rPr>
                                  <w:rStyle w:val="Hipercze"/>
                                  <w:rFonts w:cs="Arial"/>
                                  <w:color w:val="001D77"/>
                                  <w:sz w:val="18"/>
                                  <w:szCs w:val="30"/>
                                  <w:shd w:val="clear" w:color="auto" w:fill="F0F0F0"/>
                                  <w:lang w:val="en-GB"/>
                                </w:rPr>
                                <w:t>Knowledge databases</w:t>
                              </w:r>
                              <w:r w:rsidR="005F1C59" w:rsidRPr="005F1C59">
                                <w:rPr>
                                  <w:rStyle w:val="Hipercze"/>
                                  <w:rFonts w:cs="Arial"/>
                                  <w:color w:val="001D77"/>
                                  <w:sz w:val="18"/>
                                  <w:szCs w:val="30"/>
                                  <w:shd w:val="clear" w:color="auto" w:fill="F0F0F0"/>
                                  <w:lang w:val="en-GB"/>
                                </w:rPr>
                                <w:t xml:space="preserve"> – Labour market</w:t>
                              </w:r>
                            </w:hyperlink>
                          </w:p>
                          <w:p w14:paraId="61864467" w14:textId="77777777" w:rsidR="003F5188" w:rsidRPr="005F1C59" w:rsidRDefault="005F34AE" w:rsidP="003138BE">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003F5188" w:rsidRPr="005F1C59">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r w:rsidR="005F1C59" w:rsidRPr="005F1C59">
                              <w:rPr>
                                <w:rStyle w:val="Hipercze"/>
                                <w:rFonts w:cs="Arial"/>
                                <w:color w:val="001D77"/>
                                <w:sz w:val="18"/>
                                <w:szCs w:val="30"/>
                                <w:shd w:val="clear" w:color="auto" w:fill="F0F0F0"/>
                                <w:lang w:val="en-GB"/>
                              </w:rPr>
                              <w:t xml:space="preserve">Strateg → </w:t>
                            </w:r>
                            <w:r w:rsidR="005F1C59">
                              <w:rPr>
                                <w:rStyle w:val="Hipercze"/>
                                <w:rFonts w:cs="Arial"/>
                                <w:color w:val="001D77"/>
                                <w:sz w:val="18"/>
                                <w:szCs w:val="30"/>
                                <w:shd w:val="clear" w:color="auto" w:fill="F0F0F0"/>
                                <w:lang w:val="en-GB"/>
                              </w:rPr>
                              <w:t>Themes</w:t>
                            </w:r>
                            <w:r w:rsidR="001F7496" w:rsidRPr="005F1C59">
                              <w:rPr>
                                <w:rStyle w:val="Hipercze"/>
                                <w:rFonts w:cs="Arial"/>
                                <w:color w:val="001D77"/>
                                <w:sz w:val="18"/>
                                <w:szCs w:val="30"/>
                                <w:shd w:val="clear" w:color="auto" w:fill="F0F0F0"/>
                                <w:lang w:val="en-GB"/>
                              </w:rPr>
                              <w:t xml:space="preserve"> → Labour market</w:t>
                            </w:r>
                          </w:p>
                          <w:p w14:paraId="76FB1F59" w14:textId="77777777" w:rsidR="003F5188" w:rsidRPr="001F7496" w:rsidRDefault="005F34AE" w:rsidP="003138BE">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r w:rsidR="001F7496" w:rsidRPr="001F7496">
                              <w:rPr>
                                <w:rStyle w:val="Hipercze"/>
                                <w:rFonts w:cs="Arial"/>
                                <w:color w:val="001D77"/>
                                <w:sz w:val="18"/>
                                <w:szCs w:val="30"/>
                                <w:shd w:val="clear" w:color="auto" w:fill="F0F0F0"/>
                                <w:lang w:val="en-GB"/>
                              </w:rPr>
                              <w:t>Local Data Bank</w:t>
                            </w:r>
                            <w:r w:rsidR="003F5188" w:rsidRPr="001F7496">
                              <w:rPr>
                                <w:rStyle w:val="Hipercze"/>
                                <w:rFonts w:cs="Arial"/>
                                <w:color w:val="001D77"/>
                                <w:sz w:val="18"/>
                                <w:szCs w:val="30"/>
                                <w:shd w:val="clear" w:color="auto" w:fill="F0F0F0"/>
                                <w:lang w:val="en-GB"/>
                              </w:rPr>
                              <w:t xml:space="preserve"> →</w:t>
                            </w:r>
                            <w:r w:rsidR="001F7496" w:rsidRPr="001F7496">
                              <w:rPr>
                                <w:rStyle w:val="Hipercze"/>
                                <w:rFonts w:cs="Arial"/>
                                <w:color w:val="001D77"/>
                                <w:sz w:val="18"/>
                                <w:szCs w:val="30"/>
                                <w:shd w:val="clear" w:color="auto" w:fill="F0F0F0"/>
                                <w:lang w:val="en-GB"/>
                              </w:rPr>
                              <w:t xml:space="preserve"> Labour market</w:t>
                            </w:r>
                          </w:p>
                          <w:p w14:paraId="1AEE83CF" w14:textId="77777777" w:rsidR="003F5188" w:rsidRPr="001F7496" w:rsidRDefault="003F5188" w:rsidP="003138BE">
                            <w:pPr>
                              <w:rPr>
                                <w:b/>
                                <w:color w:val="000000"/>
                                <w:szCs w:val="24"/>
                                <w:lang w:val="en-GB"/>
                              </w:rPr>
                            </w:pPr>
                          </w:p>
                          <w:p w14:paraId="4B435405" w14:textId="77777777" w:rsidR="003F5188" w:rsidRPr="001F7496" w:rsidRDefault="001F7496" w:rsidP="003138BE">
                            <w:pPr>
                              <w:rPr>
                                <w:b/>
                                <w:color w:val="000000"/>
                                <w:szCs w:val="24"/>
                                <w:lang w:val="en-GB"/>
                              </w:rPr>
                            </w:pPr>
                            <w:r w:rsidRPr="001F7496">
                              <w:rPr>
                                <w:b/>
                                <w:color w:val="000000"/>
                                <w:szCs w:val="24"/>
                                <w:lang w:val="en-GB"/>
                              </w:rPr>
                              <w:t>Terms used in official statistics</w:t>
                            </w:r>
                          </w:p>
                          <w:p w14:paraId="70FB2A04" w14:textId="77777777" w:rsidR="003F5188" w:rsidRPr="001F7496" w:rsidRDefault="001F7496" w:rsidP="003138BE">
                            <w:pPr>
                              <w:rPr>
                                <w:rStyle w:val="Hipercze"/>
                                <w:rFonts w:cs="Arial"/>
                                <w:color w:val="001D77"/>
                                <w:sz w:val="18"/>
                                <w:szCs w:val="30"/>
                                <w:shd w:val="clear" w:color="auto" w:fill="F0F0F0"/>
                                <w:lang w:val="en-GB"/>
                              </w:rPr>
                            </w:pPr>
                            <w:r w:rsidRPr="001F7496">
                              <w:rPr>
                                <w:rStyle w:val="Hipercze"/>
                                <w:rFonts w:cs="Arial"/>
                                <w:color w:val="001D77"/>
                                <w:sz w:val="18"/>
                                <w:szCs w:val="30"/>
                                <w:shd w:val="clear" w:color="auto" w:fill="F0F0F0"/>
                                <w:lang w:val="en-GB"/>
                              </w:rPr>
                              <w:t>Demand for labour</w:t>
                            </w:r>
                          </w:p>
                          <w:p w14:paraId="6E87D25D" w14:textId="77777777" w:rsidR="003F5188" w:rsidRPr="001F7496" w:rsidRDefault="001F7496" w:rsidP="003138BE">
                            <w:pPr>
                              <w:rPr>
                                <w:rStyle w:val="Hipercze"/>
                                <w:rFonts w:cs="Arial"/>
                                <w:color w:val="001D77"/>
                                <w:sz w:val="18"/>
                                <w:szCs w:val="30"/>
                                <w:shd w:val="clear" w:color="auto" w:fill="F0F0F0"/>
                                <w:lang w:val="en-GB"/>
                              </w:rPr>
                            </w:pPr>
                            <w:r w:rsidRPr="001F7496">
                              <w:rPr>
                                <w:rStyle w:val="Hipercze"/>
                                <w:rFonts w:cs="Arial"/>
                                <w:color w:val="001D77"/>
                                <w:sz w:val="18"/>
                                <w:szCs w:val="30"/>
                                <w:shd w:val="clear" w:color="auto" w:fill="F0F0F0"/>
                                <w:lang w:val="en-GB"/>
                              </w:rPr>
                              <w:t>Vacancies</w:t>
                            </w:r>
                          </w:p>
                          <w:p w14:paraId="6B9E1DD0" w14:textId="77777777" w:rsidR="003F5188" w:rsidRPr="00D9491D" w:rsidRDefault="003F5188" w:rsidP="003138BE">
                            <w:pPr>
                              <w:rPr>
                                <w:rStyle w:val="Hipercze"/>
                                <w:rFonts w:cs="Arial"/>
                                <w:color w:val="001D77"/>
                                <w:sz w:val="18"/>
                                <w:szCs w:val="30"/>
                                <w:shd w:val="clear" w:color="auto" w:fill="F0F0F0"/>
                              </w:rPr>
                            </w:pPr>
                            <w:r w:rsidRPr="001F7496">
                              <w:rPr>
                                <w:rStyle w:val="Hipercze"/>
                                <w:rFonts w:cs="Arial"/>
                                <w:color w:val="001D77"/>
                                <w:sz w:val="18"/>
                                <w:szCs w:val="30"/>
                                <w:shd w:val="clear" w:color="auto" w:fill="F0F0F0"/>
                              </w:rPr>
                              <w:t>N</w:t>
                            </w:r>
                            <w:r w:rsidR="001F7496">
                              <w:rPr>
                                <w:rStyle w:val="Hipercze"/>
                                <w:rFonts w:cs="Arial"/>
                                <w:color w:val="001D77"/>
                                <w:sz w:val="18"/>
                                <w:szCs w:val="30"/>
                                <w:shd w:val="clear" w:color="auto" w:fill="F0F0F0"/>
                              </w:rPr>
                              <w:t>ewly created jobs</w:t>
                            </w:r>
                          </w:p>
                          <w:p w14:paraId="2BEAA149" w14:textId="77777777" w:rsidR="003F5188" w:rsidRPr="004033FD" w:rsidRDefault="003F5188" w:rsidP="003138BE">
                            <w:pPr>
                              <w:rPr>
                                <w:b/>
                                <w:color w:val="001D77"/>
                                <w:szCs w:val="24"/>
                              </w:rPr>
                            </w:pPr>
                          </w:p>
                          <w:p w14:paraId="633A3693" w14:textId="77777777" w:rsidR="003F5188" w:rsidRPr="00327EE6" w:rsidRDefault="003F5188" w:rsidP="00896319">
                            <w:pPr>
                              <w:rPr>
                                <w:b/>
                                <w:color w:val="00000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052083" id="_x0000_t202" coordsize="21600,21600" o:spt="202" path="m,l,21600r21600,l21600,xe">
                <v:stroke joinstyle="miter"/>
                <v:path gradientshapeok="t" o:connecttype="rect"/>
              </v:shapetype>
              <v:shape id="_x0000_s1035" type="#_x0000_t202" style="position:absolute;margin-left:1.4pt;margin-top:9.15pt;width:351.2pt;height:338.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" fillcolor="#f2f2f2" strokecolor="window">
                <v:textbox>
                  <w:txbxContent>
                    <w:p w14:paraId="4C822775" w14:textId="77777777" w:rsidR="003F5188" w:rsidRDefault="003F5188" w:rsidP="003138BE">
                      <w:pPr>
                        <w:rPr>
                          <w:b/>
                        </w:rPr>
                      </w:pPr>
                    </w:p>
                    <w:p w14:paraId="3830A3E6" w14:textId="77777777" w:rsidR="003F5188" w:rsidRPr="001F7496" w:rsidRDefault="00D3743A" w:rsidP="003138BE">
                      <w:pPr>
                        <w:rPr>
                          <w:b/>
                          <w:lang w:val="en-GB"/>
                        </w:rPr>
                      </w:pPr>
                      <w:r w:rsidRPr="001F7496">
                        <w:rPr>
                          <w:b/>
                          <w:lang w:val="en-GB"/>
                        </w:rPr>
                        <w:t>Related information</w:t>
                      </w:r>
                    </w:p>
                    <w:p w14:paraId="3D0C73B7" w14:textId="77777777" w:rsidR="003F5188" w:rsidRPr="001F7496" w:rsidRDefault="005F34AE" w:rsidP="003138BE">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003F5188" w:rsidRPr="001F7496">
                        <w:rPr>
                          <w:rFonts w:cs="Arial"/>
                          <w:color w:val="001D77"/>
                          <w:sz w:val="18"/>
                          <w:szCs w:val="30"/>
                          <w:shd w:val="clear" w:color="auto" w:fill="F0F0F0"/>
                          <w:lang w:val="en-GB"/>
                        </w:rPr>
                        <w:instrText xml:space="preserve"> HYPERLINK "http://stat.gov.pl/obszary-tematyczne/rynek-pracy/popyt-na-prace/popyt-na-prace-w-2017-roku,1,13.html" </w:instrText>
                      </w:r>
                      <w:r w:rsidRPr="00F27291">
                        <w:rPr>
                          <w:rFonts w:cs="Arial"/>
                          <w:color w:val="001D77"/>
                          <w:sz w:val="18"/>
                          <w:szCs w:val="30"/>
                          <w:shd w:val="clear" w:color="auto" w:fill="F0F0F0"/>
                        </w:rPr>
                        <w:fldChar w:fldCharType="separate"/>
                      </w:r>
                      <w:r w:rsidR="001F7496" w:rsidRPr="001F7496">
                        <w:rPr>
                          <w:rStyle w:val="Hipercze"/>
                          <w:rFonts w:cs="Arial"/>
                          <w:color w:val="001D77"/>
                          <w:sz w:val="18"/>
                          <w:szCs w:val="30"/>
                          <w:shd w:val="clear" w:color="auto" w:fill="F0F0F0"/>
                          <w:lang w:val="en-GB"/>
                        </w:rPr>
                        <w:t xml:space="preserve">The demand for labour </w:t>
                      </w:r>
                      <w:r w:rsidR="001F7496">
                        <w:rPr>
                          <w:rStyle w:val="Hipercze"/>
                          <w:rFonts w:cs="Arial"/>
                          <w:color w:val="001D77"/>
                          <w:sz w:val="18"/>
                          <w:szCs w:val="30"/>
                          <w:shd w:val="clear" w:color="auto" w:fill="F0F0F0"/>
                          <w:lang w:val="en-GB"/>
                        </w:rPr>
                        <w:t>–</w:t>
                      </w:r>
                      <w:r w:rsidR="001F7496" w:rsidRPr="001F7496">
                        <w:rPr>
                          <w:rStyle w:val="Hipercze"/>
                          <w:rFonts w:cs="Arial"/>
                          <w:color w:val="001D77"/>
                          <w:sz w:val="18"/>
                          <w:szCs w:val="30"/>
                          <w:shd w:val="clear" w:color="auto" w:fill="F0F0F0"/>
                          <w:lang w:val="en-GB"/>
                        </w:rPr>
                        <w:t xml:space="preserve"> </w:t>
                      </w:r>
                      <w:r w:rsidR="001F7496">
                        <w:rPr>
                          <w:rStyle w:val="Hipercze"/>
                          <w:rFonts w:cs="Arial"/>
                          <w:color w:val="001D77"/>
                          <w:sz w:val="18"/>
                          <w:szCs w:val="30"/>
                          <w:shd w:val="clear" w:color="auto" w:fill="F0F0F0"/>
                          <w:lang w:val="en-GB"/>
                        </w:rPr>
                        <w:t>annual publication</w:t>
                      </w:r>
                    </w:p>
                    <w:p w14:paraId="21C0000F" w14:textId="77777777" w:rsidR="003F5188" w:rsidRPr="001F7496" w:rsidRDefault="005F34AE" w:rsidP="003138BE">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33" w:history="1">
                        <w:r w:rsidR="001F7496" w:rsidRPr="001F7496">
                          <w:rPr>
                            <w:rStyle w:val="Hipercze"/>
                            <w:rFonts w:cs="Arial"/>
                            <w:color w:val="001D77"/>
                            <w:sz w:val="18"/>
                            <w:szCs w:val="30"/>
                            <w:shd w:val="clear" w:color="auto" w:fill="F0F0F0"/>
                            <w:lang w:val="en-GB"/>
                          </w:rPr>
                          <w:t>Other publications that contain the results of these surveys</w:t>
                        </w:r>
                        <w:r w:rsidR="003F5188" w:rsidRPr="001F7496">
                          <w:rPr>
                            <w:rStyle w:val="Hipercze"/>
                            <w:rFonts w:cs="Arial"/>
                            <w:color w:val="001D77"/>
                            <w:sz w:val="18"/>
                            <w:szCs w:val="30"/>
                            <w:shd w:val="clear" w:color="auto" w:fill="F0F0F0"/>
                            <w:lang w:val="en-GB"/>
                          </w:rPr>
                          <w:t xml:space="preserve">: </w:t>
                        </w:r>
                        <w:r w:rsidR="001F7496">
                          <w:rPr>
                            <w:rStyle w:val="Hipercze"/>
                            <w:rFonts w:cs="Arial"/>
                            <w:color w:val="001D77"/>
                            <w:sz w:val="18"/>
                            <w:szCs w:val="30"/>
                            <w:shd w:val="clear" w:color="auto" w:fill="F0F0F0"/>
                            <w:lang w:val="en-GB"/>
                          </w:rPr>
                          <w:t>stat.gov.pl → Topics → Labour market</w:t>
                        </w:r>
                      </w:hyperlink>
                      <w:r w:rsidR="003F5188" w:rsidRPr="001F7496">
                        <w:rPr>
                          <w:rStyle w:val="Hipercze"/>
                          <w:rFonts w:cs="Arial"/>
                          <w:color w:val="001D77"/>
                          <w:sz w:val="18"/>
                          <w:szCs w:val="30"/>
                          <w:shd w:val="clear" w:color="auto" w:fill="F0F0F0"/>
                          <w:lang w:val="en-GB"/>
                        </w:rPr>
                        <w:t xml:space="preserve"> </w:t>
                      </w:r>
                    </w:p>
                    <w:p w14:paraId="5DCF0B5A" w14:textId="77777777" w:rsidR="003F5188" w:rsidRPr="001F7496" w:rsidRDefault="003F5188" w:rsidP="003138BE">
                      <w:pPr>
                        <w:rPr>
                          <w:b/>
                          <w:color w:val="000000"/>
                          <w:szCs w:val="24"/>
                          <w:lang w:val="en-GB"/>
                        </w:rPr>
                      </w:pPr>
                    </w:p>
                    <w:p w14:paraId="6AF3559B" w14:textId="77777777" w:rsidR="003F5188" w:rsidRPr="000426F7" w:rsidRDefault="001F7496" w:rsidP="003138BE">
                      <w:pPr>
                        <w:rPr>
                          <w:b/>
                          <w:color w:val="000000"/>
                          <w:szCs w:val="24"/>
                          <w:lang w:val="en-GB"/>
                        </w:rPr>
                      </w:pPr>
                      <w:r w:rsidRPr="000426F7">
                        <w:rPr>
                          <w:b/>
                          <w:color w:val="000000"/>
                          <w:szCs w:val="24"/>
                          <w:lang w:val="en-GB"/>
                        </w:rPr>
                        <w:t>Data available in databases</w:t>
                      </w:r>
                    </w:p>
                    <w:p w14:paraId="14281A51" w14:textId="77777777" w:rsidR="003F5188" w:rsidRPr="005F1C59" w:rsidRDefault="004B1C3C" w:rsidP="003138BE">
                      <w:pPr>
                        <w:rPr>
                          <w:rStyle w:val="Hipercze"/>
                          <w:rFonts w:cs="Arial"/>
                          <w:color w:val="001D77"/>
                          <w:sz w:val="18"/>
                          <w:szCs w:val="30"/>
                          <w:shd w:val="clear" w:color="auto" w:fill="F0F0F0"/>
                          <w:lang w:val="en-GB"/>
                        </w:rPr>
                      </w:pPr>
                      <w:hyperlink r:id="rId34" w:history="1">
                        <w:r w:rsidR="001F7496" w:rsidRPr="005F1C59">
                          <w:rPr>
                            <w:rStyle w:val="Hipercze"/>
                            <w:rFonts w:cs="Arial"/>
                            <w:color w:val="001D77"/>
                            <w:sz w:val="18"/>
                            <w:szCs w:val="30"/>
                            <w:shd w:val="clear" w:color="auto" w:fill="F0F0F0"/>
                            <w:lang w:val="en-GB"/>
                          </w:rPr>
                          <w:t>Knowledge databases</w:t>
                        </w:r>
                        <w:r w:rsidR="005F1C59" w:rsidRPr="005F1C59">
                          <w:rPr>
                            <w:rStyle w:val="Hipercze"/>
                            <w:rFonts w:cs="Arial"/>
                            <w:color w:val="001D77"/>
                            <w:sz w:val="18"/>
                            <w:szCs w:val="30"/>
                            <w:shd w:val="clear" w:color="auto" w:fill="F0F0F0"/>
                            <w:lang w:val="en-GB"/>
                          </w:rPr>
                          <w:t xml:space="preserve"> – Labour market</w:t>
                        </w:r>
                      </w:hyperlink>
                    </w:p>
                    <w:p w14:paraId="61864467" w14:textId="77777777" w:rsidR="003F5188" w:rsidRPr="005F1C59" w:rsidRDefault="005F34AE" w:rsidP="003138BE">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003F5188" w:rsidRPr="005F1C59">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proofErr w:type="spellStart"/>
                      <w:r w:rsidR="005F1C59" w:rsidRPr="005F1C59">
                        <w:rPr>
                          <w:rStyle w:val="Hipercze"/>
                          <w:rFonts w:cs="Arial"/>
                          <w:color w:val="001D77"/>
                          <w:sz w:val="18"/>
                          <w:szCs w:val="30"/>
                          <w:shd w:val="clear" w:color="auto" w:fill="F0F0F0"/>
                          <w:lang w:val="en-GB"/>
                        </w:rPr>
                        <w:t>Strateg</w:t>
                      </w:r>
                      <w:proofErr w:type="spellEnd"/>
                      <w:r w:rsidR="005F1C59" w:rsidRPr="005F1C59">
                        <w:rPr>
                          <w:rStyle w:val="Hipercze"/>
                          <w:rFonts w:cs="Arial"/>
                          <w:color w:val="001D77"/>
                          <w:sz w:val="18"/>
                          <w:szCs w:val="30"/>
                          <w:shd w:val="clear" w:color="auto" w:fill="F0F0F0"/>
                          <w:lang w:val="en-GB"/>
                        </w:rPr>
                        <w:t xml:space="preserve"> → </w:t>
                      </w:r>
                      <w:r w:rsidR="005F1C59">
                        <w:rPr>
                          <w:rStyle w:val="Hipercze"/>
                          <w:rFonts w:cs="Arial"/>
                          <w:color w:val="001D77"/>
                          <w:sz w:val="18"/>
                          <w:szCs w:val="30"/>
                          <w:shd w:val="clear" w:color="auto" w:fill="F0F0F0"/>
                          <w:lang w:val="en-GB"/>
                        </w:rPr>
                        <w:t>Themes</w:t>
                      </w:r>
                      <w:r w:rsidR="001F7496" w:rsidRPr="005F1C59">
                        <w:rPr>
                          <w:rStyle w:val="Hipercze"/>
                          <w:rFonts w:cs="Arial"/>
                          <w:color w:val="001D77"/>
                          <w:sz w:val="18"/>
                          <w:szCs w:val="30"/>
                          <w:shd w:val="clear" w:color="auto" w:fill="F0F0F0"/>
                          <w:lang w:val="en-GB"/>
                        </w:rPr>
                        <w:t xml:space="preserve"> → Labour market</w:t>
                      </w:r>
                    </w:p>
                    <w:p w14:paraId="76FB1F59" w14:textId="77777777" w:rsidR="003F5188" w:rsidRPr="001F7496" w:rsidRDefault="005F34AE" w:rsidP="003138BE">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r w:rsidR="001F7496" w:rsidRPr="001F7496">
                        <w:rPr>
                          <w:rStyle w:val="Hipercze"/>
                          <w:rFonts w:cs="Arial"/>
                          <w:color w:val="001D77"/>
                          <w:sz w:val="18"/>
                          <w:szCs w:val="30"/>
                          <w:shd w:val="clear" w:color="auto" w:fill="F0F0F0"/>
                          <w:lang w:val="en-GB"/>
                        </w:rPr>
                        <w:t>Local Data Bank</w:t>
                      </w:r>
                      <w:r w:rsidR="003F5188" w:rsidRPr="001F7496">
                        <w:rPr>
                          <w:rStyle w:val="Hipercze"/>
                          <w:rFonts w:cs="Arial"/>
                          <w:color w:val="001D77"/>
                          <w:sz w:val="18"/>
                          <w:szCs w:val="30"/>
                          <w:shd w:val="clear" w:color="auto" w:fill="F0F0F0"/>
                          <w:lang w:val="en-GB"/>
                        </w:rPr>
                        <w:t xml:space="preserve"> →</w:t>
                      </w:r>
                      <w:r w:rsidR="001F7496" w:rsidRPr="001F7496">
                        <w:rPr>
                          <w:rStyle w:val="Hipercze"/>
                          <w:rFonts w:cs="Arial"/>
                          <w:color w:val="001D77"/>
                          <w:sz w:val="18"/>
                          <w:szCs w:val="30"/>
                          <w:shd w:val="clear" w:color="auto" w:fill="F0F0F0"/>
                          <w:lang w:val="en-GB"/>
                        </w:rPr>
                        <w:t xml:space="preserve"> Labour market</w:t>
                      </w:r>
                    </w:p>
                    <w:p w14:paraId="1AEE83CF" w14:textId="77777777" w:rsidR="003F5188" w:rsidRPr="001F7496" w:rsidRDefault="003F5188" w:rsidP="003138BE">
                      <w:pPr>
                        <w:rPr>
                          <w:b/>
                          <w:color w:val="000000"/>
                          <w:szCs w:val="24"/>
                          <w:lang w:val="en-GB"/>
                        </w:rPr>
                      </w:pPr>
                    </w:p>
                    <w:p w14:paraId="4B435405" w14:textId="77777777" w:rsidR="003F5188" w:rsidRPr="001F7496" w:rsidRDefault="001F7496" w:rsidP="003138BE">
                      <w:pPr>
                        <w:rPr>
                          <w:b/>
                          <w:color w:val="000000"/>
                          <w:szCs w:val="24"/>
                          <w:lang w:val="en-GB"/>
                        </w:rPr>
                      </w:pPr>
                      <w:r w:rsidRPr="001F7496">
                        <w:rPr>
                          <w:b/>
                          <w:color w:val="000000"/>
                          <w:szCs w:val="24"/>
                          <w:lang w:val="en-GB"/>
                        </w:rPr>
                        <w:t>Terms used in official statistics</w:t>
                      </w:r>
                    </w:p>
                    <w:p w14:paraId="70FB2A04" w14:textId="77777777" w:rsidR="003F5188" w:rsidRPr="001F7496" w:rsidRDefault="001F7496" w:rsidP="003138BE">
                      <w:pPr>
                        <w:rPr>
                          <w:rStyle w:val="Hipercze"/>
                          <w:rFonts w:cs="Arial"/>
                          <w:color w:val="001D77"/>
                          <w:sz w:val="18"/>
                          <w:szCs w:val="30"/>
                          <w:shd w:val="clear" w:color="auto" w:fill="F0F0F0"/>
                          <w:lang w:val="en-GB"/>
                        </w:rPr>
                      </w:pPr>
                      <w:r w:rsidRPr="001F7496">
                        <w:rPr>
                          <w:rStyle w:val="Hipercze"/>
                          <w:rFonts w:cs="Arial"/>
                          <w:color w:val="001D77"/>
                          <w:sz w:val="18"/>
                          <w:szCs w:val="30"/>
                          <w:shd w:val="clear" w:color="auto" w:fill="F0F0F0"/>
                          <w:lang w:val="en-GB"/>
                        </w:rPr>
                        <w:t>Demand for labour</w:t>
                      </w:r>
                    </w:p>
                    <w:p w14:paraId="6E87D25D" w14:textId="77777777" w:rsidR="003F5188" w:rsidRPr="001F7496" w:rsidRDefault="001F7496" w:rsidP="003138BE">
                      <w:pPr>
                        <w:rPr>
                          <w:rStyle w:val="Hipercze"/>
                          <w:rFonts w:cs="Arial"/>
                          <w:color w:val="001D77"/>
                          <w:sz w:val="18"/>
                          <w:szCs w:val="30"/>
                          <w:shd w:val="clear" w:color="auto" w:fill="F0F0F0"/>
                          <w:lang w:val="en-GB"/>
                        </w:rPr>
                      </w:pPr>
                      <w:r w:rsidRPr="001F7496">
                        <w:rPr>
                          <w:rStyle w:val="Hipercze"/>
                          <w:rFonts w:cs="Arial"/>
                          <w:color w:val="001D77"/>
                          <w:sz w:val="18"/>
                          <w:szCs w:val="30"/>
                          <w:shd w:val="clear" w:color="auto" w:fill="F0F0F0"/>
                          <w:lang w:val="en-GB"/>
                        </w:rPr>
                        <w:t>Vacancies</w:t>
                      </w:r>
                    </w:p>
                    <w:p w14:paraId="6B9E1DD0" w14:textId="77777777" w:rsidR="003F5188" w:rsidRPr="00D9491D" w:rsidRDefault="003F5188" w:rsidP="003138BE">
                      <w:pPr>
                        <w:rPr>
                          <w:rStyle w:val="Hipercze"/>
                          <w:rFonts w:cs="Arial"/>
                          <w:color w:val="001D77"/>
                          <w:sz w:val="18"/>
                          <w:szCs w:val="30"/>
                          <w:shd w:val="clear" w:color="auto" w:fill="F0F0F0"/>
                        </w:rPr>
                      </w:pPr>
                      <w:proofErr w:type="spellStart"/>
                      <w:r w:rsidRPr="001F7496">
                        <w:rPr>
                          <w:rStyle w:val="Hipercze"/>
                          <w:rFonts w:cs="Arial"/>
                          <w:color w:val="001D77"/>
                          <w:sz w:val="18"/>
                          <w:szCs w:val="30"/>
                          <w:shd w:val="clear" w:color="auto" w:fill="F0F0F0"/>
                        </w:rPr>
                        <w:t>N</w:t>
                      </w:r>
                      <w:r w:rsidR="001F7496">
                        <w:rPr>
                          <w:rStyle w:val="Hipercze"/>
                          <w:rFonts w:cs="Arial"/>
                          <w:color w:val="001D77"/>
                          <w:sz w:val="18"/>
                          <w:szCs w:val="30"/>
                          <w:shd w:val="clear" w:color="auto" w:fill="F0F0F0"/>
                        </w:rPr>
                        <w:t>ewly</w:t>
                      </w:r>
                      <w:proofErr w:type="spellEnd"/>
                      <w:r w:rsidR="001F7496">
                        <w:rPr>
                          <w:rStyle w:val="Hipercze"/>
                          <w:rFonts w:cs="Arial"/>
                          <w:color w:val="001D77"/>
                          <w:sz w:val="18"/>
                          <w:szCs w:val="30"/>
                          <w:shd w:val="clear" w:color="auto" w:fill="F0F0F0"/>
                        </w:rPr>
                        <w:t xml:space="preserve"> </w:t>
                      </w:r>
                      <w:proofErr w:type="spellStart"/>
                      <w:r w:rsidR="001F7496">
                        <w:rPr>
                          <w:rStyle w:val="Hipercze"/>
                          <w:rFonts w:cs="Arial"/>
                          <w:color w:val="001D77"/>
                          <w:sz w:val="18"/>
                          <w:szCs w:val="30"/>
                          <w:shd w:val="clear" w:color="auto" w:fill="F0F0F0"/>
                        </w:rPr>
                        <w:t>created</w:t>
                      </w:r>
                      <w:proofErr w:type="spellEnd"/>
                      <w:r w:rsidR="001F7496">
                        <w:rPr>
                          <w:rStyle w:val="Hipercze"/>
                          <w:rFonts w:cs="Arial"/>
                          <w:color w:val="001D77"/>
                          <w:sz w:val="18"/>
                          <w:szCs w:val="30"/>
                          <w:shd w:val="clear" w:color="auto" w:fill="F0F0F0"/>
                        </w:rPr>
                        <w:t xml:space="preserve"> </w:t>
                      </w:r>
                      <w:proofErr w:type="spellStart"/>
                      <w:r w:rsidR="001F7496">
                        <w:rPr>
                          <w:rStyle w:val="Hipercze"/>
                          <w:rFonts w:cs="Arial"/>
                          <w:color w:val="001D77"/>
                          <w:sz w:val="18"/>
                          <w:szCs w:val="30"/>
                          <w:shd w:val="clear" w:color="auto" w:fill="F0F0F0"/>
                        </w:rPr>
                        <w:t>jobs</w:t>
                      </w:r>
                      <w:proofErr w:type="spellEnd"/>
                    </w:p>
                    <w:p w14:paraId="2BEAA149" w14:textId="77777777" w:rsidR="003F5188" w:rsidRPr="004033FD" w:rsidRDefault="003F5188" w:rsidP="003138BE">
                      <w:pPr>
                        <w:rPr>
                          <w:b/>
                          <w:color w:val="001D77"/>
                          <w:szCs w:val="24"/>
                        </w:rPr>
                      </w:pPr>
                    </w:p>
                    <w:p w14:paraId="633A3693" w14:textId="77777777" w:rsidR="003F5188" w:rsidRPr="00327EE6" w:rsidRDefault="003F5188" w:rsidP="00896319">
                      <w:pPr>
                        <w:rPr>
                          <w:b/>
                          <w:color w:val="000000"/>
                          <w:szCs w:val="24"/>
                        </w:rPr>
                      </w:pPr>
                    </w:p>
                  </w:txbxContent>
                </v:textbox>
                <w10:wrap type="square" anchorx="margin"/>
              </v:shape>
            </w:pict>
          </mc:Fallback>
        </mc:AlternateContent>
      </w:r>
    </w:p>
    <w:sectPr w:rsidR="00896319" w:rsidRPr="00821E99" w:rsidSect="00896319">
      <w:headerReference w:type="default" r:id="rId35"/>
      <w:pgSz w:w="11906" w:h="16838" w:code="9"/>
      <w:pgMar w:top="720" w:right="3119" w:bottom="720" w:left="720"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16A1F" w14:textId="77777777" w:rsidR="00ED5A74" w:rsidRDefault="00ED5A74" w:rsidP="000662E2">
      <w:pPr>
        <w:spacing w:after="0" w:line="240" w:lineRule="auto"/>
      </w:pPr>
      <w:r>
        <w:separator/>
      </w:r>
    </w:p>
  </w:endnote>
  <w:endnote w:type="continuationSeparator" w:id="0">
    <w:p w14:paraId="0DD45A96" w14:textId="77777777" w:rsidR="00ED5A74" w:rsidRDefault="00ED5A7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B1D4C" w14:textId="33441497" w:rsidR="003F5188" w:rsidRDefault="005F34AE" w:rsidP="00055100">
    <w:pPr>
      <w:pStyle w:val="Stopka"/>
      <w:jc w:val="center"/>
    </w:pPr>
    <w:r>
      <w:rPr>
        <w:noProof/>
      </w:rPr>
      <w:fldChar w:fldCharType="begin"/>
    </w:r>
    <w:r w:rsidR="003F5188">
      <w:rPr>
        <w:noProof/>
      </w:rPr>
      <w:instrText>PAGE   \* MERGEFORMAT</w:instrText>
    </w:r>
    <w:r>
      <w:rPr>
        <w:noProof/>
      </w:rPr>
      <w:fldChar w:fldCharType="separate"/>
    </w:r>
    <w:r w:rsidR="001819F1">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E63B6" w14:textId="3DEFEC52" w:rsidR="003F5188" w:rsidRDefault="005F34AE" w:rsidP="00055100">
    <w:pPr>
      <w:pStyle w:val="Stopka"/>
      <w:jc w:val="center"/>
    </w:pPr>
    <w:r>
      <w:rPr>
        <w:noProof/>
      </w:rPr>
      <w:fldChar w:fldCharType="begin"/>
    </w:r>
    <w:r w:rsidR="003F5188">
      <w:rPr>
        <w:noProof/>
      </w:rPr>
      <w:instrText>PAGE   \* MERGEFORMAT</w:instrText>
    </w:r>
    <w:r>
      <w:rPr>
        <w:noProof/>
      </w:rPr>
      <w:fldChar w:fldCharType="separate"/>
    </w:r>
    <w:r w:rsidR="001819F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749EB" w14:textId="77777777" w:rsidR="00ED5A74" w:rsidRDefault="00ED5A74" w:rsidP="000662E2">
      <w:pPr>
        <w:spacing w:after="0" w:line="240" w:lineRule="auto"/>
      </w:pPr>
      <w:r>
        <w:separator/>
      </w:r>
    </w:p>
  </w:footnote>
  <w:footnote w:type="continuationSeparator" w:id="0">
    <w:p w14:paraId="4BC21ECF" w14:textId="77777777" w:rsidR="00ED5A74" w:rsidRDefault="00ED5A74"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14F9" w14:textId="29D9630C" w:rsidR="003F5188" w:rsidRDefault="00EE0D17">
    <w:pPr>
      <w:pStyle w:val="Nagwek"/>
    </w:pPr>
    <w:r>
      <w:rPr>
        <w:noProof/>
        <w:lang w:eastAsia="pl-PL"/>
      </w:rPr>
      <mc:AlternateContent>
        <mc:Choice Requires="wps">
          <w:drawing>
            <wp:anchor distT="0" distB="0" distL="114300" distR="114300" simplePos="0" relativeHeight="251656192" behindDoc="1" locked="0" layoutInCell="1" allowOverlap="1" wp14:anchorId="6D526323" wp14:editId="057D0FF2">
              <wp:simplePos x="0" y="0"/>
              <wp:positionH relativeFrom="column">
                <wp:posOffset>5214620</wp:posOffset>
              </wp:positionH>
              <wp:positionV relativeFrom="paragraph">
                <wp:posOffset>-178435</wp:posOffset>
              </wp:positionV>
              <wp:extent cx="1874520" cy="22680295"/>
              <wp:effectExtent l="0" t="0" r="0" b="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2017E" id="Prostokąt 24" o:spid="_x0000_s1026" style="position:absolute;margin-left:410.6pt;margin-top:-14.05pt;width:147.6pt;height:178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" fillcolor="#f2f2f2" stroked="f" strokeweight="1pt">
              <v:path arrowok="t"/>
            </v:rect>
          </w:pict>
        </mc:Fallback>
      </mc:AlternateContent>
    </w:r>
  </w:p>
  <w:p w14:paraId="146A71E5" w14:textId="77777777" w:rsidR="003F5188" w:rsidRDefault="003F51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15074" w14:textId="65FC3BF4" w:rsidR="003F5188" w:rsidRDefault="00EE0D17">
    <w:pPr>
      <w:pStyle w:val="Nagwek"/>
      <w:rPr>
        <w:noProof/>
        <w:lang w:eastAsia="pl-PL"/>
      </w:rPr>
    </w:pPr>
    <w:r>
      <w:rPr>
        <w:noProof/>
        <w:lang w:eastAsia="pl-PL"/>
      </w:rPr>
      <mc:AlternateContent>
        <mc:Choice Requires="wps">
          <w:drawing>
            <wp:anchor distT="0" distB="0" distL="114300" distR="114300" simplePos="0" relativeHeight="251657216" behindDoc="1" locked="0" layoutInCell="1" allowOverlap="1" wp14:anchorId="0CB21D7E" wp14:editId="2FAD385A">
              <wp:simplePos x="0" y="0"/>
              <wp:positionH relativeFrom="column">
                <wp:posOffset>5219065</wp:posOffset>
              </wp:positionH>
              <wp:positionV relativeFrom="paragraph">
                <wp:posOffset>529590</wp:posOffset>
              </wp:positionV>
              <wp:extent cx="1887220" cy="22889845"/>
              <wp:effectExtent l="0" t="0" r="0" b="0"/>
              <wp:wrapTight wrapText="bothSides">
                <wp:wrapPolygon edited="0">
                  <wp:start x="0" y="0"/>
                  <wp:lineTo x="0" y="21590"/>
                  <wp:lineTo x="21367" y="21590"/>
                  <wp:lineTo x="21367" y="0"/>
                  <wp:lineTo x="0" y="0"/>
                </wp:wrapPolygon>
              </wp:wrapTight>
              <wp:docPr id="17"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22889845"/>
                      </a:xfrm>
                      <a:prstGeom prst="rect">
                        <a:avLst/>
                      </a:prstGeom>
                      <a:solidFill>
                        <a:srgbClr val="F2F2F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1B7FA" id="Prostokąt 10" o:spid="_x0000_s1026" style="position:absolute;margin-left:410.95pt;margin-top:41.7pt;width:148.6pt;height:180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" fillcolor="#f2f2f2" stroked="f" strokeweight="1pt">
              <v:path arrowok="t"/>
              <w10:wrap type="tight"/>
            </v:rect>
          </w:pict>
        </mc:Fallback>
      </mc:AlternateContent>
    </w:r>
    <w:r>
      <w:rPr>
        <w:noProof/>
        <w:lang w:eastAsia="pl-PL"/>
      </w:rPr>
      <mc:AlternateContent>
        <mc:Choice Requires="wps">
          <w:drawing>
            <wp:anchor distT="0" distB="0" distL="114300" distR="114300" simplePos="0" relativeHeight="251658240" behindDoc="0" locked="0" layoutInCell="1" allowOverlap="1" wp14:anchorId="28223448" wp14:editId="20392ADF">
              <wp:simplePos x="0" y="0"/>
              <wp:positionH relativeFrom="column">
                <wp:posOffset>5036820</wp:posOffset>
              </wp:positionH>
              <wp:positionV relativeFrom="paragraph">
                <wp:posOffset>198755</wp:posOffset>
              </wp:positionV>
              <wp:extent cx="2060575" cy="357505"/>
              <wp:effectExtent l="0" t="0" r="0" b="0"/>
              <wp:wrapNone/>
              <wp:docPr id="18"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w="12700" cap="flat" cmpd="sng" algn="ctr">
                        <a:noFill/>
                        <a:prstDash val="solid"/>
                        <a:miter lim="800000"/>
                      </a:ln>
                      <a:effectLst/>
                    </wps:spPr>
                    <wps:txbx>
                      <w:txbxContent>
                        <w:p w14:paraId="09C50A23" w14:textId="1824DFB9" w:rsidR="003F5188" w:rsidRPr="003C6C8D" w:rsidRDefault="00C82653"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23448" id="Schemat blokowy: opóźnienie 6" o:spid="_x0000_s1036" style="position:absolute;margin-left:396.6pt;margin-top:15.65pt;width:162.25pt;height:28.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9C50A23" w14:textId="1824DFB9" w:rsidR="003F5188" w:rsidRPr="003C6C8D" w:rsidRDefault="00C82653"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C82653">
      <w:rPr>
        <w:noProof/>
        <w:lang w:eastAsia="pl-PL"/>
      </w:rPr>
      <w:drawing>
        <wp:inline distT="0" distB="0" distL="0" distR="0" wp14:anchorId="1894E5FF" wp14:editId="23481FC3">
          <wp:extent cx="1955800" cy="744855"/>
          <wp:effectExtent l="0" t="0" r="0" b="0"/>
          <wp:docPr id="10" name="Obraz 10"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inline>
      </w:drawing>
    </w:r>
  </w:p>
  <w:p w14:paraId="43B86CF3" w14:textId="6BCC0B95" w:rsidR="003F5188" w:rsidRDefault="00EE0D17">
    <w:pPr>
      <w:pStyle w:val="Nagwek"/>
      <w:rPr>
        <w:noProof/>
        <w:lang w:eastAsia="pl-PL"/>
      </w:rPr>
    </w:pPr>
    <w:r>
      <w:rPr>
        <w:noProof/>
        <w:lang w:eastAsia="pl-PL"/>
      </w:rPr>
      <mc:AlternateContent>
        <mc:Choice Requires="wps">
          <w:drawing>
            <wp:anchor distT="45720" distB="45720" distL="114300" distR="114300" simplePos="0" relativeHeight="251659264" behindDoc="0" locked="0" layoutInCell="1" allowOverlap="1" wp14:anchorId="7F9128FA" wp14:editId="0D25521E">
              <wp:simplePos x="0" y="0"/>
              <wp:positionH relativeFrom="column">
                <wp:posOffset>5219700</wp:posOffset>
              </wp:positionH>
              <wp:positionV relativeFrom="paragraph">
                <wp:posOffset>266065</wp:posOffset>
              </wp:positionV>
              <wp:extent cx="1432560" cy="336550"/>
              <wp:effectExtent l="0" t="0" r="0" b="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3606342C" w14:textId="4ACED763" w:rsidR="003F5188" w:rsidRPr="00C97596" w:rsidRDefault="003F5188" w:rsidP="00F37172">
                          <w:pPr>
                            <w:jc w:val="both"/>
                            <w:rPr>
                              <w:rFonts w:ascii="Fira Sans SemiBold" w:hAnsi="Fira Sans SemiBold"/>
                              <w:color w:val="001D77"/>
                            </w:rPr>
                          </w:pPr>
                          <w:r>
                            <w:rPr>
                              <w:rFonts w:ascii="Fira Sans SemiBold" w:hAnsi="Fira Sans SemiBold"/>
                              <w:color w:val="001D77"/>
                            </w:rPr>
                            <w:t>10.0</w:t>
                          </w:r>
                          <w:r w:rsidR="00FD351A">
                            <w:rPr>
                              <w:rFonts w:ascii="Fira Sans SemiBold" w:hAnsi="Fira Sans SemiBold"/>
                              <w:color w:val="001D77"/>
                            </w:rPr>
                            <w:t>6</w:t>
                          </w:r>
                          <w:r>
                            <w:rPr>
                              <w:rFonts w:ascii="Fira Sans SemiBold" w:hAnsi="Fira Sans SemiBold"/>
                              <w:color w:val="001D77"/>
                            </w:rPr>
                            <w:t>.2021</w:t>
                          </w:r>
                          <w:r w:rsidRPr="00C97596">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28FA" id="_x0000_t202" coordsize="21600,21600" o:spt="202" path="m,l,21600r21600,l21600,xe">
              <v:stroke joinstyle="miter"/>
              <v:path gradientshapeok="t" o:connecttype="rect"/>
            </v:shapetype>
            <v:shape id="_x0000_s1037" type="#_x0000_t202" style="position:absolute;margin-left:411pt;margin-top:20.95pt;width:112.8pt;height:2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" filled="f" stroked="f">
              <v:textbox>
                <w:txbxContent>
                  <w:p w14:paraId="3606342C" w14:textId="4ACED763" w:rsidR="003F5188" w:rsidRPr="00C97596" w:rsidRDefault="003F5188" w:rsidP="00F37172">
                    <w:pPr>
                      <w:jc w:val="both"/>
                      <w:rPr>
                        <w:rFonts w:ascii="Fira Sans SemiBold" w:hAnsi="Fira Sans SemiBold"/>
                        <w:color w:val="001D77"/>
                      </w:rPr>
                    </w:pPr>
                    <w:r>
                      <w:rPr>
                        <w:rFonts w:ascii="Fira Sans SemiBold" w:hAnsi="Fira Sans SemiBold"/>
                        <w:color w:val="001D77"/>
                      </w:rPr>
                      <w:t>10.0</w:t>
                    </w:r>
                    <w:r w:rsidR="00FD351A">
                      <w:rPr>
                        <w:rFonts w:ascii="Fira Sans SemiBold" w:hAnsi="Fira Sans SemiBold"/>
                        <w:color w:val="001D77"/>
                      </w:rPr>
                      <w:t>6</w:t>
                    </w:r>
                    <w:r>
                      <w:rPr>
                        <w:rFonts w:ascii="Fira Sans SemiBold" w:hAnsi="Fira Sans SemiBold"/>
                        <w:color w:val="001D77"/>
                      </w:rPr>
                      <w:t>.2021</w:t>
                    </w:r>
                    <w:r w:rsidRPr="00C97596">
                      <w:rPr>
                        <w:rFonts w:ascii="Fira Sans SemiBold" w:hAnsi="Fira Sans SemiBold"/>
                        <w:color w:val="001D77"/>
                      </w:rPr>
                      <w:t xml:space="preserve">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CE2C" w14:textId="77777777" w:rsidR="003F5188" w:rsidRDefault="003F5188">
    <w:pPr>
      <w:pStyle w:val="Nagwek"/>
    </w:pPr>
  </w:p>
  <w:p w14:paraId="3CC47694" w14:textId="77777777" w:rsidR="003F5188" w:rsidRDefault="003F51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3.75pt;visibility:visible" o:bullet="t">
        <v:imagedata r:id="rId1" o:title=""/>
      </v:shape>
    </w:pict>
  </w:numPicBullet>
  <w:numPicBullet w:numPicBulletId="1">
    <w:pict>
      <v:shape id="_x0000_i1029" type="#_x0000_t75" style="width:123.75pt;height:123.7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122E69"/>
    <w:multiLevelType w:val="hybridMultilevel"/>
    <w:tmpl w:val="60643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54"/>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39D"/>
    <w:rsid w:val="000007C0"/>
    <w:rsid w:val="000008C3"/>
    <w:rsid w:val="0000175F"/>
    <w:rsid w:val="00001C5B"/>
    <w:rsid w:val="00003437"/>
    <w:rsid w:val="00004088"/>
    <w:rsid w:val="000046D3"/>
    <w:rsid w:val="00004792"/>
    <w:rsid w:val="0000579F"/>
    <w:rsid w:val="000067CC"/>
    <w:rsid w:val="00006CCB"/>
    <w:rsid w:val="0000709F"/>
    <w:rsid w:val="000108B8"/>
    <w:rsid w:val="00010A6D"/>
    <w:rsid w:val="00011E94"/>
    <w:rsid w:val="00013155"/>
    <w:rsid w:val="00013BF5"/>
    <w:rsid w:val="00013C17"/>
    <w:rsid w:val="00014354"/>
    <w:rsid w:val="00014A52"/>
    <w:rsid w:val="000152F5"/>
    <w:rsid w:val="00015F0F"/>
    <w:rsid w:val="00016877"/>
    <w:rsid w:val="00016F8D"/>
    <w:rsid w:val="00017126"/>
    <w:rsid w:val="000209D9"/>
    <w:rsid w:val="000219C0"/>
    <w:rsid w:val="00021C5F"/>
    <w:rsid w:val="000222A1"/>
    <w:rsid w:val="00023355"/>
    <w:rsid w:val="00023D74"/>
    <w:rsid w:val="0002571D"/>
    <w:rsid w:val="000261B9"/>
    <w:rsid w:val="00027559"/>
    <w:rsid w:val="00030A92"/>
    <w:rsid w:val="00031224"/>
    <w:rsid w:val="00033B44"/>
    <w:rsid w:val="00034895"/>
    <w:rsid w:val="000365E5"/>
    <w:rsid w:val="0003678C"/>
    <w:rsid w:val="00036CAE"/>
    <w:rsid w:val="00040ECA"/>
    <w:rsid w:val="000418A7"/>
    <w:rsid w:val="000426F7"/>
    <w:rsid w:val="00043617"/>
    <w:rsid w:val="000448AD"/>
    <w:rsid w:val="000452D9"/>
    <w:rsid w:val="0004582E"/>
    <w:rsid w:val="00046638"/>
    <w:rsid w:val="000470AA"/>
    <w:rsid w:val="000478E2"/>
    <w:rsid w:val="00047E5C"/>
    <w:rsid w:val="00050479"/>
    <w:rsid w:val="00050F4C"/>
    <w:rsid w:val="00055100"/>
    <w:rsid w:val="000553C3"/>
    <w:rsid w:val="00055DAC"/>
    <w:rsid w:val="00056FAD"/>
    <w:rsid w:val="000577FF"/>
    <w:rsid w:val="00057A0F"/>
    <w:rsid w:val="00057C8B"/>
    <w:rsid w:val="00057CA1"/>
    <w:rsid w:val="000602A6"/>
    <w:rsid w:val="00061548"/>
    <w:rsid w:val="0006173B"/>
    <w:rsid w:val="00063B3D"/>
    <w:rsid w:val="000662E2"/>
    <w:rsid w:val="00066406"/>
    <w:rsid w:val="00066883"/>
    <w:rsid w:val="00067664"/>
    <w:rsid w:val="00070356"/>
    <w:rsid w:val="0007120C"/>
    <w:rsid w:val="00074146"/>
    <w:rsid w:val="00074DD8"/>
    <w:rsid w:val="000752D7"/>
    <w:rsid w:val="00076D66"/>
    <w:rsid w:val="000774A3"/>
    <w:rsid w:val="000806F7"/>
    <w:rsid w:val="00080C00"/>
    <w:rsid w:val="00080D2C"/>
    <w:rsid w:val="0008129E"/>
    <w:rsid w:val="00081311"/>
    <w:rsid w:val="00081AA0"/>
    <w:rsid w:val="0008215F"/>
    <w:rsid w:val="00083065"/>
    <w:rsid w:val="000830F5"/>
    <w:rsid w:val="00084529"/>
    <w:rsid w:val="00085164"/>
    <w:rsid w:val="00085332"/>
    <w:rsid w:val="00085A1A"/>
    <w:rsid w:val="00085EF9"/>
    <w:rsid w:val="00086248"/>
    <w:rsid w:val="00086304"/>
    <w:rsid w:val="00086AA2"/>
    <w:rsid w:val="0009014E"/>
    <w:rsid w:val="0009020B"/>
    <w:rsid w:val="0009338B"/>
    <w:rsid w:val="00093E8D"/>
    <w:rsid w:val="00095598"/>
    <w:rsid w:val="00095F19"/>
    <w:rsid w:val="000962E0"/>
    <w:rsid w:val="0009653F"/>
    <w:rsid w:val="00096E44"/>
    <w:rsid w:val="0009701C"/>
    <w:rsid w:val="00097AD1"/>
    <w:rsid w:val="00097F3A"/>
    <w:rsid w:val="000A042B"/>
    <w:rsid w:val="000A0800"/>
    <w:rsid w:val="000A09C6"/>
    <w:rsid w:val="000A0C1B"/>
    <w:rsid w:val="000A1118"/>
    <w:rsid w:val="000A1E5E"/>
    <w:rsid w:val="000A280F"/>
    <w:rsid w:val="000A30F1"/>
    <w:rsid w:val="000A390E"/>
    <w:rsid w:val="000A41B2"/>
    <w:rsid w:val="000A47A4"/>
    <w:rsid w:val="000A5018"/>
    <w:rsid w:val="000A6DEA"/>
    <w:rsid w:val="000B0727"/>
    <w:rsid w:val="000B09F8"/>
    <w:rsid w:val="000B1979"/>
    <w:rsid w:val="000B2D0D"/>
    <w:rsid w:val="000B49BD"/>
    <w:rsid w:val="000B5A27"/>
    <w:rsid w:val="000B624A"/>
    <w:rsid w:val="000B6511"/>
    <w:rsid w:val="000B7849"/>
    <w:rsid w:val="000C0964"/>
    <w:rsid w:val="000C0FA3"/>
    <w:rsid w:val="000C10CC"/>
    <w:rsid w:val="000C114B"/>
    <w:rsid w:val="000C135D"/>
    <w:rsid w:val="000C1601"/>
    <w:rsid w:val="000C2A75"/>
    <w:rsid w:val="000C40B9"/>
    <w:rsid w:val="000C4A20"/>
    <w:rsid w:val="000C5BEF"/>
    <w:rsid w:val="000C625D"/>
    <w:rsid w:val="000C6A66"/>
    <w:rsid w:val="000D03A8"/>
    <w:rsid w:val="000D08B5"/>
    <w:rsid w:val="000D0EA4"/>
    <w:rsid w:val="000D1C00"/>
    <w:rsid w:val="000D1D43"/>
    <w:rsid w:val="000D1EE8"/>
    <w:rsid w:val="000D225C"/>
    <w:rsid w:val="000D2A5C"/>
    <w:rsid w:val="000D2C6D"/>
    <w:rsid w:val="000D33BD"/>
    <w:rsid w:val="000D46CC"/>
    <w:rsid w:val="000D60BE"/>
    <w:rsid w:val="000D68E2"/>
    <w:rsid w:val="000D6A8D"/>
    <w:rsid w:val="000D7B23"/>
    <w:rsid w:val="000E026E"/>
    <w:rsid w:val="000E063B"/>
    <w:rsid w:val="000E0896"/>
    <w:rsid w:val="000E0918"/>
    <w:rsid w:val="000E13A6"/>
    <w:rsid w:val="000E1C72"/>
    <w:rsid w:val="000E203F"/>
    <w:rsid w:val="000E225A"/>
    <w:rsid w:val="000E33D1"/>
    <w:rsid w:val="000E3BAF"/>
    <w:rsid w:val="000E3FF6"/>
    <w:rsid w:val="000E467C"/>
    <w:rsid w:val="000E4A4F"/>
    <w:rsid w:val="000E4D75"/>
    <w:rsid w:val="000E6369"/>
    <w:rsid w:val="000E63BE"/>
    <w:rsid w:val="000E7C94"/>
    <w:rsid w:val="000F0331"/>
    <w:rsid w:val="000F0869"/>
    <w:rsid w:val="000F12F9"/>
    <w:rsid w:val="000F188D"/>
    <w:rsid w:val="000F2146"/>
    <w:rsid w:val="000F3BBA"/>
    <w:rsid w:val="000F4924"/>
    <w:rsid w:val="000F4F93"/>
    <w:rsid w:val="00100781"/>
    <w:rsid w:val="001011C3"/>
    <w:rsid w:val="00101C16"/>
    <w:rsid w:val="0010214A"/>
    <w:rsid w:val="0010233C"/>
    <w:rsid w:val="00102F5D"/>
    <w:rsid w:val="001032D8"/>
    <w:rsid w:val="00103390"/>
    <w:rsid w:val="00103A93"/>
    <w:rsid w:val="00103BC1"/>
    <w:rsid w:val="00103C4B"/>
    <w:rsid w:val="00103D81"/>
    <w:rsid w:val="00104336"/>
    <w:rsid w:val="00104A65"/>
    <w:rsid w:val="00105557"/>
    <w:rsid w:val="0010704A"/>
    <w:rsid w:val="00107141"/>
    <w:rsid w:val="00107492"/>
    <w:rsid w:val="001077BA"/>
    <w:rsid w:val="00107D5B"/>
    <w:rsid w:val="00107E9C"/>
    <w:rsid w:val="00110D87"/>
    <w:rsid w:val="001114EE"/>
    <w:rsid w:val="00112D53"/>
    <w:rsid w:val="001141E1"/>
    <w:rsid w:val="00114DB9"/>
    <w:rsid w:val="00116087"/>
    <w:rsid w:val="00116153"/>
    <w:rsid w:val="00116429"/>
    <w:rsid w:val="00117253"/>
    <w:rsid w:val="001175DB"/>
    <w:rsid w:val="0011774C"/>
    <w:rsid w:val="00117B3C"/>
    <w:rsid w:val="00120018"/>
    <w:rsid w:val="001207E6"/>
    <w:rsid w:val="00120F29"/>
    <w:rsid w:val="00121F5A"/>
    <w:rsid w:val="00122A3F"/>
    <w:rsid w:val="00123680"/>
    <w:rsid w:val="001242CD"/>
    <w:rsid w:val="0012456B"/>
    <w:rsid w:val="001248FD"/>
    <w:rsid w:val="00124A4A"/>
    <w:rsid w:val="00124AAD"/>
    <w:rsid w:val="00124F2D"/>
    <w:rsid w:val="00130296"/>
    <w:rsid w:val="00130CFA"/>
    <w:rsid w:val="00131B26"/>
    <w:rsid w:val="001322E3"/>
    <w:rsid w:val="00132336"/>
    <w:rsid w:val="001333DC"/>
    <w:rsid w:val="001340F3"/>
    <w:rsid w:val="00137585"/>
    <w:rsid w:val="001423B6"/>
    <w:rsid w:val="00142CF8"/>
    <w:rsid w:val="0014340C"/>
    <w:rsid w:val="00144169"/>
    <w:rsid w:val="00144786"/>
    <w:rsid w:val="001448A7"/>
    <w:rsid w:val="00145199"/>
    <w:rsid w:val="001453E5"/>
    <w:rsid w:val="00146621"/>
    <w:rsid w:val="00146EBA"/>
    <w:rsid w:val="0015119E"/>
    <w:rsid w:val="001517D7"/>
    <w:rsid w:val="00152273"/>
    <w:rsid w:val="0015278E"/>
    <w:rsid w:val="001536AD"/>
    <w:rsid w:val="001544A8"/>
    <w:rsid w:val="001548DC"/>
    <w:rsid w:val="00154C56"/>
    <w:rsid w:val="00154CBD"/>
    <w:rsid w:val="00155C73"/>
    <w:rsid w:val="00155DE7"/>
    <w:rsid w:val="00156B5A"/>
    <w:rsid w:val="00160538"/>
    <w:rsid w:val="00160BC0"/>
    <w:rsid w:val="001614FC"/>
    <w:rsid w:val="0016180C"/>
    <w:rsid w:val="00162325"/>
    <w:rsid w:val="00162428"/>
    <w:rsid w:val="00164E30"/>
    <w:rsid w:val="001654FF"/>
    <w:rsid w:val="00166A85"/>
    <w:rsid w:val="00166FF5"/>
    <w:rsid w:val="00167B44"/>
    <w:rsid w:val="00167E6B"/>
    <w:rsid w:val="00170462"/>
    <w:rsid w:val="00171113"/>
    <w:rsid w:val="0017146B"/>
    <w:rsid w:val="00171D2C"/>
    <w:rsid w:val="001739E9"/>
    <w:rsid w:val="00173B46"/>
    <w:rsid w:val="0017685B"/>
    <w:rsid w:val="00177020"/>
    <w:rsid w:val="0017736A"/>
    <w:rsid w:val="00177D7F"/>
    <w:rsid w:val="00180628"/>
    <w:rsid w:val="00181114"/>
    <w:rsid w:val="001819F1"/>
    <w:rsid w:val="0018450A"/>
    <w:rsid w:val="00191D83"/>
    <w:rsid w:val="00192644"/>
    <w:rsid w:val="00193964"/>
    <w:rsid w:val="00193C4C"/>
    <w:rsid w:val="00193F18"/>
    <w:rsid w:val="0019401C"/>
    <w:rsid w:val="00194CAB"/>
    <w:rsid w:val="001951DA"/>
    <w:rsid w:val="00195E86"/>
    <w:rsid w:val="001A1019"/>
    <w:rsid w:val="001A1B60"/>
    <w:rsid w:val="001A1CD8"/>
    <w:rsid w:val="001A20DE"/>
    <w:rsid w:val="001A4545"/>
    <w:rsid w:val="001A4E0B"/>
    <w:rsid w:val="001A5363"/>
    <w:rsid w:val="001A583C"/>
    <w:rsid w:val="001A67A6"/>
    <w:rsid w:val="001A76C9"/>
    <w:rsid w:val="001A7D30"/>
    <w:rsid w:val="001B0FC8"/>
    <w:rsid w:val="001B143B"/>
    <w:rsid w:val="001B33FE"/>
    <w:rsid w:val="001B3D34"/>
    <w:rsid w:val="001B4671"/>
    <w:rsid w:val="001B545F"/>
    <w:rsid w:val="001B5A69"/>
    <w:rsid w:val="001B64ED"/>
    <w:rsid w:val="001C0068"/>
    <w:rsid w:val="001C0C2B"/>
    <w:rsid w:val="001C1C62"/>
    <w:rsid w:val="001C3269"/>
    <w:rsid w:val="001C4323"/>
    <w:rsid w:val="001C6F77"/>
    <w:rsid w:val="001C781B"/>
    <w:rsid w:val="001C7E1C"/>
    <w:rsid w:val="001D063F"/>
    <w:rsid w:val="001D0BF1"/>
    <w:rsid w:val="001D11C9"/>
    <w:rsid w:val="001D161E"/>
    <w:rsid w:val="001D1DB4"/>
    <w:rsid w:val="001D1E44"/>
    <w:rsid w:val="001D23C7"/>
    <w:rsid w:val="001D296B"/>
    <w:rsid w:val="001D33F8"/>
    <w:rsid w:val="001D4169"/>
    <w:rsid w:val="001D4361"/>
    <w:rsid w:val="001D4667"/>
    <w:rsid w:val="001D4D4D"/>
    <w:rsid w:val="001D57C7"/>
    <w:rsid w:val="001D61CD"/>
    <w:rsid w:val="001D6574"/>
    <w:rsid w:val="001D7A1D"/>
    <w:rsid w:val="001E0552"/>
    <w:rsid w:val="001E1614"/>
    <w:rsid w:val="001E1D92"/>
    <w:rsid w:val="001E3261"/>
    <w:rsid w:val="001E4425"/>
    <w:rsid w:val="001E51FB"/>
    <w:rsid w:val="001E531C"/>
    <w:rsid w:val="001E56BD"/>
    <w:rsid w:val="001E56DA"/>
    <w:rsid w:val="001E6445"/>
    <w:rsid w:val="001F0148"/>
    <w:rsid w:val="001F2CFD"/>
    <w:rsid w:val="001F2FB7"/>
    <w:rsid w:val="001F3173"/>
    <w:rsid w:val="001F4727"/>
    <w:rsid w:val="001F51C5"/>
    <w:rsid w:val="001F6879"/>
    <w:rsid w:val="001F7246"/>
    <w:rsid w:val="001F7496"/>
    <w:rsid w:val="00200B49"/>
    <w:rsid w:val="00200ED3"/>
    <w:rsid w:val="002010D3"/>
    <w:rsid w:val="0020169C"/>
    <w:rsid w:val="0020176C"/>
    <w:rsid w:val="00201805"/>
    <w:rsid w:val="00206104"/>
    <w:rsid w:val="00206654"/>
    <w:rsid w:val="002066A1"/>
    <w:rsid w:val="002075A6"/>
    <w:rsid w:val="00207C51"/>
    <w:rsid w:val="00210349"/>
    <w:rsid w:val="00210B9A"/>
    <w:rsid w:val="00210BDB"/>
    <w:rsid w:val="00212686"/>
    <w:rsid w:val="0021291C"/>
    <w:rsid w:val="00213274"/>
    <w:rsid w:val="0021425D"/>
    <w:rsid w:val="00214AB7"/>
    <w:rsid w:val="00214BC0"/>
    <w:rsid w:val="002163FA"/>
    <w:rsid w:val="002171B2"/>
    <w:rsid w:val="00217211"/>
    <w:rsid w:val="002174B7"/>
    <w:rsid w:val="00217B05"/>
    <w:rsid w:val="00220852"/>
    <w:rsid w:val="00220E9E"/>
    <w:rsid w:val="00222FC4"/>
    <w:rsid w:val="0022355E"/>
    <w:rsid w:val="00224759"/>
    <w:rsid w:val="0022553E"/>
    <w:rsid w:val="00225566"/>
    <w:rsid w:val="002256CA"/>
    <w:rsid w:val="00225DC7"/>
    <w:rsid w:val="00226AA7"/>
    <w:rsid w:val="00227183"/>
    <w:rsid w:val="00227BC3"/>
    <w:rsid w:val="00231E35"/>
    <w:rsid w:val="00231F65"/>
    <w:rsid w:val="00233D24"/>
    <w:rsid w:val="00235C0F"/>
    <w:rsid w:val="00237B2E"/>
    <w:rsid w:val="00237B50"/>
    <w:rsid w:val="00237F82"/>
    <w:rsid w:val="002411A4"/>
    <w:rsid w:val="00242F57"/>
    <w:rsid w:val="00243270"/>
    <w:rsid w:val="00244E2E"/>
    <w:rsid w:val="00246FB1"/>
    <w:rsid w:val="00247A07"/>
    <w:rsid w:val="002506B6"/>
    <w:rsid w:val="002523A0"/>
    <w:rsid w:val="0025308A"/>
    <w:rsid w:val="002538C1"/>
    <w:rsid w:val="00255909"/>
    <w:rsid w:val="00255FCB"/>
    <w:rsid w:val="00256FC5"/>
    <w:rsid w:val="002574F9"/>
    <w:rsid w:val="002605D4"/>
    <w:rsid w:val="00260AB5"/>
    <w:rsid w:val="00260B59"/>
    <w:rsid w:val="002611F7"/>
    <w:rsid w:val="002621D4"/>
    <w:rsid w:val="00263964"/>
    <w:rsid w:val="00264291"/>
    <w:rsid w:val="00264BF5"/>
    <w:rsid w:val="0026528C"/>
    <w:rsid w:val="0026719B"/>
    <w:rsid w:val="00271696"/>
    <w:rsid w:val="002729CC"/>
    <w:rsid w:val="002751E6"/>
    <w:rsid w:val="002767D7"/>
    <w:rsid w:val="00276811"/>
    <w:rsid w:val="00276C28"/>
    <w:rsid w:val="0027737D"/>
    <w:rsid w:val="00277490"/>
    <w:rsid w:val="00277D23"/>
    <w:rsid w:val="0028172E"/>
    <w:rsid w:val="0028223C"/>
    <w:rsid w:val="00282699"/>
    <w:rsid w:val="00283B0B"/>
    <w:rsid w:val="00285903"/>
    <w:rsid w:val="00286830"/>
    <w:rsid w:val="00287274"/>
    <w:rsid w:val="00290F4A"/>
    <w:rsid w:val="002914DD"/>
    <w:rsid w:val="002926DF"/>
    <w:rsid w:val="0029340B"/>
    <w:rsid w:val="0029433C"/>
    <w:rsid w:val="002945DD"/>
    <w:rsid w:val="00296155"/>
    <w:rsid w:val="00296697"/>
    <w:rsid w:val="002A159D"/>
    <w:rsid w:val="002A2777"/>
    <w:rsid w:val="002A2AE9"/>
    <w:rsid w:val="002A30DD"/>
    <w:rsid w:val="002A35F4"/>
    <w:rsid w:val="002A559A"/>
    <w:rsid w:val="002A7ED4"/>
    <w:rsid w:val="002A7FDA"/>
    <w:rsid w:val="002B0472"/>
    <w:rsid w:val="002B1414"/>
    <w:rsid w:val="002B161F"/>
    <w:rsid w:val="002B2440"/>
    <w:rsid w:val="002B2DA3"/>
    <w:rsid w:val="002B2F57"/>
    <w:rsid w:val="002B378E"/>
    <w:rsid w:val="002B4C23"/>
    <w:rsid w:val="002B4D7D"/>
    <w:rsid w:val="002B4FBE"/>
    <w:rsid w:val="002B55DF"/>
    <w:rsid w:val="002B6B12"/>
    <w:rsid w:val="002B71AF"/>
    <w:rsid w:val="002B7288"/>
    <w:rsid w:val="002B737B"/>
    <w:rsid w:val="002C1AF0"/>
    <w:rsid w:val="002C264C"/>
    <w:rsid w:val="002C2FAC"/>
    <w:rsid w:val="002C3683"/>
    <w:rsid w:val="002C384A"/>
    <w:rsid w:val="002C425C"/>
    <w:rsid w:val="002C4969"/>
    <w:rsid w:val="002C5CF0"/>
    <w:rsid w:val="002C6054"/>
    <w:rsid w:val="002C6979"/>
    <w:rsid w:val="002C775E"/>
    <w:rsid w:val="002D2754"/>
    <w:rsid w:val="002D44B4"/>
    <w:rsid w:val="002D5496"/>
    <w:rsid w:val="002D790E"/>
    <w:rsid w:val="002E077C"/>
    <w:rsid w:val="002E08CA"/>
    <w:rsid w:val="002E0DC7"/>
    <w:rsid w:val="002E1F4A"/>
    <w:rsid w:val="002E2D4E"/>
    <w:rsid w:val="002E3FF6"/>
    <w:rsid w:val="002E42A2"/>
    <w:rsid w:val="002E533D"/>
    <w:rsid w:val="002E5B63"/>
    <w:rsid w:val="002E6140"/>
    <w:rsid w:val="002E663F"/>
    <w:rsid w:val="002E6985"/>
    <w:rsid w:val="002E7031"/>
    <w:rsid w:val="002E71B6"/>
    <w:rsid w:val="002E73BD"/>
    <w:rsid w:val="002F093C"/>
    <w:rsid w:val="002F0C2F"/>
    <w:rsid w:val="002F117B"/>
    <w:rsid w:val="002F1866"/>
    <w:rsid w:val="002F2EF8"/>
    <w:rsid w:val="002F315F"/>
    <w:rsid w:val="002F4742"/>
    <w:rsid w:val="002F6791"/>
    <w:rsid w:val="002F74BA"/>
    <w:rsid w:val="002F77A4"/>
    <w:rsid w:val="002F77C8"/>
    <w:rsid w:val="002F7B45"/>
    <w:rsid w:val="003003EF"/>
    <w:rsid w:val="0030201A"/>
    <w:rsid w:val="00302753"/>
    <w:rsid w:val="0030316D"/>
    <w:rsid w:val="00303BD1"/>
    <w:rsid w:val="003045FB"/>
    <w:rsid w:val="00304F22"/>
    <w:rsid w:val="00306C7C"/>
    <w:rsid w:val="00306DDD"/>
    <w:rsid w:val="00306F19"/>
    <w:rsid w:val="00307E86"/>
    <w:rsid w:val="003100CD"/>
    <w:rsid w:val="003104BC"/>
    <w:rsid w:val="00310AA8"/>
    <w:rsid w:val="00312ADE"/>
    <w:rsid w:val="003138BE"/>
    <w:rsid w:val="00313A4D"/>
    <w:rsid w:val="0031445B"/>
    <w:rsid w:val="00316257"/>
    <w:rsid w:val="00316CE3"/>
    <w:rsid w:val="00316D63"/>
    <w:rsid w:val="00317FFA"/>
    <w:rsid w:val="00320972"/>
    <w:rsid w:val="00320A09"/>
    <w:rsid w:val="003213BF"/>
    <w:rsid w:val="003213F8"/>
    <w:rsid w:val="00321633"/>
    <w:rsid w:val="00321BB4"/>
    <w:rsid w:val="00322EDD"/>
    <w:rsid w:val="0032344D"/>
    <w:rsid w:val="00323C97"/>
    <w:rsid w:val="00325376"/>
    <w:rsid w:val="00326869"/>
    <w:rsid w:val="003272D1"/>
    <w:rsid w:val="00327EE6"/>
    <w:rsid w:val="00330893"/>
    <w:rsid w:val="00330BDE"/>
    <w:rsid w:val="00331160"/>
    <w:rsid w:val="003314F0"/>
    <w:rsid w:val="00332320"/>
    <w:rsid w:val="00332C4E"/>
    <w:rsid w:val="0033352A"/>
    <w:rsid w:val="00337CFE"/>
    <w:rsid w:val="00340353"/>
    <w:rsid w:val="00340AA7"/>
    <w:rsid w:val="003416B9"/>
    <w:rsid w:val="00342458"/>
    <w:rsid w:val="0034321C"/>
    <w:rsid w:val="003435EB"/>
    <w:rsid w:val="00343D8E"/>
    <w:rsid w:val="003442B8"/>
    <w:rsid w:val="00346B6B"/>
    <w:rsid w:val="00347D72"/>
    <w:rsid w:val="00350417"/>
    <w:rsid w:val="003504C8"/>
    <w:rsid w:val="00351CB1"/>
    <w:rsid w:val="00351EB8"/>
    <w:rsid w:val="00352387"/>
    <w:rsid w:val="00352721"/>
    <w:rsid w:val="00352E16"/>
    <w:rsid w:val="00353C98"/>
    <w:rsid w:val="00355611"/>
    <w:rsid w:val="00356651"/>
    <w:rsid w:val="00357611"/>
    <w:rsid w:val="003579FF"/>
    <w:rsid w:val="003600C8"/>
    <w:rsid w:val="003602A6"/>
    <w:rsid w:val="003612E1"/>
    <w:rsid w:val="00361ABB"/>
    <w:rsid w:val="0036334A"/>
    <w:rsid w:val="00363C56"/>
    <w:rsid w:val="00364F77"/>
    <w:rsid w:val="00366A3B"/>
    <w:rsid w:val="00367237"/>
    <w:rsid w:val="0037077F"/>
    <w:rsid w:val="00370A3A"/>
    <w:rsid w:val="00371059"/>
    <w:rsid w:val="00371D20"/>
    <w:rsid w:val="00372076"/>
    <w:rsid w:val="00372D40"/>
    <w:rsid w:val="00373453"/>
    <w:rsid w:val="00373882"/>
    <w:rsid w:val="003742DF"/>
    <w:rsid w:val="00374E0E"/>
    <w:rsid w:val="00375C03"/>
    <w:rsid w:val="00375CF2"/>
    <w:rsid w:val="003768E5"/>
    <w:rsid w:val="00377DC2"/>
    <w:rsid w:val="00380542"/>
    <w:rsid w:val="0038066D"/>
    <w:rsid w:val="00381C9F"/>
    <w:rsid w:val="003824EC"/>
    <w:rsid w:val="003843DB"/>
    <w:rsid w:val="00384444"/>
    <w:rsid w:val="00386581"/>
    <w:rsid w:val="00386D45"/>
    <w:rsid w:val="00387EA5"/>
    <w:rsid w:val="00390F9F"/>
    <w:rsid w:val="00392238"/>
    <w:rsid w:val="00393761"/>
    <w:rsid w:val="00393B24"/>
    <w:rsid w:val="00395C72"/>
    <w:rsid w:val="00395F08"/>
    <w:rsid w:val="00396630"/>
    <w:rsid w:val="00396A28"/>
    <w:rsid w:val="00396EAE"/>
    <w:rsid w:val="00397D18"/>
    <w:rsid w:val="003A0929"/>
    <w:rsid w:val="003A1B36"/>
    <w:rsid w:val="003A20C8"/>
    <w:rsid w:val="003A2750"/>
    <w:rsid w:val="003A3023"/>
    <w:rsid w:val="003A34BF"/>
    <w:rsid w:val="003A385C"/>
    <w:rsid w:val="003A4B6D"/>
    <w:rsid w:val="003A5199"/>
    <w:rsid w:val="003A5281"/>
    <w:rsid w:val="003A5425"/>
    <w:rsid w:val="003A5C82"/>
    <w:rsid w:val="003A76FA"/>
    <w:rsid w:val="003A7E84"/>
    <w:rsid w:val="003B0382"/>
    <w:rsid w:val="003B08E9"/>
    <w:rsid w:val="003B0CA1"/>
    <w:rsid w:val="003B1454"/>
    <w:rsid w:val="003B37CC"/>
    <w:rsid w:val="003B37F0"/>
    <w:rsid w:val="003B4687"/>
    <w:rsid w:val="003B4C55"/>
    <w:rsid w:val="003B4E58"/>
    <w:rsid w:val="003B6FCA"/>
    <w:rsid w:val="003B70EA"/>
    <w:rsid w:val="003B7F1E"/>
    <w:rsid w:val="003C02E7"/>
    <w:rsid w:val="003C051C"/>
    <w:rsid w:val="003C063E"/>
    <w:rsid w:val="003C2D2E"/>
    <w:rsid w:val="003C30BF"/>
    <w:rsid w:val="003C4963"/>
    <w:rsid w:val="003C59E0"/>
    <w:rsid w:val="003C633C"/>
    <w:rsid w:val="003C669E"/>
    <w:rsid w:val="003C6C8D"/>
    <w:rsid w:val="003D0DA7"/>
    <w:rsid w:val="003D1849"/>
    <w:rsid w:val="003D2FED"/>
    <w:rsid w:val="003D3320"/>
    <w:rsid w:val="003D465A"/>
    <w:rsid w:val="003D4E0B"/>
    <w:rsid w:val="003D4F95"/>
    <w:rsid w:val="003D55BE"/>
    <w:rsid w:val="003D5A87"/>
    <w:rsid w:val="003D5F42"/>
    <w:rsid w:val="003D60A9"/>
    <w:rsid w:val="003D663C"/>
    <w:rsid w:val="003D6798"/>
    <w:rsid w:val="003D6C55"/>
    <w:rsid w:val="003E02E6"/>
    <w:rsid w:val="003E2834"/>
    <w:rsid w:val="003E3D33"/>
    <w:rsid w:val="003E5366"/>
    <w:rsid w:val="003E72AF"/>
    <w:rsid w:val="003E77D0"/>
    <w:rsid w:val="003E7CFD"/>
    <w:rsid w:val="003F0B35"/>
    <w:rsid w:val="003F0C73"/>
    <w:rsid w:val="003F2AC6"/>
    <w:rsid w:val="003F2EC0"/>
    <w:rsid w:val="003F352F"/>
    <w:rsid w:val="003F38EF"/>
    <w:rsid w:val="003F4C97"/>
    <w:rsid w:val="003F5188"/>
    <w:rsid w:val="003F552D"/>
    <w:rsid w:val="003F5EBD"/>
    <w:rsid w:val="003F7FE6"/>
    <w:rsid w:val="0040018E"/>
    <w:rsid w:val="00400193"/>
    <w:rsid w:val="00402D94"/>
    <w:rsid w:val="00403B94"/>
    <w:rsid w:val="00403BFA"/>
    <w:rsid w:val="00403C08"/>
    <w:rsid w:val="00404673"/>
    <w:rsid w:val="00405C07"/>
    <w:rsid w:val="00407D16"/>
    <w:rsid w:val="0041005F"/>
    <w:rsid w:val="00410378"/>
    <w:rsid w:val="00412039"/>
    <w:rsid w:val="004127C7"/>
    <w:rsid w:val="00412826"/>
    <w:rsid w:val="00412AD2"/>
    <w:rsid w:val="004130C3"/>
    <w:rsid w:val="00413765"/>
    <w:rsid w:val="004141BB"/>
    <w:rsid w:val="00415296"/>
    <w:rsid w:val="00416EB0"/>
    <w:rsid w:val="004179C7"/>
    <w:rsid w:val="0042065F"/>
    <w:rsid w:val="00420A14"/>
    <w:rsid w:val="0042106B"/>
    <w:rsid w:val="00421145"/>
    <w:rsid w:val="004212E7"/>
    <w:rsid w:val="00421A20"/>
    <w:rsid w:val="0042209C"/>
    <w:rsid w:val="00422C85"/>
    <w:rsid w:val="004232DD"/>
    <w:rsid w:val="0042446D"/>
    <w:rsid w:val="0042459C"/>
    <w:rsid w:val="00424AA9"/>
    <w:rsid w:val="00425722"/>
    <w:rsid w:val="004269A6"/>
    <w:rsid w:val="004278F7"/>
    <w:rsid w:val="00427BF8"/>
    <w:rsid w:val="00430651"/>
    <w:rsid w:val="00430BBD"/>
    <w:rsid w:val="004310E2"/>
    <w:rsid w:val="0043171E"/>
    <w:rsid w:val="00431C02"/>
    <w:rsid w:val="00431D38"/>
    <w:rsid w:val="00431E97"/>
    <w:rsid w:val="00432CB6"/>
    <w:rsid w:val="00433098"/>
    <w:rsid w:val="0043350A"/>
    <w:rsid w:val="0043413A"/>
    <w:rsid w:val="004348C3"/>
    <w:rsid w:val="00435B74"/>
    <w:rsid w:val="00435BB7"/>
    <w:rsid w:val="00435F41"/>
    <w:rsid w:val="00436AB0"/>
    <w:rsid w:val="00437395"/>
    <w:rsid w:val="00437869"/>
    <w:rsid w:val="004402DF"/>
    <w:rsid w:val="00440433"/>
    <w:rsid w:val="00441640"/>
    <w:rsid w:val="00441896"/>
    <w:rsid w:val="004427D4"/>
    <w:rsid w:val="00442B2F"/>
    <w:rsid w:val="00442D9E"/>
    <w:rsid w:val="00443C2D"/>
    <w:rsid w:val="00444599"/>
    <w:rsid w:val="004445C1"/>
    <w:rsid w:val="00444C1A"/>
    <w:rsid w:val="00444C2C"/>
    <w:rsid w:val="00445047"/>
    <w:rsid w:val="0044538E"/>
    <w:rsid w:val="00446D76"/>
    <w:rsid w:val="00450597"/>
    <w:rsid w:val="0045096B"/>
    <w:rsid w:val="00451493"/>
    <w:rsid w:val="00451831"/>
    <w:rsid w:val="00452B51"/>
    <w:rsid w:val="004539AB"/>
    <w:rsid w:val="00453F30"/>
    <w:rsid w:val="0045406B"/>
    <w:rsid w:val="00455087"/>
    <w:rsid w:val="00455F5A"/>
    <w:rsid w:val="004560FC"/>
    <w:rsid w:val="0045748E"/>
    <w:rsid w:val="004609A8"/>
    <w:rsid w:val="00460F7B"/>
    <w:rsid w:val="0046181F"/>
    <w:rsid w:val="004624F0"/>
    <w:rsid w:val="0046328C"/>
    <w:rsid w:val="00463E39"/>
    <w:rsid w:val="004642FD"/>
    <w:rsid w:val="0046440D"/>
    <w:rsid w:val="004657FC"/>
    <w:rsid w:val="00466FDC"/>
    <w:rsid w:val="004703A3"/>
    <w:rsid w:val="00470D67"/>
    <w:rsid w:val="00472017"/>
    <w:rsid w:val="00472342"/>
    <w:rsid w:val="004729A0"/>
    <w:rsid w:val="00472CF1"/>
    <w:rsid w:val="00472FD7"/>
    <w:rsid w:val="004730FA"/>
    <w:rsid w:val="004733F6"/>
    <w:rsid w:val="00474492"/>
    <w:rsid w:val="00474E69"/>
    <w:rsid w:val="00474FD7"/>
    <w:rsid w:val="004756E4"/>
    <w:rsid w:val="004761B3"/>
    <w:rsid w:val="00476B06"/>
    <w:rsid w:val="00476DE7"/>
    <w:rsid w:val="004772D4"/>
    <w:rsid w:val="004776A1"/>
    <w:rsid w:val="0048019D"/>
    <w:rsid w:val="004811C4"/>
    <w:rsid w:val="004833EE"/>
    <w:rsid w:val="004840D0"/>
    <w:rsid w:val="004842B4"/>
    <w:rsid w:val="00484E5F"/>
    <w:rsid w:val="004858E8"/>
    <w:rsid w:val="00485EA3"/>
    <w:rsid w:val="004864B8"/>
    <w:rsid w:val="004871F9"/>
    <w:rsid w:val="00487600"/>
    <w:rsid w:val="00487F3E"/>
    <w:rsid w:val="004902E4"/>
    <w:rsid w:val="004905E0"/>
    <w:rsid w:val="00491EC9"/>
    <w:rsid w:val="00491EF6"/>
    <w:rsid w:val="00492B5F"/>
    <w:rsid w:val="00492F53"/>
    <w:rsid w:val="004947AD"/>
    <w:rsid w:val="00494DE9"/>
    <w:rsid w:val="00495B48"/>
    <w:rsid w:val="00495C6D"/>
    <w:rsid w:val="0049621B"/>
    <w:rsid w:val="00496648"/>
    <w:rsid w:val="00496AE7"/>
    <w:rsid w:val="00496F2C"/>
    <w:rsid w:val="00497A35"/>
    <w:rsid w:val="004A036A"/>
    <w:rsid w:val="004A195B"/>
    <w:rsid w:val="004A1A55"/>
    <w:rsid w:val="004A1E49"/>
    <w:rsid w:val="004A1F5B"/>
    <w:rsid w:val="004A2422"/>
    <w:rsid w:val="004A30BF"/>
    <w:rsid w:val="004A3296"/>
    <w:rsid w:val="004A43CB"/>
    <w:rsid w:val="004A4688"/>
    <w:rsid w:val="004A57A6"/>
    <w:rsid w:val="004A58C4"/>
    <w:rsid w:val="004A61DB"/>
    <w:rsid w:val="004B04C3"/>
    <w:rsid w:val="004B1C3C"/>
    <w:rsid w:val="004B25EF"/>
    <w:rsid w:val="004B4138"/>
    <w:rsid w:val="004B4534"/>
    <w:rsid w:val="004B4CD2"/>
    <w:rsid w:val="004B79D2"/>
    <w:rsid w:val="004B7D4A"/>
    <w:rsid w:val="004C1895"/>
    <w:rsid w:val="004C2458"/>
    <w:rsid w:val="004C28EE"/>
    <w:rsid w:val="004C2E82"/>
    <w:rsid w:val="004C3B7B"/>
    <w:rsid w:val="004C4DD2"/>
    <w:rsid w:val="004C4FFE"/>
    <w:rsid w:val="004C6D40"/>
    <w:rsid w:val="004C772C"/>
    <w:rsid w:val="004D0F46"/>
    <w:rsid w:val="004D1810"/>
    <w:rsid w:val="004D432B"/>
    <w:rsid w:val="004D4E3B"/>
    <w:rsid w:val="004D5321"/>
    <w:rsid w:val="004D6005"/>
    <w:rsid w:val="004D666A"/>
    <w:rsid w:val="004D716C"/>
    <w:rsid w:val="004D79B1"/>
    <w:rsid w:val="004D7AED"/>
    <w:rsid w:val="004D7CBB"/>
    <w:rsid w:val="004E0C48"/>
    <w:rsid w:val="004E0EAC"/>
    <w:rsid w:val="004E19EC"/>
    <w:rsid w:val="004E22D8"/>
    <w:rsid w:val="004E2986"/>
    <w:rsid w:val="004E2E4D"/>
    <w:rsid w:val="004E450A"/>
    <w:rsid w:val="004E47AC"/>
    <w:rsid w:val="004E56E0"/>
    <w:rsid w:val="004E5D7A"/>
    <w:rsid w:val="004E72C7"/>
    <w:rsid w:val="004F0102"/>
    <w:rsid w:val="004F0C3C"/>
    <w:rsid w:val="004F2C39"/>
    <w:rsid w:val="004F3AC6"/>
    <w:rsid w:val="004F433E"/>
    <w:rsid w:val="004F56A9"/>
    <w:rsid w:val="004F6380"/>
    <w:rsid w:val="004F63FC"/>
    <w:rsid w:val="004F68AE"/>
    <w:rsid w:val="004F7B00"/>
    <w:rsid w:val="005002D9"/>
    <w:rsid w:val="00500434"/>
    <w:rsid w:val="005008FB"/>
    <w:rsid w:val="005019E4"/>
    <w:rsid w:val="00501AC8"/>
    <w:rsid w:val="005025BD"/>
    <w:rsid w:val="0050291B"/>
    <w:rsid w:val="00502E8B"/>
    <w:rsid w:val="005052BD"/>
    <w:rsid w:val="00505A92"/>
    <w:rsid w:val="00505AA4"/>
    <w:rsid w:val="00510037"/>
    <w:rsid w:val="005105AD"/>
    <w:rsid w:val="00510A94"/>
    <w:rsid w:val="00510B46"/>
    <w:rsid w:val="00511EB0"/>
    <w:rsid w:val="005123BD"/>
    <w:rsid w:val="00513522"/>
    <w:rsid w:val="00514A38"/>
    <w:rsid w:val="00515BC5"/>
    <w:rsid w:val="0051600E"/>
    <w:rsid w:val="005170F1"/>
    <w:rsid w:val="00517777"/>
    <w:rsid w:val="005203F1"/>
    <w:rsid w:val="005219D1"/>
    <w:rsid w:val="00521BC3"/>
    <w:rsid w:val="005228FD"/>
    <w:rsid w:val="00525A03"/>
    <w:rsid w:val="00526009"/>
    <w:rsid w:val="00526DD2"/>
    <w:rsid w:val="00527271"/>
    <w:rsid w:val="0052731E"/>
    <w:rsid w:val="00527B49"/>
    <w:rsid w:val="00530B59"/>
    <w:rsid w:val="0053109A"/>
    <w:rsid w:val="00531170"/>
    <w:rsid w:val="0053137C"/>
    <w:rsid w:val="0053287F"/>
    <w:rsid w:val="00532E85"/>
    <w:rsid w:val="00533632"/>
    <w:rsid w:val="00534151"/>
    <w:rsid w:val="0053462F"/>
    <w:rsid w:val="005346CE"/>
    <w:rsid w:val="005347D8"/>
    <w:rsid w:val="0053526A"/>
    <w:rsid w:val="00535BB2"/>
    <w:rsid w:val="00535DD9"/>
    <w:rsid w:val="00535E37"/>
    <w:rsid w:val="005362CC"/>
    <w:rsid w:val="005363D0"/>
    <w:rsid w:val="00537940"/>
    <w:rsid w:val="00540FA9"/>
    <w:rsid w:val="0054129A"/>
    <w:rsid w:val="00541B2C"/>
    <w:rsid w:val="0054251F"/>
    <w:rsid w:val="00544E50"/>
    <w:rsid w:val="00545F9C"/>
    <w:rsid w:val="0054668B"/>
    <w:rsid w:val="00547D3C"/>
    <w:rsid w:val="00550618"/>
    <w:rsid w:val="00550EF3"/>
    <w:rsid w:val="00552036"/>
    <w:rsid w:val="005520D8"/>
    <w:rsid w:val="00552697"/>
    <w:rsid w:val="00556684"/>
    <w:rsid w:val="005566E6"/>
    <w:rsid w:val="00556CF1"/>
    <w:rsid w:val="005570C6"/>
    <w:rsid w:val="005604D2"/>
    <w:rsid w:val="00560F68"/>
    <w:rsid w:val="005612AC"/>
    <w:rsid w:val="00561358"/>
    <w:rsid w:val="005621B3"/>
    <w:rsid w:val="005624DC"/>
    <w:rsid w:val="00564D21"/>
    <w:rsid w:val="00566442"/>
    <w:rsid w:val="00566AFF"/>
    <w:rsid w:val="00566C62"/>
    <w:rsid w:val="00571346"/>
    <w:rsid w:val="005715BF"/>
    <w:rsid w:val="005733C4"/>
    <w:rsid w:val="005736AE"/>
    <w:rsid w:val="00575435"/>
    <w:rsid w:val="00575621"/>
    <w:rsid w:val="00575F58"/>
    <w:rsid w:val="005762A7"/>
    <w:rsid w:val="00576D59"/>
    <w:rsid w:val="005774A5"/>
    <w:rsid w:val="00577AE2"/>
    <w:rsid w:val="005829C1"/>
    <w:rsid w:val="0058370F"/>
    <w:rsid w:val="00583B3B"/>
    <w:rsid w:val="00583D5E"/>
    <w:rsid w:val="00584691"/>
    <w:rsid w:val="00584A15"/>
    <w:rsid w:val="00585286"/>
    <w:rsid w:val="00585847"/>
    <w:rsid w:val="005865CE"/>
    <w:rsid w:val="00586C51"/>
    <w:rsid w:val="00586D4F"/>
    <w:rsid w:val="005870BE"/>
    <w:rsid w:val="005878F7"/>
    <w:rsid w:val="00587AF2"/>
    <w:rsid w:val="005916D7"/>
    <w:rsid w:val="00592551"/>
    <w:rsid w:val="0059279C"/>
    <w:rsid w:val="005927D7"/>
    <w:rsid w:val="00593105"/>
    <w:rsid w:val="00593F44"/>
    <w:rsid w:val="005941B7"/>
    <w:rsid w:val="005948F0"/>
    <w:rsid w:val="005961A2"/>
    <w:rsid w:val="00596380"/>
    <w:rsid w:val="005963D3"/>
    <w:rsid w:val="00596DA7"/>
    <w:rsid w:val="0059781E"/>
    <w:rsid w:val="005979C4"/>
    <w:rsid w:val="005A1148"/>
    <w:rsid w:val="005A15D5"/>
    <w:rsid w:val="005A1D38"/>
    <w:rsid w:val="005A25C9"/>
    <w:rsid w:val="005A3229"/>
    <w:rsid w:val="005A3AE7"/>
    <w:rsid w:val="005A3EFB"/>
    <w:rsid w:val="005A4670"/>
    <w:rsid w:val="005A4A84"/>
    <w:rsid w:val="005A5463"/>
    <w:rsid w:val="005A61A5"/>
    <w:rsid w:val="005A61D5"/>
    <w:rsid w:val="005A627A"/>
    <w:rsid w:val="005A698C"/>
    <w:rsid w:val="005A7992"/>
    <w:rsid w:val="005B1150"/>
    <w:rsid w:val="005B18E7"/>
    <w:rsid w:val="005B23AB"/>
    <w:rsid w:val="005B3416"/>
    <w:rsid w:val="005B4FED"/>
    <w:rsid w:val="005B59D1"/>
    <w:rsid w:val="005B5DE1"/>
    <w:rsid w:val="005C1751"/>
    <w:rsid w:val="005C1D3C"/>
    <w:rsid w:val="005C2129"/>
    <w:rsid w:val="005C2F50"/>
    <w:rsid w:val="005C477E"/>
    <w:rsid w:val="005C4895"/>
    <w:rsid w:val="005C4C59"/>
    <w:rsid w:val="005C4EB3"/>
    <w:rsid w:val="005D242A"/>
    <w:rsid w:val="005D2C0C"/>
    <w:rsid w:val="005D2C7C"/>
    <w:rsid w:val="005D35EE"/>
    <w:rsid w:val="005D4A96"/>
    <w:rsid w:val="005D4D88"/>
    <w:rsid w:val="005D5523"/>
    <w:rsid w:val="005D6714"/>
    <w:rsid w:val="005D67D4"/>
    <w:rsid w:val="005D736C"/>
    <w:rsid w:val="005E022F"/>
    <w:rsid w:val="005E0799"/>
    <w:rsid w:val="005E187E"/>
    <w:rsid w:val="005E2BC9"/>
    <w:rsid w:val="005E32E6"/>
    <w:rsid w:val="005E3B13"/>
    <w:rsid w:val="005E4A84"/>
    <w:rsid w:val="005E6BA7"/>
    <w:rsid w:val="005E6EFA"/>
    <w:rsid w:val="005E6FC0"/>
    <w:rsid w:val="005F09B7"/>
    <w:rsid w:val="005F0D99"/>
    <w:rsid w:val="005F173B"/>
    <w:rsid w:val="005F1C59"/>
    <w:rsid w:val="005F34AE"/>
    <w:rsid w:val="005F5A80"/>
    <w:rsid w:val="005F5DC8"/>
    <w:rsid w:val="005F6661"/>
    <w:rsid w:val="0060003D"/>
    <w:rsid w:val="00600EEA"/>
    <w:rsid w:val="00601EFE"/>
    <w:rsid w:val="00601F94"/>
    <w:rsid w:val="00602985"/>
    <w:rsid w:val="00603EBB"/>
    <w:rsid w:val="00604085"/>
    <w:rsid w:val="006044FF"/>
    <w:rsid w:val="006050BD"/>
    <w:rsid w:val="00605D4C"/>
    <w:rsid w:val="00606E84"/>
    <w:rsid w:val="00607032"/>
    <w:rsid w:val="00607037"/>
    <w:rsid w:val="00607CC5"/>
    <w:rsid w:val="00607F4C"/>
    <w:rsid w:val="00610175"/>
    <w:rsid w:val="006102E5"/>
    <w:rsid w:val="00610D4E"/>
    <w:rsid w:val="00611E6B"/>
    <w:rsid w:val="00612085"/>
    <w:rsid w:val="006120D1"/>
    <w:rsid w:val="006127B0"/>
    <w:rsid w:val="006132ED"/>
    <w:rsid w:val="00613372"/>
    <w:rsid w:val="006138D3"/>
    <w:rsid w:val="0061431C"/>
    <w:rsid w:val="00614545"/>
    <w:rsid w:val="00614678"/>
    <w:rsid w:val="006162A3"/>
    <w:rsid w:val="006175D3"/>
    <w:rsid w:val="006216AF"/>
    <w:rsid w:val="00622635"/>
    <w:rsid w:val="006232FA"/>
    <w:rsid w:val="006237FF"/>
    <w:rsid w:val="00624CBD"/>
    <w:rsid w:val="00625E0D"/>
    <w:rsid w:val="00630C5B"/>
    <w:rsid w:val="00630CCB"/>
    <w:rsid w:val="00630F4E"/>
    <w:rsid w:val="0063128F"/>
    <w:rsid w:val="006321FA"/>
    <w:rsid w:val="00633014"/>
    <w:rsid w:val="0063437B"/>
    <w:rsid w:val="006346F6"/>
    <w:rsid w:val="0063540E"/>
    <w:rsid w:val="00636698"/>
    <w:rsid w:val="006368E8"/>
    <w:rsid w:val="00636D52"/>
    <w:rsid w:val="00637485"/>
    <w:rsid w:val="00640325"/>
    <w:rsid w:val="00642E91"/>
    <w:rsid w:val="0064303A"/>
    <w:rsid w:val="00643AC3"/>
    <w:rsid w:val="00643B34"/>
    <w:rsid w:val="00644C35"/>
    <w:rsid w:val="00644D57"/>
    <w:rsid w:val="00644F53"/>
    <w:rsid w:val="0064537C"/>
    <w:rsid w:val="00646254"/>
    <w:rsid w:val="00646719"/>
    <w:rsid w:val="0065055C"/>
    <w:rsid w:val="006519FE"/>
    <w:rsid w:val="006529D6"/>
    <w:rsid w:val="00652B28"/>
    <w:rsid w:val="006538FF"/>
    <w:rsid w:val="00653F1A"/>
    <w:rsid w:val="00654731"/>
    <w:rsid w:val="00654A0C"/>
    <w:rsid w:val="0065526E"/>
    <w:rsid w:val="00655ABC"/>
    <w:rsid w:val="00657336"/>
    <w:rsid w:val="00657D52"/>
    <w:rsid w:val="00657EA2"/>
    <w:rsid w:val="00660ED9"/>
    <w:rsid w:val="00660F19"/>
    <w:rsid w:val="0066249A"/>
    <w:rsid w:val="0066296D"/>
    <w:rsid w:val="00664B74"/>
    <w:rsid w:val="00666F54"/>
    <w:rsid w:val="006673CA"/>
    <w:rsid w:val="006674D4"/>
    <w:rsid w:val="00667540"/>
    <w:rsid w:val="00671749"/>
    <w:rsid w:val="00673C26"/>
    <w:rsid w:val="00674BE8"/>
    <w:rsid w:val="006750FF"/>
    <w:rsid w:val="00677B99"/>
    <w:rsid w:val="0068013F"/>
    <w:rsid w:val="006812AF"/>
    <w:rsid w:val="006825A9"/>
    <w:rsid w:val="00683067"/>
    <w:rsid w:val="0068327D"/>
    <w:rsid w:val="00684338"/>
    <w:rsid w:val="0068469A"/>
    <w:rsid w:val="00684D60"/>
    <w:rsid w:val="006851D8"/>
    <w:rsid w:val="00687FB3"/>
    <w:rsid w:val="006907E5"/>
    <w:rsid w:val="00691DF9"/>
    <w:rsid w:val="0069204C"/>
    <w:rsid w:val="006929D0"/>
    <w:rsid w:val="0069335C"/>
    <w:rsid w:val="006938FF"/>
    <w:rsid w:val="00694AF0"/>
    <w:rsid w:val="00695E90"/>
    <w:rsid w:val="00697394"/>
    <w:rsid w:val="00697DE9"/>
    <w:rsid w:val="006A08DE"/>
    <w:rsid w:val="006A13FD"/>
    <w:rsid w:val="006A18F8"/>
    <w:rsid w:val="006A1FB6"/>
    <w:rsid w:val="006A3434"/>
    <w:rsid w:val="006A3AFF"/>
    <w:rsid w:val="006A3D06"/>
    <w:rsid w:val="006A41AB"/>
    <w:rsid w:val="006A4493"/>
    <w:rsid w:val="006A4880"/>
    <w:rsid w:val="006A4951"/>
    <w:rsid w:val="006A59BD"/>
    <w:rsid w:val="006A5C07"/>
    <w:rsid w:val="006A5E10"/>
    <w:rsid w:val="006A5E28"/>
    <w:rsid w:val="006A6B12"/>
    <w:rsid w:val="006A7575"/>
    <w:rsid w:val="006B0879"/>
    <w:rsid w:val="006B098C"/>
    <w:rsid w:val="006B0E9E"/>
    <w:rsid w:val="006B1C7B"/>
    <w:rsid w:val="006B212E"/>
    <w:rsid w:val="006B4630"/>
    <w:rsid w:val="006B5AE4"/>
    <w:rsid w:val="006B6BCF"/>
    <w:rsid w:val="006B79CA"/>
    <w:rsid w:val="006C0E56"/>
    <w:rsid w:val="006C1230"/>
    <w:rsid w:val="006C1F73"/>
    <w:rsid w:val="006C2326"/>
    <w:rsid w:val="006C2E07"/>
    <w:rsid w:val="006C4851"/>
    <w:rsid w:val="006C545B"/>
    <w:rsid w:val="006C63A0"/>
    <w:rsid w:val="006D0BCF"/>
    <w:rsid w:val="006D0E52"/>
    <w:rsid w:val="006D147E"/>
    <w:rsid w:val="006D1B1E"/>
    <w:rsid w:val="006D1F73"/>
    <w:rsid w:val="006D4054"/>
    <w:rsid w:val="006D4326"/>
    <w:rsid w:val="006D447B"/>
    <w:rsid w:val="006D4B78"/>
    <w:rsid w:val="006D4F4C"/>
    <w:rsid w:val="006D6290"/>
    <w:rsid w:val="006D635A"/>
    <w:rsid w:val="006D6CF9"/>
    <w:rsid w:val="006D7EB7"/>
    <w:rsid w:val="006E02EC"/>
    <w:rsid w:val="006E042F"/>
    <w:rsid w:val="006E397E"/>
    <w:rsid w:val="006E39C7"/>
    <w:rsid w:val="006E40F1"/>
    <w:rsid w:val="006E4EE4"/>
    <w:rsid w:val="006E7D96"/>
    <w:rsid w:val="006E7EDA"/>
    <w:rsid w:val="006F2A9C"/>
    <w:rsid w:val="006F30DE"/>
    <w:rsid w:val="006F356C"/>
    <w:rsid w:val="006F57BB"/>
    <w:rsid w:val="006F5B46"/>
    <w:rsid w:val="006F5D99"/>
    <w:rsid w:val="006F61CF"/>
    <w:rsid w:val="006F680E"/>
    <w:rsid w:val="006F6E89"/>
    <w:rsid w:val="00700742"/>
    <w:rsid w:val="00701780"/>
    <w:rsid w:val="0070197E"/>
    <w:rsid w:val="00702188"/>
    <w:rsid w:val="00703202"/>
    <w:rsid w:val="00704F54"/>
    <w:rsid w:val="00705497"/>
    <w:rsid w:val="00705F38"/>
    <w:rsid w:val="00706163"/>
    <w:rsid w:val="00707748"/>
    <w:rsid w:val="007077B9"/>
    <w:rsid w:val="00707DE2"/>
    <w:rsid w:val="00710425"/>
    <w:rsid w:val="00711045"/>
    <w:rsid w:val="00713118"/>
    <w:rsid w:val="00715393"/>
    <w:rsid w:val="00720E14"/>
    <w:rsid w:val="00720FEE"/>
    <w:rsid w:val="007211B1"/>
    <w:rsid w:val="0072163D"/>
    <w:rsid w:val="00721A67"/>
    <w:rsid w:val="00721DCA"/>
    <w:rsid w:val="0072232B"/>
    <w:rsid w:val="00722726"/>
    <w:rsid w:val="007245A7"/>
    <w:rsid w:val="00724A4D"/>
    <w:rsid w:val="00726F28"/>
    <w:rsid w:val="00727803"/>
    <w:rsid w:val="00727C6F"/>
    <w:rsid w:val="007303FC"/>
    <w:rsid w:val="007309BC"/>
    <w:rsid w:val="00732133"/>
    <w:rsid w:val="00733117"/>
    <w:rsid w:val="00734D50"/>
    <w:rsid w:val="0073683D"/>
    <w:rsid w:val="00740D98"/>
    <w:rsid w:val="007418C7"/>
    <w:rsid w:val="00742271"/>
    <w:rsid w:val="00743560"/>
    <w:rsid w:val="00743F0A"/>
    <w:rsid w:val="007442C1"/>
    <w:rsid w:val="00744383"/>
    <w:rsid w:val="00745682"/>
    <w:rsid w:val="00745CE4"/>
    <w:rsid w:val="00745D3F"/>
    <w:rsid w:val="00746187"/>
    <w:rsid w:val="0074654D"/>
    <w:rsid w:val="0074680D"/>
    <w:rsid w:val="00746911"/>
    <w:rsid w:val="00747758"/>
    <w:rsid w:val="0075054C"/>
    <w:rsid w:val="00751311"/>
    <w:rsid w:val="00751972"/>
    <w:rsid w:val="00752493"/>
    <w:rsid w:val="00754082"/>
    <w:rsid w:val="007557E2"/>
    <w:rsid w:val="0075634D"/>
    <w:rsid w:val="00756D00"/>
    <w:rsid w:val="00757096"/>
    <w:rsid w:val="00757BFE"/>
    <w:rsid w:val="00757FE5"/>
    <w:rsid w:val="00761A73"/>
    <w:rsid w:val="00761AE8"/>
    <w:rsid w:val="0076254F"/>
    <w:rsid w:val="0076262D"/>
    <w:rsid w:val="0076347C"/>
    <w:rsid w:val="007645D2"/>
    <w:rsid w:val="0076484A"/>
    <w:rsid w:val="00765636"/>
    <w:rsid w:val="00765CA8"/>
    <w:rsid w:val="00765EB7"/>
    <w:rsid w:val="00765F05"/>
    <w:rsid w:val="00766056"/>
    <w:rsid w:val="0076668C"/>
    <w:rsid w:val="007676DA"/>
    <w:rsid w:val="00770ACB"/>
    <w:rsid w:val="00770FCB"/>
    <w:rsid w:val="007717C5"/>
    <w:rsid w:val="00771A09"/>
    <w:rsid w:val="00772266"/>
    <w:rsid w:val="00772EF3"/>
    <w:rsid w:val="00773B3F"/>
    <w:rsid w:val="00774325"/>
    <w:rsid w:val="00774E61"/>
    <w:rsid w:val="0077525B"/>
    <w:rsid w:val="00775829"/>
    <w:rsid w:val="00775E93"/>
    <w:rsid w:val="007764D3"/>
    <w:rsid w:val="00777015"/>
    <w:rsid w:val="00777B79"/>
    <w:rsid w:val="007801F5"/>
    <w:rsid w:val="00782B18"/>
    <w:rsid w:val="00783CA4"/>
    <w:rsid w:val="007840AD"/>
    <w:rsid w:val="007842FB"/>
    <w:rsid w:val="007845E2"/>
    <w:rsid w:val="007849B5"/>
    <w:rsid w:val="00784F5E"/>
    <w:rsid w:val="00785D1A"/>
    <w:rsid w:val="00785F89"/>
    <w:rsid w:val="00786124"/>
    <w:rsid w:val="00786156"/>
    <w:rsid w:val="007869F8"/>
    <w:rsid w:val="00786ABB"/>
    <w:rsid w:val="007874E7"/>
    <w:rsid w:val="007875D4"/>
    <w:rsid w:val="00787649"/>
    <w:rsid w:val="007911E2"/>
    <w:rsid w:val="0079133D"/>
    <w:rsid w:val="00791383"/>
    <w:rsid w:val="00791FB1"/>
    <w:rsid w:val="00793814"/>
    <w:rsid w:val="0079514B"/>
    <w:rsid w:val="00796733"/>
    <w:rsid w:val="0079712F"/>
    <w:rsid w:val="00797C25"/>
    <w:rsid w:val="007A08D6"/>
    <w:rsid w:val="007A0C01"/>
    <w:rsid w:val="007A1441"/>
    <w:rsid w:val="007A249D"/>
    <w:rsid w:val="007A2DC1"/>
    <w:rsid w:val="007A5042"/>
    <w:rsid w:val="007A6CF1"/>
    <w:rsid w:val="007A7A78"/>
    <w:rsid w:val="007B16EE"/>
    <w:rsid w:val="007B2015"/>
    <w:rsid w:val="007B20E7"/>
    <w:rsid w:val="007B238C"/>
    <w:rsid w:val="007B26DC"/>
    <w:rsid w:val="007B2722"/>
    <w:rsid w:val="007B2DBB"/>
    <w:rsid w:val="007B6438"/>
    <w:rsid w:val="007B6DCD"/>
    <w:rsid w:val="007C0B01"/>
    <w:rsid w:val="007C65A3"/>
    <w:rsid w:val="007C6E47"/>
    <w:rsid w:val="007C767A"/>
    <w:rsid w:val="007C77CB"/>
    <w:rsid w:val="007D179C"/>
    <w:rsid w:val="007D2C4B"/>
    <w:rsid w:val="007D2DA6"/>
    <w:rsid w:val="007D3319"/>
    <w:rsid w:val="007D335D"/>
    <w:rsid w:val="007D39B6"/>
    <w:rsid w:val="007D39FA"/>
    <w:rsid w:val="007D3B33"/>
    <w:rsid w:val="007D4550"/>
    <w:rsid w:val="007D5E4B"/>
    <w:rsid w:val="007D6E4E"/>
    <w:rsid w:val="007D7421"/>
    <w:rsid w:val="007D77D5"/>
    <w:rsid w:val="007D7F7B"/>
    <w:rsid w:val="007E0067"/>
    <w:rsid w:val="007E2987"/>
    <w:rsid w:val="007E3314"/>
    <w:rsid w:val="007E35EA"/>
    <w:rsid w:val="007E43D3"/>
    <w:rsid w:val="007E4B03"/>
    <w:rsid w:val="007E6C18"/>
    <w:rsid w:val="007E71B3"/>
    <w:rsid w:val="007E7EFB"/>
    <w:rsid w:val="007F00F7"/>
    <w:rsid w:val="007F04AB"/>
    <w:rsid w:val="007F0E19"/>
    <w:rsid w:val="007F0FE4"/>
    <w:rsid w:val="007F10F2"/>
    <w:rsid w:val="007F1C06"/>
    <w:rsid w:val="007F2352"/>
    <w:rsid w:val="007F324B"/>
    <w:rsid w:val="007F562D"/>
    <w:rsid w:val="007F589E"/>
    <w:rsid w:val="007F5C8B"/>
    <w:rsid w:val="007F5F85"/>
    <w:rsid w:val="007F7D4E"/>
    <w:rsid w:val="008006DC"/>
    <w:rsid w:val="00800D5F"/>
    <w:rsid w:val="00801B07"/>
    <w:rsid w:val="008020DE"/>
    <w:rsid w:val="0080417D"/>
    <w:rsid w:val="0080477D"/>
    <w:rsid w:val="0080553C"/>
    <w:rsid w:val="0080575A"/>
    <w:rsid w:val="00805B46"/>
    <w:rsid w:val="00806A3A"/>
    <w:rsid w:val="00806B6F"/>
    <w:rsid w:val="00806BE1"/>
    <w:rsid w:val="00806FD2"/>
    <w:rsid w:val="00807502"/>
    <w:rsid w:val="00807D81"/>
    <w:rsid w:val="00812313"/>
    <w:rsid w:val="00813D7E"/>
    <w:rsid w:val="00813DC4"/>
    <w:rsid w:val="0081400D"/>
    <w:rsid w:val="00815520"/>
    <w:rsid w:val="00815967"/>
    <w:rsid w:val="00816AAA"/>
    <w:rsid w:val="00817052"/>
    <w:rsid w:val="00817CCD"/>
    <w:rsid w:val="0082017B"/>
    <w:rsid w:val="0082126A"/>
    <w:rsid w:val="00821E99"/>
    <w:rsid w:val="00821EA7"/>
    <w:rsid w:val="008220EF"/>
    <w:rsid w:val="00825DC2"/>
    <w:rsid w:val="00826E51"/>
    <w:rsid w:val="00827F37"/>
    <w:rsid w:val="008315CF"/>
    <w:rsid w:val="008336FF"/>
    <w:rsid w:val="00833C85"/>
    <w:rsid w:val="00834468"/>
    <w:rsid w:val="00834AD3"/>
    <w:rsid w:val="008360B1"/>
    <w:rsid w:val="008361E5"/>
    <w:rsid w:val="008367C9"/>
    <w:rsid w:val="008371A1"/>
    <w:rsid w:val="00837495"/>
    <w:rsid w:val="0084141A"/>
    <w:rsid w:val="00841C4F"/>
    <w:rsid w:val="008425D2"/>
    <w:rsid w:val="00843795"/>
    <w:rsid w:val="008447FB"/>
    <w:rsid w:val="00844A9F"/>
    <w:rsid w:val="00844F2F"/>
    <w:rsid w:val="00845F82"/>
    <w:rsid w:val="00846142"/>
    <w:rsid w:val="00846FA3"/>
    <w:rsid w:val="008475CE"/>
    <w:rsid w:val="00847F0F"/>
    <w:rsid w:val="008509A5"/>
    <w:rsid w:val="00850A55"/>
    <w:rsid w:val="0085158C"/>
    <w:rsid w:val="00852448"/>
    <w:rsid w:val="008537BF"/>
    <w:rsid w:val="008538B4"/>
    <w:rsid w:val="008551AA"/>
    <w:rsid w:val="00855D77"/>
    <w:rsid w:val="00857530"/>
    <w:rsid w:val="008609E0"/>
    <w:rsid w:val="00861773"/>
    <w:rsid w:val="008619A9"/>
    <w:rsid w:val="0086228C"/>
    <w:rsid w:val="0086298D"/>
    <w:rsid w:val="008643C0"/>
    <w:rsid w:val="00864C9F"/>
    <w:rsid w:val="0086504C"/>
    <w:rsid w:val="0086747F"/>
    <w:rsid w:val="00867E6C"/>
    <w:rsid w:val="00872E73"/>
    <w:rsid w:val="00874263"/>
    <w:rsid w:val="00876DDE"/>
    <w:rsid w:val="0088061E"/>
    <w:rsid w:val="00880BD5"/>
    <w:rsid w:val="00880F52"/>
    <w:rsid w:val="00881BFB"/>
    <w:rsid w:val="00881CBB"/>
    <w:rsid w:val="0088258A"/>
    <w:rsid w:val="008825E4"/>
    <w:rsid w:val="00883EFE"/>
    <w:rsid w:val="00885BB4"/>
    <w:rsid w:val="00886332"/>
    <w:rsid w:val="0088640C"/>
    <w:rsid w:val="00890DBD"/>
    <w:rsid w:val="00891B9E"/>
    <w:rsid w:val="00892124"/>
    <w:rsid w:val="00892F8F"/>
    <w:rsid w:val="00894BE4"/>
    <w:rsid w:val="008958A8"/>
    <w:rsid w:val="00895DD0"/>
    <w:rsid w:val="00896319"/>
    <w:rsid w:val="00896486"/>
    <w:rsid w:val="008967C6"/>
    <w:rsid w:val="00897491"/>
    <w:rsid w:val="00897923"/>
    <w:rsid w:val="008A0D74"/>
    <w:rsid w:val="008A106B"/>
    <w:rsid w:val="008A221A"/>
    <w:rsid w:val="008A26D9"/>
    <w:rsid w:val="008A3C0A"/>
    <w:rsid w:val="008A3ED7"/>
    <w:rsid w:val="008A593E"/>
    <w:rsid w:val="008A598A"/>
    <w:rsid w:val="008A68F9"/>
    <w:rsid w:val="008A7334"/>
    <w:rsid w:val="008A7F37"/>
    <w:rsid w:val="008B0517"/>
    <w:rsid w:val="008B2079"/>
    <w:rsid w:val="008B293E"/>
    <w:rsid w:val="008B2AA1"/>
    <w:rsid w:val="008B2CD9"/>
    <w:rsid w:val="008B42AE"/>
    <w:rsid w:val="008B42EC"/>
    <w:rsid w:val="008B569F"/>
    <w:rsid w:val="008B56FC"/>
    <w:rsid w:val="008B5D9E"/>
    <w:rsid w:val="008B63B1"/>
    <w:rsid w:val="008C0C29"/>
    <w:rsid w:val="008C24C0"/>
    <w:rsid w:val="008C2F34"/>
    <w:rsid w:val="008C3664"/>
    <w:rsid w:val="008C4877"/>
    <w:rsid w:val="008C489C"/>
    <w:rsid w:val="008C6BF3"/>
    <w:rsid w:val="008C77FB"/>
    <w:rsid w:val="008C7D5C"/>
    <w:rsid w:val="008D105E"/>
    <w:rsid w:val="008D1F04"/>
    <w:rsid w:val="008D291A"/>
    <w:rsid w:val="008D3718"/>
    <w:rsid w:val="008D3E42"/>
    <w:rsid w:val="008D49B2"/>
    <w:rsid w:val="008D4ABA"/>
    <w:rsid w:val="008D5067"/>
    <w:rsid w:val="008D50D3"/>
    <w:rsid w:val="008D7204"/>
    <w:rsid w:val="008D734B"/>
    <w:rsid w:val="008E051F"/>
    <w:rsid w:val="008E1075"/>
    <w:rsid w:val="008E1770"/>
    <w:rsid w:val="008E23A6"/>
    <w:rsid w:val="008E2764"/>
    <w:rsid w:val="008E3166"/>
    <w:rsid w:val="008E3C73"/>
    <w:rsid w:val="008E5301"/>
    <w:rsid w:val="008E5817"/>
    <w:rsid w:val="008F05DC"/>
    <w:rsid w:val="008F2519"/>
    <w:rsid w:val="008F3638"/>
    <w:rsid w:val="008F3C0F"/>
    <w:rsid w:val="008F5629"/>
    <w:rsid w:val="008F6BFF"/>
    <w:rsid w:val="008F6F31"/>
    <w:rsid w:val="008F7311"/>
    <w:rsid w:val="008F74DF"/>
    <w:rsid w:val="009006E7"/>
    <w:rsid w:val="00901025"/>
    <w:rsid w:val="00901163"/>
    <w:rsid w:val="00901F3A"/>
    <w:rsid w:val="00902145"/>
    <w:rsid w:val="00903E49"/>
    <w:rsid w:val="00907B40"/>
    <w:rsid w:val="0091025D"/>
    <w:rsid w:val="0091065E"/>
    <w:rsid w:val="009107B5"/>
    <w:rsid w:val="00910BBB"/>
    <w:rsid w:val="00910D7A"/>
    <w:rsid w:val="00910F71"/>
    <w:rsid w:val="009127BA"/>
    <w:rsid w:val="00912EFD"/>
    <w:rsid w:val="00912F00"/>
    <w:rsid w:val="00912FC7"/>
    <w:rsid w:val="00914AB8"/>
    <w:rsid w:val="00914BE1"/>
    <w:rsid w:val="009154E3"/>
    <w:rsid w:val="00916DF4"/>
    <w:rsid w:val="00917E3B"/>
    <w:rsid w:val="0092085D"/>
    <w:rsid w:val="00920DD0"/>
    <w:rsid w:val="00920E95"/>
    <w:rsid w:val="00922409"/>
    <w:rsid w:val="009227A6"/>
    <w:rsid w:val="00923BFE"/>
    <w:rsid w:val="009249BE"/>
    <w:rsid w:val="00924D8C"/>
    <w:rsid w:val="009255D6"/>
    <w:rsid w:val="00926199"/>
    <w:rsid w:val="00927F3B"/>
    <w:rsid w:val="00931687"/>
    <w:rsid w:val="00931D22"/>
    <w:rsid w:val="0093275E"/>
    <w:rsid w:val="00932FB7"/>
    <w:rsid w:val="0093368A"/>
    <w:rsid w:val="009337E5"/>
    <w:rsid w:val="00933EC1"/>
    <w:rsid w:val="009351EA"/>
    <w:rsid w:val="0093521B"/>
    <w:rsid w:val="00935C7E"/>
    <w:rsid w:val="00936E36"/>
    <w:rsid w:val="00936F8C"/>
    <w:rsid w:val="009370B1"/>
    <w:rsid w:val="0094073B"/>
    <w:rsid w:val="009408CE"/>
    <w:rsid w:val="00940F29"/>
    <w:rsid w:val="00940FE5"/>
    <w:rsid w:val="009429D6"/>
    <w:rsid w:val="00943D8D"/>
    <w:rsid w:val="00944554"/>
    <w:rsid w:val="00944DB2"/>
    <w:rsid w:val="009464A1"/>
    <w:rsid w:val="00947500"/>
    <w:rsid w:val="00951205"/>
    <w:rsid w:val="009515E6"/>
    <w:rsid w:val="00951C2D"/>
    <w:rsid w:val="00951D54"/>
    <w:rsid w:val="009527B3"/>
    <w:rsid w:val="00952D37"/>
    <w:rsid w:val="009530DB"/>
    <w:rsid w:val="00953676"/>
    <w:rsid w:val="00953A80"/>
    <w:rsid w:val="00953E60"/>
    <w:rsid w:val="00954EA2"/>
    <w:rsid w:val="00957BB0"/>
    <w:rsid w:val="009605BC"/>
    <w:rsid w:val="00961B3F"/>
    <w:rsid w:val="00961C09"/>
    <w:rsid w:val="009626BA"/>
    <w:rsid w:val="00963EBE"/>
    <w:rsid w:val="00963EFA"/>
    <w:rsid w:val="00963F60"/>
    <w:rsid w:val="00964130"/>
    <w:rsid w:val="00964879"/>
    <w:rsid w:val="00964C41"/>
    <w:rsid w:val="00965117"/>
    <w:rsid w:val="009654F4"/>
    <w:rsid w:val="009668E9"/>
    <w:rsid w:val="00966E0D"/>
    <w:rsid w:val="009705EE"/>
    <w:rsid w:val="00971215"/>
    <w:rsid w:val="00971603"/>
    <w:rsid w:val="0097192E"/>
    <w:rsid w:val="00971BA6"/>
    <w:rsid w:val="00972A6B"/>
    <w:rsid w:val="00972D39"/>
    <w:rsid w:val="00973A7A"/>
    <w:rsid w:val="00973F0D"/>
    <w:rsid w:val="00975A99"/>
    <w:rsid w:val="00975F91"/>
    <w:rsid w:val="00976E09"/>
    <w:rsid w:val="0097743C"/>
    <w:rsid w:val="00977927"/>
    <w:rsid w:val="0098031C"/>
    <w:rsid w:val="0098135C"/>
    <w:rsid w:val="0098156A"/>
    <w:rsid w:val="0098180F"/>
    <w:rsid w:val="009841D8"/>
    <w:rsid w:val="0098480E"/>
    <w:rsid w:val="00985495"/>
    <w:rsid w:val="0098614D"/>
    <w:rsid w:val="009872E1"/>
    <w:rsid w:val="00987783"/>
    <w:rsid w:val="00990B8A"/>
    <w:rsid w:val="00991BAC"/>
    <w:rsid w:val="00991FD2"/>
    <w:rsid w:val="0099370E"/>
    <w:rsid w:val="009937E6"/>
    <w:rsid w:val="00995182"/>
    <w:rsid w:val="00995CAC"/>
    <w:rsid w:val="00997452"/>
    <w:rsid w:val="0099778B"/>
    <w:rsid w:val="009A0155"/>
    <w:rsid w:val="009A09F8"/>
    <w:rsid w:val="009A129A"/>
    <w:rsid w:val="009A1938"/>
    <w:rsid w:val="009A1E3B"/>
    <w:rsid w:val="009A2C7B"/>
    <w:rsid w:val="009A405F"/>
    <w:rsid w:val="009A6EA0"/>
    <w:rsid w:val="009A6EAC"/>
    <w:rsid w:val="009A79FC"/>
    <w:rsid w:val="009A7BC8"/>
    <w:rsid w:val="009A7FA5"/>
    <w:rsid w:val="009B02CE"/>
    <w:rsid w:val="009B104C"/>
    <w:rsid w:val="009B12A9"/>
    <w:rsid w:val="009B2454"/>
    <w:rsid w:val="009C03FB"/>
    <w:rsid w:val="009C1335"/>
    <w:rsid w:val="009C1738"/>
    <w:rsid w:val="009C1AB2"/>
    <w:rsid w:val="009C2168"/>
    <w:rsid w:val="009C27BE"/>
    <w:rsid w:val="009C2C55"/>
    <w:rsid w:val="009C4582"/>
    <w:rsid w:val="009C7251"/>
    <w:rsid w:val="009C73FC"/>
    <w:rsid w:val="009D056E"/>
    <w:rsid w:val="009D1087"/>
    <w:rsid w:val="009D128C"/>
    <w:rsid w:val="009D1BBE"/>
    <w:rsid w:val="009D399A"/>
    <w:rsid w:val="009D3AF1"/>
    <w:rsid w:val="009D5BC1"/>
    <w:rsid w:val="009D5D5E"/>
    <w:rsid w:val="009D7E92"/>
    <w:rsid w:val="009E06D1"/>
    <w:rsid w:val="009E0F86"/>
    <w:rsid w:val="009E0FC4"/>
    <w:rsid w:val="009E163E"/>
    <w:rsid w:val="009E1994"/>
    <w:rsid w:val="009E1DD7"/>
    <w:rsid w:val="009E2519"/>
    <w:rsid w:val="009E25B8"/>
    <w:rsid w:val="009E27BF"/>
    <w:rsid w:val="009E2B2E"/>
    <w:rsid w:val="009E2B3A"/>
    <w:rsid w:val="009E2E91"/>
    <w:rsid w:val="009E4CD5"/>
    <w:rsid w:val="009E4F4D"/>
    <w:rsid w:val="009E563F"/>
    <w:rsid w:val="009E58D3"/>
    <w:rsid w:val="009E6BDE"/>
    <w:rsid w:val="009E71FD"/>
    <w:rsid w:val="009E7961"/>
    <w:rsid w:val="009F32BE"/>
    <w:rsid w:val="009F3EF0"/>
    <w:rsid w:val="009F44A3"/>
    <w:rsid w:val="009F4CBE"/>
    <w:rsid w:val="009F683E"/>
    <w:rsid w:val="009F6AFD"/>
    <w:rsid w:val="009F7678"/>
    <w:rsid w:val="009F7D1D"/>
    <w:rsid w:val="00A01B59"/>
    <w:rsid w:val="00A02583"/>
    <w:rsid w:val="00A02A49"/>
    <w:rsid w:val="00A04266"/>
    <w:rsid w:val="00A05126"/>
    <w:rsid w:val="00A05BF7"/>
    <w:rsid w:val="00A05FC3"/>
    <w:rsid w:val="00A0656F"/>
    <w:rsid w:val="00A10CE2"/>
    <w:rsid w:val="00A10D64"/>
    <w:rsid w:val="00A110B5"/>
    <w:rsid w:val="00A113AD"/>
    <w:rsid w:val="00A12370"/>
    <w:rsid w:val="00A12A10"/>
    <w:rsid w:val="00A139F5"/>
    <w:rsid w:val="00A13EF0"/>
    <w:rsid w:val="00A141EF"/>
    <w:rsid w:val="00A159B9"/>
    <w:rsid w:val="00A15E73"/>
    <w:rsid w:val="00A170E2"/>
    <w:rsid w:val="00A17A60"/>
    <w:rsid w:val="00A2001D"/>
    <w:rsid w:val="00A205E4"/>
    <w:rsid w:val="00A20B8D"/>
    <w:rsid w:val="00A20D78"/>
    <w:rsid w:val="00A23461"/>
    <w:rsid w:val="00A23C79"/>
    <w:rsid w:val="00A23D2D"/>
    <w:rsid w:val="00A241F9"/>
    <w:rsid w:val="00A260F7"/>
    <w:rsid w:val="00A27B94"/>
    <w:rsid w:val="00A30007"/>
    <w:rsid w:val="00A30FA0"/>
    <w:rsid w:val="00A31177"/>
    <w:rsid w:val="00A33647"/>
    <w:rsid w:val="00A35273"/>
    <w:rsid w:val="00A35D75"/>
    <w:rsid w:val="00A3646E"/>
    <w:rsid w:val="00A365F4"/>
    <w:rsid w:val="00A40483"/>
    <w:rsid w:val="00A421C4"/>
    <w:rsid w:val="00A4294A"/>
    <w:rsid w:val="00A43B8B"/>
    <w:rsid w:val="00A440C8"/>
    <w:rsid w:val="00A448F4"/>
    <w:rsid w:val="00A4689F"/>
    <w:rsid w:val="00A47105"/>
    <w:rsid w:val="00A47D80"/>
    <w:rsid w:val="00A5076E"/>
    <w:rsid w:val="00A51C40"/>
    <w:rsid w:val="00A52749"/>
    <w:rsid w:val="00A53132"/>
    <w:rsid w:val="00A5368C"/>
    <w:rsid w:val="00A53E73"/>
    <w:rsid w:val="00A54170"/>
    <w:rsid w:val="00A55752"/>
    <w:rsid w:val="00A55796"/>
    <w:rsid w:val="00A563F2"/>
    <w:rsid w:val="00A566E8"/>
    <w:rsid w:val="00A5786F"/>
    <w:rsid w:val="00A57C17"/>
    <w:rsid w:val="00A6078E"/>
    <w:rsid w:val="00A6135D"/>
    <w:rsid w:val="00A6431C"/>
    <w:rsid w:val="00A6492B"/>
    <w:rsid w:val="00A65131"/>
    <w:rsid w:val="00A6638F"/>
    <w:rsid w:val="00A67D38"/>
    <w:rsid w:val="00A70BAF"/>
    <w:rsid w:val="00A70FEA"/>
    <w:rsid w:val="00A712A8"/>
    <w:rsid w:val="00A726DB"/>
    <w:rsid w:val="00A726F7"/>
    <w:rsid w:val="00A732C4"/>
    <w:rsid w:val="00A74244"/>
    <w:rsid w:val="00A74B8E"/>
    <w:rsid w:val="00A754D5"/>
    <w:rsid w:val="00A76E58"/>
    <w:rsid w:val="00A770E2"/>
    <w:rsid w:val="00A77875"/>
    <w:rsid w:val="00A810F9"/>
    <w:rsid w:val="00A81E72"/>
    <w:rsid w:val="00A83197"/>
    <w:rsid w:val="00A8340F"/>
    <w:rsid w:val="00A83D72"/>
    <w:rsid w:val="00A8587A"/>
    <w:rsid w:val="00A86ECC"/>
    <w:rsid w:val="00A86FCC"/>
    <w:rsid w:val="00A87375"/>
    <w:rsid w:val="00A91596"/>
    <w:rsid w:val="00A915F0"/>
    <w:rsid w:val="00A920A9"/>
    <w:rsid w:val="00A927D5"/>
    <w:rsid w:val="00A92D29"/>
    <w:rsid w:val="00A93631"/>
    <w:rsid w:val="00A93E50"/>
    <w:rsid w:val="00A9412D"/>
    <w:rsid w:val="00A94F99"/>
    <w:rsid w:val="00A951C2"/>
    <w:rsid w:val="00A95309"/>
    <w:rsid w:val="00A96DD8"/>
    <w:rsid w:val="00A96E1C"/>
    <w:rsid w:val="00A97055"/>
    <w:rsid w:val="00A975DF"/>
    <w:rsid w:val="00AA2AF8"/>
    <w:rsid w:val="00AA377B"/>
    <w:rsid w:val="00AA3E70"/>
    <w:rsid w:val="00AA456E"/>
    <w:rsid w:val="00AA53AD"/>
    <w:rsid w:val="00AA5EEE"/>
    <w:rsid w:val="00AA64B3"/>
    <w:rsid w:val="00AA710D"/>
    <w:rsid w:val="00AA7783"/>
    <w:rsid w:val="00AB04BB"/>
    <w:rsid w:val="00AB07E3"/>
    <w:rsid w:val="00AB1505"/>
    <w:rsid w:val="00AB2B16"/>
    <w:rsid w:val="00AB49A9"/>
    <w:rsid w:val="00AB4EBB"/>
    <w:rsid w:val="00AB4FDA"/>
    <w:rsid w:val="00AB54E6"/>
    <w:rsid w:val="00AB68B4"/>
    <w:rsid w:val="00AB6D25"/>
    <w:rsid w:val="00AB722E"/>
    <w:rsid w:val="00AB74BF"/>
    <w:rsid w:val="00AB7780"/>
    <w:rsid w:val="00AB783C"/>
    <w:rsid w:val="00AC14FD"/>
    <w:rsid w:val="00AC1DB6"/>
    <w:rsid w:val="00AC327F"/>
    <w:rsid w:val="00AC4E61"/>
    <w:rsid w:val="00AC6241"/>
    <w:rsid w:val="00AC6394"/>
    <w:rsid w:val="00AC6D4B"/>
    <w:rsid w:val="00AD0AD8"/>
    <w:rsid w:val="00AD0D85"/>
    <w:rsid w:val="00AD13B6"/>
    <w:rsid w:val="00AD1A8C"/>
    <w:rsid w:val="00AD2130"/>
    <w:rsid w:val="00AD2713"/>
    <w:rsid w:val="00AD3970"/>
    <w:rsid w:val="00AD5E78"/>
    <w:rsid w:val="00AD6AB1"/>
    <w:rsid w:val="00AD7788"/>
    <w:rsid w:val="00AD7EA5"/>
    <w:rsid w:val="00AD7F87"/>
    <w:rsid w:val="00AE0482"/>
    <w:rsid w:val="00AE1025"/>
    <w:rsid w:val="00AE1E29"/>
    <w:rsid w:val="00AE2D4B"/>
    <w:rsid w:val="00AE325A"/>
    <w:rsid w:val="00AE41AA"/>
    <w:rsid w:val="00AE43FF"/>
    <w:rsid w:val="00AE4DAE"/>
    <w:rsid w:val="00AE4F99"/>
    <w:rsid w:val="00AE6A3C"/>
    <w:rsid w:val="00AE739C"/>
    <w:rsid w:val="00AE765A"/>
    <w:rsid w:val="00AF17C8"/>
    <w:rsid w:val="00AF31D5"/>
    <w:rsid w:val="00AF331D"/>
    <w:rsid w:val="00AF45DC"/>
    <w:rsid w:val="00AF7099"/>
    <w:rsid w:val="00B009DC"/>
    <w:rsid w:val="00B00A0F"/>
    <w:rsid w:val="00B00AB8"/>
    <w:rsid w:val="00B0129F"/>
    <w:rsid w:val="00B0270F"/>
    <w:rsid w:val="00B02982"/>
    <w:rsid w:val="00B0383A"/>
    <w:rsid w:val="00B0401A"/>
    <w:rsid w:val="00B06255"/>
    <w:rsid w:val="00B0752C"/>
    <w:rsid w:val="00B079FE"/>
    <w:rsid w:val="00B10FAA"/>
    <w:rsid w:val="00B110D1"/>
    <w:rsid w:val="00B11310"/>
    <w:rsid w:val="00B11B36"/>
    <w:rsid w:val="00B146F1"/>
    <w:rsid w:val="00B14952"/>
    <w:rsid w:val="00B16590"/>
    <w:rsid w:val="00B20266"/>
    <w:rsid w:val="00B21110"/>
    <w:rsid w:val="00B2132E"/>
    <w:rsid w:val="00B21598"/>
    <w:rsid w:val="00B215B7"/>
    <w:rsid w:val="00B21D49"/>
    <w:rsid w:val="00B21EF4"/>
    <w:rsid w:val="00B21F94"/>
    <w:rsid w:val="00B22813"/>
    <w:rsid w:val="00B22A94"/>
    <w:rsid w:val="00B22DB1"/>
    <w:rsid w:val="00B237C7"/>
    <w:rsid w:val="00B24500"/>
    <w:rsid w:val="00B2475F"/>
    <w:rsid w:val="00B24778"/>
    <w:rsid w:val="00B248FB"/>
    <w:rsid w:val="00B24B48"/>
    <w:rsid w:val="00B253D4"/>
    <w:rsid w:val="00B26543"/>
    <w:rsid w:val="00B26FC1"/>
    <w:rsid w:val="00B272A5"/>
    <w:rsid w:val="00B277E4"/>
    <w:rsid w:val="00B27B6E"/>
    <w:rsid w:val="00B308E5"/>
    <w:rsid w:val="00B30999"/>
    <w:rsid w:val="00B31E5A"/>
    <w:rsid w:val="00B32B6C"/>
    <w:rsid w:val="00B32C73"/>
    <w:rsid w:val="00B32DF4"/>
    <w:rsid w:val="00B33D25"/>
    <w:rsid w:val="00B33E36"/>
    <w:rsid w:val="00B35557"/>
    <w:rsid w:val="00B3558D"/>
    <w:rsid w:val="00B35B1B"/>
    <w:rsid w:val="00B35FFB"/>
    <w:rsid w:val="00B364FE"/>
    <w:rsid w:val="00B3697B"/>
    <w:rsid w:val="00B40444"/>
    <w:rsid w:val="00B41DE5"/>
    <w:rsid w:val="00B4203E"/>
    <w:rsid w:val="00B426F3"/>
    <w:rsid w:val="00B428BF"/>
    <w:rsid w:val="00B42932"/>
    <w:rsid w:val="00B429A1"/>
    <w:rsid w:val="00B43078"/>
    <w:rsid w:val="00B44A50"/>
    <w:rsid w:val="00B44FF0"/>
    <w:rsid w:val="00B4544F"/>
    <w:rsid w:val="00B455E4"/>
    <w:rsid w:val="00B45ECA"/>
    <w:rsid w:val="00B469D0"/>
    <w:rsid w:val="00B46B29"/>
    <w:rsid w:val="00B46EEA"/>
    <w:rsid w:val="00B47EBC"/>
    <w:rsid w:val="00B520C3"/>
    <w:rsid w:val="00B52643"/>
    <w:rsid w:val="00B528D6"/>
    <w:rsid w:val="00B52EBB"/>
    <w:rsid w:val="00B53739"/>
    <w:rsid w:val="00B54CB2"/>
    <w:rsid w:val="00B54F03"/>
    <w:rsid w:val="00B55198"/>
    <w:rsid w:val="00B557B2"/>
    <w:rsid w:val="00B5761B"/>
    <w:rsid w:val="00B60641"/>
    <w:rsid w:val="00B606FD"/>
    <w:rsid w:val="00B60A14"/>
    <w:rsid w:val="00B6129D"/>
    <w:rsid w:val="00B613E7"/>
    <w:rsid w:val="00B624F6"/>
    <w:rsid w:val="00B62D35"/>
    <w:rsid w:val="00B62EF4"/>
    <w:rsid w:val="00B63A9D"/>
    <w:rsid w:val="00B642C0"/>
    <w:rsid w:val="00B653AB"/>
    <w:rsid w:val="00B65A33"/>
    <w:rsid w:val="00B65F9E"/>
    <w:rsid w:val="00B66B19"/>
    <w:rsid w:val="00B66EEC"/>
    <w:rsid w:val="00B670D5"/>
    <w:rsid w:val="00B673B3"/>
    <w:rsid w:val="00B679E3"/>
    <w:rsid w:val="00B726E2"/>
    <w:rsid w:val="00B72CD8"/>
    <w:rsid w:val="00B74060"/>
    <w:rsid w:val="00B7710D"/>
    <w:rsid w:val="00B77B53"/>
    <w:rsid w:val="00B81F8E"/>
    <w:rsid w:val="00B82259"/>
    <w:rsid w:val="00B822E4"/>
    <w:rsid w:val="00B8250E"/>
    <w:rsid w:val="00B828B9"/>
    <w:rsid w:val="00B82AF2"/>
    <w:rsid w:val="00B83442"/>
    <w:rsid w:val="00B83D3F"/>
    <w:rsid w:val="00B8543C"/>
    <w:rsid w:val="00B87204"/>
    <w:rsid w:val="00B914E9"/>
    <w:rsid w:val="00B92A68"/>
    <w:rsid w:val="00B940F1"/>
    <w:rsid w:val="00B9459A"/>
    <w:rsid w:val="00B94AB3"/>
    <w:rsid w:val="00B94DF6"/>
    <w:rsid w:val="00B94F0D"/>
    <w:rsid w:val="00B94FC5"/>
    <w:rsid w:val="00B956EE"/>
    <w:rsid w:val="00B96F25"/>
    <w:rsid w:val="00BA0704"/>
    <w:rsid w:val="00BA0789"/>
    <w:rsid w:val="00BA298E"/>
    <w:rsid w:val="00BA2BA1"/>
    <w:rsid w:val="00BA3921"/>
    <w:rsid w:val="00BA4645"/>
    <w:rsid w:val="00BA5AD7"/>
    <w:rsid w:val="00BA5E0E"/>
    <w:rsid w:val="00BA6198"/>
    <w:rsid w:val="00BA6A71"/>
    <w:rsid w:val="00BA6EFE"/>
    <w:rsid w:val="00BA77F5"/>
    <w:rsid w:val="00BA7C85"/>
    <w:rsid w:val="00BB1959"/>
    <w:rsid w:val="00BB1C19"/>
    <w:rsid w:val="00BB36B7"/>
    <w:rsid w:val="00BB36F6"/>
    <w:rsid w:val="00BB3C3E"/>
    <w:rsid w:val="00BB4D93"/>
    <w:rsid w:val="00BB4E2A"/>
    <w:rsid w:val="00BB4F09"/>
    <w:rsid w:val="00BB5355"/>
    <w:rsid w:val="00BB6316"/>
    <w:rsid w:val="00BB7F16"/>
    <w:rsid w:val="00BC0EAA"/>
    <w:rsid w:val="00BC12F6"/>
    <w:rsid w:val="00BC2085"/>
    <w:rsid w:val="00BC24B0"/>
    <w:rsid w:val="00BC2E9F"/>
    <w:rsid w:val="00BC3087"/>
    <w:rsid w:val="00BC39F5"/>
    <w:rsid w:val="00BC46D9"/>
    <w:rsid w:val="00BC4A37"/>
    <w:rsid w:val="00BC4D09"/>
    <w:rsid w:val="00BC7665"/>
    <w:rsid w:val="00BD06F4"/>
    <w:rsid w:val="00BD0892"/>
    <w:rsid w:val="00BD159E"/>
    <w:rsid w:val="00BD279E"/>
    <w:rsid w:val="00BD3035"/>
    <w:rsid w:val="00BD3531"/>
    <w:rsid w:val="00BD3F4A"/>
    <w:rsid w:val="00BD4544"/>
    <w:rsid w:val="00BD4E33"/>
    <w:rsid w:val="00BD574D"/>
    <w:rsid w:val="00BD6675"/>
    <w:rsid w:val="00BD6FBC"/>
    <w:rsid w:val="00BD7091"/>
    <w:rsid w:val="00BD7F83"/>
    <w:rsid w:val="00BE040E"/>
    <w:rsid w:val="00BE0B2B"/>
    <w:rsid w:val="00BE3FD7"/>
    <w:rsid w:val="00BE50DB"/>
    <w:rsid w:val="00BE5637"/>
    <w:rsid w:val="00BE59C4"/>
    <w:rsid w:val="00BE6ADD"/>
    <w:rsid w:val="00BE6BA1"/>
    <w:rsid w:val="00BE7FEB"/>
    <w:rsid w:val="00BF0F65"/>
    <w:rsid w:val="00BF0F7D"/>
    <w:rsid w:val="00BF3857"/>
    <w:rsid w:val="00BF3B03"/>
    <w:rsid w:val="00BF6117"/>
    <w:rsid w:val="00BF7F96"/>
    <w:rsid w:val="00C01C26"/>
    <w:rsid w:val="00C02BBF"/>
    <w:rsid w:val="00C030DE"/>
    <w:rsid w:val="00C04D8E"/>
    <w:rsid w:val="00C06264"/>
    <w:rsid w:val="00C06964"/>
    <w:rsid w:val="00C10905"/>
    <w:rsid w:val="00C10A7C"/>
    <w:rsid w:val="00C10B8C"/>
    <w:rsid w:val="00C10FD8"/>
    <w:rsid w:val="00C113E7"/>
    <w:rsid w:val="00C12B8A"/>
    <w:rsid w:val="00C13368"/>
    <w:rsid w:val="00C13661"/>
    <w:rsid w:val="00C13DEC"/>
    <w:rsid w:val="00C14FE8"/>
    <w:rsid w:val="00C152D9"/>
    <w:rsid w:val="00C15C7B"/>
    <w:rsid w:val="00C16D9C"/>
    <w:rsid w:val="00C17A0A"/>
    <w:rsid w:val="00C20984"/>
    <w:rsid w:val="00C220E9"/>
    <w:rsid w:val="00C22105"/>
    <w:rsid w:val="00C222EC"/>
    <w:rsid w:val="00C231AC"/>
    <w:rsid w:val="00C2340C"/>
    <w:rsid w:val="00C23714"/>
    <w:rsid w:val="00C23BC6"/>
    <w:rsid w:val="00C244B6"/>
    <w:rsid w:val="00C24560"/>
    <w:rsid w:val="00C248FC"/>
    <w:rsid w:val="00C30293"/>
    <w:rsid w:val="00C30376"/>
    <w:rsid w:val="00C30674"/>
    <w:rsid w:val="00C309D7"/>
    <w:rsid w:val="00C320D4"/>
    <w:rsid w:val="00C32E47"/>
    <w:rsid w:val="00C33EB3"/>
    <w:rsid w:val="00C34A7A"/>
    <w:rsid w:val="00C35E76"/>
    <w:rsid w:val="00C3600C"/>
    <w:rsid w:val="00C360ED"/>
    <w:rsid w:val="00C364C1"/>
    <w:rsid w:val="00C3702F"/>
    <w:rsid w:val="00C37298"/>
    <w:rsid w:val="00C402CC"/>
    <w:rsid w:val="00C40887"/>
    <w:rsid w:val="00C41AD0"/>
    <w:rsid w:val="00C41CFD"/>
    <w:rsid w:val="00C420F4"/>
    <w:rsid w:val="00C43AC8"/>
    <w:rsid w:val="00C4427E"/>
    <w:rsid w:val="00C44667"/>
    <w:rsid w:val="00C44A96"/>
    <w:rsid w:val="00C44CC4"/>
    <w:rsid w:val="00C45424"/>
    <w:rsid w:val="00C46F2A"/>
    <w:rsid w:val="00C471BE"/>
    <w:rsid w:val="00C52B58"/>
    <w:rsid w:val="00C52E37"/>
    <w:rsid w:val="00C54611"/>
    <w:rsid w:val="00C54D8B"/>
    <w:rsid w:val="00C558CC"/>
    <w:rsid w:val="00C56302"/>
    <w:rsid w:val="00C56AFE"/>
    <w:rsid w:val="00C57929"/>
    <w:rsid w:val="00C60C49"/>
    <w:rsid w:val="00C6252C"/>
    <w:rsid w:val="00C62875"/>
    <w:rsid w:val="00C63080"/>
    <w:rsid w:val="00C631DF"/>
    <w:rsid w:val="00C640EA"/>
    <w:rsid w:val="00C64A37"/>
    <w:rsid w:val="00C64AE8"/>
    <w:rsid w:val="00C6514D"/>
    <w:rsid w:val="00C65271"/>
    <w:rsid w:val="00C65BFC"/>
    <w:rsid w:val="00C65EF0"/>
    <w:rsid w:val="00C66321"/>
    <w:rsid w:val="00C675B9"/>
    <w:rsid w:val="00C70316"/>
    <w:rsid w:val="00C70E5C"/>
    <w:rsid w:val="00C7158E"/>
    <w:rsid w:val="00C72001"/>
    <w:rsid w:val="00C723F9"/>
    <w:rsid w:val="00C7250B"/>
    <w:rsid w:val="00C7346B"/>
    <w:rsid w:val="00C73F2A"/>
    <w:rsid w:val="00C74B0A"/>
    <w:rsid w:val="00C75ED0"/>
    <w:rsid w:val="00C76403"/>
    <w:rsid w:val="00C76726"/>
    <w:rsid w:val="00C77C0E"/>
    <w:rsid w:val="00C77E9D"/>
    <w:rsid w:val="00C80317"/>
    <w:rsid w:val="00C80B0D"/>
    <w:rsid w:val="00C824D7"/>
    <w:rsid w:val="00C82653"/>
    <w:rsid w:val="00C83267"/>
    <w:rsid w:val="00C837AC"/>
    <w:rsid w:val="00C83B94"/>
    <w:rsid w:val="00C84A56"/>
    <w:rsid w:val="00C85B6F"/>
    <w:rsid w:val="00C85EAB"/>
    <w:rsid w:val="00C861AE"/>
    <w:rsid w:val="00C86A5E"/>
    <w:rsid w:val="00C86AE4"/>
    <w:rsid w:val="00C87BE8"/>
    <w:rsid w:val="00C87DFE"/>
    <w:rsid w:val="00C90426"/>
    <w:rsid w:val="00C91687"/>
    <w:rsid w:val="00C91D54"/>
    <w:rsid w:val="00C9239F"/>
    <w:rsid w:val="00C924A8"/>
    <w:rsid w:val="00C93F6B"/>
    <w:rsid w:val="00C945FE"/>
    <w:rsid w:val="00C9476F"/>
    <w:rsid w:val="00C94F6A"/>
    <w:rsid w:val="00C95460"/>
    <w:rsid w:val="00C95866"/>
    <w:rsid w:val="00C95A32"/>
    <w:rsid w:val="00C965AA"/>
    <w:rsid w:val="00C96FAA"/>
    <w:rsid w:val="00C97A04"/>
    <w:rsid w:val="00CA107B"/>
    <w:rsid w:val="00CA404E"/>
    <w:rsid w:val="00CA484D"/>
    <w:rsid w:val="00CA4BBD"/>
    <w:rsid w:val="00CA5F6C"/>
    <w:rsid w:val="00CA616F"/>
    <w:rsid w:val="00CA7304"/>
    <w:rsid w:val="00CA741B"/>
    <w:rsid w:val="00CA745A"/>
    <w:rsid w:val="00CB0714"/>
    <w:rsid w:val="00CB08B8"/>
    <w:rsid w:val="00CB2699"/>
    <w:rsid w:val="00CB2C49"/>
    <w:rsid w:val="00CB3A55"/>
    <w:rsid w:val="00CB4AC5"/>
    <w:rsid w:val="00CB4F71"/>
    <w:rsid w:val="00CB61A1"/>
    <w:rsid w:val="00CB63BD"/>
    <w:rsid w:val="00CB704F"/>
    <w:rsid w:val="00CC1974"/>
    <w:rsid w:val="00CC1D3E"/>
    <w:rsid w:val="00CC2931"/>
    <w:rsid w:val="00CC4C5E"/>
    <w:rsid w:val="00CC5BB7"/>
    <w:rsid w:val="00CC64EA"/>
    <w:rsid w:val="00CC65EE"/>
    <w:rsid w:val="00CC739E"/>
    <w:rsid w:val="00CC783B"/>
    <w:rsid w:val="00CC7C84"/>
    <w:rsid w:val="00CD1400"/>
    <w:rsid w:val="00CD14EB"/>
    <w:rsid w:val="00CD34FC"/>
    <w:rsid w:val="00CD3F99"/>
    <w:rsid w:val="00CD4ABD"/>
    <w:rsid w:val="00CD4FF4"/>
    <w:rsid w:val="00CD58B7"/>
    <w:rsid w:val="00CD6191"/>
    <w:rsid w:val="00CD6E74"/>
    <w:rsid w:val="00CD7EE0"/>
    <w:rsid w:val="00CE0A13"/>
    <w:rsid w:val="00CE11BF"/>
    <w:rsid w:val="00CE189C"/>
    <w:rsid w:val="00CE26A6"/>
    <w:rsid w:val="00CE3921"/>
    <w:rsid w:val="00CE4DFB"/>
    <w:rsid w:val="00CE6C8A"/>
    <w:rsid w:val="00CE76F3"/>
    <w:rsid w:val="00CF0720"/>
    <w:rsid w:val="00CF13F0"/>
    <w:rsid w:val="00CF2276"/>
    <w:rsid w:val="00CF2604"/>
    <w:rsid w:val="00CF329F"/>
    <w:rsid w:val="00CF3324"/>
    <w:rsid w:val="00CF4099"/>
    <w:rsid w:val="00CF57C1"/>
    <w:rsid w:val="00CF6E5A"/>
    <w:rsid w:val="00D00111"/>
    <w:rsid w:val="00D00796"/>
    <w:rsid w:val="00D014B2"/>
    <w:rsid w:val="00D01761"/>
    <w:rsid w:val="00D019C5"/>
    <w:rsid w:val="00D02312"/>
    <w:rsid w:val="00D04601"/>
    <w:rsid w:val="00D056E0"/>
    <w:rsid w:val="00D06AB4"/>
    <w:rsid w:val="00D07691"/>
    <w:rsid w:val="00D07759"/>
    <w:rsid w:val="00D077AF"/>
    <w:rsid w:val="00D07EAD"/>
    <w:rsid w:val="00D11F96"/>
    <w:rsid w:val="00D133C9"/>
    <w:rsid w:val="00D13D1B"/>
    <w:rsid w:val="00D144C1"/>
    <w:rsid w:val="00D14F03"/>
    <w:rsid w:val="00D17922"/>
    <w:rsid w:val="00D17A05"/>
    <w:rsid w:val="00D2154D"/>
    <w:rsid w:val="00D22D40"/>
    <w:rsid w:val="00D238CA"/>
    <w:rsid w:val="00D23D30"/>
    <w:rsid w:val="00D2471D"/>
    <w:rsid w:val="00D261A2"/>
    <w:rsid w:val="00D26EA4"/>
    <w:rsid w:val="00D26EC7"/>
    <w:rsid w:val="00D27391"/>
    <w:rsid w:val="00D329C8"/>
    <w:rsid w:val="00D32FF5"/>
    <w:rsid w:val="00D33296"/>
    <w:rsid w:val="00D35BD1"/>
    <w:rsid w:val="00D36B02"/>
    <w:rsid w:val="00D37055"/>
    <w:rsid w:val="00D370E5"/>
    <w:rsid w:val="00D37201"/>
    <w:rsid w:val="00D3743A"/>
    <w:rsid w:val="00D37BD4"/>
    <w:rsid w:val="00D37C9A"/>
    <w:rsid w:val="00D4072F"/>
    <w:rsid w:val="00D40E3F"/>
    <w:rsid w:val="00D41D1F"/>
    <w:rsid w:val="00D44C84"/>
    <w:rsid w:val="00D45D0F"/>
    <w:rsid w:val="00D54A68"/>
    <w:rsid w:val="00D551CF"/>
    <w:rsid w:val="00D56646"/>
    <w:rsid w:val="00D60062"/>
    <w:rsid w:val="00D6045E"/>
    <w:rsid w:val="00D60E99"/>
    <w:rsid w:val="00D6156E"/>
    <w:rsid w:val="00D616D2"/>
    <w:rsid w:val="00D61F56"/>
    <w:rsid w:val="00D62271"/>
    <w:rsid w:val="00D622BA"/>
    <w:rsid w:val="00D633E6"/>
    <w:rsid w:val="00D63B5F"/>
    <w:rsid w:val="00D63F1A"/>
    <w:rsid w:val="00D64F68"/>
    <w:rsid w:val="00D66065"/>
    <w:rsid w:val="00D6618F"/>
    <w:rsid w:val="00D6756A"/>
    <w:rsid w:val="00D676C8"/>
    <w:rsid w:val="00D70EF7"/>
    <w:rsid w:val="00D7139F"/>
    <w:rsid w:val="00D7282D"/>
    <w:rsid w:val="00D7421B"/>
    <w:rsid w:val="00D7465D"/>
    <w:rsid w:val="00D76183"/>
    <w:rsid w:val="00D811EB"/>
    <w:rsid w:val="00D81D5D"/>
    <w:rsid w:val="00D820AC"/>
    <w:rsid w:val="00D823F9"/>
    <w:rsid w:val="00D83372"/>
    <w:rsid w:val="00D8397C"/>
    <w:rsid w:val="00D83C5E"/>
    <w:rsid w:val="00D8452D"/>
    <w:rsid w:val="00D84D4A"/>
    <w:rsid w:val="00D8675E"/>
    <w:rsid w:val="00D87F4D"/>
    <w:rsid w:val="00D9003D"/>
    <w:rsid w:val="00D91115"/>
    <w:rsid w:val="00D913A2"/>
    <w:rsid w:val="00D92567"/>
    <w:rsid w:val="00D9346B"/>
    <w:rsid w:val="00D942F4"/>
    <w:rsid w:val="00D94EED"/>
    <w:rsid w:val="00D96026"/>
    <w:rsid w:val="00D96DB7"/>
    <w:rsid w:val="00D96E0B"/>
    <w:rsid w:val="00D9707F"/>
    <w:rsid w:val="00D975E7"/>
    <w:rsid w:val="00DA117E"/>
    <w:rsid w:val="00DA228E"/>
    <w:rsid w:val="00DA3D38"/>
    <w:rsid w:val="00DA5857"/>
    <w:rsid w:val="00DA714E"/>
    <w:rsid w:val="00DA76B8"/>
    <w:rsid w:val="00DA7C1C"/>
    <w:rsid w:val="00DB062E"/>
    <w:rsid w:val="00DB0670"/>
    <w:rsid w:val="00DB0D85"/>
    <w:rsid w:val="00DB0E73"/>
    <w:rsid w:val="00DB147A"/>
    <w:rsid w:val="00DB17C1"/>
    <w:rsid w:val="00DB19CD"/>
    <w:rsid w:val="00DB1B7A"/>
    <w:rsid w:val="00DB1E6B"/>
    <w:rsid w:val="00DB1EC2"/>
    <w:rsid w:val="00DB2616"/>
    <w:rsid w:val="00DB301A"/>
    <w:rsid w:val="00DB3CD6"/>
    <w:rsid w:val="00DB4C63"/>
    <w:rsid w:val="00DB5662"/>
    <w:rsid w:val="00DB5D87"/>
    <w:rsid w:val="00DB62A0"/>
    <w:rsid w:val="00DB68E4"/>
    <w:rsid w:val="00DB69E0"/>
    <w:rsid w:val="00DB6CB9"/>
    <w:rsid w:val="00DB73A1"/>
    <w:rsid w:val="00DB7541"/>
    <w:rsid w:val="00DC05C9"/>
    <w:rsid w:val="00DC0A20"/>
    <w:rsid w:val="00DC0D7D"/>
    <w:rsid w:val="00DC1C05"/>
    <w:rsid w:val="00DC3B97"/>
    <w:rsid w:val="00DC4313"/>
    <w:rsid w:val="00DC4B31"/>
    <w:rsid w:val="00DC6708"/>
    <w:rsid w:val="00DC79BB"/>
    <w:rsid w:val="00DD04C6"/>
    <w:rsid w:val="00DD1554"/>
    <w:rsid w:val="00DD23D5"/>
    <w:rsid w:val="00DD2F10"/>
    <w:rsid w:val="00DD3042"/>
    <w:rsid w:val="00DD32E8"/>
    <w:rsid w:val="00DD3790"/>
    <w:rsid w:val="00DD3FE3"/>
    <w:rsid w:val="00DD4C5C"/>
    <w:rsid w:val="00DD501B"/>
    <w:rsid w:val="00DD5AF1"/>
    <w:rsid w:val="00DD6AFE"/>
    <w:rsid w:val="00DE12C8"/>
    <w:rsid w:val="00DE1F74"/>
    <w:rsid w:val="00DE3257"/>
    <w:rsid w:val="00DE341C"/>
    <w:rsid w:val="00DE3627"/>
    <w:rsid w:val="00DE4C1A"/>
    <w:rsid w:val="00DE63DA"/>
    <w:rsid w:val="00DE6981"/>
    <w:rsid w:val="00DE6B29"/>
    <w:rsid w:val="00DE7595"/>
    <w:rsid w:val="00DE78D5"/>
    <w:rsid w:val="00DF0A85"/>
    <w:rsid w:val="00DF1059"/>
    <w:rsid w:val="00DF197B"/>
    <w:rsid w:val="00DF28B5"/>
    <w:rsid w:val="00DF2BB9"/>
    <w:rsid w:val="00DF4CA5"/>
    <w:rsid w:val="00DF6540"/>
    <w:rsid w:val="00E01436"/>
    <w:rsid w:val="00E0182B"/>
    <w:rsid w:val="00E01B6C"/>
    <w:rsid w:val="00E0258D"/>
    <w:rsid w:val="00E02783"/>
    <w:rsid w:val="00E028A4"/>
    <w:rsid w:val="00E03D9B"/>
    <w:rsid w:val="00E045BD"/>
    <w:rsid w:val="00E05566"/>
    <w:rsid w:val="00E063D0"/>
    <w:rsid w:val="00E077E8"/>
    <w:rsid w:val="00E10C64"/>
    <w:rsid w:val="00E11459"/>
    <w:rsid w:val="00E11741"/>
    <w:rsid w:val="00E12358"/>
    <w:rsid w:val="00E12D4A"/>
    <w:rsid w:val="00E13389"/>
    <w:rsid w:val="00E13803"/>
    <w:rsid w:val="00E17B77"/>
    <w:rsid w:val="00E17E90"/>
    <w:rsid w:val="00E17F01"/>
    <w:rsid w:val="00E17FA7"/>
    <w:rsid w:val="00E20CFB"/>
    <w:rsid w:val="00E21A58"/>
    <w:rsid w:val="00E21F3E"/>
    <w:rsid w:val="00E229B6"/>
    <w:rsid w:val="00E22F70"/>
    <w:rsid w:val="00E23337"/>
    <w:rsid w:val="00E24DF3"/>
    <w:rsid w:val="00E24F2B"/>
    <w:rsid w:val="00E25296"/>
    <w:rsid w:val="00E259EA"/>
    <w:rsid w:val="00E27892"/>
    <w:rsid w:val="00E27ADA"/>
    <w:rsid w:val="00E30909"/>
    <w:rsid w:val="00E31608"/>
    <w:rsid w:val="00E32061"/>
    <w:rsid w:val="00E32275"/>
    <w:rsid w:val="00E33260"/>
    <w:rsid w:val="00E33659"/>
    <w:rsid w:val="00E33E2C"/>
    <w:rsid w:val="00E34344"/>
    <w:rsid w:val="00E3693D"/>
    <w:rsid w:val="00E3757F"/>
    <w:rsid w:val="00E37B45"/>
    <w:rsid w:val="00E42FF9"/>
    <w:rsid w:val="00E4307F"/>
    <w:rsid w:val="00E44E30"/>
    <w:rsid w:val="00E469F6"/>
    <w:rsid w:val="00E46DA6"/>
    <w:rsid w:val="00E4714C"/>
    <w:rsid w:val="00E474B4"/>
    <w:rsid w:val="00E47E50"/>
    <w:rsid w:val="00E50F0A"/>
    <w:rsid w:val="00E51428"/>
    <w:rsid w:val="00E51AEB"/>
    <w:rsid w:val="00E522A7"/>
    <w:rsid w:val="00E52D57"/>
    <w:rsid w:val="00E53D07"/>
    <w:rsid w:val="00E54452"/>
    <w:rsid w:val="00E55262"/>
    <w:rsid w:val="00E5558C"/>
    <w:rsid w:val="00E56822"/>
    <w:rsid w:val="00E56D6C"/>
    <w:rsid w:val="00E57CE1"/>
    <w:rsid w:val="00E609D2"/>
    <w:rsid w:val="00E60DCC"/>
    <w:rsid w:val="00E60E3F"/>
    <w:rsid w:val="00E61083"/>
    <w:rsid w:val="00E61554"/>
    <w:rsid w:val="00E615AB"/>
    <w:rsid w:val="00E63142"/>
    <w:rsid w:val="00E6323D"/>
    <w:rsid w:val="00E635A3"/>
    <w:rsid w:val="00E63607"/>
    <w:rsid w:val="00E6490E"/>
    <w:rsid w:val="00E65874"/>
    <w:rsid w:val="00E65E03"/>
    <w:rsid w:val="00E664C5"/>
    <w:rsid w:val="00E671A2"/>
    <w:rsid w:val="00E708C6"/>
    <w:rsid w:val="00E71259"/>
    <w:rsid w:val="00E728CE"/>
    <w:rsid w:val="00E72D32"/>
    <w:rsid w:val="00E743F8"/>
    <w:rsid w:val="00E758A4"/>
    <w:rsid w:val="00E76C5F"/>
    <w:rsid w:val="00E76D26"/>
    <w:rsid w:val="00E77FDF"/>
    <w:rsid w:val="00E830DA"/>
    <w:rsid w:val="00E848ED"/>
    <w:rsid w:val="00E84AB0"/>
    <w:rsid w:val="00E84D6C"/>
    <w:rsid w:val="00E8570F"/>
    <w:rsid w:val="00E869ED"/>
    <w:rsid w:val="00E87D59"/>
    <w:rsid w:val="00E914CF"/>
    <w:rsid w:val="00E92A28"/>
    <w:rsid w:val="00E93B35"/>
    <w:rsid w:val="00E940B9"/>
    <w:rsid w:val="00E940D6"/>
    <w:rsid w:val="00E94221"/>
    <w:rsid w:val="00E945FB"/>
    <w:rsid w:val="00E94D01"/>
    <w:rsid w:val="00E95D8D"/>
    <w:rsid w:val="00E95F63"/>
    <w:rsid w:val="00E9657B"/>
    <w:rsid w:val="00E97157"/>
    <w:rsid w:val="00EA01D9"/>
    <w:rsid w:val="00EA0285"/>
    <w:rsid w:val="00EA0A2A"/>
    <w:rsid w:val="00EA150C"/>
    <w:rsid w:val="00EA291C"/>
    <w:rsid w:val="00EA30B6"/>
    <w:rsid w:val="00EA3A86"/>
    <w:rsid w:val="00EA3D1F"/>
    <w:rsid w:val="00EA435C"/>
    <w:rsid w:val="00EA4E24"/>
    <w:rsid w:val="00EA4F41"/>
    <w:rsid w:val="00EA5614"/>
    <w:rsid w:val="00EA67C1"/>
    <w:rsid w:val="00EA7600"/>
    <w:rsid w:val="00EB1390"/>
    <w:rsid w:val="00EB23D0"/>
    <w:rsid w:val="00EB2ADF"/>
    <w:rsid w:val="00EB2C71"/>
    <w:rsid w:val="00EB3351"/>
    <w:rsid w:val="00EB34DD"/>
    <w:rsid w:val="00EB3CA7"/>
    <w:rsid w:val="00EB4118"/>
    <w:rsid w:val="00EB4340"/>
    <w:rsid w:val="00EB556D"/>
    <w:rsid w:val="00EB5A15"/>
    <w:rsid w:val="00EB5A7D"/>
    <w:rsid w:val="00EB5DD1"/>
    <w:rsid w:val="00EB6170"/>
    <w:rsid w:val="00EB718B"/>
    <w:rsid w:val="00EC174A"/>
    <w:rsid w:val="00EC3B54"/>
    <w:rsid w:val="00EC3DD7"/>
    <w:rsid w:val="00EC42CC"/>
    <w:rsid w:val="00EC43EC"/>
    <w:rsid w:val="00EC5497"/>
    <w:rsid w:val="00EC54F6"/>
    <w:rsid w:val="00EC602C"/>
    <w:rsid w:val="00EC70DC"/>
    <w:rsid w:val="00EC7169"/>
    <w:rsid w:val="00EC7E10"/>
    <w:rsid w:val="00ED0667"/>
    <w:rsid w:val="00ED071B"/>
    <w:rsid w:val="00ED078A"/>
    <w:rsid w:val="00ED28C6"/>
    <w:rsid w:val="00ED2E7C"/>
    <w:rsid w:val="00ED2F28"/>
    <w:rsid w:val="00ED3F4B"/>
    <w:rsid w:val="00ED4EF4"/>
    <w:rsid w:val="00ED55C0"/>
    <w:rsid w:val="00ED5A74"/>
    <w:rsid w:val="00ED5ADB"/>
    <w:rsid w:val="00ED677B"/>
    <w:rsid w:val="00ED682B"/>
    <w:rsid w:val="00ED7778"/>
    <w:rsid w:val="00ED7C15"/>
    <w:rsid w:val="00EE0D17"/>
    <w:rsid w:val="00EE1911"/>
    <w:rsid w:val="00EE24B7"/>
    <w:rsid w:val="00EE260E"/>
    <w:rsid w:val="00EE316E"/>
    <w:rsid w:val="00EE41D5"/>
    <w:rsid w:val="00EE5618"/>
    <w:rsid w:val="00EE5895"/>
    <w:rsid w:val="00EE6097"/>
    <w:rsid w:val="00EE759F"/>
    <w:rsid w:val="00EE798F"/>
    <w:rsid w:val="00EE79E9"/>
    <w:rsid w:val="00EF232A"/>
    <w:rsid w:val="00EF349B"/>
    <w:rsid w:val="00EF3EBE"/>
    <w:rsid w:val="00EF450A"/>
    <w:rsid w:val="00EF4646"/>
    <w:rsid w:val="00EF6EE8"/>
    <w:rsid w:val="00EF6EF9"/>
    <w:rsid w:val="00F00DCA"/>
    <w:rsid w:val="00F01657"/>
    <w:rsid w:val="00F0245B"/>
    <w:rsid w:val="00F037A4"/>
    <w:rsid w:val="00F04EA0"/>
    <w:rsid w:val="00F06658"/>
    <w:rsid w:val="00F06903"/>
    <w:rsid w:val="00F0795C"/>
    <w:rsid w:val="00F10D6E"/>
    <w:rsid w:val="00F10FA3"/>
    <w:rsid w:val="00F13E45"/>
    <w:rsid w:val="00F143CB"/>
    <w:rsid w:val="00F147B5"/>
    <w:rsid w:val="00F14BB2"/>
    <w:rsid w:val="00F159D2"/>
    <w:rsid w:val="00F15FFB"/>
    <w:rsid w:val="00F168CF"/>
    <w:rsid w:val="00F21039"/>
    <w:rsid w:val="00F238F6"/>
    <w:rsid w:val="00F24805"/>
    <w:rsid w:val="00F24930"/>
    <w:rsid w:val="00F25031"/>
    <w:rsid w:val="00F25056"/>
    <w:rsid w:val="00F25B5C"/>
    <w:rsid w:val="00F25FF9"/>
    <w:rsid w:val="00F26E83"/>
    <w:rsid w:val="00F276E1"/>
    <w:rsid w:val="00F27C8F"/>
    <w:rsid w:val="00F32749"/>
    <w:rsid w:val="00F34034"/>
    <w:rsid w:val="00F34409"/>
    <w:rsid w:val="00F34622"/>
    <w:rsid w:val="00F35098"/>
    <w:rsid w:val="00F351DC"/>
    <w:rsid w:val="00F356EA"/>
    <w:rsid w:val="00F35787"/>
    <w:rsid w:val="00F35A17"/>
    <w:rsid w:val="00F36054"/>
    <w:rsid w:val="00F36299"/>
    <w:rsid w:val="00F37172"/>
    <w:rsid w:val="00F40D84"/>
    <w:rsid w:val="00F41BB8"/>
    <w:rsid w:val="00F428CD"/>
    <w:rsid w:val="00F43C38"/>
    <w:rsid w:val="00F43CF0"/>
    <w:rsid w:val="00F44125"/>
    <w:rsid w:val="00F4477E"/>
    <w:rsid w:val="00F449CB"/>
    <w:rsid w:val="00F44AD9"/>
    <w:rsid w:val="00F45385"/>
    <w:rsid w:val="00F45390"/>
    <w:rsid w:val="00F45CB7"/>
    <w:rsid w:val="00F46CE6"/>
    <w:rsid w:val="00F47D68"/>
    <w:rsid w:val="00F47EDC"/>
    <w:rsid w:val="00F500EC"/>
    <w:rsid w:val="00F51590"/>
    <w:rsid w:val="00F51BBE"/>
    <w:rsid w:val="00F52787"/>
    <w:rsid w:val="00F52B59"/>
    <w:rsid w:val="00F53FAC"/>
    <w:rsid w:val="00F54F86"/>
    <w:rsid w:val="00F554CC"/>
    <w:rsid w:val="00F55867"/>
    <w:rsid w:val="00F56580"/>
    <w:rsid w:val="00F57337"/>
    <w:rsid w:val="00F57DFD"/>
    <w:rsid w:val="00F60649"/>
    <w:rsid w:val="00F60E0B"/>
    <w:rsid w:val="00F61CB0"/>
    <w:rsid w:val="00F61D45"/>
    <w:rsid w:val="00F627F9"/>
    <w:rsid w:val="00F62B41"/>
    <w:rsid w:val="00F62F63"/>
    <w:rsid w:val="00F63172"/>
    <w:rsid w:val="00F6426A"/>
    <w:rsid w:val="00F64BE2"/>
    <w:rsid w:val="00F66054"/>
    <w:rsid w:val="00F661FE"/>
    <w:rsid w:val="00F66AE9"/>
    <w:rsid w:val="00F6700A"/>
    <w:rsid w:val="00F67D8F"/>
    <w:rsid w:val="00F70002"/>
    <w:rsid w:val="00F70B57"/>
    <w:rsid w:val="00F716F7"/>
    <w:rsid w:val="00F74B12"/>
    <w:rsid w:val="00F76328"/>
    <w:rsid w:val="00F7729F"/>
    <w:rsid w:val="00F7798D"/>
    <w:rsid w:val="00F80098"/>
    <w:rsid w:val="00F802BE"/>
    <w:rsid w:val="00F805F6"/>
    <w:rsid w:val="00F819B9"/>
    <w:rsid w:val="00F820E7"/>
    <w:rsid w:val="00F82B61"/>
    <w:rsid w:val="00F83024"/>
    <w:rsid w:val="00F83FE9"/>
    <w:rsid w:val="00F846F7"/>
    <w:rsid w:val="00F84AF6"/>
    <w:rsid w:val="00F86024"/>
    <w:rsid w:val="00F8609B"/>
    <w:rsid w:val="00F8611A"/>
    <w:rsid w:val="00F862A8"/>
    <w:rsid w:val="00F864E4"/>
    <w:rsid w:val="00F8684E"/>
    <w:rsid w:val="00F90B95"/>
    <w:rsid w:val="00F92A46"/>
    <w:rsid w:val="00F92B4E"/>
    <w:rsid w:val="00F9464E"/>
    <w:rsid w:val="00F94F0B"/>
    <w:rsid w:val="00F9639C"/>
    <w:rsid w:val="00F97065"/>
    <w:rsid w:val="00F97D72"/>
    <w:rsid w:val="00FA2DC9"/>
    <w:rsid w:val="00FA33FD"/>
    <w:rsid w:val="00FA46A1"/>
    <w:rsid w:val="00FA5128"/>
    <w:rsid w:val="00FA6250"/>
    <w:rsid w:val="00FB00C6"/>
    <w:rsid w:val="00FB0C25"/>
    <w:rsid w:val="00FB1509"/>
    <w:rsid w:val="00FB173D"/>
    <w:rsid w:val="00FB19D6"/>
    <w:rsid w:val="00FB2D31"/>
    <w:rsid w:val="00FB378E"/>
    <w:rsid w:val="00FB3E1F"/>
    <w:rsid w:val="00FB42D4"/>
    <w:rsid w:val="00FB5747"/>
    <w:rsid w:val="00FB58D7"/>
    <w:rsid w:val="00FB5906"/>
    <w:rsid w:val="00FB762F"/>
    <w:rsid w:val="00FB7631"/>
    <w:rsid w:val="00FB7A35"/>
    <w:rsid w:val="00FC0C8C"/>
    <w:rsid w:val="00FC1C7B"/>
    <w:rsid w:val="00FC2AED"/>
    <w:rsid w:val="00FC2C72"/>
    <w:rsid w:val="00FC413C"/>
    <w:rsid w:val="00FC4452"/>
    <w:rsid w:val="00FC484A"/>
    <w:rsid w:val="00FC48E4"/>
    <w:rsid w:val="00FC5245"/>
    <w:rsid w:val="00FC52FD"/>
    <w:rsid w:val="00FC5B45"/>
    <w:rsid w:val="00FC5BA8"/>
    <w:rsid w:val="00FC7E94"/>
    <w:rsid w:val="00FD1B1C"/>
    <w:rsid w:val="00FD1E4F"/>
    <w:rsid w:val="00FD2F06"/>
    <w:rsid w:val="00FD3276"/>
    <w:rsid w:val="00FD351A"/>
    <w:rsid w:val="00FD5ACE"/>
    <w:rsid w:val="00FD5EA7"/>
    <w:rsid w:val="00FD69A3"/>
    <w:rsid w:val="00FD79B8"/>
    <w:rsid w:val="00FE0341"/>
    <w:rsid w:val="00FE0872"/>
    <w:rsid w:val="00FE278A"/>
    <w:rsid w:val="00FE401F"/>
    <w:rsid w:val="00FE4E9E"/>
    <w:rsid w:val="00FE728C"/>
    <w:rsid w:val="00FE7991"/>
    <w:rsid w:val="00FF06E6"/>
    <w:rsid w:val="00FF27EA"/>
    <w:rsid w:val="00FF31D1"/>
    <w:rsid w:val="00FF361C"/>
    <w:rsid w:val="00FF4B5A"/>
    <w:rsid w:val="00FF502B"/>
    <w:rsid w:val="00FF5056"/>
    <w:rsid w:val="00FF562A"/>
    <w:rsid w:val="00FF577E"/>
    <w:rsid w:val="00FF5802"/>
    <w:rsid w:val="00FF5B2E"/>
    <w:rsid w:val="00FF763A"/>
    <w:rsid w:val="00FF7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79DDE"/>
  <w15:chartTrackingRefBased/>
  <w15:docId w15:val="{6D88EDC1-4A14-4D79-8FD9-DF6A2553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rzypisukocowego">
    <w:name w:val="endnote text"/>
    <w:basedOn w:val="Normalny"/>
    <w:link w:val="TekstprzypisukocowegoZnak"/>
    <w:uiPriority w:val="99"/>
    <w:semiHidden/>
    <w:unhideWhenUsed/>
    <w:rsid w:val="00C85EAB"/>
    <w:pPr>
      <w:spacing w:before="0"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C85EAB"/>
    <w:rPr>
      <w:rFonts w:ascii="Fira Sans" w:hAnsi="Fira Sans"/>
      <w:sz w:val="20"/>
      <w:szCs w:val="20"/>
    </w:rPr>
  </w:style>
  <w:style w:type="character" w:styleId="Odwoanieprzypisukocowego">
    <w:name w:val="endnote reference"/>
    <w:uiPriority w:val="99"/>
    <w:semiHidden/>
    <w:unhideWhenUsed/>
    <w:rsid w:val="00C85EAB"/>
    <w:rPr>
      <w:vertAlign w:val="superscript"/>
    </w:rPr>
  </w:style>
  <w:style w:type="character" w:styleId="Odwoaniedokomentarza">
    <w:name w:val="annotation reference"/>
    <w:uiPriority w:val="99"/>
    <w:semiHidden/>
    <w:unhideWhenUsed/>
    <w:rsid w:val="00222FC4"/>
    <w:rPr>
      <w:sz w:val="16"/>
      <w:szCs w:val="16"/>
    </w:rPr>
  </w:style>
  <w:style w:type="paragraph" w:styleId="Tekstkomentarza">
    <w:name w:val="annotation text"/>
    <w:basedOn w:val="Normalny"/>
    <w:link w:val="TekstkomentarzaZnak"/>
    <w:uiPriority w:val="99"/>
    <w:semiHidden/>
    <w:unhideWhenUsed/>
    <w:rsid w:val="00222FC4"/>
    <w:pPr>
      <w:spacing w:line="240" w:lineRule="auto"/>
    </w:pPr>
    <w:rPr>
      <w:sz w:val="20"/>
      <w:szCs w:val="20"/>
      <w:lang w:val="x-none" w:eastAsia="x-none"/>
    </w:rPr>
  </w:style>
  <w:style w:type="character" w:customStyle="1" w:styleId="TekstkomentarzaZnak">
    <w:name w:val="Tekst komentarza Znak"/>
    <w:link w:val="Tekstkomentarza"/>
    <w:uiPriority w:val="99"/>
    <w:semiHidden/>
    <w:rsid w:val="00222FC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222FC4"/>
    <w:rPr>
      <w:b/>
      <w:bCs/>
    </w:rPr>
  </w:style>
  <w:style w:type="character" w:customStyle="1" w:styleId="TematkomentarzaZnak">
    <w:name w:val="Temat komentarza Znak"/>
    <w:link w:val="Tematkomentarza"/>
    <w:uiPriority w:val="99"/>
    <w:semiHidden/>
    <w:rsid w:val="00222FC4"/>
    <w:rPr>
      <w:rFonts w:ascii="Fira Sans" w:hAnsi="Fira Sans"/>
      <w:b/>
      <w:bCs/>
      <w:sz w:val="20"/>
      <w:szCs w:val="20"/>
    </w:rPr>
  </w:style>
  <w:style w:type="paragraph" w:customStyle="1" w:styleId="Default">
    <w:name w:val="Default"/>
    <w:rsid w:val="008E1770"/>
    <w:pPr>
      <w:autoSpaceDE w:val="0"/>
      <w:autoSpaceDN w:val="0"/>
      <w:adjustRightInd w:val="0"/>
    </w:pPr>
    <w:rPr>
      <w:rFonts w:ascii="Fira Sans" w:hAnsi="Fira Sans" w:cs="Fira Sans"/>
      <w:color w:val="000000"/>
      <w:sz w:val="24"/>
      <w:szCs w:val="24"/>
      <w:lang w:eastAsia="en-US"/>
    </w:rPr>
  </w:style>
  <w:style w:type="character" w:styleId="UyteHipercze">
    <w:name w:val="FollowedHyperlink"/>
    <w:uiPriority w:val="99"/>
    <w:semiHidden/>
    <w:unhideWhenUsed/>
    <w:rsid w:val="007869F8"/>
    <w:rPr>
      <w:color w:val="954F72"/>
      <w:u w:val="single"/>
    </w:rPr>
  </w:style>
  <w:style w:type="paragraph" w:styleId="NormalnyWeb">
    <w:name w:val="Normal (Web)"/>
    <w:basedOn w:val="Normalny"/>
    <w:uiPriority w:val="99"/>
    <w:semiHidden/>
    <w:unhideWhenUsed/>
    <w:rsid w:val="00E53D07"/>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hidden/>
    <w:uiPriority w:val="99"/>
    <w:semiHidden/>
    <w:rsid w:val="00C13368"/>
    <w:rPr>
      <w:rFonts w:ascii="Fira Sans" w:hAnsi="Fira Sans"/>
      <w:sz w:val="19"/>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87604">
      <w:bodyDiv w:val="1"/>
      <w:marLeft w:val="0"/>
      <w:marRight w:val="0"/>
      <w:marTop w:val="0"/>
      <w:marBottom w:val="0"/>
      <w:divBdr>
        <w:top w:val="none" w:sz="0" w:space="0" w:color="auto"/>
        <w:left w:val="none" w:sz="0" w:space="0" w:color="auto"/>
        <w:bottom w:val="none" w:sz="0" w:space="0" w:color="auto"/>
        <w:right w:val="none" w:sz="0" w:space="0" w:color="auto"/>
      </w:divBdr>
    </w:div>
    <w:div w:id="142237263">
      <w:bodyDiv w:val="1"/>
      <w:marLeft w:val="0"/>
      <w:marRight w:val="0"/>
      <w:marTop w:val="0"/>
      <w:marBottom w:val="0"/>
      <w:divBdr>
        <w:top w:val="none" w:sz="0" w:space="0" w:color="auto"/>
        <w:left w:val="none" w:sz="0" w:space="0" w:color="auto"/>
        <w:bottom w:val="none" w:sz="0" w:space="0" w:color="auto"/>
        <w:right w:val="none" w:sz="0" w:space="0" w:color="auto"/>
      </w:divBdr>
    </w:div>
    <w:div w:id="243805346">
      <w:bodyDiv w:val="1"/>
      <w:marLeft w:val="0"/>
      <w:marRight w:val="0"/>
      <w:marTop w:val="0"/>
      <w:marBottom w:val="0"/>
      <w:divBdr>
        <w:top w:val="none" w:sz="0" w:space="0" w:color="auto"/>
        <w:left w:val="none" w:sz="0" w:space="0" w:color="auto"/>
        <w:bottom w:val="none" w:sz="0" w:space="0" w:color="auto"/>
        <w:right w:val="none" w:sz="0" w:space="0" w:color="auto"/>
      </w:divBdr>
    </w:div>
    <w:div w:id="34151470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277412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73197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3918195">
      <w:bodyDiv w:val="1"/>
      <w:marLeft w:val="0"/>
      <w:marRight w:val="0"/>
      <w:marTop w:val="0"/>
      <w:marBottom w:val="0"/>
      <w:divBdr>
        <w:top w:val="none" w:sz="0" w:space="0" w:color="auto"/>
        <w:left w:val="none" w:sz="0" w:space="0" w:color="auto"/>
        <w:bottom w:val="none" w:sz="0" w:space="0" w:color="auto"/>
        <w:right w:val="none" w:sz="0" w:space="0" w:color="auto"/>
      </w:divBdr>
    </w:div>
    <w:div w:id="842663560">
      <w:bodyDiv w:val="1"/>
      <w:marLeft w:val="0"/>
      <w:marRight w:val="0"/>
      <w:marTop w:val="0"/>
      <w:marBottom w:val="0"/>
      <w:divBdr>
        <w:top w:val="none" w:sz="0" w:space="0" w:color="auto"/>
        <w:left w:val="none" w:sz="0" w:space="0" w:color="auto"/>
        <w:bottom w:val="none" w:sz="0" w:space="0" w:color="auto"/>
        <w:right w:val="none" w:sz="0" w:space="0" w:color="auto"/>
      </w:divBdr>
    </w:div>
    <w:div w:id="876552550">
      <w:bodyDiv w:val="1"/>
      <w:marLeft w:val="0"/>
      <w:marRight w:val="0"/>
      <w:marTop w:val="0"/>
      <w:marBottom w:val="0"/>
      <w:divBdr>
        <w:top w:val="none" w:sz="0" w:space="0" w:color="auto"/>
        <w:left w:val="none" w:sz="0" w:space="0" w:color="auto"/>
        <w:bottom w:val="none" w:sz="0" w:space="0" w:color="auto"/>
        <w:right w:val="none" w:sz="0" w:space="0" w:color="auto"/>
      </w:divBdr>
    </w:div>
    <w:div w:id="911240085">
      <w:bodyDiv w:val="1"/>
      <w:marLeft w:val="0"/>
      <w:marRight w:val="0"/>
      <w:marTop w:val="0"/>
      <w:marBottom w:val="0"/>
      <w:divBdr>
        <w:top w:val="none" w:sz="0" w:space="0" w:color="auto"/>
        <w:left w:val="none" w:sz="0" w:space="0" w:color="auto"/>
        <w:bottom w:val="none" w:sz="0" w:space="0" w:color="auto"/>
        <w:right w:val="none" w:sz="0" w:space="0" w:color="auto"/>
      </w:divBdr>
    </w:div>
    <w:div w:id="1054696213">
      <w:bodyDiv w:val="1"/>
      <w:marLeft w:val="0"/>
      <w:marRight w:val="0"/>
      <w:marTop w:val="0"/>
      <w:marBottom w:val="0"/>
      <w:divBdr>
        <w:top w:val="none" w:sz="0" w:space="0" w:color="auto"/>
        <w:left w:val="none" w:sz="0" w:space="0" w:color="auto"/>
        <w:bottom w:val="none" w:sz="0" w:space="0" w:color="auto"/>
        <w:right w:val="none" w:sz="0" w:space="0" w:color="auto"/>
      </w:divBdr>
    </w:div>
    <w:div w:id="123123009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27056514">
      <w:bodyDiv w:val="1"/>
      <w:marLeft w:val="0"/>
      <w:marRight w:val="0"/>
      <w:marTop w:val="0"/>
      <w:marBottom w:val="0"/>
      <w:divBdr>
        <w:top w:val="none" w:sz="0" w:space="0" w:color="auto"/>
        <w:left w:val="none" w:sz="0" w:space="0" w:color="auto"/>
        <w:bottom w:val="none" w:sz="0" w:space="0" w:color="auto"/>
        <w:right w:val="none" w:sz="0" w:space="0" w:color="auto"/>
      </w:divBdr>
    </w:div>
    <w:div w:id="1413549142">
      <w:bodyDiv w:val="1"/>
      <w:marLeft w:val="0"/>
      <w:marRight w:val="0"/>
      <w:marTop w:val="0"/>
      <w:marBottom w:val="0"/>
      <w:divBdr>
        <w:top w:val="none" w:sz="0" w:space="0" w:color="auto"/>
        <w:left w:val="none" w:sz="0" w:space="0" w:color="auto"/>
        <w:bottom w:val="none" w:sz="0" w:space="0" w:color="auto"/>
        <w:right w:val="none" w:sz="0" w:space="0" w:color="auto"/>
      </w:divBdr>
    </w:div>
    <w:div w:id="1602957593">
      <w:bodyDiv w:val="1"/>
      <w:marLeft w:val="0"/>
      <w:marRight w:val="0"/>
      <w:marTop w:val="0"/>
      <w:marBottom w:val="0"/>
      <w:divBdr>
        <w:top w:val="none" w:sz="0" w:space="0" w:color="auto"/>
        <w:left w:val="none" w:sz="0" w:space="0" w:color="auto"/>
        <w:bottom w:val="none" w:sz="0" w:space="0" w:color="auto"/>
        <w:right w:val="none" w:sz="0" w:space="0" w:color="auto"/>
      </w:divBdr>
    </w:div>
    <w:div w:id="1757556591">
      <w:bodyDiv w:val="1"/>
      <w:marLeft w:val="0"/>
      <w:marRight w:val="0"/>
      <w:marTop w:val="0"/>
      <w:marBottom w:val="0"/>
      <w:divBdr>
        <w:top w:val="none" w:sz="0" w:space="0" w:color="auto"/>
        <w:left w:val="none" w:sz="0" w:space="0" w:color="auto"/>
        <w:bottom w:val="none" w:sz="0" w:space="0" w:color="auto"/>
        <w:right w:val="none" w:sz="0" w:space="0" w:color="auto"/>
      </w:divBdr>
    </w:div>
    <w:div w:id="1791777296">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88852783">
      <w:bodyDiv w:val="1"/>
      <w:marLeft w:val="0"/>
      <w:marRight w:val="0"/>
      <w:marTop w:val="0"/>
      <w:marBottom w:val="0"/>
      <w:divBdr>
        <w:top w:val="none" w:sz="0" w:space="0" w:color="auto"/>
        <w:left w:val="none" w:sz="0" w:space="0" w:color="auto"/>
        <w:bottom w:val="none" w:sz="0" w:space="0" w:color="auto"/>
        <w:right w:val="none" w:sz="0" w:space="0" w:color="auto"/>
      </w:divBdr>
    </w:div>
    <w:div w:id="2078933786">
      <w:bodyDiv w:val="1"/>
      <w:marLeft w:val="0"/>
      <w:marRight w:val="0"/>
      <w:marTop w:val="0"/>
      <w:marBottom w:val="0"/>
      <w:divBdr>
        <w:top w:val="none" w:sz="0" w:space="0" w:color="auto"/>
        <w:left w:val="none" w:sz="0" w:space="0" w:color="auto"/>
        <w:bottom w:val="none" w:sz="0" w:space="0" w:color="auto"/>
        <w:right w:val="none" w:sz="0" w:space="0" w:color="auto"/>
      </w:divBdr>
    </w:div>
    <w:div w:id="21224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hart" Target="charts/chart6.xml"/><Relationship Id="rId26" Type="http://schemas.openxmlformats.org/officeDocument/2006/relationships/hyperlink" Target="mailto:obslugaprasowa@stat.gov.pl" TargetMode="External"/><Relationship Id="rId3" Type="http://schemas.openxmlformats.org/officeDocument/2006/relationships/customXml" Target="../customXml/item3.xml"/><Relationship Id="rId21" Type="http://schemas.openxmlformats.org/officeDocument/2006/relationships/chart" Target="charts/chart9.xml"/><Relationship Id="rId34" Type="http://schemas.openxmlformats.org/officeDocument/2006/relationships/hyperlink" Target="http://swaid.stat.gov.pl/SitePagesDBW/RynekPracy.aspx" TargetMode="Externa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chart" Target="charts/chart5.xml"/><Relationship Id="rId25" Type="http://schemas.openxmlformats.org/officeDocument/2006/relationships/footer" Target="footer2.xml"/><Relationship Id="rId33" Type="http://schemas.openxmlformats.org/officeDocument/2006/relationships/hyperlink" Target="http://stat.gov.pl/obszary-tematyczne/rynek-pracy/"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chart" Target="charts/chart8.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hyperlink" Target="http://swaid.stat.gov.pl/SitePagesDBW/RynekPrac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hyperlink" Target="http://stat.gov.pl/obszary-tematyczne/rynek-pracy/" TargetMode="External"/><Relationship Id="rId35"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mfbdg01\WOU_SHARE\PUBLIKACJE\PUBLIKACJE_2021\INFORMACJE_SYGNALNE\popyt_na_prace_1kw2021_kraj\popyt_na_prace_1kw2021_ANG.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Urzad_statystyczny\Sygnalne\Popyt_na_prace\2021_wojewodztwo\popyt_na_prace_1kw2021_ANG.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Urzad_statystyczny\Sygnalne\Popyt_na_prace\2021_wojewodztwo\popyt_na_prace_1kw2021_ANG.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Urzad_statystyczny\Sygnalne\Popyt_na_prace\2021_wojewodztwo\popyt_na_prace_1kw2021_A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mfbdg01\WOU_SHARE\PUBLIKACJE\PUBLIKACJE_2021\INFORMACJE_SYGNALNE\popyt_na_prace_1kw2021_kraj\popyt_na_prace_1kw2021_ANG.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D:\Urzad_statystyczny\Sygnalne\Popyt_na_prace\2021_wojewodztwo\popyt_na_prace_1kw2021_ANG.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D:\Urzad_statystyczny\Sygnalne\Popyt_na_prace\2021_wojewodztwo\popyt_na_prace_1kw2021_ANG.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Urzad_statystyczny\Sygnalne\Popyt_na_prace\2021_wojewodztwo\popyt_na_prace_1kw2021_ANG.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Urzad_statystyczny\Sygnalne\Popyt_na_prace\2021_wojewodztwo\popyt_na_prace_1kw2021_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565E-2"/>
          <c:y val="9.891888888888889E-2"/>
          <c:w val="0.88605635491606582"/>
          <c:h val="0.62584000000000006"/>
        </c:manualLayout>
      </c:layout>
      <c:lineChart>
        <c:grouping val="standard"/>
        <c:varyColors val="0"/>
        <c:ser>
          <c:idx val="0"/>
          <c:order val="0"/>
          <c:tx>
            <c:strRef>
              <c:f>'wyk1'!$C$2</c:f>
              <c:strCache>
                <c:ptCount val="1"/>
                <c:pt idx="0">
                  <c:v>Newly created jobs</c:v>
                </c:pt>
              </c:strCache>
            </c:strRef>
          </c:tx>
          <c:spPr>
            <a:ln w="28575" cap="rnd">
              <a:solidFill>
                <a:srgbClr val="001D77"/>
              </a:solidFill>
              <a:round/>
            </a:ln>
            <a:effectLst/>
          </c:spPr>
          <c:marker>
            <c:symbol val="none"/>
          </c:marker>
          <c:cat>
            <c:multiLvlStrRef>
              <c:f>'wyk1'!$A$3:$B$39</c:f>
              <c:multiLvlStrCache>
                <c:ptCount val="37"/>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'wyk1'!$C$3:$C$39</c:f>
              <c:numCache>
                <c:formatCode>0.0</c:formatCode>
                <c:ptCount val="37"/>
                <c:pt idx="0">
                  <c:v>159.74</c:v>
                </c:pt>
                <c:pt idx="1">
                  <c:v>121.786</c:v>
                </c:pt>
                <c:pt idx="2">
                  <c:v>104.04600000000001</c:v>
                </c:pt>
                <c:pt idx="3">
                  <c:v>79.459000000000003</c:v>
                </c:pt>
                <c:pt idx="4">
                  <c:v>156.05000000000001</c:v>
                </c:pt>
                <c:pt idx="5">
                  <c:v>126.264</c:v>
                </c:pt>
                <c:pt idx="6">
                  <c:v>123.804</c:v>
                </c:pt>
                <c:pt idx="7">
                  <c:v>96.316999999999993</c:v>
                </c:pt>
                <c:pt idx="8">
                  <c:v>179.142</c:v>
                </c:pt>
                <c:pt idx="9">
                  <c:v>144.30699999999999</c:v>
                </c:pt>
                <c:pt idx="10">
                  <c:v>137.363</c:v>
                </c:pt>
                <c:pt idx="11">
                  <c:v>154</c:v>
                </c:pt>
                <c:pt idx="12">
                  <c:v>192.8</c:v>
                </c:pt>
                <c:pt idx="13">
                  <c:v>154.4</c:v>
                </c:pt>
                <c:pt idx="14">
                  <c:v>137.69999999999999</c:v>
                </c:pt>
                <c:pt idx="15">
                  <c:v>117.1</c:v>
                </c:pt>
                <c:pt idx="16">
                  <c:v>192</c:v>
                </c:pt>
                <c:pt idx="17">
                  <c:v>159.4</c:v>
                </c:pt>
                <c:pt idx="18">
                  <c:v>147.6</c:v>
                </c:pt>
                <c:pt idx="19">
                  <c:v>119.7</c:v>
                </c:pt>
                <c:pt idx="20">
                  <c:v>225.5</c:v>
                </c:pt>
                <c:pt idx="21">
                  <c:v>165.1</c:v>
                </c:pt>
                <c:pt idx="22">
                  <c:v>160.5</c:v>
                </c:pt>
                <c:pt idx="23">
                  <c:v>143</c:v>
                </c:pt>
                <c:pt idx="24" formatCode="General">
                  <c:v>258</c:v>
                </c:pt>
                <c:pt idx="25">
                  <c:v>167.9</c:v>
                </c:pt>
                <c:pt idx="26">
                  <c:v>167.3</c:v>
                </c:pt>
                <c:pt idx="27">
                  <c:v>124.5</c:v>
                </c:pt>
                <c:pt idx="28" formatCode="General">
                  <c:v>262.3</c:v>
                </c:pt>
                <c:pt idx="29" formatCode="General">
                  <c:v>146.80000000000001</c:v>
                </c:pt>
                <c:pt idx="30">
                  <c:v>151.19999999999999</c:v>
                </c:pt>
                <c:pt idx="31">
                  <c:v>114.4</c:v>
                </c:pt>
                <c:pt idx="32">
                  <c:v>170.6</c:v>
                </c:pt>
                <c:pt idx="33">
                  <c:v>81.900000000000006</c:v>
                </c:pt>
                <c:pt idx="34" formatCode="General">
                  <c:v>126.4</c:v>
                </c:pt>
                <c:pt idx="35">
                  <c:v>91.5</c:v>
                </c:pt>
                <c:pt idx="36">
                  <c:v>191.7</c:v>
                </c:pt>
              </c:numCache>
            </c:numRef>
          </c:val>
          <c:smooth val="0"/>
          <c:extLst>
            <c:ext xmlns:c16="http://schemas.microsoft.com/office/drawing/2014/chart" uri="{C3380CC4-5D6E-409C-BE32-E72D297353CC}">
              <c16:uniqueId val="{00000000-02F4-44D5-B4DD-8ED089B3A55C}"/>
            </c:ext>
          </c:extLst>
        </c:ser>
        <c:ser>
          <c:idx val="1"/>
          <c:order val="1"/>
          <c:tx>
            <c:strRef>
              <c:f>'wyk1'!$D$2</c:f>
              <c:strCache>
                <c:ptCount val="1"/>
                <c:pt idx="0">
                  <c:v>Liquidated jobs</c:v>
                </c:pt>
              </c:strCache>
            </c:strRef>
          </c:tx>
          <c:spPr>
            <a:ln w="28575" cap="rnd">
              <a:solidFill>
                <a:srgbClr val="C0C0C0"/>
              </a:solidFill>
              <a:round/>
            </a:ln>
            <a:effectLst/>
          </c:spPr>
          <c:marker>
            <c:symbol val="none"/>
          </c:marker>
          <c:cat>
            <c:multiLvlStrRef>
              <c:f>'wyk1'!$A$3:$B$39</c:f>
              <c:multiLvlStrCache>
                <c:ptCount val="37"/>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'wyk1'!$D$3:$D$39</c:f>
              <c:numCache>
                <c:formatCode>General</c:formatCode>
                <c:ptCount val="37"/>
                <c:pt idx="0">
                  <c:v>95.9</c:v>
                </c:pt>
                <c:pt idx="1">
                  <c:v>83.8</c:v>
                </c:pt>
                <c:pt idx="2">
                  <c:v>97.1</c:v>
                </c:pt>
                <c:pt idx="3">
                  <c:v>99.7</c:v>
                </c:pt>
                <c:pt idx="4">
                  <c:v>115.7</c:v>
                </c:pt>
                <c:pt idx="5">
                  <c:v>80.8</c:v>
                </c:pt>
                <c:pt idx="6">
                  <c:v>83.9</c:v>
                </c:pt>
                <c:pt idx="7">
                  <c:v>66.7</c:v>
                </c:pt>
                <c:pt idx="8">
                  <c:v>95.9</c:v>
                </c:pt>
                <c:pt idx="9">
                  <c:v>72.7</c:v>
                </c:pt>
                <c:pt idx="10">
                  <c:v>79.8</c:v>
                </c:pt>
                <c:pt idx="11">
                  <c:v>71.8</c:v>
                </c:pt>
                <c:pt idx="12">
                  <c:v>95.8</c:v>
                </c:pt>
                <c:pt idx="13">
                  <c:v>71.3</c:v>
                </c:pt>
                <c:pt idx="14">
                  <c:v>74.900000000000006</c:v>
                </c:pt>
                <c:pt idx="15">
                  <c:v>75.5</c:v>
                </c:pt>
                <c:pt idx="16">
                  <c:v>82.8</c:v>
                </c:pt>
                <c:pt idx="17">
                  <c:v>68.900000000000006</c:v>
                </c:pt>
                <c:pt idx="18">
                  <c:v>71.900000000000006</c:v>
                </c:pt>
                <c:pt idx="19">
                  <c:v>60.6</c:v>
                </c:pt>
                <c:pt idx="20">
                  <c:v>79</c:v>
                </c:pt>
                <c:pt idx="21">
                  <c:v>60.9</c:v>
                </c:pt>
                <c:pt idx="22">
                  <c:v>61.9</c:v>
                </c:pt>
                <c:pt idx="23">
                  <c:v>62.4</c:v>
                </c:pt>
                <c:pt idx="24">
                  <c:v>87.9</c:v>
                </c:pt>
                <c:pt idx="25">
                  <c:v>58.8</c:v>
                </c:pt>
                <c:pt idx="26">
                  <c:v>80.599999999999994</c:v>
                </c:pt>
                <c:pt idx="27">
                  <c:v>73.2</c:v>
                </c:pt>
                <c:pt idx="28">
                  <c:v>88.7</c:v>
                </c:pt>
                <c:pt idx="29">
                  <c:v>81.900000000000006</c:v>
                </c:pt>
                <c:pt idx="30">
                  <c:v>82.1</c:v>
                </c:pt>
                <c:pt idx="31">
                  <c:v>61.3</c:v>
                </c:pt>
                <c:pt idx="32">
                  <c:v>119.9</c:v>
                </c:pt>
                <c:pt idx="33">
                  <c:v>93.6</c:v>
                </c:pt>
                <c:pt idx="34">
                  <c:v>62.4</c:v>
                </c:pt>
                <c:pt idx="35">
                  <c:v>53.9</c:v>
                </c:pt>
                <c:pt idx="36">
                  <c:v>70.2</c:v>
                </c:pt>
              </c:numCache>
            </c:numRef>
          </c:val>
          <c:smooth val="0"/>
          <c:extLst>
            <c:ext xmlns:c16="http://schemas.microsoft.com/office/drawing/2014/chart" uri="{C3380CC4-5D6E-409C-BE32-E72D297353CC}">
              <c16:uniqueId val="{00000001-02F4-44D5-B4DD-8ED089B3A55C}"/>
            </c:ext>
          </c:extLst>
        </c:ser>
        <c:dLbls>
          <c:showLegendKey val="0"/>
          <c:showVal val="0"/>
          <c:showCatName val="0"/>
          <c:showSerName val="0"/>
          <c:showPercent val="0"/>
          <c:showBubbleSize val="0"/>
        </c:dLbls>
        <c:smooth val="0"/>
        <c:axId val="223690880"/>
        <c:axId val="223697936"/>
      </c:lineChart>
      <c:catAx>
        <c:axId val="22369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23697936"/>
        <c:crosses val="autoZero"/>
        <c:auto val="1"/>
        <c:lblAlgn val="ctr"/>
        <c:lblOffset val="100"/>
        <c:noMultiLvlLbl val="0"/>
      </c:catAx>
      <c:valAx>
        <c:axId val="2236979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23690880"/>
        <c:crosses val="autoZero"/>
        <c:crossBetween val="between"/>
      </c:valAx>
      <c:spPr>
        <a:noFill/>
        <a:ln>
          <a:noFill/>
        </a:ln>
        <a:effectLst/>
      </c:spPr>
    </c:plotArea>
    <c:legend>
      <c:legendPos val="b"/>
      <c:layout>
        <c:manualLayout>
          <c:xMode val="edge"/>
          <c:yMode val="edge"/>
          <c:x val="0.10302458033573142"/>
          <c:y val="0.92707407407407405"/>
          <c:w val="0.79395083932853838"/>
          <c:h val="7.292592592592592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a:pPr>
            <a:r>
              <a:rPr lang="pl-PL" sz="800" b="0"/>
              <a:t>Occupied jobs</a:t>
            </a:r>
          </a:p>
        </c:rich>
      </c:tx>
      <c:layout>
        <c:manualLayout>
          <c:xMode val="edge"/>
          <c:yMode val="edge"/>
          <c:x val="0.33652896825396822"/>
          <c:y val="3.3939351851851852E-2"/>
        </c:manualLayout>
      </c:layout>
      <c:overlay val="0"/>
    </c:title>
    <c:autoTitleDeleted val="0"/>
    <c:plotArea>
      <c:layout>
        <c:manualLayout>
          <c:layoutTarget val="inner"/>
          <c:xMode val="edge"/>
          <c:yMode val="edge"/>
          <c:x val="0.2482692909354646"/>
          <c:y val="2.7053130217579591E-2"/>
          <c:w val="0.46405627422436774"/>
          <c:h val="0.76461646542972084"/>
        </c:manualLayout>
      </c:layout>
      <c:pieChart>
        <c:varyColors val="1"/>
        <c:ser>
          <c:idx val="1"/>
          <c:order val="0"/>
          <c:dPt>
            <c:idx val="0"/>
            <c:bubble3D val="0"/>
            <c:spPr>
              <a:solidFill>
                <a:srgbClr val="001D77"/>
              </a:solidFill>
            </c:spPr>
            <c:extLst>
              <c:ext xmlns:c16="http://schemas.microsoft.com/office/drawing/2014/chart" uri="{C3380CC4-5D6E-409C-BE32-E72D297353CC}">
                <c16:uniqueId val="{00000001-D55D-4577-945F-004D9F2E7943}"/>
              </c:ext>
            </c:extLst>
          </c:dPt>
          <c:dPt>
            <c:idx val="1"/>
            <c:bubble3D val="0"/>
            <c:spPr>
              <a:solidFill>
                <a:srgbClr val="6677AD"/>
              </a:solidFill>
            </c:spPr>
            <c:extLst>
              <c:ext xmlns:c16="http://schemas.microsoft.com/office/drawing/2014/chart" uri="{C3380CC4-5D6E-409C-BE32-E72D297353CC}">
                <c16:uniqueId val="{00000003-D55D-4577-945F-004D9F2E7943}"/>
              </c:ext>
            </c:extLst>
          </c:dPt>
          <c:dPt>
            <c:idx val="2"/>
            <c:bubble3D val="0"/>
            <c:spPr>
              <a:solidFill>
                <a:srgbClr val="CCD2E4"/>
              </a:solidFill>
            </c:spPr>
            <c:extLst>
              <c:ext xmlns:c16="http://schemas.microsoft.com/office/drawing/2014/chart" uri="{C3380CC4-5D6E-409C-BE32-E72D297353CC}">
                <c16:uniqueId val="{00000005-D55D-4577-945F-004D9F2E7943}"/>
              </c:ext>
            </c:extLst>
          </c:dPt>
          <c:cat>
            <c:strRef>
              <c:f>'wyk2'!$M$4:$M$6</c:f>
              <c:strCache>
                <c:ptCount val="3"/>
                <c:pt idx="0">
                  <c:v>do 9 osób</c:v>
                </c:pt>
                <c:pt idx="1">
                  <c:v>10-49 osób</c:v>
                </c:pt>
                <c:pt idx="2">
                  <c:v>powyżej 49 osób</c:v>
                </c:pt>
              </c:strCache>
            </c:strRef>
          </c:cat>
          <c:val>
            <c:numRef>
              <c:f>'wyk2'!$N$4:$N$6</c:f>
              <c:numCache>
                <c:formatCode>0.0</c:formatCode>
                <c:ptCount val="3"/>
                <c:pt idx="0">
                  <c:v>2170.9</c:v>
                </c:pt>
                <c:pt idx="1">
                  <c:v>2830.3</c:v>
                </c:pt>
                <c:pt idx="2">
                  <c:v>7185.6</c:v>
                </c:pt>
              </c:numCache>
            </c:numRef>
          </c:val>
          <c:extLst>
            <c:ext xmlns:c16="http://schemas.microsoft.com/office/drawing/2014/chart" uri="{C3380CC4-5D6E-409C-BE32-E72D297353CC}">
              <c16:uniqueId val="{00000006-D55D-4577-945F-004D9F2E7943}"/>
            </c:ext>
          </c:extLst>
        </c:ser>
        <c:ser>
          <c:idx val="0"/>
          <c:order val="1"/>
          <c:spPr>
            <a:ln>
              <a:noFill/>
            </a:ln>
          </c:spPr>
          <c:dPt>
            <c:idx val="0"/>
            <c:bubble3D val="0"/>
            <c:spPr>
              <a:solidFill>
                <a:srgbClr val="001D77"/>
              </a:solidFill>
              <a:ln w="19050">
                <a:noFill/>
              </a:ln>
              <a:effectLst/>
            </c:spPr>
            <c:extLst>
              <c:ext xmlns:c16="http://schemas.microsoft.com/office/drawing/2014/chart" uri="{C3380CC4-5D6E-409C-BE32-E72D297353CC}">
                <c16:uniqueId val="{00000008-D55D-4577-945F-004D9F2E7943}"/>
              </c:ext>
            </c:extLst>
          </c:dPt>
          <c:dPt>
            <c:idx val="1"/>
            <c:bubble3D val="0"/>
            <c:spPr>
              <a:solidFill>
                <a:srgbClr val="6677AD"/>
              </a:solidFill>
              <a:ln w="19050">
                <a:noFill/>
              </a:ln>
              <a:effectLst/>
            </c:spPr>
            <c:extLst>
              <c:ext xmlns:c16="http://schemas.microsoft.com/office/drawing/2014/chart" uri="{C3380CC4-5D6E-409C-BE32-E72D297353CC}">
                <c16:uniqueId val="{0000000A-D55D-4577-945F-004D9F2E7943}"/>
              </c:ext>
            </c:extLst>
          </c:dPt>
          <c:dPt>
            <c:idx val="2"/>
            <c:bubble3D val="0"/>
            <c:spPr>
              <a:solidFill>
                <a:srgbClr val="CCD2E4"/>
              </a:solidFill>
              <a:ln w="19050">
                <a:noFill/>
              </a:ln>
              <a:effectLst/>
            </c:spPr>
            <c:extLst>
              <c:ext xmlns:c16="http://schemas.microsoft.com/office/drawing/2014/chart" uri="{C3380CC4-5D6E-409C-BE32-E72D297353CC}">
                <c16:uniqueId val="{0000000C-D55D-4577-945F-004D9F2E7943}"/>
              </c:ext>
            </c:extLst>
          </c:dPt>
          <c:cat>
            <c:strRef>
              <c:f>'wyk2'!$A$4:$A$6</c:f>
              <c:strCache>
                <c:ptCount val="3"/>
                <c:pt idx="0">
                  <c:v>up to 9</c:v>
                </c:pt>
                <c:pt idx="1">
                  <c:v>10-49</c:v>
                </c:pt>
                <c:pt idx="2">
                  <c:v>more than 49</c:v>
                </c:pt>
              </c:strCache>
            </c:strRef>
          </c:cat>
          <c:val>
            <c:numRef>
              <c:f>'wyk2'!$B$4:$B$6</c:f>
              <c:numCache>
                <c:formatCode>0.0</c:formatCode>
                <c:ptCount val="3"/>
                <c:pt idx="0">
                  <c:v>33.700000000000003</c:v>
                </c:pt>
                <c:pt idx="1">
                  <c:v>21</c:v>
                </c:pt>
                <c:pt idx="2">
                  <c:v>55.5</c:v>
                </c:pt>
              </c:numCache>
            </c:numRef>
          </c:val>
          <c:extLst>
            <c:ext xmlns:c16="http://schemas.microsoft.com/office/drawing/2014/chart" uri="{C3380CC4-5D6E-409C-BE32-E72D297353CC}">
              <c16:uniqueId val="{0000000D-D55D-4577-945F-004D9F2E794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vert="horz"/>
        <a:lstStyle/>
        <a:p>
          <a:pPr>
            <a:defRPr/>
          </a:pPr>
          <a:endParaRPr lang="pl-PL"/>
        </a:p>
      </c:txPr>
    </c:legend>
    <c:plotVisOnly val="1"/>
    <c:dispBlanksAs val="zero"/>
    <c:showDLblsOverMax val="0"/>
  </c:chart>
  <c:spPr>
    <a:solidFill>
      <a:schemeClr val="bg1"/>
    </a:solidFill>
    <a:ln w="9525" cap="flat" cmpd="sng" algn="ctr">
      <a:noFill/>
      <a:round/>
    </a:ln>
    <a:effectLst/>
  </c:spPr>
  <c:txPr>
    <a:bodyPr/>
    <a:lstStyle/>
    <a:p>
      <a:pPr>
        <a:defRPr sz="800">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a:pPr>
            <a:r>
              <a:rPr lang="pl-PL" sz="800" b="0"/>
              <a:t>Job vacancies</a:t>
            </a:r>
          </a:p>
        </c:rich>
      </c:tx>
      <c:layout>
        <c:manualLayout>
          <c:xMode val="edge"/>
          <c:yMode val="edge"/>
          <c:x val="0.34229841269841271"/>
          <c:y val="3.3939351851851852E-2"/>
        </c:manualLayout>
      </c:layout>
      <c:overlay val="0"/>
    </c:title>
    <c:autoTitleDeleted val="0"/>
    <c:plotArea>
      <c:layout>
        <c:manualLayout>
          <c:layoutTarget val="inner"/>
          <c:xMode val="edge"/>
          <c:yMode val="edge"/>
          <c:x val="0.2482692909354646"/>
          <c:y val="2.7053130217579591E-2"/>
          <c:w val="0.46405627422436774"/>
          <c:h val="0.76461646542972084"/>
        </c:manualLayout>
      </c:layout>
      <c:pieChart>
        <c:varyColors val="1"/>
        <c:ser>
          <c:idx val="0"/>
          <c:order val="0"/>
          <c:spPr>
            <a:ln>
              <a:noFill/>
            </a:ln>
          </c:spPr>
          <c:dPt>
            <c:idx val="0"/>
            <c:bubble3D val="0"/>
            <c:spPr>
              <a:solidFill>
                <a:srgbClr val="001D77"/>
              </a:solidFill>
              <a:ln w="19050">
                <a:noFill/>
              </a:ln>
              <a:effectLst/>
            </c:spPr>
            <c:extLst>
              <c:ext xmlns:c16="http://schemas.microsoft.com/office/drawing/2014/chart" uri="{C3380CC4-5D6E-409C-BE32-E72D297353CC}">
                <c16:uniqueId val="{00000001-A67B-4D7F-92D4-AC7290BE0DBA}"/>
              </c:ext>
            </c:extLst>
          </c:dPt>
          <c:dPt>
            <c:idx val="1"/>
            <c:bubble3D val="0"/>
            <c:spPr>
              <a:solidFill>
                <a:srgbClr val="6677AD"/>
              </a:solidFill>
              <a:ln w="19050">
                <a:noFill/>
              </a:ln>
              <a:effectLst/>
            </c:spPr>
            <c:extLst>
              <c:ext xmlns:c16="http://schemas.microsoft.com/office/drawing/2014/chart" uri="{C3380CC4-5D6E-409C-BE32-E72D297353CC}">
                <c16:uniqueId val="{00000003-A67B-4D7F-92D4-AC7290BE0DBA}"/>
              </c:ext>
            </c:extLst>
          </c:dPt>
          <c:dPt>
            <c:idx val="2"/>
            <c:bubble3D val="0"/>
            <c:spPr>
              <a:solidFill>
                <a:srgbClr val="CCD2E4"/>
              </a:solidFill>
              <a:ln w="19050">
                <a:noFill/>
              </a:ln>
              <a:effectLst/>
            </c:spPr>
            <c:extLst>
              <c:ext xmlns:c16="http://schemas.microsoft.com/office/drawing/2014/chart" uri="{C3380CC4-5D6E-409C-BE32-E72D297353CC}">
                <c16:uniqueId val="{00000005-A67B-4D7F-92D4-AC7290BE0DBA}"/>
              </c:ext>
            </c:extLst>
          </c:dPt>
          <c:cat>
            <c:strRef>
              <c:f>'wyk2'!$A$4:$A$6</c:f>
              <c:strCache>
                <c:ptCount val="3"/>
                <c:pt idx="0">
                  <c:v>up to 9</c:v>
                </c:pt>
                <c:pt idx="1">
                  <c:v>10-49</c:v>
                </c:pt>
                <c:pt idx="2">
                  <c:v>more than 49</c:v>
                </c:pt>
              </c:strCache>
            </c:strRef>
          </c:cat>
          <c:val>
            <c:numRef>
              <c:f>'wyk2'!$B$4:$B$6</c:f>
              <c:numCache>
                <c:formatCode>0.0</c:formatCode>
                <c:ptCount val="3"/>
                <c:pt idx="0">
                  <c:v>33.700000000000003</c:v>
                </c:pt>
                <c:pt idx="1">
                  <c:v>21</c:v>
                </c:pt>
                <c:pt idx="2">
                  <c:v>55.5</c:v>
                </c:pt>
              </c:numCache>
            </c:numRef>
          </c:val>
          <c:extLst>
            <c:ext xmlns:c16="http://schemas.microsoft.com/office/drawing/2014/chart" uri="{C3380CC4-5D6E-409C-BE32-E72D297353CC}">
              <c16:uniqueId val="{00000006-A67B-4D7F-92D4-AC7290BE0DBA}"/>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vert="horz"/>
        <a:lstStyle/>
        <a:p>
          <a:pPr>
            <a:defRPr/>
          </a:pPr>
          <a:endParaRPr lang="pl-PL"/>
        </a:p>
      </c:txPr>
    </c:legend>
    <c:plotVisOnly val="1"/>
    <c:dispBlanksAs val="zero"/>
    <c:showDLblsOverMax val="0"/>
  </c:chart>
  <c:spPr>
    <a:solidFill>
      <a:schemeClr val="bg1"/>
    </a:solidFill>
    <a:ln w="9525" cap="flat" cmpd="sng" algn="ctr">
      <a:noFill/>
      <a:round/>
    </a:ln>
    <a:effectLst/>
  </c:spPr>
  <c:txPr>
    <a:bodyPr/>
    <a:lstStyle/>
    <a:p>
      <a:pPr>
        <a:defRPr sz="800">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0"/>
            </a:pPr>
            <a:r>
              <a:rPr lang="pl-PL" sz="800" b="0"/>
              <a:t>Jobs</a:t>
            </a:r>
          </a:p>
        </c:rich>
      </c:tx>
      <c:layout>
        <c:manualLayout>
          <c:xMode val="edge"/>
          <c:yMode val="edge"/>
          <c:x val="0.42298297775018778"/>
          <c:y val="1.8568068052990949E-2"/>
        </c:manualLayout>
      </c:layout>
      <c:overlay val="0"/>
    </c:title>
    <c:autoTitleDeleted val="0"/>
    <c:plotArea>
      <c:layout>
        <c:manualLayout>
          <c:layoutTarget val="inner"/>
          <c:xMode val="edge"/>
          <c:yMode val="edge"/>
          <c:x val="3.4187676747875394E-2"/>
          <c:y val="8.5563136949158E-2"/>
          <c:w val="0.8853541854985969"/>
          <c:h val="0.30706320145829136"/>
        </c:manualLayout>
      </c:layout>
      <c:barChart>
        <c:barDir val="bar"/>
        <c:grouping val="stacked"/>
        <c:varyColors val="0"/>
        <c:ser>
          <c:idx val="0"/>
          <c:order val="0"/>
          <c:tx>
            <c:strRef>
              <c:f>'wyk4'!$A$17</c:f>
              <c:strCache>
                <c:ptCount val="1"/>
                <c:pt idx="0">
                  <c:v>Professionals</c:v>
                </c:pt>
              </c:strCache>
            </c:strRef>
          </c:tx>
          <c:spPr>
            <a:solidFill>
              <a:srgbClr val="001D77"/>
            </a:solidFill>
            <a:ln>
              <a:noFill/>
            </a:ln>
            <a:effectLst/>
          </c:spPr>
          <c:invertIfNegative val="0"/>
          <c:cat>
            <c:strRef>
              <c:f>'wyk4'!$B$16:$C$16</c:f>
              <c:strCache>
                <c:ptCount val="2"/>
                <c:pt idx="0">
                  <c:v>Zagospodarowane miejsca pracy</c:v>
                </c:pt>
                <c:pt idx="1">
                  <c:v>Wolne miejsca pracy</c:v>
                </c:pt>
              </c:strCache>
            </c:strRef>
          </c:cat>
          <c:val>
            <c:numRef>
              <c:f>'wyk4'!$B$17:$C$17</c:f>
              <c:numCache>
                <c:formatCode>0.0</c:formatCode>
                <c:ptCount val="2"/>
                <c:pt idx="0">
                  <c:v>21.992217036771098</c:v>
                </c:pt>
                <c:pt idx="1">
                  <c:v>24.897233237447935</c:v>
                </c:pt>
              </c:numCache>
            </c:numRef>
          </c:val>
          <c:extLst>
            <c:ext xmlns:c16="http://schemas.microsoft.com/office/drawing/2014/chart" uri="{C3380CC4-5D6E-409C-BE32-E72D297353CC}">
              <c16:uniqueId val="{00000000-A6E5-4CF9-B449-4AC756DD0F84}"/>
            </c:ext>
          </c:extLst>
        </c:ser>
        <c:ser>
          <c:idx val="1"/>
          <c:order val="1"/>
          <c:tx>
            <c:strRef>
              <c:f>'wyk4'!$A$18</c:f>
              <c:strCache>
                <c:ptCount val="1"/>
                <c:pt idx="0">
                  <c:v>Craft and related trades workers</c:v>
                </c:pt>
              </c:strCache>
            </c:strRef>
          </c:tx>
          <c:spPr>
            <a:solidFill>
              <a:srgbClr val="334A92"/>
            </a:solidFill>
            <a:ln>
              <a:noFill/>
            </a:ln>
            <a:effectLst/>
          </c:spPr>
          <c:invertIfNegative val="0"/>
          <c:cat>
            <c:strRef>
              <c:f>'wyk4'!$B$16:$C$16</c:f>
              <c:strCache>
                <c:ptCount val="2"/>
                <c:pt idx="0">
                  <c:v>Zagospodarowane miejsca pracy</c:v>
                </c:pt>
                <c:pt idx="1">
                  <c:v>Wolne miejsca pracy</c:v>
                </c:pt>
              </c:strCache>
            </c:strRef>
          </c:cat>
          <c:val>
            <c:numRef>
              <c:f>'wyk4'!$B$18:$C$18</c:f>
              <c:numCache>
                <c:formatCode>0.0</c:formatCode>
                <c:ptCount val="2"/>
                <c:pt idx="0">
                  <c:v>14.665186932663213</c:v>
                </c:pt>
                <c:pt idx="1">
                  <c:v>23.356412373753415</c:v>
                </c:pt>
              </c:numCache>
            </c:numRef>
          </c:val>
          <c:extLst>
            <c:ext xmlns:c16="http://schemas.microsoft.com/office/drawing/2014/chart" uri="{C3380CC4-5D6E-409C-BE32-E72D297353CC}">
              <c16:uniqueId val="{00000001-A6E5-4CF9-B449-4AC756DD0F84}"/>
            </c:ext>
          </c:extLst>
        </c:ser>
        <c:ser>
          <c:idx val="2"/>
          <c:order val="2"/>
          <c:tx>
            <c:strRef>
              <c:f>'wyk4'!$A$19</c:f>
              <c:strCache>
                <c:ptCount val="1"/>
                <c:pt idx="0">
                  <c:v>Plant and machine operators and assemblers</c:v>
                </c:pt>
              </c:strCache>
            </c:strRef>
          </c:tx>
          <c:spPr>
            <a:solidFill>
              <a:srgbClr val="6677AD"/>
            </a:solidFill>
            <a:ln>
              <a:noFill/>
            </a:ln>
            <a:effectLst/>
          </c:spPr>
          <c:invertIfNegative val="0"/>
          <c:cat>
            <c:strRef>
              <c:f>'wyk4'!$B$16:$C$16</c:f>
              <c:strCache>
                <c:ptCount val="2"/>
                <c:pt idx="0">
                  <c:v>Zagospodarowane miejsca pracy</c:v>
                </c:pt>
                <c:pt idx="1">
                  <c:v>Wolne miejsca pracy</c:v>
                </c:pt>
              </c:strCache>
            </c:strRef>
          </c:cat>
          <c:val>
            <c:numRef>
              <c:f>'wyk4'!$B$19:$C$19</c:f>
              <c:numCache>
                <c:formatCode>0.0</c:formatCode>
                <c:ptCount val="2"/>
                <c:pt idx="0">
                  <c:v>12.977223447356275</c:v>
                </c:pt>
                <c:pt idx="1">
                  <c:v>16.282973838712898</c:v>
                </c:pt>
              </c:numCache>
            </c:numRef>
          </c:val>
          <c:extLst>
            <c:ext xmlns:c16="http://schemas.microsoft.com/office/drawing/2014/chart" uri="{C3380CC4-5D6E-409C-BE32-E72D297353CC}">
              <c16:uniqueId val="{00000002-A6E5-4CF9-B449-4AC756DD0F84}"/>
            </c:ext>
          </c:extLst>
        </c:ser>
        <c:ser>
          <c:idx val="3"/>
          <c:order val="3"/>
          <c:tx>
            <c:strRef>
              <c:f>'wyk4'!$A$20</c:f>
              <c:strCache>
                <c:ptCount val="1"/>
                <c:pt idx="0">
                  <c:v>Technicians and associate professionals</c:v>
                </c:pt>
              </c:strCache>
            </c:strRef>
          </c:tx>
          <c:spPr>
            <a:solidFill>
              <a:srgbClr val="99A5C9"/>
            </a:solidFill>
            <a:ln>
              <a:noFill/>
            </a:ln>
            <a:effectLst/>
          </c:spPr>
          <c:invertIfNegative val="0"/>
          <c:cat>
            <c:strRef>
              <c:f>'wyk4'!$B$16:$C$16</c:f>
              <c:strCache>
                <c:ptCount val="2"/>
                <c:pt idx="0">
                  <c:v>Zagospodarowane miejsca pracy</c:v>
                </c:pt>
                <c:pt idx="1">
                  <c:v>Wolne miejsca pracy</c:v>
                </c:pt>
              </c:strCache>
            </c:strRef>
          </c:cat>
          <c:val>
            <c:numRef>
              <c:f>'wyk4'!$B$20:$C$20</c:f>
              <c:numCache>
                <c:formatCode>0.0</c:formatCode>
                <c:ptCount val="2"/>
                <c:pt idx="0">
                  <c:v>9.3121985742858602</c:v>
                </c:pt>
                <c:pt idx="1">
                  <c:v>9.4354860663696325</c:v>
                </c:pt>
              </c:numCache>
            </c:numRef>
          </c:val>
          <c:extLst>
            <c:ext xmlns:c16="http://schemas.microsoft.com/office/drawing/2014/chart" uri="{C3380CC4-5D6E-409C-BE32-E72D297353CC}">
              <c16:uniqueId val="{00000003-A6E5-4CF9-B449-4AC756DD0F84}"/>
            </c:ext>
          </c:extLst>
        </c:ser>
        <c:ser>
          <c:idx val="4"/>
          <c:order val="4"/>
          <c:tx>
            <c:strRef>
              <c:f>'wyk4'!$A$21</c:f>
              <c:strCache>
                <c:ptCount val="1"/>
                <c:pt idx="0">
                  <c:v>Clerical support workers</c:v>
                </c:pt>
              </c:strCache>
            </c:strRef>
          </c:tx>
          <c:spPr>
            <a:solidFill>
              <a:srgbClr val="CCD2E4"/>
            </a:solidFill>
            <a:ln>
              <a:noFill/>
            </a:ln>
            <a:effectLst/>
          </c:spPr>
          <c:invertIfNegative val="0"/>
          <c:cat>
            <c:strRef>
              <c:f>'wyk4'!$B$16:$C$16</c:f>
              <c:strCache>
                <c:ptCount val="2"/>
                <c:pt idx="0">
                  <c:v>Zagospodarowane miejsca pracy</c:v>
                </c:pt>
                <c:pt idx="1">
                  <c:v>Wolne miejsca pracy</c:v>
                </c:pt>
              </c:strCache>
            </c:strRef>
          </c:cat>
          <c:val>
            <c:numRef>
              <c:f>'wyk4'!$B$21:$C$21</c:f>
              <c:numCache>
                <c:formatCode>0.0</c:formatCode>
                <c:ptCount val="2"/>
                <c:pt idx="0">
                  <c:v>13.267404482281142</c:v>
                </c:pt>
                <c:pt idx="1">
                  <c:v>8.7394851226395396</c:v>
                </c:pt>
              </c:numCache>
            </c:numRef>
          </c:val>
          <c:extLst>
            <c:ext xmlns:c16="http://schemas.microsoft.com/office/drawing/2014/chart" uri="{C3380CC4-5D6E-409C-BE32-E72D297353CC}">
              <c16:uniqueId val="{00000004-A6E5-4CF9-B449-4AC756DD0F84}"/>
            </c:ext>
          </c:extLst>
        </c:ser>
        <c:ser>
          <c:idx val="5"/>
          <c:order val="5"/>
          <c:tx>
            <c:strRef>
              <c:f>'wyk4'!$A$22</c:f>
              <c:strCache>
                <c:ptCount val="1"/>
                <c:pt idx="0">
                  <c:v>Services and sales workers</c:v>
                </c:pt>
              </c:strCache>
            </c:strRef>
          </c:tx>
          <c:spPr>
            <a:solidFill>
              <a:schemeClr val="bg1">
                <a:lumMod val="85000"/>
              </a:schemeClr>
            </a:solidFill>
            <a:ln>
              <a:noFill/>
            </a:ln>
            <a:effectLst/>
          </c:spPr>
          <c:invertIfNegative val="0"/>
          <c:cat>
            <c:strRef>
              <c:f>'wyk4'!$B$16:$C$16</c:f>
              <c:strCache>
                <c:ptCount val="2"/>
                <c:pt idx="0">
                  <c:v>Zagospodarowane miejsca pracy</c:v>
                </c:pt>
                <c:pt idx="1">
                  <c:v>Wolne miejsca pracy</c:v>
                </c:pt>
              </c:strCache>
            </c:strRef>
          </c:cat>
          <c:val>
            <c:numRef>
              <c:f>'wyk4'!$B$22:$C$22</c:f>
              <c:numCache>
                <c:formatCode>0.0</c:formatCode>
                <c:ptCount val="2"/>
                <c:pt idx="0">
                  <c:v>11.428335812092929</c:v>
                </c:pt>
                <c:pt idx="1">
                  <c:v>7.2131831834556861</c:v>
                </c:pt>
              </c:numCache>
            </c:numRef>
          </c:val>
          <c:extLst>
            <c:ext xmlns:c16="http://schemas.microsoft.com/office/drawing/2014/chart" uri="{C3380CC4-5D6E-409C-BE32-E72D297353CC}">
              <c16:uniqueId val="{00000005-A6E5-4CF9-B449-4AC756DD0F84}"/>
            </c:ext>
          </c:extLst>
        </c:ser>
        <c:ser>
          <c:idx val="6"/>
          <c:order val="6"/>
          <c:tx>
            <c:strRef>
              <c:f>'wyk4'!$A$23</c:f>
              <c:strCache>
                <c:ptCount val="1"/>
                <c:pt idx="0">
                  <c:v>Elementary occupations</c:v>
                </c:pt>
              </c:strCache>
            </c:strRef>
          </c:tx>
          <c:spPr>
            <a:solidFill>
              <a:schemeClr val="bg1">
                <a:lumMod val="75000"/>
              </a:schemeClr>
            </a:solidFill>
            <a:ln>
              <a:noFill/>
            </a:ln>
            <a:effectLst/>
          </c:spPr>
          <c:invertIfNegative val="0"/>
          <c:cat>
            <c:strRef>
              <c:f>'wyk4'!$B$16:$C$16</c:f>
              <c:strCache>
                <c:ptCount val="2"/>
                <c:pt idx="0">
                  <c:v>Zagospodarowane miejsca pracy</c:v>
                </c:pt>
                <c:pt idx="1">
                  <c:v>Wolne miejsca pracy</c:v>
                </c:pt>
              </c:strCache>
            </c:strRef>
          </c:cat>
          <c:val>
            <c:numRef>
              <c:f>'wyk4'!$B$23:$C$23</c:f>
              <c:numCache>
                <c:formatCode>0.0</c:formatCode>
                <c:ptCount val="2"/>
                <c:pt idx="0">
                  <c:v>8.2008554284835125</c:v>
                </c:pt>
                <c:pt idx="1">
                  <c:v>6.5253491347628421</c:v>
                </c:pt>
              </c:numCache>
            </c:numRef>
          </c:val>
          <c:extLst>
            <c:ext xmlns:c16="http://schemas.microsoft.com/office/drawing/2014/chart" uri="{C3380CC4-5D6E-409C-BE32-E72D297353CC}">
              <c16:uniqueId val="{00000006-A6E5-4CF9-B449-4AC756DD0F84}"/>
            </c:ext>
          </c:extLst>
        </c:ser>
        <c:ser>
          <c:idx val="7"/>
          <c:order val="7"/>
          <c:tx>
            <c:strRef>
              <c:f>'wyk4'!$A$24</c:f>
              <c:strCache>
                <c:ptCount val="1"/>
                <c:pt idx="0">
                  <c:v>Managers</c:v>
                </c:pt>
              </c:strCache>
            </c:strRef>
          </c:tx>
          <c:spPr>
            <a:solidFill>
              <a:schemeClr val="bg1">
                <a:lumMod val="65000"/>
              </a:schemeClr>
            </a:solidFill>
            <a:ln>
              <a:noFill/>
            </a:ln>
            <a:effectLst/>
          </c:spPr>
          <c:invertIfNegative val="0"/>
          <c:cat>
            <c:strRef>
              <c:f>'wyk4'!$B$16:$C$16</c:f>
              <c:strCache>
                <c:ptCount val="2"/>
                <c:pt idx="0">
                  <c:v>Zagospodarowane miejsca pracy</c:v>
                </c:pt>
                <c:pt idx="1">
                  <c:v>Wolne miejsca pracy</c:v>
                </c:pt>
              </c:strCache>
            </c:strRef>
          </c:cat>
          <c:val>
            <c:numRef>
              <c:f>'wyk4'!$B$24:$C$24</c:f>
              <c:numCache>
                <c:formatCode>0.0</c:formatCode>
                <c:ptCount val="2"/>
                <c:pt idx="0">
                  <c:v>7.9032565772603727</c:v>
                </c:pt>
                <c:pt idx="1">
                  <c:v>3.155143782724295</c:v>
                </c:pt>
              </c:numCache>
            </c:numRef>
          </c:val>
          <c:extLst>
            <c:ext xmlns:c16="http://schemas.microsoft.com/office/drawing/2014/chart" uri="{C3380CC4-5D6E-409C-BE32-E72D297353CC}">
              <c16:uniqueId val="{00000007-A6E5-4CF9-B449-4AC756DD0F84}"/>
            </c:ext>
          </c:extLst>
        </c:ser>
        <c:ser>
          <c:idx val="8"/>
          <c:order val="8"/>
          <c:tx>
            <c:strRef>
              <c:f>'wyk4'!$A$25</c:f>
              <c:strCache>
                <c:ptCount val="1"/>
                <c:pt idx="0">
                  <c:v>Skilled agricultural, forestry and fishery workers</c:v>
                </c:pt>
              </c:strCache>
            </c:strRef>
          </c:tx>
          <c:spPr>
            <a:solidFill>
              <a:schemeClr val="tx1">
                <a:lumMod val="65000"/>
                <a:lumOff val="35000"/>
              </a:schemeClr>
            </a:solidFill>
            <a:ln>
              <a:noFill/>
            </a:ln>
            <a:effectLst/>
          </c:spPr>
          <c:invertIfNegative val="0"/>
          <c:cat>
            <c:strRef>
              <c:f>'wyk4'!$B$16:$C$16</c:f>
              <c:strCache>
                <c:ptCount val="2"/>
                <c:pt idx="0">
                  <c:v>Zagospodarowane miejsca pracy</c:v>
                </c:pt>
                <c:pt idx="1">
                  <c:v>Wolne miejsca pracy</c:v>
                </c:pt>
              </c:strCache>
            </c:strRef>
          </c:cat>
          <c:val>
            <c:numRef>
              <c:f>'wyk4'!$B$25:$C$25</c:f>
              <c:numCache>
                <c:formatCode>0.0</c:formatCode>
                <c:ptCount val="2"/>
                <c:pt idx="0">
                  <c:v>0.25332170880557975</c:v>
                </c:pt>
                <c:pt idx="1">
                  <c:v>0.39473326013375559</c:v>
                </c:pt>
              </c:numCache>
            </c:numRef>
          </c:val>
          <c:extLst>
            <c:ext xmlns:c16="http://schemas.microsoft.com/office/drawing/2014/chart" uri="{C3380CC4-5D6E-409C-BE32-E72D297353CC}">
              <c16:uniqueId val="{00000008-A6E5-4CF9-B449-4AC756DD0F84}"/>
            </c:ext>
          </c:extLst>
        </c:ser>
        <c:dLbls>
          <c:showLegendKey val="0"/>
          <c:showVal val="0"/>
          <c:showCatName val="0"/>
          <c:showSerName val="0"/>
          <c:showPercent val="0"/>
          <c:showBubbleSize val="0"/>
        </c:dLbls>
        <c:gapWidth val="150"/>
        <c:overlap val="100"/>
        <c:axId val="482821576"/>
        <c:axId val="482822360"/>
      </c:barChart>
      <c:catAx>
        <c:axId val="482821576"/>
        <c:scaling>
          <c:orientation val="minMax"/>
        </c:scaling>
        <c:delete val="1"/>
        <c:axPos val="l"/>
        <c:numFmt formatCode="General" sourceLinked="1"/>
        <c:majorTickMark val="none"/>
        <c:minorTickMark val="none"/>
        <c:tickLblPos val="none"/>
        <c:crossAx val="482822360"/>
        <c:crosses val="autoZero"/>
        <c:auto val="1"/>
        <c:lblAlgn val="ctr"/>
        <c:lblOffset val="100"/>
        <c:noMultiLvlLbl val="0"/>
      </c:catAx>
      <c:valAx>
        <c:axId val="482822360"/>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a:t>
                </a:r>
                <a:endParaRPr lang="en-US"/>
              </a:p>
            </c:rich>
          </c:tx>
          <c:layout>
            <c:manualLayout>
              <c:xMode val="edge"/>
              <c:yMode val="edge"/>
              <c:x val="0.94304803185908814"/>
              <c:y val="0.40368718792865305"/>
            </c:manualLayout>
          </c:layout>
          <c:overlay val="0"/>
          <c:spPr>
            <a:noFill/>
            <a:ln>
              <a:noFill/>
            </a:ln>
            <a:effectLst/>
          </c:sp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82821576"/>
        <c:crosses val="autoZero"/>
        <c:crossBetween val="between"/>
      </c:valAx>
      <c:spPr>
        <a:noFill/>
        <a:ln>
          <a:noFill/>
        </a:ln>
        <a:effectLst/>
      </c:spPr>
    </c:plotArea>
    <c:legend>
      <c:legendPos val="b"/>
      <c:layout>
        <c:manualLayout>
          <c:xMode val="edge"/>
          <c:yMode val="edge"/>
          <c:x val="0.12861250999200641"/>
          <c:y val="0.53722465277777776"/>
          <c:w val="0.74525879296562747"/>
          <c:h val="0.4536451388888889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482E-2"/>
          <c:y val="0.11302984594450627"/>
          <c:w val="0.88605635491606582"/>
          <c:h val="0.6352474074074087"/>
        </c:manualLayout>
      </c:layout>
      <c:lineChart>
        <c:grouping val="standard"/>
        <c:varyColors val="0"/>
        <c:ser>
          <c:idx val="0"/>
          <c:order val="0"/>
          <c:spPr>
            <a:ln w="28575" cap="rnd">
              <a:solidFill>
                <a:srgbClr val="001D77"/>
              </a:solidFill>
              <a:round/>
            </a:ln>
            <a:effectLst/>
          </c:spPr>
          <c:marker>
            <c:symbol val="none"/>
          </c:marker>
          <c:cat>
            <c:multiLvlStrRef>
              <c:f>'wyk6'!$A$4:$B$40</c:f>
              <c:multiLvlStrCache>
                <c:ptCount val="37"/>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pt idx="19">
                    <c:v>Q4</c:v>
                  </c:pt>
                  <c:pt idx="20">
                    <c:v>Q1</c:v>
                  </c:pt>
                  <c:pt idx="21">
                    <c:v>Q2</c:v>
                  </c:pt>
                  <c:pt idx="22">
                    <c:v>Q3</c:v>
                  </c:pt>
                  <c:pt idx="23">
                    <c:v>Q4</c:v>
                  </c:pt>
                  <c:pt idx="24">
                    <c:v>Q1</c:v>
                  </c:pt>
                  <c:pt idx="25">
                    <c:v>Q2</c:v>
                  </c:pt>
                  <c:pt idx="26">
                    <c:v>Q3</c:v>
                  </c:pt>
                  <c:pt idx="27">
                    <c:v>Q4</c:v>
                  </c:pt>
                  <c:pt idx="28">
                    <c:v>Q1</c:v>
                  </c:pt>
                  <c:pt idx="29">
                    <c:v>Q2</c:v>
                  </c:pt>
                  <c:pt idx="30">
                    <c:v>Q3</c:v>
                  </c:pt>
                  <c:pt idx="31">
                    <c:v>Q4</c:v>
                  </c:pt>
                  <c:pt idx="32">
                    <c:v>Q1</c:v>
                  </c:pt>
                  <c:pt idx="33">
                    <c:v>Q2</c:v>
                  </c:pt>
                  <c:pt idx="34">
                    <c:v>Q3</c:v>
                  </c:pt>
                  <c:pt idx="35">
                    <c:v>Q4</c:v>
                  </c:pt>
                  <c:pt idx="36">
                    <c:v>Q1</c:v>
                  </c:pt>
                </c:lvl>
                <c:lvl>
                  <c:pt idx="0">
                    <c:v>2012</c:v>
                  </c:pt>
                  <c:pt idx="4">
                    <c:v>2013</c:v>
                  </c:pt>
                  <c:pt idx="8">
                    <c:v>2014</c:v>
                  </c:pt>
                  <c:pt idx="12">
                    <c:v>2015</c:v>
                  </c:pt>
                  <c:pt idx="16">
                    <c:v>2016</c:v>
                  </c:pt>
                  <c:pt idx="20">
                    <c:v>2017</c:v>
                  </c:pt>
                  <c:pt idx="24">
                    <c:v>2018</c:v>
                  </c:pt>
                  <c:pt idx="28">
                    <c:v>2019</c:v>
                  </c:pt>
                  <c:pt idx="32">
                    <c:v>2020</c:v>
                  </c:pt>
                  <c:pt idx="36">
                    <c:v>2021</c:v>
                  </c:pt>
                </c:lvl>
              </c:multiLvlStrCache>
            </c:multiLvlStrRef>
          </c:cat>
          <c:val>
            <c:numRef>
              <c:f>'wyk6'!$C$4:$C$40</c:f>
              <c:numCache>
                <c:formatCode>General</c:formatCode>
                <c:ptCount val="37"/>
                <c:pt idx="0">
                  <c:v>0.49</c:v>
                </c:pt>
                <c:pt idx="1">
                  <c:v>0.48</c:v>
                </c:pt>
                <c:pt idx="2">
                  <c:v>0.41</c:v>
                </c:pt>
                <c:pt idx="3">
                  <c:v>0.34</c:v>
                </c:pt>
                <c:pt idx="4">
                  <c:v>0.41</c:v>
                </c:pt>
                <c:pt idx="5">
                  <c:v>0.41</c:v>
                </c:pt>
                <c:pt idx="6">
                  <c:v>0.42</c:v>
                </c:pt>
                <c:pt idx="7">
                  <c:v>0.37</c:v>
                </c:pt>
                <c:pt idx="8">
                  <c:v>0.48</c:v>
                </c:pt>
                <c:pt idx="9">
                  <c:v>0.51</c:v>
                </c:pt>
                <c:pt idx="10">
                  <c:v>0.53</c:v>
                </c:pt>
                <c:pt idx="11">
                  <c:v>0.48</c:v>
                </c:pt>
                <c:pt idx="12">
                  <c:v>0.63</c:v>
                </c:pt>
                <c:pt idx="13">
                  <c:v>0.64</c:v>
                </c:pt>
                <c:pt idx="14">
                  <c:v>0.63</c:v>
                </c:pt>
                <c:pt idx="15">
                  <c:v>0.55000000000000004</c:v>
                </c:pt>
                <c:pt idx="16">
                  <c:v>0.76</c:v>
                </c:pt>
                <c:pt idx="17" formatCode="0.00">
                  <c:v>0.8</c:v>
                </c:pt>
                <c:pt idx="18">
                  <c:v>0.81</c:v>
                </c:pt>
                <c:pt idx="19">
                  <c:v>0.66</c:v>
                </c:pt>
                <c:pt idx="20">
                  <c:v>0.96</c:v>
                </c:pt>
                <c:pt idx="21">
                  <c:v>0.98</c:v>
                </c:pt>
                <c:pt idx="22">
                  <c:v>1.06</c:v>
                </c:pt>
                <c:pt idx="23">
                  <c:v>0.96</c:v>
                </c:pt>
                <c:pt idx="24">
                  <c:v>1.17</c:v>
                </c:pt>
                <c:pt idx="25">
                  <c:v>1.27</c:v>
                </c:pt>
                <c:pt idx="26">
                  <c:v>1.21</c:v>
                </c:pt>
                <c:pt idx="27">
                  <c:v>1.07</c:v>
                </c:pt>
                <c:pt idx="28">
                  <c:v>1.08</c:v>
                </c:pt>
                <c:pt idx="29">
                  <c:v>1.1299999999999999</c:v>
                </c:pt>
                <c:pt idx="30">
                  <c:v>1.1200000000000001</c:v>
                </c:pt>
                <c:pt idx="31">
                  <c:v>0.95</c:v>
                </c:pt>
                <c:pt idx="32">
                  <c:v>0.61</c:v>
                </c:pt>
                <c:pt idx="33">
                  <c:v>0.66</c:v>
                </c:pt>
                <c:pt idx="34">
                  <c:v>0.72</c:v>
                </c:pt>
                <c:pt idx="35">
                  <c:v>0.69</c:v>
                </c:pt>
                <c:pt idx="36" formatCode="0.00">
                  <c:v>0.9</c:v>
                </c:pt>
              </c:numCache>
            </c:numRef>
          </c:val>
          <c:smooth val="0"/>
          <c:extLst>
            <c:ext xmlns:c16="http://schemas.microsoft.com/office/drawing/2014/chart" uri="{C3380CC4-5D6E-409C-BE32-E72D297353CC}">
              <c16:uniqueId val="{00000000-92F4-44F8-BB00-8E497729C5C9}"/>
            </c:ext>
          </c:extLst>
        </c:ser>
        <c:dLbls>
          <c:showLegendKey val="0"/>
          <c:showVal val="0"/>
          <c:showCatName val="0"/>
          <c:showSerName val="0"/>
          <c:showPercent val="0"/>
          <c:showBubbleSize val="0"/>
        </c:dLbls>
        <c:smooth val="0"/>
        <c:axId val="222450128"/>
        <c:axId val="222450520"/>
      </c:lineChart>
      <c:catAx>
        <c:axId val="222450128"/>
        <c:scaling>
          <c:orientation val="minMax"/>
        </c:scaling>
        <c:delete val="0"/>
        <c:axPos val="b"/>
        <c:title>
          <c:tx>
            <c:rich>
              <a:bodyPr/>
              <a:lstStyle/>
              <a:p>
                <a:pPr>
                  <a:defRPr/>
                </a:pPr>
                <a:r>
                  <a:rPr lang="pl-PL" b="0" i="0" baseline="0"/>
                  <a:t>%</a:t>
                </a:r>
              </a:p>
            </c:rich>
          </c:tx>
          <c:layout>
            <c:manualLayout>
              <c:xMode val="edge"/>
              <c:yMode val="edge"/>
              <c:x val="4.2869104716227013E-2"/>
              <c:y val="1.7666296296296305E-2"/>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22450520"/>
        <c:crosses val="autoZero"/>
        <c:auto val="1"/>
        <c:lblAlgn val="ctr"/>
        <c:lblOffset val="100"/>
        <c:noMultiLvlLbl val="0"/>
      </c:catAx>
      <c:valAx>
        <c:axId val="22245052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224501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045763389288571E-2"/>
          <c:y val="8.8753024990615534E-2"/>
          <c:w val="0.92276958433253398"/>
          <c:h val="0.40668253372415275"/>
        </c:manualLayout>
      </c:layout>
      <c:barChart>
        <c:barDir val="bar"/>
        <c:grouping val="stacked"/>
        <c:varyColors val="0"/>
        <c:ser>
          <c:idx val="0"/>
          <c:order val="0"/>
          <c:tx>
            <c:strRef>
              <c:f>'wyk7'!$B$5</c:f>
              <c:strCache>
                <c:ptCount val="1"/>
                <c:pt idx="0">
                  <c:v>up to 9 persons</c:v>
                </c:pt>
              </c:strCache>
            </c:strRef>
          </c:tx>
          <c:spPr>
            <a:solidFill>
              <a:srgbClr val="001D77"/>
            </a:solidFill>
            <a:ln>
              <a:noFill/>
            </a:ln>
            <a:effectLst/>
          </c:spPr>
          <c:invertIfNegative val="0"/>
          <c:val>
            <c:numRef>
              <c:f>'wyk7'!$D$5</c:f>
              <c:numCache>
                <c:formatCode>0.0</c:formatCode>
                <c:ptCount val="1"/>
                <c:pt idx="0">
                  <c:v>45.852895148669802</c:v>
                </c:pt>
              </c:numCache>
            </c:numRef>
          </c:val>
          <c:extLst>
            <c:ext xmlns:c16="http://schemas.microsoft.com/office/drawing/2014/chart" uri="{C3380CC4-5D6E-409C-BE32-E72D297353CC}">
              <c16:uniqueId val="{00000000-9E00-4BE4-8B38-1C37B1748D28}"/>
            </c:ext>
          </c:extLst>
        </c:ser>
        <c:ser>
          <c:idx val="1"/>
          <c:order val="1"/>
          <c:tx>
            <c:strRef>
              <c:f>'wyk7'!$B$6</c:f>
              <c:strCache>
                <c:ptCount val="1"/>
                <c:pt idx="0">
                  <c:v>10-49 persons</c:v>
                </c:pt>
              </c:strCache>
            </c:strRef>
          </c:tx>
          <c:spPr>
            <a:solidFill>
              <a:srgbClr val="6677AD"/>
            </a:solidFill>
            <a:ln>
              <a:noFill/>
            </a:ln>
            <a:effectLst/>
          </c:spPr>
          <c:invertIfNegative val="0"/>
          <c:val>
            <c:numRef>
              <c:f>'wyk7'!$D$6</c:f>
              <c:numCache>
                <c:formatCode>0.0</c:formatCode>
                <c:ptCount val="1"/>
                <c:pt idx="0">
                  <c:v>28.169014084507044</c:v>
                </c:pt>
              </c:numCache>
            </c:numRef>
          </c:val>
          <c:extLst>
            <c:ext xmlns:c16="http://schemas.microsoft.com/office/drawing/2014/chart" uri="{C3380CC4-5D6E-409C-BE32-E72D297353CC}">
              <c16:uniqueId val="{00000001-9E00-4BE4-8B38-1C37B1748D28}"/>
            </c:ext>
          </c:extLst>
        </c:ser>
        <c:ser>
          <c:idx val="2"/>
          <c:order val="2"/>
          <c:tx>
            <c:strRef>
              <c:f>'wyk7'!$B$7</c:f>
              <c:strCache>
                <c:ptCount val="1"/>
                <c:pt idx="0">
                  <c:v>more than 49 persons</c:v>
                </c:pt>
              </c:strCache>
            </c:strRef>
          </c:tx>
          <c:spPr>
            <a:solidFill>
              <a:srgbClr val="CCD2E4"/>
            </a:solidFill>
            <a:ln>
              <a:noFill/>
            </a:ln>
            <a:effectLst/>
          </c:spPr>
          <c:invertIfNegative val="0"/>
          <c:val>
            <c:numRef>
              <c:f>'wyk7'!$D$7</c:f>
              <c:numCache>
                <c:formatCode>0.0</c:formatCode>
                <c:ptCount val="1"/>
                <c:pt idx="0">
                  <c:v>26.030255607720399</c:v>
                </c:pt>
              </c:numCache>
            </c:numRef>
          </c:val>
          <c:extLst>
            <c:ext xmlns:c16="http://schemas.microsoft.com/office/drawing/2014/chart" uri="{C3380CC4-5D6E-409C-BE32-E72D297353CC}">
              <c16:uniqueId val="{00000002-9E00-4BE4-8B38-1C37B1748D28}"/>
            </c:ext>
          </c:extLst>
        </c:ser>
        <c:dLbls>
          <c:showLegendKey val="0"/>
          <c:showVal val="0"/>
          <c:showCatName val="0"/>
          <c:showSerName val="0"/>
          <c:showPercent val="0"/>
          <c:showBubbleSize val="0"/>
        </c:dLbls>
        <c:gapWidth val="150"/>
        <c:overlap val="100"/>
        <c:axId val="482818832"/>
        <c:axId val="482820008"/>
      </c:barChart>
      <c:catAx>
        <c:axId val="482818832"/>
        <c:scaling>
          <c:orientation val="minMax"/>
        </c:scaling>
        <c:delete val="1"/>
        <c:axPos val="l"/>
        <c:numFmt formatCode="General" sourceLinked="1"/>
        <c:majorTickMark val="none"/>
        <c:minorTickMark val="none"/>
        <c:tickLblPos val="nextTo"/>
        <c:crossAx val="482820008"/>
        <c:crosses val="autoZero"/>
        <c:auto val="1"/>
        <c:lblAlgn val="ctr"/>
        <c:lblOffset val="100"/>
        <c:noMultiLvlLbl val="0"/>
      </c:catAx>
      <c:valAx>
        <c:axId val="48282000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82818832"/>
        <c:crosses val="autoZero"/>
        <c:crossBetween val="between"/>
      </c:valAx>
      <c:spPr>
        <a:noFill/>
        <a:ln>
          <a:noFill/>
        </a:ln>
        <a:effectLst/>
      </c:spPr>
    </c:plotArea>
    <c:legend>
      <c:legendPos val="b"/>
      <c:layout>
        <c:manualLayout>
          <c:xMode val="edge"/>
          <c:yMode val="edge"/>
          <c:x val="0.12087729816147082"/>
          <c:y val="0.86277777777777775"/>
          <c:w val="0.76332114308553156"/>
          <c:h val="0.1215432098765432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470623501199047E-2"/>
          <c:y val="6.9398907103825139E-2"/>
          <c:w val="0.38301358912869704"/>
          <c:h val="0.87276867030965388"/>
        </c:manualLayout>
      </c:layout>
      <c:pieChart>
        <c:varyColors val="1"/>
        <c:ser>
          <c:idx val="0"/>
          <c:order val="0"/>
          <c:spPr>
            <a:ln>
              <a:noFill/>
            </a:ln>
          </c:spPr>
          <c:dPt>
            <c:idx val="0"/>
            <c:bubble3D val="0"/>
            <c:spPr>
              <a:solidFill>
                <a:srgbClr val="001D77"/>
              </a:solidFill>
              <a:ln w="19050">
                <a:noFill/>
              </a:ln>
              <a:effectLst/>
            </c:spPr>
            <c:extLst>
              <c:ext xmlns:c16="http://schemas.microsoft.com/office/drawing/2014/chart" uri="{C3380CC4-5D6E-409C-BE32-E72D297353CC}">
                <c16:uniqueId val="{00000001-684A-4569-9987-7E39CE567852}"/>
              </c:ext>
            </c:extLst>
          </c:dPt>
          <c:dPt>
            <c:idx val="1"/>
            <c:bubble3D val="0"/>
            <c:spPr>
              <a:solidFill>
                <a:srgbClr val="334A92"/>
              </a:solidFill>
              <a:ln w="19050">
                <a:noFill/>
              </a:ln>
              <a:effectLst/>
            </c:spPr>
            <c:extLst>
              <c:ext xmlns:c16="http://schemas.microsoft.com/office/drawing/2014/chart" uri="{C3380CC4-5D6E-409C-BE32-E72D297353CC}">
                <c16:uniqueId val="{00000003-684A-4569-9987-7E39CE567852}"/>
              </c:ext>
            </c:extLst>
          </c:dPt>
          <c:dPt>
            <c:idx val="2"/>
            <c:bubble3D val="0"/>
            <c:spPr>
              <a:solidFill>
                <a:srgbClr val="6677AD"/>
              </a:solidFill>
              <a:ln w="19050">
                <a:noFill/>
              </a:ln>
              <a:effectLst/>
            </c:spPr>
            <c:extLst>
              <c:ext xmlns:c16="http://schemas.microsoft.com/office/drawing/2014/chart" uri="{C3380CC4-5D6E-409C-BE32-E72D297353CC}">
                <c16:uniqueId val="{00000005-684A-4569-9987-7E39CE567852}"/>
              </c:ext>
            </c:extLst>
          </c:dPt>
          <c:dPt>
            <c:idx val="3"/>
            <c:bubble3D val="0"/>
            <c:spPr>
              <a:solidFill>
                <a:srgbClr val="CCD2E4"/>
              </a:solidFill>
              <a:ln w="19050">
                <a:noFill/>
              </a:ln>
              <a:effectLst/>
            </c:spPr>
            <c:extLst>
              <c:ext xmlns:c16="http://schemas.microsoft.com/office/drawing/2014/chart" uri="{C3380CC4-5D6E-409C-BE32-E72D297353CC}">
                <c16:uniqueId val="{00000007-684A-4569-9987-7E39CE567852}"/>
              </c:ext>
            </c:extLst>
          </c:dPt>
          <c:cat>
            <c:strRef>
              <c:f>'wyk8'!$B$9:$B$12</c:f>
              <c:strCache>
                <c:ptCount val="4"/>
                <c:pt idx="0">
                  <c:v>Manufacturing (C)</c:v>
                </c:pt>
                <c:pt idx="1">
                  <c:v>Trade; repair of motor vehicles    (G)</c:v>
                </c:pt>
                <c:pt idx="2">
                  <c:v>Construction (F)</c:v>
                </c:pt>
                <c:pt idx="3">
                  <c:v>Remaining sections</c:v>
                </c:pt>
              </c:strCache>
            </c:strRef>
          </c:cat>
          <c:val>
            <c:numRef>
              <c:f>'wyk8'!$C$9:$C$12</c:f>
              <c:numCache>
                <c:formatCode>0.0</c:formatCode>
                <c:ptCount val="4"/>
                <c:pt idx="0">
                  <c:v>14</c:v>
                </c:pt>
                <c:pt idx="1">
                  <c:v>13.4</c:v>
                </c:pt>
                <c:pt idx="2" formatCode="General">
                  <c:v>10.5</c:v>
                </c:pt>
                <c:pt idx="3">
                  <c:v>32</c:v>
                </c:pt>
              </c:numCache>
            </c:numRef>
          </c:val>
          <c:extLst>
            <c:ext xmlns:c16="http://schemas.microsoft.com/office/drawing/2014/chart" uri="{C3380CC4-5D6E-409C-BE32-E72D297353CC}">
              <c16:uniqueId val="{00000008-684A-4569-9987-7E39CE567852}"/>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44380295763389288"/>
          <c:y val="0.21074681238615664"/>
          <c:w val="0.54096922462030372"/>
          <c:h val="0.5785063752276866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056660560140973"/>
          <c:y val="1.4412689703773917E-2"/>
          <c:w val="0.45802246063340391"/>
          <c:h val="0.88921390392570676"/>
        </c:manualLayout>
      </c:layout>
      <c:barChart>
        <c:barDir val="bar"/>
        <c:grouping val="clustered"/>
        <c:varyColors val="0"/>
        <c:ser>
          <c:idx val="0"/>
          <c:order val="0"/>
          <c:tx>
            <c:strRef>
              <c:f>'wyk9'!$B$4</c:f>
              <c:strCache>
                <c:ptCount val="1"/>
                <c:pt idx="0">
                  <c:v>Liquidated jobs</c:v>
                </c:pt>
              </c:strCache>
            </c:strRef>
          </c:tx>
          <c:spPr>
            <a:solidFill>
              <a:srgbClr val="C0C0C0"/>
            </a:solidFill>
            <a:ln>
              <a:noFill/>
            </a:ln>
            <a:effectLst/>
          </c:spPr>
          <c:invertIfNegative val="0"/>
          <c:cat>
            <c:strRef>
              <c:f>'wyk9'!$A$5:$A$19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'wyk9'!$B$5:$B$19</c:f>
              <c:numCache>
                <c:formatCode>0.0</c:formatCode>
                <c:ptCount val="15"/>
                <c:pt idx="0">
                  <c:v>1.2999999999999998</c:v>
                </c:pt>
                <c:pt idx="1">
                  <c:v>0.7</c:v>
                </c:pt>
                <c:pt idx="2">
                  <c:v>1.8</c:v>
                </c:pt>
                <c:pt idx="3">
                  <c:v>2.4</c:v>
                </c:pt>
                <c:pt idx="4">
                  <c:v>0.9</c:v>
                </c:pt>
                <c:pt idx="5">
                  <c:v>5.5</c:v>
                </c:pt>
                <c:pt idx="6">
                  <c:v>3.7</c:v>
                </c:pt>
                <c:pt idx="7">
                  <c:v>1.1000000000000001</c:v>
                </c:pt>
                <c:pt idx="8">
                  <c:v>1.6</c:v>
                </c:pt>
                <c:pt idx="9">
                  <c:v>1.8</c:v>
                </c:pt>
                <c:pt idx="10">
                  <c:v>4.4000000000000004</c:v>
                </c:pt>
                <c:pt idx="11">
                  <c:v>5.6</c:v>
                </c:pt>
                <c:pt idx="12">
                  <c:v>13.4</c:v>
                </c:pt>
                <c:pt idx="13">
                  <c:v>10.5</c:v>
                </c:pt>
                <c:pt idx="14">
                  <c:v>14</c:v>
                </c:pt>
              </c:numCache>
            </c:numRef>
          </c:val>
          <c:extLst>
            <c:ext xmlns:c16="http://schemas.microsoft.com/office/drawing/2014/chart" uri="{C3380CC4-5D6E-409C-BE32-E72D297353CC}">
              <c16:uniqueId val="{00000000-B472-47EA-BCA1-AD98F890942D}"/>
            </c:ext>
          </c:extLst>
        </c:ser>
        <c:ser>
          <c:idx val="1"/>
          <c:order val="1"/>
          <c:tx>
            <c:strRef>
              <c:f>'wyk9'!$C$4</c:f>
              <c:strCache>
                <c:ptCount val="1"/>
                <c:pt idx="0">
                  <c:v>Newly created jobs </c:v>
                </c:pt>
              </c:strCache>
            </c:strRef>
          </c:tx>
          <c:spPr>
            <a:solidFill>
              <a:srgbClr val="001D77"/>
            </a:solidFill>
            <a:ln>
              <a:noFill/>
            </a:ln>
            <a:effectLst/>
          </c:spPr>
          <c:invertIfNegative val="0"/>
          <c:cat>
            <c:strRef>
              <c:f>'wyk9'!$A$5:$A$19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'wyk9'!$C$5:$C$19</c:f>
              <c:numCache>
                <c:formatCode>0.0</c:formatCode>
                <c:ptCount val="15"/>
                <c:pt idx="0">
                  <c:v>2.2000000000000002</c:v>
                </c:pt>
                <c:pt idx="1">
                  <c:v>1.5</c:v>
                </c:pt>
                <c:pt idx="2">
                  <c:v>8.1999999999999993</c:v>
                </c:pt>
                <c:pt idx="3">
                  <c:v>7.1</c:v>
                </c:pt>
                <c:pt idx="4">
                  <c:v>3</c:v>
                </c:pt>
                <c:pt idx="5">
                  <c:v>10.9</c:v>
                </c:pt>
                <c:pt idx="6">
                  <c:v>13</c:v>
                </c:pt>
                <c:pt idx="7">
                  <c:v>1.8</c:v>
                </c:pt>
                <c:pt idx="8">
                  <c:v>3.3</c:v>
                </c:pt>
                <c:pt idx="9">
                  <c:v>10</c:v>
                </c:pt>
                <c:pt idx="10">
                  <c:v>7.5</c:v>
                </c:pt>
                <c:pt idx="11">
                  <c:v>14.6</c:v>
                </c:pt>
                <c:pt idx="12">
                  <c:v>35.700000000000003</c:v>
                </c:pt>
                <c:pt idx="13">
                  <c:v>30</c:v>
                </c:pt>
                <c:pt idx="14">
                  <c:v>38.799999999999997</c:v>
                </c:pt>
              </c:numCache>
            </c:numRef>
          </c:val>
          <c:extLst>
            <c:ext xmlns:c16="http://schemas.microsoft.com/office/drawing/2014/chart" uri="{C3380CC4-5D6E-409C-BE32-E72D297353CC}">
              <c16:uniqueId val="{00000001-B472-47EA-BCA1-AD98F890942D}"/>
            </c:ext>
          </c:extLst>
        </c:ser>
        <c:dLbls>
          <c:showLegendKey val="0"/>
          <c:showVal val="0"/>
          <c:showCatName val="0"/>
          <c:showSerName val="0"/>
          <c:showPercent val="0"/>
          <c:showBubbleSize val="0"/>
        </c:dLbls>
        <c:gapWidth val="150"/>
        <c:axId val="480329376"/>
        <c:axId val="479609544"/>
      </c:barChart>
      <c:catAx>
        <c:axId val="480329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8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79609544"/>
        <c:crosses val="autoZero"/>
        <c:auto val="1"/>
        <c:lblAlgn val="ctr"/>
        <c:lblOffset val="100"/>
        <c:noMultiLvlLbl val="0"/>
      </c:catAx>
      <c:valAx>
        <c:axId val="479609544"/>
        <c:scaling>
          <c:orientation val="minMax"/>
          <c:max val="4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480329376"/>
        <c:crosses val="autoZero"/>
        <c:crossBetween val="between"/>
      </c:valAx>
      <c:spPr>
        <a:noFill/>
        <a:ln>
          <a:noFill/>
        </a:ln>
        <a:effectLst/>
      </c:spPr>
    </c:plotArea>
    <c:legend>
      <c:legendPos val="b"/>
      <c:layout>
        <c:manualLayout>
          <c:xMode val="edge"/>
          <c:yMode val="edge"/>
          <c:x val="0.15520263788968824"/>
          <c:y val="0.96196935437072906"/>
          <c:w val="0.70482254196642657"/>
          <c:h val="3.803064562927092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10190352419558E-2"/>
          <c:y val="0.10712576100411424"/>
          <c:w val="0.90987233391942512"/>
          <c:h val="0.49061941645380591"/>
        </c:manualLayout>
      </c:layout>
      <c:barChart>
        <c:barDir val="col"/>
        <c:grouping val="clustered"/>
        <c:varyColors val="0"/>
        <c:ser>
          <c:idx val="0"/>
          <c:order val="0"/>
          <c:tx>
            <c:strRef>
              <c:f>'wyk10'!$B$3</c:f>
              <c:strCache>
                <c:ptCount val="1"/>
                <c:pt idx="0">
                  <c:v>Liquidated</c:v>
                </c:pt>
              </c:strCache>
            </c:strRef>
          </c:tx>
          <c:spPr>
            <a:solidFill>
              <a:srgbClr val="001D77"/>
            </a:solidFill>
            <a:ln>
              <a:noFill/>
            </a:ln>
            <a:effectLst/>
          </c:spPr>
          <c:invertIfNegative val="0"/>
          <c:cat>
            <c:strRef>
              <c:f>'wyk10'!$A$4:$A$19</c:f>
              <c:strCache>
                <c:ptCount val="16"/>
                <c:pt idx="0">
                  <c:v>Mazowieckie</c:v>
                </c:pt>
                <c:pt idx="1">
                  <c:v>Śląskie</c:v>
                </c:pt>
                <c:pt idx="2">
                  <c:v>Małopolskie </c:v>
                </c:pt>
                <c:pt idx="3">
                  <c:v>Wielkopolskie</c:v>
                </c:pt>
                <c:pt idx="4">
                  <c:v>Dolnośląskie</c:v>
                </c:pt>
                <c:pt idx="5">
                  <c:v>Łódzkie</c:v>
                </c:pt>
                <c:pt idx="6">
                  <c:v>Pomorskie</c:v>
                </c:pt>
                <c:pt idx="7">
                  <c:v>Podkarpackie</c:v>
                </c:pt>
                <c:pt idx="8">
                  <c:v>Kujawsko-Pomorskie</c:v>
                </c:pt>
                <c:pt idx="9">
                  <c:v>Zachodniopomorskie</c:v>
                </c:pt>
                <c:pt idx="10">
                  <c:v>Lubelskie</c:v>
                </c:pt>
                <c:pt idx="11">
                  <c:v>Świętokrzyskie</c:v>
                </c:pt>
                <c:pt idx="12">
                  <c:v>Warmińsko-Mazurskie</c:v>
                </c:pt>
                <c:pt idx="13">
                  <c:v>Opolskie</c:v>
                </c:pt>
                <c:pt idx="14">
                  <c:v>Podlaskie</c:v>
                </c:pt>
                <c:pt idx="15">
                  <c:v>Lubuskie</c:v>
                </c:pt>
              </c:strCache>
            </c:strRef>
          </c:cat>
          <c:val>
            <c:numRef>
              <c:f>'wyk10'!$B$4:$B$19</c:f>
              <c:numCache>
                <c:formatCode>0.0</c:formatCode>
                <c:ptCount val="16"/>
                <c:pt idx="0">
                  <c:v>17.600000000000001</c:v>
                </c:pt>
                <c:pt idx="1">
                  <c:v>7.2</c:v>
                </c:pt>
                <c:pt idx="2">
                  <c:v>7.5</c:v>
                </c:pt>
                <c:pt idx="3">
                  <c:v>5.2</c:v>
                </c:pt>
                <c:pt idx="4">
                  <c:v>5.8</c:v>
                </c:pt>
                <c:pt idx="5">
                  <c:v>3.9</c:v>
                </c:pt>
                <c:pt idx="6">
                  <c:v>3.4</c:v>
                </c:pt>
                <c:pt idx="7">
                  <c:v>3</c:v>
                </c:pt>
                <c:pt idx="8">
                  <c:v>3</c:v>
                </c:pt>
                <c:pt idx="9">
                  <c:v>2.7</c:v>
                </c:pt>
                <c:pt idx="10">
                  <c:v>2.4</c:v>
                </c:pt>
                <c:pt idx="11">
                  <c:v>1.9</c:v>
                </c:pt>
                <c:pt idx="12">
                  <c:v>2</c:v>
                </c:pt>
                <c:pt idx="13">
                  <c:v>1.3</c:v>
                </c:pt>
                <c:pt idx="14">
                  <c:v>1.4</c:v>
                </c:pt>
                <c:pt idx="15">
                  <c:v>1.7</c:v>
                </c:pt>
              </c:numCache>
            </c:numRef>
          </c:val>
          <c:extLst>
            <c:ext xmlns:c16="http://schemas.microsoft.com/office/drawing/2014/chart" uri="{C3380CC4-5D6E-409C-BE32-E72D297353CC}">
              <c16:uniqueId val="{00000000-B97E-4944-BAD5-F744D403F591}"/>
            </c:ext>
          </c:extLst>
        </c:ser>
        <c:ser>
          <c:idx val="1"/>
          <c:order val="1"/>
          <c:tx>
            <c:strRef>
              <c:f>'wyk10'!$C$3</c:f>
              <c:strCache>
                <c:ptCount val="1"/>
                <c:pt idx="0">
                  <c:v>Vacant</c:v>
                </c:pt>
              </c:strCache>
            </c:strRef>
          </c:tx>
          <c:spPr>
            <a:solidFill>
              <a:srgbClr val="6677AD"/>
            </a:solidFill>
            <a:ln>
              <a:noFill/>
            </a:ln>
            <a:effectLst/>
          </c:spPr>
          <c:invertIfNegative val="0"/>
          <c:cat>
            <c:strRef>
              <c:f>'wyk10'!$A$4:$A$19</c:f>
              <c:strCache>
                <c:ptCount val="16"/>
                <c:pt idx="0">
                  <c:v>Mazowieckie</c:v>
                </c:pt>
                <c:pt idx="1">
                  <c:v>Śląskie</c:v>
                </c:pt>
                <c:pt idx="2">
                  <c:v>Małopolskie </c:v>
                </c:pt>
                <c:pt idx="3">
                  <c:v>Wielkopolskie</c:v>
                </c:pt>
                <c:pt idx="4">
                  <c:v>Dolnośląskie</c:v>
                </c:pt>
                <c:pt idx="5">
                  <c:v>Łódzkie</c:v>
                </c:pt>
                <c:pt idx="6">
                  <c:v>Pomorskie</c:v>
                </c:pt>
                <c:pt idx="7">
                  <c:v>Podkarpackie</c:v>
                </c:pt>
                <c:pt idx="8">
                  <c:v>Kujawsko-Pomorskie</c:v>
                </c:pt>
                <c:pt idx="9">
                  <c:v>Zachodniopomorskie</c:v>
                </c:pt>
                <c:pt idx="10">
                  <c:v>Lubelskie</c:v>
                </c:pt>
                <c:pt idx="11">
                  <c:v>Świętokrzyskie</c:v>
                </c:pt>
                <c:pt idx="12">
                  <c:v>Warmińsko-Mazurskie</c:v>
                </c:pt>
                <c:pt idx="13">
                  <c:v>Opolskie</c:v>
                </c:pt>
                <c:pt idx="14">
                  <c:v>Podlaskie</c:v>
                </c:pt>
                <c:pt idx="15">
                  <c:v>Lubuskie</c:v>
                </c:pt>
              </c:strCache>
            </c:strRef>
          </c:cat>
          <c:val>
            <c:numRef>
              <c:f>'wyk10'!$C$4:$C$19</c:f>
              <c:numCache>
                <c:formatCode>0.0</c:formatCode>
                <c:ptCount val="16"/>
                <c:pt idx="0">
                  <c:v>25.6</c:v>
                </c:pt>
                <c:pt idx="1">
                  <c:v>14.7</c:v>
                </c:pt>
                <c:pt idx="2">
                  <c:v>11.8</c:v>
                </c:pt>
                <c:pt idx="3">
                  <c:v>11.1</c:v>
                </c:pt>
                <c:pt idx="4">
                  <c:v>10.1</c:v>
                </c:pt>
                <c:pt idx="5">
                  <c:v>7.2</c:v>
                </c:pt>
                <c:pt idx="6">
                  <c:v>7.9</c:v>
                </c:pt>
                <c:pt idx="7">
                  <c:v>2</c:v>
                </c:pt>
                <c:pt idx="8">
                  <c:v>4.5</c:v>
                </c:pt>
                <c:pt idx="9">
                  <c:v>4.3</c:v>
                </c:pt>
                <c:pt idx="10">
                  <c:v>2.2000000000000002</c:v>
                </c:pt>
                <c:pt idx="11">
                  <c:v>1.5</c:v>
                </c:pt>
                <c:pt idx="12">
                  <c:v>2</c:v>
                </c:pt>
                <c:pt idx="13">
                  <c:v>2.4</c:v>
                </c:pt>
                <c:pt idx="14">
                  <c:v>1.6</c:v>
                </c:pt>
                <c:pt idx="15">
                  <c:v>1.5</c:v>
                </c:pt>
              </c:numCache>
            </c:numRef>
          </c:val>
          <c:extLst>
            <c:ext xmlns:c16="http://schemas.microsoft.com/office/drawing/2014/chart" uri="{C3380CC4-5D6E-409C-BE32-E72D297353CC}">
              <c16:uniqueId val="{00000001-B97E-4944-BAD5-F744D403F591}"/>
            </c:ext>
          </c:extLst>
        </c:ser>
        <c:ser>
          <c:idx val="2"/>
          <c:order val="2"/>
          <c:tx>
            <c:strRef>
              <c:f>'wyk10'!$D$3</c:f>
              <c:strCache>
                <c:ptCount val="1"/>
                <c:pt idx="0">
                  <c:v>Newly created</c:v>
                </c:pt>
              </c:strCache>
            </c:strRef>
          </c:tx>
          <c:spPr>
            <a:solidFill>
              <a:srgbClr val="CCD2E4"/>
            </a:solidFill>
            <a:ln>
              <a:noFill/>
            </a:ln>
            <a:effectLst/>
          </c:spPr>
          <c:invertIfNegative val="0"/>
          <c:cat>
            <c:strRef>
              <c:f>'wyk10'!$A$4:$A$19</c:f>
              <c:strCache>
                <c:ptCount val="16"/>
                <c:pt idx="0">
                  <c:v>Mazowieckie</c:v>
                </c:pt>
                <c:pt idx="1">
                  <c:v>Śląskie</c:v>
                </c:pt>
                <c:pt idx="2">
                  <c:v>Małopolskie </c:v>
                </c:pt>
                <c:pt idx="3">
                  <c:v>Wielkopolskie</c:v>
                </c:pt>
                <c:pt idx="4">
                  <c:v>Dolnośląskie</c:v>
                </c:pt>
                <c:pt idx="5">
                  <c:v>Łódzkie</c:v>
                </c:pt>
                <c:pt idx="6">
                  <c:v>Pomorskie</c:v>
                </c:pt>
                <c:pt idx="7">
                  <c:v>Podkarpackie</c:v>
                </c:pt>
                <c:pt idx="8">
                  <c:v>Kujawsko-Pomorskie</c:v>
                </c:pt>
                <c:pt idx="9">
                  <c:v>Zachodniopomorskie</c:v>
                </c:pt>
                <c:pt idx="10">
                  <c:v>Lubelskie</c:v>
                </c:pt>
                <c:pt idx="11">
                  <c:v>Świętokrzyskie</c:v>
                </c:pt>
                <c:pt idx="12">
                  <c:v>Warmińsko-Mazurskie</c:v>
                </c:pt>
                <c:pt idx="13">
                  <c:v>Opolskie</c:v>
                </c:pt>
                <c:pt idx="14">
                  <c:v>Podlaskie</c:v>
                </c:pt>
                <c:pt idx="15">
                  <c:v>Lubuskie</c:v>
                </c:pt>
              </c:strCache>
            </c:strRef>
          </c:cat>
          <c:val>
            <c:numRef>
              <c:f>'wyk10'!$D$4:$D$19</c:f>
              <c:numCache>
                <c:formatCode>0.0</c:formatCode>
                <c:ptCount val="16"/>
                <c:pt idx="0">
                  <c:v>37.5</c:v>
                </c:pt>
                <c:pt idx="1">
                  <c:v>21.4</c:v>
                </c:pt>
                <c:pt idx="2">
                  <c:v>21.1</c:v>
                </c:pt>
                <c:pt idx="3">
                  <c:v>20.7</c:v>
                </c:pt>
                <c:pt idx="4">
                  <c:v>14.8</c:v>
                </c:pt>
                <c:pt idx="5">
                  <c:v>14.2</c:v>
                </c:pt>
                <c:pt idx="6">
                  <c:v>10.8</c:v>
                </c:pt>
                <c:pt idx="7">
                  <c:v>7.8</c:v>
                </c:pt>
                <c:pt idx="8">
                  <c:v>7.3</c:v>
                </c:pt>
                <c:pt idx="9">
                  <c:v>6.8</c:v>
                </c:pt>
                <c:pt idx="10">
                  <c:v>6.6</c:v>
                </c:pt>
                <c:pt idx="11">
                  <c:v>5.5</c:v>
                </c:pt>
                <c:pt idx="12">
                  <c:v>4.5999999999999996</c:v>
                </c:pt>
                <c:pt idx="13">
                  <c:v>4.5</c:v>
                </c:pt>
                <c:pt idx="14">
                  <c:v>4.2</c:v>
                </c:pt>
                <c:pt idx="15">
                  <c:v>3.9</c:v>
                </c:pt>
              </c:numCache>
            </c:numRef>
          </c:val>
          <c:extLst>
            <c:ext xmlns:c16="http://schemas.microsoft.com/office/drawing/2014/chart" uri="{C3380CC4-5D6E-409C-BE32-E72D297353CC}">
              <c16:uniqueId val="{00000002-B97E-4944-BAD5-F744D403F591}"/>
            </c:ext>
          </c:extLst>
        </c:ser>
        <c:dLbls>
          <c:showLegendKey val="0"/>
          <c:showVal val="0"/>
          <c:showCatName val="0"/>
          <c:showSerName val="0"/>
          <c:showPercent val="0"/>
          <c:showBubbleSize val="0"/>
        </c:dLbls>
        <c:gapWidth val="150"/>
        <c:axId val="479610720"/>
        <c:axId val="476968552"/>
      </c:barChart>
      <c:catAx>
        <c:axId val="47961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l-PL"/>
          </a:p>
        </c:txPr>
        <c:crossAx val="476968552"/>
        <c:crosses val="autoZero"/>
        <c:auto val="1"/>
        <c:lblAlgn val="ctr"/>
        <c:lblOffset val="100"/>
        <c:noMultiLvlLbl val="0"/>
      </c:catAx>
      <c:valAx>
        <c:axId val="47696855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vert="horz"/>
          <a:lstStyle/>
          <a:p>
            <a:pPr>
              <a:defRPr/>
            </a:pPr>
            <a:endParaRPr lang="pl-PL"/>
          </a:p>
        </c:txPr>
        <c:crossAx val="479610720"/>
        <c:crosses val="autoZero"/>
        <c:crossBetween val="between"/>
      </c:valAx>
      <c:spPr>
        <a:noFill/>
        <a:ln>
          <a:noFill/>
        </a:ln>
        <a:effectLst/>
      </c:spPr>
    </c:plotArea>
    <c:legend>
      <c:legendPos val="b"/>
      <c:layout>
        <c:manualLayout>
          <c:xMode val="edge"/>
          <c:yMode val="edge"/>
          <c:x val="0.19684372501998398"/>
          <c:y val="0.93163194444444442"/>
          <c:w val="0.4844898081534772"/>
          <c:h val="6.8368055555555557E-2"/>
        </c:manualLayout>
      </c:layout>
      <c:overlay val="0"/>
      <c:spPr>
        <a:noFill/>
        <a:ln>
          <a:noFill/>
        </a:ln>
        <a:effectLst/>
      </c:spPr>
      <c:txPr>
        <a:bodyPr rot="0" vert="horz"/>
        <a:lstStyle/>
        <a:p>
          <a:pPr>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0.01856</cdr:x>
      <cdr:y>0.01895</cdr:y>
    </cdr:from>
    <cdr:to>
      <cdr:x>0.13378</cdr:x>
      <cdr:y>0.07694</cdr:y>
    </cdr:to>
    <cdr:sp macro="" textlink="">
      <cdr:nvSpPr>
        <cdr:cNvPr id="2" name="pole tekstowe 1"/>
        <cdr:cNvSpPr txBox="1"/>
      </cdr:nvSpPr>
      <cdr:spPr>
        <a:xfrm xmlns:a="http://schemas.openxmlformats.org/drawingml/2006/main">
          <a:off x="92822" y="50800"/>
          <a:ext cx="576305" cy="155434"/>
        </a:xfrm>
        <a:prstGeom xmlns:a="http://schemas.openxmlformats.org/drawingml/2006/main" prst="rect">
          <a:avLst/>
        </a:prstGeom>
      </cdr:spPr>
      <cdr:txBody>
        <a:bodyPr xmlns:a="http://schemas.openxmlformats.org/drawingml/2006/main" wrap="non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latin typeface="Fira Sans" panose="020B0503050000020004" pitchFamily="34" charset="0"/>
              <a:ea typeface="Fira Sans" panose="020B0503050000020004" pitchFamily="34" charset="0"/>
            </a:rPr>
            <a:t>thousands</a:t>
          </a:r>
        </a:p>
      </cdr:txBody>
    </cdr:sp>
  </cdr:relSizeAnchor>
</c:userShapes>
</file>

<file path=word/drawings/drawing2.xml><?xml version="1.0" encoding="utf-8"?>
<c:userShapes xmlns:c="http://schemas.openxmlformats.org/drawingml/2006/chart">
  <cdr:relSizeAnchor xmlns:cdr="http://schemas.openxmlformats.org/drawingml/2006/chartDrawing">
    <cdr:from>
      <cdr:x>0.75367</cdr:x>
      <cdr:y>0.29104</cdr:y>
    </cdr:from>
    <cdr:to>
      <cdr:x>0.97062</cdr:x>
      <cdr:y>0.68181</cdr:y>
    </cdr:to>
    <cdr:sp macro="" textlink="">
      <cdr:nvSpPr>
        <cdr:cNvPr id="2" name="pole tekstowe 1"/>
        <cdr:cNvSpPr txBox="1"/>
      </cdr:nvSpPr>
      <cdr:spPr>
        <a:xfrm xmlns:a="http://schemas.openxmlformats.org/drawingml/2006/main">
          <a:off x="3176588" y="6810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0.17843</cdr:x>
      <cdr:y>0.7871</cdr:y>
    </cdr:from>
    <cdr:to>
      <cdr:x>0.73864</cdr:x>
      <cdr:y>0.88195</cdr:y>
    </cdr:to>
    <cdr:sp macro="" textlink="">
      <cdr:nvSpPr>
        <cdr:cNvPr id="3" name="pole tekstowe 2"/>
        <cdr:cNvSpPr txBox="1"/>
      </cdr:nvSpPr>
      <cdr:spPr>
        <a:xfrm xmlns:a="http://schemas.openxmlformats.org/drawingml/2006/main">
          <a:off x="449128" y="1732266"/>
          <a:ext cx="1410125" cy="208748"/>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effectLst/>
              <a:latin typeface="Fira Sans" panose="020B0503050000020004" pitchFamily="34" charset="0"/>
              <a:ea typeface="Fira Sans" panose="020B0503050000020004" pitchFamily="34" charset="0"/>
              <a:cs typeface="+mn-cs"/>
            </a:rPr>
            <a:t>Number of employed persons</a:t>
          </a:r>
          <a:endParaRPr lang="pl-PL" sz="800">
            <a:effectLst/>
            <a:latin typeface="Fira Sans" panose="020B0503050000020004" pitchFamily="34" charset="0"/>
            <a:ea typeface="Fira Sans" panose="020B0503050000020004" pitchFamily="34" charset="0"/>
          </a:endParaRPr>
        </a:p>
      </cdr:txBody>
    </cdr:sp>
  </cdr:relSizeAnchor>
  <cdr:relSizeAnchor xmlns:cdr="http://schemas.openxmlformats.org/drawingml/2006/chartDrawing">
    <cdr:from>
      <cdr:x>0.75367</cdr:x>
      <cdr:y>0.29104</cdr:y>
    </cdr:from>
    <cdr:to>
      <cdr:x>0.97062</cdr:x>
      <cdr:y>0.68181</cdr:y>
    </cdr:to>
    <cdr:sp macro="" textlink="">
      <cdr:nvSpPr>
        <cdr:cNvPr id="4" name="pole tekstowe 1"/>
        <cdr:cNvSpPr txBox="1"/>
      </cdr:nvSpPr>
      <cdr:spPr>
        <a:xfrm xmlns:a="http://schemas.openxmlformats.org/drawingml/2006/main">
          <a:off x="3176588" y="6810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l-PL" sz="1100"/>
        </a:p>
      </cdr:txBody>
    </cdr:sp>
  </cdr:relSizeAnchor>
</c:userShapes>
</file>

<file path=word/drawings/drawing3.xml><?xml version="1.0" encoding="utf-8"?>
<c:userShapes xmlns:c="http://schemas.openxmlformats.org/drawingml/2006/chart">
  <cdr:relSizeAnchor xmlns:cdr="http://schemas.openxmlformats.org/drawingml/2006/chartDrawing">
    <cdr:from>
      <cdr:x>0.75367</cdr:x>
      <cdr:y>0.29104</cdr:y>
    </cdr:from>
    <cdr:to>
      <cdr:x>0.97062</cdr:x>
      <cdr:y>0.68181</cdr:y>
    </cdr:to>
    <cdr:sp macro="" textlink="">
      <cdr:nvSpPr>
        <cdr:cNvPr id="2" name="pole tekstowe 1"/>
        <cdr:cNvSpPr txBox="1"/>
      </cdr:nvSpPr>
      <cdr:spPr>
        <a:xfrm xmlns:a="http://schemas.openxmlformats.org/drawingml/2006/main">
          <a:off x="3176588" y="6810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0.18148</cdr:x>
      <cdr:y>0.79471</cdr:y>
    </cdr:from>
    <cdr:to>
      <cdr:x>0.61065</cdr:x>
      <cdr:y>0.8696</cdr:y>
    </cdr:to>
    <cdr:sp macro="" textlink="">
      <cdr:nvSpPr>
        <cdr:cNvPr id="3" name="pole tekstowe 2"/>
        <cdr:cNvSpPr txBox="1"/>
      </cdr:nvSpPr>
      <cdr:spPr>
        <a:xfrm xmlns:a="http://schemas.openxmlformats.org/drawingml/2006/main">
          <a:off x="456815" y="1746307"/>
          <a:ext cx="1080279" cy="164565"/>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solidFill>
                <a:sysClr val="windowText" lastClr="000000"/>
              </a:solidFill>
              <a:effectLst/>
              <a:latin typeface="Fira Sans" panose="020B0503050000020004" pitchFamily="34" charset="0"/>
              <a:ea typeface="Fira Sans" panose="020B0503050000020004" pitchFamily="34" charset="0"/>
              <a:cs typeface="+mn-cs"/>
            </a:rPr>
            <a:t>Number of employed persons</a:t>
          </a:r>
          <a:endParaRPr lang="pl-PL" sz="800">
            <a:solidFill>
              <a:sysClr val="windowText" lastClr="000000"/>
            </a:solidFill>
            <a:effectLst/>
            <a:latin typeface="Fira Sans" panose="020B0503050000020004" pitchFamily="34" charset="0"/>
            <a:ea typeface="Fira Sans" panose="020B05030500000200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0.04568</cdr:x>
      <cdr:y>0.07276</cdr:y>
    </cdr:from>
    <cdr:to>
      <cdr:x>0.22842</cdr:x>
      <cdr:y>0.13229</cdr:y>
    </cdr:to>
    <cdr:sp macro="" textlink="">
      <cdr:nvSpPr>
        <cdr:cNvPr id="2" name="pole tekstowe 1"/>
        <cdr:cNvSpPr txBox="1"/>
      </cdr:nvSpPr>
      <cdr:spPr>
        <a:xfrm xmlns:a="http://schemas.openxmlformats.org/drawingml/2006/main">
          <a:off x="228600" y="209551"/>
          <a:ext cx="914400" cy="171450"/>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Job vacancies</a:t>
          </a:r>
        </a:p>
      </cdr:txBody>
    </cdr:sp>
  </cdr:relSizeAnchor>
  <cdr:relSizeAnchor xmlns:cdr="http://schemas.openxmlformats.org/drawingml/2006/chartDrawing">
    <cdr:from>
      <cdr:x>0.04251</cdr:x>
      <cdr:y>0.226</cdr:y>
    </cdr:from>
    <cdr:to>
      <cdr:x>0.22524</cdr:x>
      <cdr:y>0.28553</cdr:y>
    </cdr:to>
    <cdr:sp macro="" textlink="">
      <cdr:nvSpPr>
        <cdr:cNvPr id="3" name="pole tekstowe 1"/>
        <cdr:cNvSpPr txBox="1"/>
      </cdr:nvSpPr>
      <cdr:spPr>
        <a:xfrm xmlns:a="http://schemas.openxmlformats.org/drawingml/2006/main">
          <a:off x="212725" y="650875"/>
          <a:ext cx="914400" cy="171450"/>
        </a:xfrm>
        <a:prstGeom xmlns:a="http://schemas.openxmlformats.org/drawingml/2006/main" prst="rect">
          <a:avLst/>
        </a:prstGeom>
      </cdr:spPr>
      <cdr:txBody>
        <a:bodyPr xmlns:a="http://schemas.openxmlformats.org/drawingml/2006/main" wrap="non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Occupied</a:t>
          </a:r>
        </a:p>
      </cdr:txBody>
    </cdr:sp>
  </cdr:relSizeAnchor>
  <cdr:relSizeAnchor xmlns:cdr="http://schemas.openxmlformats.org/drawingml/2006/chartDrawing">
    <cdr:from>
      <cdr:x>0.27527</cdr:x>
      <cdr:y>0.47831</cdr:y>
    </cdr:from>
    <cdr:to>
      <cdr:x>0.63172</cdr:x>
      <cdr:y>0.5527</cdr:y>
    </cdr:to>
    <cdr:sp macro="" textlink="">
      <cdr:nvSpPr>
        <cdr:cNvPr id="4" name="pole tekstowe 3"/>
        <cdr:cNvSpPr txBox="1"/>
      </cdr:nvSpPr>
      <cdr:spPr>
        <a:xfrm xmlns:a="http://schemas.openxmlformats.org/drawingml/2006/main">
          <a:off x="1377470" y="1377547"/>
          <a:ext cx="1783676" cy="21424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Major occupational groups</a:t>
          </a:r>
        </a:p>
      </cdr:txBody>
    </cdr:sp>
  </cdr:relSizeAnchor>
</c:userShapes>
</file>

<file path=word/drawings/drawing5.xml><?xml version="1.0" encoding="utf-8"?>
<c:userShapes xmlns:c="http://schemas.openxmlformats.org/drawingml/2006/chart">
  <cdr:relSizeAnchor xmlns:cdr="http://schemas.openxmlformats.org/drawingml/2006/chartDrawing">
    <cdr:from>
      <cdr:x>0.98206</cdr:x>
      <cdr:y>0.53303</cdr:y>
    </cdr:from>
    <cdr:to>
      <cdr:x>1</cdr:x>
      <cdr:y>0.85301</cdr:y>
    </cdr:to>
    <cdr:sp macro="" textlink="">
      <cdr:nvSpPr>
        <cdr:cNvPr id="2" name="pole tekstowe 1"/>
        <cdr:cNvSpPr txBox="1"/>
      </cdr:nvSpPr>
      <cdr:spPr>
        <a:xfrm xmlns:a="http://schemas.openxmlformats.org/drawingml/2006/main">
          <a:off x="5110024" y="1067821"/>
          <a:ext cx="93348" cy="641024"/>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a:t>
          </a:r>
        </a:p>
      </cdr:txBody>
    </cdr:sp>
  </cdr:relSizeAnchor>
  <cdr:relSizeAnchor xmlns:cdr="http://schemas.openxmlformats.org/drawingml/2006/chartDrawing">
    <cdr:from>
      <cdr:x>0.18422</cdr:x>
      <cdr:y>0.73175</cdr:y>
    </cdr:from>
    <cdr:to>
      <cdr:x>0.69154</cdr:x>
      <cdr:y>0.83694</cdr:y>
    </cdr:to>
    <cdr:sp macro="" textlink="">
      <cdr:nvSpPr>
        <cdr:cNvPr id="3" name="pole tekstowe 2"/>
        <cdr:cNvSpPr txBox="1"/>
      </cdr:nvSpPr>
      <cdr:spPr>
        <a:xfrm xmlns:a="http://schemas.openxmlformats.org/drawingml/2006/main">
          <a:off x="919107" y="1205350"/>
          <a:ext cx="2531099" cy="173270"/>
        </a:xfrm>
        <a:prstGeom xmlns:a="http://schemas.openxmlformats.org/drawingml/2006/main" prst="rect">
          <a:avLst/>
        </a:prstGeom>
        <a:ln xmlns:a="http://schemas.openxmlformats.org/drawingml/2006/main">
          <a:noFill/>
        </a:ln>
      </cdr:spPr>
      <cdr:txBody>
        <a:bodyPr xmlns:a="http://schemas.openxmlformats.org/drawingml/2006/main" vertOverflow="clip" wrap="squar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Number of employed persons</a:t>
          </a:r>
        </a:p>
      </cdr:txBody>
    </cdr:sp>
  </cdr:relSizeAnchor>
</c:userShapes>
</file>

<file path=word/drawings/drawing6.xml><?xml version="1.0" encoding="utf-8"?>
<c:userShapes xmlns:c="http://schemas.openxmlformats.org/drawingml/2006/chart">
  <cdr:relSizeAnchor xmlns:cdr="http://schemas.openxmlformats.org/drawingml/2006/chartDrawing">
    <cdr:from>
      <cdr:x>0.84696</cdr:x>
      <cdr:y>0.38458</cdr:y>
    </cdr:from>
    <cdr:to>
      <cdr:x>0.86103</cdr:x>
      <cdr:y>0.52095</cdr:y>
    </cdr:to>
    <cdr:sp macro="" textlink="">
      <cdr:nvSpPr>
        <cdr:cNvPr id="2" name="pole tekstowe 1"/>
        <cdr:cNvSpPr txBox="1"/>
      </cdr:nvSpPr>
      <cdr:spPr>
        <a:xfrm xmlns:a="http://schemas.openxmlformats.org/drawingml/2006/main">
          <a:off x="4239557" y="827534"/>
          <a:ext cx="70436" cy="293460"/>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pl-PL" sz="500">
              <a:effectLst/>
              <a:latin typeface="Symbol" panose="05050102010706020507" pitchFamily="18" charset="2"/>
              <a:ea typeface="+mn-ea"/>
              <a:cs typeface="+mn-cs"/>
            </a:rPr>
            <a:t>D</a:t>
          </a:r>
          <a:endParaRPr lang="pl-PL" sz="500">
            <a:effectLst/>
            <a:latin typeface="Symbol" panose="05050102010706020507" pitchFamily="18" charset="2"/>
          </a:endParaRPr>
        </a:p>
      </cdr:txBody>
    </cdr:sp>
  </cdr:relSizeAnchor>
  <cdr:relSizeAnchor xmlns:cdr="http://schemas.openxmlformats.org/drawingml/2006/chartDrawing">
    <cdr:from>
      <cdr:x>0.54423</cdr:x>
      <cdr:y>0.14087</cdr:y>
    </cdr:from>
    <cdr:to>
      <cdr:x>0.8344</cdr:x>
      <cdr:y>0.20799</cdr:y>
    </cdr:to>
    <cdr:sp macro="" textlink="">
      <cdr:nvSpPr>
        <cdr:cNvPr id="3" name="pole tekstowe 2"/>
        <cdr:cNvSpPr txBox="1"/>
      </cdr:nvSpPr>
      <cdr:spPr>
        <a:xfrm xmlns:a="http://schemas.openxmlformats.org/drawingml/2006/main">
          <a:off x="2724750" y="309280"/>
          <a:ext cx="1452760" cy="147368"/>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PKD (NACE Rev. 2) sections:</a:t>
          </a:r>
        </a:p>
      </cdr:txBody>
    </cdr:sp>
  </cdr:relSizeAnchor>
</c:userShapes>
</file>

<file path=word/drawings/drawing7.xml><?xml version="1.0" encoding="utf-8"?>
<c:userShapes xmlns:c="http://schemas.openxmlformats.org/drawingml/2006/chart">
  <cdr:relSizeAnchor xmlns:cdr="http://schemas.openxmlformats.org/drawingml/2006/chartDrawing">
    <cdr:from>
      <cdr:x>0.45568</cdr:x>
      <cdr:y>0.12442</cdr:y>
    </cdr:from>
    <cdr:to>
      <cdr:x>0.47029</cdr:x>
      <cdr:y>0.15125</cdr:y>
    </cdr:to>
    <cdr:sp macro="" textlink="">
      <cdr:nvSpPr>
        <cdr:cNvPr id="2" name="pole tekstowe 1"/>
        <cdr:cNvSpPr txBox="1"/>
      </cdr:nvSpPr>
      <cdr:spPr>
        <a:xfrm xmlns:a="http://schemas.openxmlformats.org/drawingml/2006/main">
          <a:off x="2278026" y="508812"/>
          <a:ext cx="73039" cy="109721"/>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dr:relSizeAnchor xmlns:cdr="http://schemas.openxmlformats.org/drawingml/2006/chartDrawing">
    <cdr:from>
      <cdr:x>0.45498</cdr:x>
      <cdr:y>0.24604</cdr:y>
    </cdr:from>
    <cdr:to>
      <cdr:x>0.4689</cdr:x>
      <cdr:y>0.27456</cdr:y>
    </cdr:to>
    <cdr:sp macro="" textlink="">
      <cdr:nvSpPr>
        <cdr:cNvPr id="3" name="pole tekstowe 2"/>
        <cdr:cNvSpPr txBox="1"/>
      </cdr:nvSpPr>
      <cdr:spPr>
        <a:xfrm xmlns:a="http://schemas.openxmlformats.org/drawingml/2006/main">
          <a:off x="2274526" y="1006174"/>
          <a:ext cx="69589" cy="116632"/>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dr:relSizeAnchor xmlns:cdr="http://schemas.openxmlformats.org/drawingml/2006/chartDrawing">
    <cdr:from>
      <cdr:x>0.8523</cdr:x>
      <cdr:y>0.94933</cdr:y>
    </cdr:from>
    <cdr:to>
      <cdr:x>0.98129</cdr:x>
      <cdr:y>0.99163</cdr:y>
    </cdr:to>
    <cdr:sp macro="" textlink="">
      <cdr:nvSpPr>
        <cdr:cNvPr id="4" name="pole tekstowe 3"/>
        <cdr:cNvSpPr txBox="1"/>
      </cdr:nvSpPr>
      <cdr:spPr>
        <a:xfrm xmlns:a="http://schemas.openxmlformats.org/drawingml/2006/main">
          <a:off x="4259334" y="3795386"/>
          <a:ext cx="644607" cy="169101"/>
        </a:xfrm>
        <a:prstGeom xmlns:a="http://schemas.openxmlformats.org/drawingml/2006/main" prst="rect">
          <a:avLst/>
        </a:prstGeom>
      </cdr:spPr>
      <cdr:txBody>
        <a:bodyPr xmlns:a="http://schemas.openxmlformats.org/drawingml/2006/main" wrap="square" lIns="0" tIns="0" rIns="0" bIns="0"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thousands</a:t>
          </a:r>
        </a:p>
      </cdr:txBody>
    </cdr:sp>
  </cdr:relSizeAnchor>
</c:userShapes>
</file>

<file path=word/drawings/drawing8.xml><?xml version="1.0" encoding="utf-8"?>
<c:userShapes xmlns:c="http://schemas.openxmlformats.org/drawingml/2006/chart">
  <cdr:relSizeAnchor xmlns:cdr="http://schemas.openxmlformats.org/drawingml/2006/chartDrawing">
    <cdr:from>
      <cdr:x>0.01477</cdr:x>
      <cdr:y>0.01735</cdr:y>
    </cdr:from>
    <cdr:to>
      <cdr:x>0.12944</cdr:x>
      <cdr:y>0.07069</cdr:y>
    </cdr:to>
    <cdr:sp macro="" textlink="">
      <cdr:nvSpPr>
        <cdr:cNvPr id="2" name="pole tekstowe 1"/>
        <cdr:cNvSpPr txBox="1"/>
      </cdr:nvSpPr>
      <cdr:spPr>
        <a:xfrm xmlns:a="http://schemas.openxmlformats.org/drawingml/2006/main">
          <a:off x="74220" y="50285"/>
          <a:ext cx="576315" cy="154628"/>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latin typeface="Fira Sans" panose="020B0503050000020004" pitchFamily="34" charset="0"/>
              <a:ea typeface="Fira Sans" panose="020B0503050000020004" pitchFamily="34" charset="0"/>
            </a:rPr>
            <a:t>thousands</a:t>
          </a:r>
        </a:p>
      </cdr:txBody>
    </cdr:sp>
  </cdr:relSizeAnchor>
  <cdr:relSizeAnchor xmlns:cdr="http://schemas.openxmlformats.org/drawingml/2006/chartDrawing">
    <cdr:from>
      <cdr:x>0.24212</cdr:x>
      <cdr:y>0.87808</cdr:y>
    </cdr:from>
    <cdr:to>
      <cdr:x>0.54516</cdr:x>
      <cdr:y>0.94952</cdr:y>
    </cdr:to>
    <cdr:sp macro="" textlink="">
      <cdr:nvSpPr>
        <cdr:cNvPr id="3" name="pole tekstowe 2"/>
        <cdr:cNvSpPr txBox="1"/>
      </cdr:nvSpPr>
      <cdr:spPr>
        <a:xfrm xmlns:a="http://schemas.openxmlformats.org/drawingml/2006/main">
          <a:off x="1211590" y="2528878"/>
          <a:ext cx="1516412" cy="20574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Jobs</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Odbiorcy2 xmlns="8C029B3F-2CC4-4A59-AF0D-A90575FA3373" xsi:nil="true"/>
    <Osoba xmlns="8C029B3F-2CC4-4A59-AF0D-A90575FA3373">STAT\GORKAM</Osoba>
    <NazwaPliku xmlns="8C029B3F-2CC4-4A59-AF0D-A90575FA3373">News releases_The demand for labour in the first quarter of 2021.docx.docx</NazwaPliku>
    <ContentTypeId xmlns="http://schemas.microsoft.com/sharepoint/v3">0x003F9B028CC42C594AAF0DA90575FA3373</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C672-3A8E-4FF9-9607-65D3E446F7A1}"/>
</file>

<file path=customXml/itemProps2.xml><?xml version="1.0" encoding="utf-8"?>
<ds:datastoreItem xmlns:ds="http://schemas.openxmlformats.org/officeDocument/2006/customXml" ds:itemID="{AF705CD8-90B4-4BA1-8E3A-1C7E0FFF05B2}"/>
</file>

<file path=customXml/itemProps3.xml><?xml version="1.0" encoding="utf-8"?>
<ds:datastoreItem xmlns:ds="http://schemas.openxmlformats.org/officeDocument/2006/customXml" ds:itemID="{4F8856DC-71E1-408B-B440-6CFF9CD60A71}"/>
</file>

<file path=docProps/app.xml><?xml version="1.0" encoding="utf-8"?>
<Properties xmlns="http://schemas.openxmlformats.org/officeDocument/2006/extended-properties" xmlns:vt="http://schemas.openxmlformats.org/officeDocument/2006/docPropsVTypes">
  <Template>Normal.dotm</Template>
  <TotalTime>429</TotalTime>
  <Pages>9</Pages>
  <Words>1735</Words>
  <Characters>10410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12121</CharactersWithSpaces>
  <SharedDoc>false</SharedDoc>
  <HLinks>
    <vt:vector size="30" baseType="variant">
      <vt:variant>
        <vt:i4>3997761</vt:i4>
      </vt:variant>
      <vt:variant>
        <vt:i4>0</vt:i4>
      </vt:variant>
      <vt:variant>
        <vt:i4>0</vt:i4>
      </vt:variant>
      <vt:variant>
        <vt:i4>5</vt:i4>
      </vt:variant>
      <vt:variant>
        <vt:lpwstr>mailto:obslugaprasowa@stat.gov.pl</vt:lpwstr>
      </vt:variant>
      <vt:variant>
        <vt:lpwstr/>
      </vt:variant>
      <vt:variant>
        <vt:i4>2621494</vt:i4>
      </vt:variant>
      <vt:variant>
        <vt:i4>15</vt:i4>
      </vt:variant>
      <vt:variant>
        <vt:i4>0</vt:i4>
      </vt:variant>
      <vt:variant>
        <vt:i4>5</vt:i4>
      </vt:variant>
      <vt:variant>
        <vt:lpwstr>http://strateg.stat.gov.pl/</vt:lpwstr>
      </vt:variant>
      <vt:variant>
        <vt:lpwstr/>
      </vt:variant>
      <vt:variant>
        <vt:i4>458839</vt:i4>
      </vt:variant>
      <vt:variant>
        <vt:i4>12</vt:i4>
      </vt:variant>
      <vt:variant>
        <vt:i4>0</vt:i4>
      </vt:variant>
      <vt:variant>
        <vt:i4>5</vt:i4>
      </vt:variant>
      <vt:variant>
        <vt:lpwstr>http://swaid.stat.gov.pl/SitePagesDBW/RynekPracy.aspx</vt:lpwstr>
      </vt:variant>
      <vt:variant>
        <vt:lpwstr/>
      </vt:variant>
      <vt:variant>
        <vt:i4>8257661</vt:i4>
      </vt:variant>
      <vt:variant>
        <vt:i4>9</vt:i4>
      </vt:variant>
      <vt:variant>
        <vt:i4>0</vt:i4>
      </vt:variant>
      <vt:variant>
        <vt:i4>5</vt:i4>
      </vt:variant>
      <vt:variant>
        <vt:lpwstr>http://stat.gov.pl/obszary-tematyczne/rynek-pracy/</vt:lpwstr>
      </vt:variant>
      <vt:variant>
        <vt:lpwstr/>
      </vt:variant>
      <vt:variant>
        <vt:i4>6160451</vt:i4>
      </vt:variant>
      <vt:variant>
        <vt:i4>6</vt:i4>
      </vt:variant>
      <vt:variant>
        <vt:i4>0</vt:i4>
      </vt:variant>
      <vt:variant>
        <vt:i4>5</vt:i4>
      </vt:variant>
      <vt:variant>
        <vt:lpwstr>http://stat.gov.pl/obszary-tematyczne/rynek-pracy/popyt-na-prace/popyt-na-prace-w-2017-roku,1,13.html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 in the first quarter of 2021</dc:title>
  <dc:subject>The demand for labour</dc:subject>
  <dc:creator>Statistics Poland</dc:creator>
  <cp:keywords/>
  <cp:lastPrinted>2020-11-27T10:32:00Z</cp:lastPrinted>
  <dcterms:created xsi:type="dcterms:W3CDTF">2021-06-06T10:50:00Z</dcterms:created>
  <dcterms:modified xsi:type="dcterms:W3CDTF">2021-06-08T09:27:00Z</dcterms:modified>
  <cp:category>Demand for labor</cp:category>
</cp:coreProperties>
</file>