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092C" w14:textId="77777777" w:rsidR="00393761" w:rsidRPr="0079649E" w:rsidRDefault="005726A3" w:rsidP="00074DD8">
      <w:pPr>
        <w:pStyle w:val="tytuinformacji"/>
        <w:rPr>
          <w:color w:val="auto"/>
          <w:sz w:val="32"/>
          <w:lang w:val="en-GB"/>
        </w:rPr>
      </w:pPr>
      <w:bookmarkStart w:id="0" w:name="_GoBack"/>
      <w:bookmarkEnd w:id="0"/>
      <w:r w:rsidRPr="0079649E">
        <w:rPr>
          <w:shd w:val="clear" w:color="auto" w:fill="FFFFFF"/>
          <w:lang w:val="en-GB"/>
        </w:rPr>
        <w:t>The demand for labour in the third quarter of 2021</w:t>
      </w:r>
      <w:r w:rsidR="008D3718" w:rsidRPr="0079649E">
        <w:rPr>
          <w:shd w:val="clear" w:color="auto" w:fill="FFFFFF"/>
          <w:lang w:val="en-GB"/>
        </w:rPr>
        <w:br/>
      </w:r>
    </w:p>
    <w:p w14:paraId="208AC1EA" w14:textId="2F6AE379" w:rsidR="00593F44" w:rsidRPr="0079649E" w:rsidRDefault="00656050" w:rsidP="00AB5ED0">
      <w:pPr>
        <w:pStyle w:val="LID"/>
        <w:rPr>
          <w:lang w:val="en-GB"/>
        </w:rPr>
      </w:pPr>
      <w:r w:rsidRPr="006430E4">
        <w:rPr>
          <w:highlight w:val="yellow"/>
        </w:rPr>
        <mc:AlternateContent>
          <mc:Choice Requires="wps">
            <w:drawing>
              <wp:anchor distT="45720" distB="45720" distL="114300" distR="114300" simplePos="0" relativeHeight="251650048" behindDoc="0" locked="0" layoutInCell="1" allowOverlap="1" wp14:anchorId="52CA14BD" wp14:editId="2D8A657C">
                <wp:simplePos x="0" y="0"/>
                <wp:positionH relativeFrom="margin">
                  <wp:align>left</wp:align>
                </wp:positionH>
                <wp:positionV relativeFrom="paragraph">
                  <wp:posOffset>85725</wp:posOffset>
                </wp:positionV>
                <wp:extent cx="1946275" cy="1278890"/>
                <wp:effectExtent l="0" t="0" r="0" b="0"/>
                <wp:wrapSquare wrapText="bothSides"/>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279038"/>
                        </a:xfrm>
                        <a:prstGeom prst="rect">
                          <a:avLst/>
                        </a:prstGeom>
                        <a:solidFill>
                          <a:srgbClr val="001D77"/>
                        </a:solidFill>
                        <a:ln w="9525">
                          <a:noFill/>
                          <a:miter lim="800000"/>
                          <a:headEnd/>
                          <a:tailEnd/>
                        </a:ln>
                      </wps:spPr>
                      <wps:txbx>
                        <w:txbxContent>
                          <w:p w14:paraId="33DC3E07" w14:textId="77777777" w:rsidR="00AA0129" w:rsidRPr="0079649E" w:rsidRDefault="00AA0129" w:rsidP="00C95A32">
                            <w:pPr>
                              <w:spacing w:after="0" w:line="240" w:lineRule="auto"/>
                              <w:rPr>
                                <w:color w:val="FFFFFF"/>
                                <w:sz w:val="72"/>
                                <w:szCs w:val="72"/>
                                <w:lang w:val="en-GB"/>
                              </w:rPr>
                            </w:pPr>
                            <w:r w:rsidRPr="0079649E">
                              <w:rPr>
                                <w:rFonts w:ascii="Fira Sans SemiBold" w:hAnsi="Fira Sans SemiBold"/>
                                <w:color w:val="92D050"/>
                                <w:sz w:val="72"/>
                                <w:szCs w:val="72"/>
                                <w:lang w:val="en-GB"/>
                              </w:rPr>
                              <w:t xml:space="preserve"> ↑</w:t>
                            </w:r>
                            <w:r w:rsidRPr="0079649E">
                              <w:rPr>
                                <w:b/>
                                <w:noProof/>
                                <w:color w:val="FFFFFF"/>
                                <w:sz w:val="72"/>
                                <w:szCs w:val="72"/>
                                <w:lang w:val="en-GB" w:eastAsia="pl-PL"/>
                              </w:rPr>
                              <w:t>7.5</w:t>
                            </w:r>
                            <w:r w:rsidRPr="0079649E">
                              <w:rPr>
                                <w:color w:val="FFFFFF"/>
                                <w:sz w:val="72"/>
                                <w:szCs w:val="72"/>
                                <w:lang w:val="en-GB"/>
                              </w:rPr>
                              <w:t>%</w:t>
                            </w:r>
                          </w:p>
                          <w:p w14:paraId="23445A67" w14:textId="64071024" w:rsidR="00AA0129" w:rsidRPr="0079649E" w:rsidRDefault="006430E4" w:rsidP="00C95A32">
                            <w:pPr>
                              <w:pStyle w:val="tekstnaniebieskimtle"/>
                              <w:spacing w:before="120"/>
                              <w:rPr>
                                <w:color w:val="FFFFFF"/>
                                <w:szCs w:val="19"/>
                                <w:lang w:val="en-GB"/>
                              </w:rPr>
                            </w:pPr>
                            <w:r>
                              <w:rPr>
                                <w:szCs w:val="19"/>
                                <w:lang w:val="en-GB"/>
                              </w:rPr>
                              <w:t>I</w:t>
                            </w:r>
                            <w:r w:rsidR="00AA0129" w:rsidRPr="0079649E">
                              <w:rPr>
                                <w:szCs w:val="19"/>
                                <w:lang w:val="en-GB"/>
                              </w:rPr>
                              <w:t xml:space="preserve">ncrease in the number of job vacancies compared to the second quarter of </w:t>
                            </w:r>
                            <w:r w:rsidR="00AA0129" w:rsidRPr="0079649E">
                              <w:rPr>
                                <w:rFonts w:eastAsia="Times New Roman"/>
                                <w:spacing w:val="-2"/>
                                <w:szCs w:val="19"/>
                                <w:lang w:val="en-GB"/>
                              </w:rPr>
                              <w:t>2021</w:t>
                            </w:r>
                          </w:p>
                          <w:p w14:paraId="104CDC51" w14:textId="77777777" w:rsidR="00AA0129" w:rsidRPr="0079649E" w:rsidRDefault="00AA0129" w:rsidP="00800D5F">
                            <w:pPr>
                              <w:pStyle w:val="tekstnaniebieskimtle"/>
                              <w:rPr>
                                <w:sz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2CA14BD" id="_x0000_t202" coordsize="21600,21600" o:spt="202" path="m,l,21600r21600,l21600,xe">
                <v:stroke joinstyle="miter"/>
                <v:path gradientshapeok="t" o:connecttype="rect"/>
              </v:shapetype>
              <v:shape id="Pole tekstowe 2" o:spid="_x0000_s1026" type="#_x0000_t202" style="position:absolute;margin-left:0;margin-top:6.75pt;width:153.25pt;height:100.7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" fillcolor="#001d77" stroked="f">
                <v:textbox>
                  <w:txbxContent>
                    <w:p w14:paraId="33DC3E07" w14:textId="77777777" w:rsidR="00AA0129" w:rsidRPr="0079649E" w:rsidRDefault="00AA0129" w:rsidP="00C95A32">
                      <w:pPr>
                        <w:spacing w:after="0" w:line="240" w:lineRule="auto"/>
                        <w:rPr>
                          <w:color w:val="FFFFFF"/>
                          <w:sz w:val="72"/>
                          <w:szCs w:val="72"/>
                          <w:lang w:val="en-GB"/>
                        </w:rPr>
                      </w:pPr>
                      <w:r w:rsidRPr="0079649E">
                        <w:rPr>
                          <w:rFonts w:ascii="Fira Sans SemiBold" w:hAnsi="Fira Sans SemiBold"/>
                          <w:color w:val="92D050"/>
                          <w:sz w:val="72"/>
                          <w:szCs w:val="72"/>
                          <w:lang w:val="en-GB"/>
                        </w:rPr>
                        <w:t xml:space="preserve"> ↑</w:t>
                      </w:r>
                      <w:r w:rsidRPr="0079649E">
                        <w:rPr>
                          <w:b/>
                          <w:noProof/>
                          <w:color w:val="FFFFFF"/>
                          <w:sz w:val="72"/>
                          <w:szCs w:val="72"/>
                          <w:lang w:val="en-GB" w:eastAsia="pl-PL"/>
                        </w:rPr>
                        <w:t>7.5</w:t>
                      </w:r>
                      <w:r w:rsidRPr="0079649E">
                        <w:rPr>
                          <w:color w:val="FFFFFF"/>
                          <w:sz w:val="72"/>
                          <w:szCs w:val="72"/>
                          <w:lang w:val="en-GB"/>
                        </w:rPr>
                        <w:t>%</w:t>
                      </w:r>
                    </w:p>
                    <w:p w14:paraId="23445A67" w14:textId="64071024" w:rsidR="00AA0129" w:rsidRPr="0079649E" w:rsidRDefault="006430E4" w:rsidP="00C95A32">
                      <w:pPr>
                        <w:pStyle w:val="tekstnaniebieskimtle"/>
                        <w:spacing w:before="120"/>
                        <w:rPr>
                          <w:color w:val="FFFFFF"/>
                          <w:szCs w:val="19"/>
                          <w:lang w:val="en-GB"/>
                        </w:rPr>
                      </w:pPr>
                      <w:r>
                        <w:rPr>
                          <w:szCs w:val="19"/>
                          <w:lang w:val="en-GB"/>
                        </w:rPr>
                        <w:t>I</w:t>
                      </w:r>
                      <w:r w:rsidR="00AA0129" w:rsidRPr="0079649E">
                        <w:rPr>
                          <w:szCs w:val="19"/>
                          <w:lang w:val="en-GB"/>
                        </w:rPr>
                        <w:t xml:space="preserve">ncrease in the number of job vacancies compared to the second quarter of </w:t>
                      </w:r>
                      <w:r w:rsidR="00AA0129" w:rsidRPr="0079649E">
                        <w:rPr>
                          <w:rFonts w:eastAsia="Times New Roman"/>
                          <w:spacing w:val="-2"/>
                          <w:szCs w:val="19"/>
                          <w:lang w:val="en-GB"/>
                        </w:rPr>
                        <w:t>2021</w:t>
                      </w:r>
                    </w:p>
                    <w:p w14:paraId="104CDC51" w14:textId="77777777" w:rsidR="00AA0129" w:rsidRPr="0079649E" w:rsidRDefault="00AA0129" w:rsidP="00800D5F">
                      <w:pPr>
                        <w:pStyle w:val="tekstnaniebieskimtle"/>
                        <w:rPr>
                          <w:sz w:val="18"/>
                          <w:lang w:val="en-GB"/>
                        </w:rPr>
                      </w:pPr>
                    </w:p>
                  </w:txbxContent>
                </v:textbox>
                <w10:wrap type="square" anchorx="margin"/>
              </v:shape>
            </w:pict>
          </mc:Fallback>
        </mc:AlternateContent>
      </w:r>
      <w:r w:rsidR="00AB5ED0">
        <w:rPr>
          <w:lang w:val="en-GB"/>
        </w:rPr>
        <w:t>At</w:t>
      </w:r>
      <w:r w:rsidR="00AB5ED0" w:rsidRPr="00AB5ED0">
        <w:rPr>
          <w:lang w:val="en-GB"/>
        </w:rPr>
        <w:t xml:space="preserve"> the end of the third quarter of 2021, there were 153.5 thousand</w:t>
      </w:r>
      <w:r w:rsidR="00AF1062">
        <w:rPr>
          <w:lang w:val="en-GB"/>
        </w:rPr>
        <w:t xml:space="preserve"> job vacancies</w:t>
      </w:r>
      <w:r w:rsidR="00AB5ED0">
        <w:rPr>
          <w:lang w:val="en-GB"/>
        </w:rPr>
        <w:t>,</w:t>
      </w:r>
      <w:r w:rsidR="00AB5ED0" w:rsidRPr="00AB5ED0">
        <w:rPr>
          <w:lang w:val="en-GB"/>
        </w:rPr>
        <w:t xml:space="preserve"> 68.5% more than in the corresponding period of the previous year. </w:t>
      </w:r>
      <w:r w:rsidR="00AB5ED0">
        <w:rPr>
          <w:lang w:val="en-GB"/>
        </w:rPr>
        <w:t xml:space="preserve">The job vacancy rate was 1.25%. </w:t>
      </w:r>
      <w:r w:rsidR="00AB5ED0" w:rsidRPr="00AB5ED0">
        <w:rPr>
          <w:lang w:val="en-GB"/>
        </w:rPr>
        <w:t>In the third quarter of 2021, there were 2.3 newly created jobs per liquidated job.</w:t>
      </w:r>
    </w:p>
    <w:p w14:paraId="063DFB30" w14:textId="77777777" w:rsidR="0056374E" w:rsidRDefault="0056374E" w:rsidP="004A2D20">
      <w:pPr>
        <w:rPr>
          <w:color w:val="000000"/>
          <w:lang w:val="en-GB"/>
        </w:rPr>
      </w:pPr>
    </w:p>
    <w:p w14:paraId="4BB150C4" w14:textId="0EBC0FE8" w:rsidR="006430E4" w:rsidRDefault="006430E4" w:rsidP="004A2D20">
      <w:pPr>
        <w:rPr>
          <w:color w:val="000000"/>
          <w:lang w:val="en-GB"/>
        </w:rPr>
      </w:pPr>
    </w:p>
    <w:p w14:paraId="4B9917C1" w14:textId="77777777" w:rsidR="00AF1062" w:rsidRPr="0079649E" w:rsidRDefault="00AF1062" w:rsidP="004A2D20">
      <w:pPr>
        <w:rPr>
          <w:color w:val="000000"/>
          <w:lang w:val="en-GB"/>
        </w:rPr>
      </w:pPr>
    </w:p>
    <w:p w14:paraId="41BAEAC1" w14:textId="1C81EADD" w:rsidR="00316FC1" w:rsidRPr="00625545" w:rsidRDefault="008E4CA0" w:rsidP="00316FC1">
      <w:pPr>
        <w:rPr>
          <w:rFonts w:eastAsia="Times New Roman"/>
          <w:szCs w:val="19"/>
          <w:lang w:val="en-GB" w:eastAsia="pl-PL"/>
        </w:rPr>
      </w:pPr>
      <w:r w:rsidRPr="0079649E">
        <w:rPr>
          <w:color w:val="000000"/>
          <w:lang w:val="en-GB"/>
        </w:rPr>
        <w:t>The Labour Demand Survey is conducted using the representative method on a quarterly basis, on the Z–05 reporting form. It covers national economy entities employing at least one person.</w:t>
      </w:r>
      <w:r w:rsidR="006430E4">
        <w:rPr>
          <w:color w:val="000000"/>
          <w:lang w:val="en-GB"/>
        </w:rPr>
        <w:t xml:space="preserve"> </w:t>
      </w:r>
      <w:r w:rsidR="00316FC1" w:rsidRPr="00316FC1">
        <w:rPr>
          <w:color w:val="000000"/>
          <w:lang w:val="en-GB"/>
        </w:rPr>
        <w:t xml:space="preserve">In the third quarter of 2021, </w:t>
      </w:r>
      <w:r w:rsidR="006E6311">
        <w:rPr>
          <w:color w:val="000000"/>
          <w:lang w:val="en-GB"/>
        </w:rPr>
        <w:t xml:space="preserve">private sector </w:t>
      </w:r>
      <w:r w:rsidR="00316FC1" w:rsidRPr="00316FC1">
        <w:rPr>
          <w:color w:val="000000"/>
          <w:lang w:val="en-GB"/>
        </w:rPr>
        <w:t>entities constituted</w:t>
      </w:r>
      <w:r w:rsidR="006E6311">
        <w:rPr>
          <w:color w:val="000000"/>
          <w:lang w:val="en-GB"/>
        </w:rPr>
        <w:t xml:space="preserve"> the majority of the </w:t>
      </w:r>
      <w:r w:rsidR="00625545">
        <w:rPr>
          <w:color w:val="000000"/>
          <w:lang w:val="en-GB"/>
        </w:rPr>
        <w:t xml:space="preserve">covered </w:t>
      </w:r>
      <w:r w:rsidR="006E6311">
        <w:rPr>
          <w:color w:val="000000"/>
          <w:lang w:val="en-GB"/>
        </w:rPr>
        <w:t>population</w:t>
      </w:r>
      <w:r w:rsidR="00316FC1" w:rsidRPr="00316FC1">
        <w:rPr>
          <w:color w:val="000000"/>
          <w:lang w:val="en-GB"/>
        </w:rPr>
        <w:t xml:space="preserve"> (91.1% of al</w:t>
      </w:r>
      <w:r w:rsidR="00625545">
        <w:rPr>
          <w:color w:val="000000"/>
          <w:lang w:val="en-GB"/>
        </w:rPr>
        <w:t>l entities), whereas</w:t>
      </w:r>
      <w:r w:rsidR="006E6311">
        <w:rPr>
          <w:color w:val="000000"/>
          <w:lang w:val="en-GB"/>
        </w:rPr>
        <w:t xml:space="preserve"> in terms of size expressed by</w:t>
      </w:r>
      <w:r w:rsidR="00316FC1" w:rsidRPr="00316FC1">
        <w:rPr>
          <w:color w:val="000000"/>
          <w:lang w:val="en-GB"/>
        </w:rPr>
        <w:t xml:space="preserve"> the number of emplo</w:t>
      </w:r>
      <w:r w:rsidR="00625545">
        <w:rPr>
          <w:color w:val="000000"/>
          <w:lang w:val="en-GB"/>
        </w:rPr>
        <w:t>yed persons –</w:t>
      </w:r>
      <w:r w:rsidR="006E6311">
        <w:rPr>
          <w:color w:val="000000"/>
          <w:lang w:val="en-GB"/>
        </w:rPr>
        <w:t xml:space="preserve"> entities with</w:t>
      </w:r>
      <w:r w:rsidR="00316FC1" w:rsidRPr="00316FC1">
        <w:rPr>
          <w:color w:val="000000"/>
          <w:lang w:val="en-GB"/>
        </w:rPr>
        <w:t xml:space="preserve"> up to 9 </w:t>
      </w:r>
      <w:r w:rsidR="006E6311">
        <w:rPr>
          <w:color w:val="000000"/>
          <w:lang w:val="en-GB"/>
        </w:rPr>
        <w:t xml:space="preserve">employed </w:t>
      </w:r>
      <w:r w:rsidR="00316FC1" w:rsidRPr="00316FC1">
        <w:rPr>
          <w:color w:val="000000"/>
          <w:lang w:val="en-GB"/>
        </w:rPr>
        <w:t>persons</w:t>
      </w:r>
      <w:r w:rsidR="00FE3804">
        <w:rPr>
          <w:color w:val="000000"/>
          <w:lang w:val="en-GB"/>
        </w:rPr>
        <w:t xml:space="preserve"> prevailed</w:t>
      </w:r>
      <w:r w:rsidR="00316FC1" w:rsidRPr="00316FC1">
        <w:rPr>
          <w:color w:val="000000"/>
          <w:lang w:val="en-GB"/>
        </w:rPr>
        <w:t xml:space="preserve"> (68.8% of the total</w:t>
      </w:r>
      <w:r w:rsidR="00AF1062">
        <w:rPr>
          <w:color w:val="000000"/>
          <w:lang w:val="en-GB"/>
        </w:rPr>
        <w:t xml:space="preserve"> number</w:t>
      </w:r>
      <w:r w:rsidR="00316FC1" w:rsidRPr="00316FC1">
        <w:rPr>
          <w:color w:val="000000"/>
          <w:lang w:val="en-GB"/>
        </w:rPr>
        <w:t>). At the end of the th</w:t>
      </w:r>
      <w:r w:rsidR="006E6311">
        <w:rPr>
          <w:color w:val="000000"/>
          <w:lang w:val="en-GB"/>
        </w:rPr>
        <w:t>ird quarter of 2021, 42.7 thousand out of 635.1 thousand reporting units</w:t>
      </w:r>
      <w:r w:rsidR="0066525B">
        <w:rPr>
          <w:color w:val="000000"/>
          <w:lang w:val="en-GB"/>
        </w:rPr>
        <w:t xml:space="preserve"> had job vacancies</w:t>
      </w:r>
      <w:r w:rsidR="006E6311">
        <w:rPr>
          <w:color w:val="000000"/>
          <w:lang w:val="en-GB"/>
        </w:rPr>
        <w:t xml:space="preserve"> (6.7% of their total number, i.e. 2.0 percentage points more</w:t>
      </w:r>
      <w:r w:rsidR="00316FC1" w:rsidRPr="00316FC1">
        <w:rPr>
          <w:color w:val="000000"/>
          <w:lang w:val="en-GB"/>
        </w:rPr>
        <w:t xml:space="preserve"> than in the corresponding period of the previous year).</w:t>
      </w:r>
    </w:p>
    <w:p w14:paraId="53BF03BB" w14:textId="74E70136" w:rsidR="004732E1" w:rsidRPr="0079649E" w:rsidRDefault="00CB3513" w:rsidP="006E3B6F">
      <w:pPr>
        <w:pStyle w:val="LID"/>
        <w:rPr>
          <w:b w:val="0"/>
          <w:lang w:val="en-GB"/>
        </w:rPr>
      </w:pPr>
      <w:r w:rsidRPr="00883A48">
        <w:rPr>
          <w:color w:val="FF0000"/>
        </w:rPr>
        <mc:AlternateContent>
          <mc:Choice Requires="wps">
            <w:drawing>
              <wp:anchor distT="0" distB="0" distL="114300" distR="114300" simplePos="0" relativeHeight="251680768" behindDoc="0" locked="0" layoutInCell="1" allowOverlap="1" wp14:anchorId="3164232F" wp14:editId="20EE51BF">
                <wp:simplePos x="0" y="0"/>
                <wp:positionH relativeFrom="page">
                  <wp:posOffset>5638800</wp:posOffset>
                </wp:positionH>
                <wp:positionV relativeFrom="paragraph">
                  <wp:posOffset>10795</wp:posOffset>
                </wp:positionV>
                <wp:extent cx="1807210" cy="1304925"/>
                <wp:effectExtent l="0" t="0" r="0" b="952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B8D9" w14:textId="5FB858B5" w:rsidR="00AA0129" w:rsidRPr="0079649E" w:rsidRDefault="00AA0129" w:rsidP="00A575F9">
                            <w:pPr>
                              <w:spacing w:before="0"/>
                              <w:rPr>
                                <w:bCs/>
                                <w:color w:val="001D77"/>
                                <w:sz w:val="18"/>
                                <w:szCs w:val="18"/>
                                <w:lang w:val="en-GB"/>
                              </w:rPr>
                            </w:pPr>
                            <w:r w:rsidRPr="0079649E">
                              <w:rPr>
                                <w:bCs/>
                                <w:color w:val="001D77"/>
                                <w:sz w:val="18"/>
                                <w:szCs w:val="18"/>
                                <w:lang w:val="en-GB"/>
                              </w:rPr>
                              <w:t xml:space="preserve">In Poland, in the third quarter of 2021, the job vacancy rate was 1.25% </w:t>
                            </w:r>
                            <w:r w:rsidRPr="00351BDE">
                              <w:rPr>
                                <w:bCs/>
                                <w:color w:val="001D77"/>
                                <w:sz w:val="18"/>
                                <w:szCs w:val="18"/>
                                <w:lang w:val="en-GB"/>
                              </w:rPr>
                              <w:t xml:space="preserve">and was higher than </w:t>
                            </w:r>
                            <w:r w:rsidR="006430E4" w:rsidRPr="00351BDE">
                              <w:rPr>
                                <w:bCs/>
                                <w:color w:val="001D77"/>
                                <w:sz w:val="18"/>
                                <w:szCs w:val="18"/>
                                <w:lang w:val="en-GB"/>
                              </w:rPr>
                              <w:t xml:space="preserve">in </w:t>
                            </w:r>
                            <w:r w:rsidR="00351BDE" w:rsidRPr="00351BDE">
                              <w:rPr>
                                <w:bCs/>
                                <w:color w:val="001D77"/>
                                <w:sz w:val="18"/>
                                <w:szCs w:val="18"/>
                                <w:lang w:val="en-GB"/>
                              </w:rPr>
                              <w:t xml:space="preserve">the </w:t>
                            </w:r>
                            <w:r w:rsidR="006430E4" w:rsidRPr="00351BDE">
                              <w:rPr>
                                <w:bCs/>
                                <w:color w:val="001D77"/>
                                <w:sz w:val="18"/>
                                <w:szCs w:val="18"/>
                                <w:lang w:val="en-GB"/>
                              </w:rPr>
                              <w:t xml:space="preserve">third quarter </w:t>
                            </w:r>
                            <w:r w:rsidR="00351BDE" w:rsidRPr="00351BDE">
                              <w:rPr>
                                <w:bCs/>
                                <w:color w:val="001D77"/>
                                <w:sz w:val="18"/>
                                <w:szCs w:val="18"/>
                                <w:lang w:val="en-GB"/>
                              </w:rPr>
                              <w:t xml:space="preserve">of </w:t>
                            </w:r>
                            <w:r w:rsidR="006430E4" w:rsidRPr="00351BDE">
                              <w:rPr>
                                <w:bCs/>
                                <w:color w:val="001D77"/>
                                <w:sz w:val="18"/>
                                <w:szCs w:val="18"/>
                                <w:lang w:val="en-GB"/>
                              </w:rPr>
                              <w:t>2020</w:t>
                            </w:r>
                            <w:r w:rsidRPr="00351BDE">
                              <w:rPr>
                                <w:bCs/>
                                <w:color w:val="001D77"/>
                                <w:sz w:val="18"/>
                                <w:szCs w:val="18"/>
                                <w:lang w:val="en-GB"/>
                              </w:rPr>
                              <w:t xml:space="preserve"> and higher than in the second </w:t>
                            </w:r>
                            <w:r w:rsidR="00C33D2C" w:rsidRPr="00351BDE">
                              <w:rPr>
                                <w:bCs/>
                                <w:color w:val="001D77"/>
                                <w:sz w:val="18"/>
                                <w:szCs w:val="18"/>
                                <w:lang w:val="en-GB"/>
                              </w:rPr>
                              <w:t>quarter of this year</w:t>
                            </w:r>
                          </w:p>
                          <w:p w14:paraId="29425026" w14:textId="77777777" w:rsidR="00AA0129" w:rsidRPr="0079649E" w:rsidRDefault="00AA012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64232F" id="_x0000_t202" coordsize="21600,21600" o:spt="202" path="m,l,21600r21600,l21600,xe">
                <v:stroke joinstyle="miter"/>
                <v:path gradientshapeok="t" o:connecttype="rect"/>
              </v:shapetype>
              <v:shape id="Text Box 23" o:spid="_x0000_s1027" type="#_x0000_t202" style="position:absolute;margin-left:444pt;margin-top:.85pt;width:142.3pt;height:102.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0D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" filled="f" stroked="f">
                <v:textbox>
                  <w:txbxContent>
                    <w:p w14:paraId="506AB8D9" w14:textId="5FB858B5" w:rsidR="00AA0129" w:rsidRPr="0079649E" w:rsidRDefault="00AA0129" w:rsidP="00A575F9">
                      <w:pPr>
                        <w:spacing w:before="0"/>
                        <w:rPr>
                          <w:bCs/>
                          <w:color w:val="001D77"/>
                          <w:sz w:val="18"/>
                          <w:szCs w:val="18"/>
                          <w:lang w:val="en-GB"/>
                        </w:rPr>
                      </w:pPr>
                      <w:r w:rsidRPr="0079649E">
                        <w:rPr>
                          <w:bCs/>
                          <w:color w:val="001D77"/>
                          <w:sz w:val="18"/>
                          <w:szCs w:val="18"/>
                          <w:lang w:val="en-GB"/>
                        </w:rPr>
                        <w:t xml:space="preserve">In Poland, in the third quarter of 2021, the job vacancy rate was 1.25% </w:t>
                      </w:r>
                      <w:r w:rsidRPr="00351BDE">
                        <w:rPr>
                          <w:bCs/>
                          <w:color w:val="001D77"/>
                          <w:sz w:val="18"/>
                          <w:szCs w:val="18"/>
                          <w:lang w:val="en-GB"/>
                        </w:rPr>
                        <w:t xml:space="preserve">and was higher than </w:t>
                      </w:r>
                      <w:r w:rsidR="006430E4" w:rsidRPr="00351BDE">
                        <w:rPr>
                          <w:bCs/>
                          <w:color w:val="001D77"/>
                          <w:sz w:val="18"/>
                          <w:szCs w:val="18"/>
                          <w:lang w:val="en-GB"/>
                        </w:rPr>
                        <w:t xml:space="preserve">in </w:t>
                      </w:r>
                      <w:r w:rsidR="00351BDE" w:rsidRPr="00351BDE">
                        <w:rPr>
                          <w:bCs/>
                          <w:color w:val="001D77"/>
                          <w:sz w:val="18"/>
                          <w:szCs w:val="18"/>
                          <w:lang w:val="en-GB"/>
                        </w:rPr>
                        <w:t xml:space="preserve">the </w:t>
                      </w:r>
                      <w:r w:rsidR="006430E4" w:rsidRPr="00351BDE">
                        <w:rPr>
                          <w:bCs/>
                          <w:color w:val="001D77"/>
                          <w:sz w:val="18"/>
                          <w:szCs w:val="18"/>
                          <w:lang w:val="en-GB"/>
                        </w:rPr>
                        <w:t xml:space="preserve">third quarter </w:t>
                      </w:r>
                      <w:r w:rsidR="00351BDE" w:rsidRPr="00351BDE">
                        <w:rPr>
                          <w:bCs/>
                          <w:color w:val="001D77"/>
                          <w:sz w:val="18"/>
                          <w:szCs w:val="18"/>
                          <w:lang w:val="en-GB"/>
                        </w:rPr>
                        <w:t xml:space="preserve">of </w:t>
                      </w:r>
                      <w:r w:rsidR="006430E4" w:rsidRPr="00351BDE">
                        <w:rPr>
                          <w:bCs/>
                          <w:color w:val="001D77"/>
                          <w:sz w:val="18"/>
                          <w:szCs w:val="18"/>
                          <w:lang w:val="en-GB"/>
                        </w:rPr>
                        <w:t>2020</w:t>
                      </w:r>
                      <w:r w:rsidRPr="00351BDE">
                        <w:rPr>
                          <w:bCs/>
                          <w:color w:val="001D77"/>
                          <w:sz w:val="18"/>
                          <w:szCs w:val="18"/>
                          <w:lang w:val="en-GB"/>
                        </w:rPr>
                        <w:t xml:space="preserve"> and higher than in the second </w:t>
                      </w:r>
                      <w:r w:rsidR="00C33D2C" w:rsidRPr="00351BDE">
                        <w:rPr>
                          <w:bCs/>
                          <w:color w:val="001D77"/>
                          <w:sz w:val="18"/>
                          <w:szCs w:val="18"/>
                          <w:lang w:val="en-GB"/>
                        </w:rPr>
                        <w:t>quarter of this year</w:t>
                      </w:r>
                    </w:p>
                    <w:p w14:paraId="29425026" w14:textId="77777777" w:rsidR="00AA0129" w:rsidRPr="0079649E" w:rsidRDefault="00AA0129">
                      <w:pPr>
                        <w:rPr>
                          <w:lang w:val="en-GB"/>
                        </w:rPr>
                      </w:pPr>
                    </w:p>
                  </w:txbxContent>
                </v:textbox>
                <w10:wrap anchorx="page"/>
              </v:shape>
            </w:pict>
          </mc:Fallback>
        </mc:AlternateContent>
      </w:r>
      <w:r w:rsidR="006E3B6F" w:rsidRPr="0079649E">
        <w:rPr>
          <w:b w:val="0"/>
          <w:lang w:val="en-GB"/>
        </w:rPr>
        <w:t>The results of the survey for the third quarter of 2021 indicate that despite the ongoing SARS-CoV-2 coronavirus epidemic in Poland, the situation on the labour market improved compared to the previous year.</w:t>
      </w:r>
      <w:r w:rsidR="004732E1" w:rsidRPr="0079649E">
        <w:rPr>
          <w:b w:val="0"/>
          <w:lang w:val="en-GB"/>
        </w:rPr>
        <w:t xml:space="preserve"> </w:t>
      </w:r>
      <w:r w:rsidR="006E3B6F" w:rsidRPr="0079649E">
        <w:rPr>
          <w:b w:val="0"/>
          <w:lang w:val="en-GB"/>
        </w:rPr>
        <w:t>At the end of the quarter under review, the n</w:t>
      </w:r>
      <w:r w:rsidR="00EE452C" w:rsidRPr="0079649E">
        <w:rPr>
          <w:b w:val="0"/>
          <w:lang w:val="en-GB"/>
        </w:rPr>
        <w:t>u</w:t>
      </w:r>
      <w:r w:rsidR="00E01056">
        <w:rPr>
          <w:b w:val="0"/>
          <w:lang w:val="en-GB"/>
        </w:rPr>
        <w:t>mber of job vacancies was higher</w:t>
      </w:r>
      <w:r w:rsidR="006E3B6F" w:rsidRPr="0079649E">
        <w:rPr>
          <w:b w:val="0"/>
          <w:lang w:val="en-GB"/>
        </w:rPr>
        <w:t xml:space="preserve"> and the </w:t>
      </w:r>
      <w:r w:rsidR="00EE452C" w:rsidRPr="0079649E">
        <w:rPr>
          <w:b w:val="0"/>
          <w:lang w:val="en-GB"/>
        </w:rPr>
        <w:t xml:space="preserve">job </w:t>
      </w:r>
      <w:r w:rsidR="006E3B6F" w:rsidRPr="0079649E">
        <w:rPr>
          <w:b w:val="0"/>
          <w:lang w:val="en-GB"/>
        </w:rPr>
        <w:t xml:space="preserve">vacancy rate increased significantly. During the third quarter, an increase in the number of newly created jobs was also recorded, while the number of liquidated jobs decreased. The number of newly created jobs was more than two times higher than the number of liquidated jobs. </w:t>
      </w:r>
    </w:p>
    <w:p w14:paraId="61FEF892" w14:textId="6831E369" w:rsidR="00F718E5" w:rsidRDefault="00F226D3" w:rsidP="00F718E5">
      <w:pPr>
        <w:pStyle w:val="LID"/>
        <w:rPr>
          <w:b w:val="0"/>
          <w:lang w:val="en-GB"/>
        </w:rPr>
      </w:pPr>
      <w:r w:rsidRPr="0079649E">
        <w:rPr>
          <w:b w:val="0"/>
          <w:lang w:val="en-GB"/>
        </w:rPr>
        <w:t>For comparison, in Poland, in the corresponding period of 2020 there were decreases compared to 2019, both in the number of job vacancies (by 38.7%), the number of newly created jobs (by 16.4%) and liquidated jobs (by 24.1%).</w:t>
      </w:r>
    </w:p>
    <w:p w14:paraId="5CEE1BE5" w14:textId="77777777" w:rsidR="00801616" w:rsidRPr="0079649E" w:rsidRDefault="00801616" w:rsidP="00F718E5">
      <w:pPr>
        <w:pStyle w:val="LID"/>
        <w:rPr>
          <w:b w:val="0"/>
          <w:lang w:val="en-GB"/>
        </w:rPr>
      </w:pPr>
    </w:p>
    <w:p w14:paraId="0D92D880" w14:textId="57E0DA5B" w:rsidR="00F6700A" w:rsidRDefault="00F226D3" w:rsidP="00D75053">
      <w:pPr>
        <w:pStyle w:val="LID"/>
        <w:rPr>
          <w:sz w:val="18"/>
          <w:szCs w:val="18"/>
          <w:shd w:val="clear" w:color="auto" w:fill="FFFFFF"/>
          <w:lang w:val="en-GB"/>
        </w:rPr>
      </w:pPr>
      <w:r w:rsidRPr="0079649E">
        <w:rPr>
          <w:sz w:val="18"/>
          <w:szCs w:val="18"/>
          <w:lang w:val="en-GB"/>
        </w:rPr>
        <w:t>Table</w:t>
      </w:r>
      <w:r w:rsidR="00593F44" w:rsidRPr="0079649E">
        <w:rPr>
          <w:sz w:val="18"/>
          <w:szCs w:val="18"/>
          <w:lang w:val="en-GB"/>
        </w:rPr>
        <w:t xml:space="preserve"> 1.</w:t>
      </w:r>
      <w:r w:rsidR="00A90433" w:rsidRPr="0079649E">
        <w:rPr>
          <w:sz w:val="18"/>
          <w:szCs w:val="18"/>
          <w:shd w:val="clear" w:color="auto" w:fill="FFFFFF"/>
          <w:lang w:val="en-GB"/>
        </w:rPr>
        <w:t xml:space="preserve"> </w:t>
      </w:r>
      <w:r w:rsidRPr="0079649E">
        <w:rPr>
          <w:sz w:val="18"/>
          <w:szCs w:val="18"/>
          <w:shd w:val="clear" w:color="auto" w:fill="FFFFFF"/>
          <w:lang w:val="en-GB"/>
        </w:rPr>
        <w:t>Basic results of the Labour Demand Survey in</w:t>
      </w:r>
      <w:r w:rsidR="00F1270C" w:rsidRPr="0079649E">
        <w:rPr>
          <w:sz w:val="18"/>
          <w:szCs w:val="18"/>
          <w:shd w:val="clear" w:color="auto" w:fill="FFFFFF"/>
          <w:lang w:val="en-GB"/>
        </w:rPr>
        <w:t xml:space="preserve"> </w:t>
      </w:r>
      <w:r w:rsidRPr="0079649E">
        <w:rPr>
          <w:sz w:val="18"/>
          <w:szCs w:val="18"/>
          <w:shd w:val="clear" w:color="auto" w:fill="FFFFFF"/>
          <w:lang w:val="en-GB"/>
        </w:rPr>
        <w:t xml:space="preserve">Poland </w:t>
      </w:r>
    </w:p>
    <w:tbl>
      <w:tblPr>
        <w:tblStyle w:val="Firasans"/>
        <w:tblpPr w:leftFromText="141" w:rightFromText="141" w:vertAnchor="text" w:horzAnchor="margin" w:tblpY="-11"/>
        <w:tblW w:w="0" w:type="auto"/>
        <w:tblLayout w:type="fixed"/>
        <w:tblLook w:val="04A0" w:firstRow="1" w:lastRow="0" w:firstColumn="1" w:lastColumn="0" w:noHBand="0" w:noVBand="1"/>
      </w:tblPr>
      <w:tblGrid>
        <w:gridCol w:w="1701"/>
        <w:gridCol w:w="1060"/>
        <w:gridCol w:w="1060"/>
        <w:gridCol w:w="1060"/>
        <w:gridCol w:w="1060"/>
        <w:gridCol w:w="1060"/>
        <w:gridCol w:w="1061"/>
      </w:tblGrid>
      <w:tr w:rsidR="00D558DE" w:rsidRPr="008932D3" w14:paraId="7B9EA7CB" w14:textId="77777777" w:rsidTr="00B47CE9">
        <w:trPr>
          <w:trHeight w:val="66"/>
        </w:trPr>
        <w:tc>
          <w:tcPr>
            <w:tcW w:w="1701" w:type="dxa"/>
            <w:vMerge w:val="restart"/>
            <w:vAlign w:val="center"/>
          </w:tcPr>
          <w:p w14:paraId="32D0088B" w14:textId="77777777" w:rsidR="00D558DE" w:rsidRPr="0079649E" w:rsidRDefault="00D558DE" w:rsidP="00D558DE">
            <w:pPr>
              <w:spacing w:before="0" w:after="0"/>
              <w:jc w:val="center"/>
              <w:rPr>
                <w:rFonts w:eastAsia="Times New Roman"/>
                <w:sz w:val="16"/>
                <w:szCs w:val="16"/>
                <w:lang w:val="en-GB" w:eastAsia="pl-PL"/>
              </w:rPr>
            </w:pPr>
            <w:r w:rsidRPr="0079649E">
              <w:rPr>
                <w:rFonts w:eastAsia="Times New Roman"/>
                <w:sz w:val="16"/>
                <w:szCs w:val="16"/>
                <w:lang w:val="en-GB" w:eastAsia="pl-PL"/>
              </w:rPr>
              <w:t>OUARTERS</w:t>
            </w:r>
          </w:p>
          <w:p w14:paraId="71E486D2" w14:textId="77777777" w:rsidR="00D558DE" w:rsidRPr="0079649E" w:rsidRDefault="00D558DE" w:rsidP="00D558DE">
            <w:pPr>
              <w:spacing w:before="0" w:after="0" w:line="220" w:lineRule="exact"/>
              <w:ind w:right="33" w:firstLine="34"/>
              <w:jc w:val="center"/>
              <w:rPr>
                <w:rFonts w:eastAsia="Times New Roman"/>
                <w:sz w:val="16"/>
                <w:szCs w:val="16"/>
                <w:lang w:val="en-GB" w:eastAsia="pl-PL"/>
              </w:rPr>
            </w:pPr>
            <w:r w:rsidRPr="0079649E">
              <w:rPr>
                <w:rFonts w:eastAsia="Times New Roman"/>
                <w:sz w:val="16"/>
                <w:szCs w:val="16"/>
                <w:lang w:val="en-GB" w:eastAsia="pl-PL"/>
              </w:rPr>
              <w:t>A – corresponding</w:t>
            </w:r>
            <w:r>
              <w:rPr>
                <w:rFonts w:eastAsia="Times New Roman"/>
                <w:sz w:val="16"/>
                <w:szCs w:val="16"/>
                <w:lang w:val="en-GB" w:eastAsia="pl-PL"/>
              </w:rPr>
              <w:br/>
            </w:r>
            <w:r w:rsidRPr="0079649E">
              <w:rPr>
                <w:rFonts w:eastAsia="Times New Roman"/>
                <w:sz w:val="16"/>
                <w:szCs w:val="16"/>
                <w:lang w:val="en-GB" w:eastAsia="pl-PL"/>
              </w:rPr>
              <w:t>quarter = 100</w:t>
            </w:r>
          </w:p>
          <w:p w14:paraId="51D45D28" w14:textId="67152DAF" w:rsidR="00D558DE" w:rsidRPr="00E2769D" w:rsidRDefault="00D558DE" w:rsidP="00D558DE">
            <w:pPr>
              <w:spacing w:before="20" w:after="20" w:line="-220" w:lineRule="auto"/>
              <w:jc w:val="center"/>
              <w:rPr>
                <w:rFonts w:eastAsia="Times New Roman"/>
                <w:sz w:val="16"/>
                <w:szCs w:val="16"/>
                <w:lang w:val="en-GB" w:eastAsia="pl-PL"/>
              </w:rPr>
            </w:pPr>
            <w:r w:rsidRPr="0079649E">
              <w:rPr>
                <w:rFonts w:eastAsia="Times New Roman"/>
                <w:sz w:val="16"/>
                <w:szCs w:val="16"/>
                <w:lang w:val="en-GB" w:eastAsia="pl-PL"/>
              </w:rPr>
              <w:t xml:space="preserve">B – previous </w:t>
            </w:r>
            <w:r>
              <w:rPr>
                <w:rFonts w:eastAsia="Times New Roman"/>
                <w:sz w:val="16"/>
                <w:szCs w:val="16"/>
                <w:lang w:val="en-GB" w:eastAsia="pl-PL"/>
              </w:rPr>
              <w:br/>
            </w:r>
            <w:r w:rsidRPr="0079649E">
              <w:rPr>
                <w:rFonts w:eastAsia="Times New Roman"/>
                <w:sz w:val="16"/>
                <w:szCs w:val="16"/>
                <w:lang w:val="en-GB" w:eastAsia="pl-PL"/>
              </w:rPr>
              <w:t>quarter = 100</w:t>
            </w:r>
          </w:p>
        </w:tc>
        <w:tc>
          <w:tcPr>
            <w:tcW w:w="1060" w:type="dxa"/>
            <w:vMerge w:val="restart"/>
            <w:vAlign w:val="center"/>
          </w:tcPr>
          <w:p w14:paraId="5B06A03F" w14:textId="28D5EDEA" w:rsidR="00D558DE" w:rsidRPr="008932D3" w:rsidRDefault="00D558DE" w:rsidP="00B47CE9">
            <w:pPr>
              <w:spacing w:before="20" w:after="20"/>
              <w:jc w:val="center"/>
              <w:rPr>
                <w:rFonts w:eastAsia="Times New Roman"/>
                <w:sz w:val="16"/>
                <w:szCs w:val="16"/>
                <w:lang w:eastAsia="pl-PL"/>
              </w:rPr>
            </w:pPr>
            <w:r w:rsidRPr="00764DE1">
              <w:rPr>
                <w:rFonts w:eastAsia="Times New Roman"/>
                <w:sz w:val="16"/>
                <w:szCs w:val="16"/>
                <w:lang w:val="en-GB" w:eastAsia="pl-PL"/>
              </w:rPr>
              <w:t>Employed persons</w:t>
            </w:r>
          </w:p>
        </w:tc>
        <w:tc>
          <w:tcPr>
            <w:tcW w:w="3180" w:type="dxa"/>
            <w:gridSpan w:val="3"/>
            <w:vAlign w:val="center"/>
          </w:tcPr>
          <w:p w14:paraId="283E6D20" w14:textId="1BCDB638" w:rsidR="00D558DE" w:rsidRPr="008932D3" w:rsidRDefault="006B045A" w:rsidP="00B47CE9">
            <w:pPr>
              <w:spacing w:before="20" w:after="20"/>
              <w:jc w:val="center"/>
              <w:rPr>
                <w:rFonts w:eastAsia="Times New Roman"/>
                <w:sz w:val="16"/>
                <w:szCs w:val="16"/>
                <w:lang w:eastAsia="pl-PL"/>
              </w:rPr>
            </w:pPr>
            <w:r>
              <w:rPr>
                <w:rFonts w:eastAsia="Times New Roman"/>
                <w:sz w:val="16"/>
                <w:szCs w:val="16"/>
                <w:lang w:val="en-GB" w:eastAsia="pl-PL"/>
              </w:rPr>
              <w:t>Job vacancies</w:t>
            </w:r>
          </w:p>
        </w:tc>
        <w:tc>
          <w:tcPr>
            <w:tcW w:w="1060" w:type="dxa"/>
            <w:vMerge w:val="restart"/>
            <w:vAlign w:val="center"/>
          </w:tcPr>
          <w:p w14:paraId="7DED2F1A" w14:textId="7CE6A4B5" w:rsidR="00D558DE" w:rsidRPr="008932D3" w:rsidRDefault="00AF1062" w:rsidP="00721159">
            <w:pPr>
              <w:spacing w:before="20" w:after="20" w:line="220" w:lineRule="exact"/>
              <w:ind w:left="-57" w:right="-57"/>
              <w:jc w:val="center"/>
              <w:rPr>
                <w:rFonts w:eastAsia="Times New Roman"/>
                <w:sz w:val="16"/>
                <w:szCs w:val="16"/>
                <w:lang w:eastAsia="pl-PL"/>
              </w:rPr>
            </w:pPr>
            <w:r>
              <w:rPr>
                <w:rFonts w:eastAsia="Times New Roman" w:cs="Calibri"/>
                <w:color w:val="000000"/>
                <w:sz w:val="16"/>
                <w:szCs w:val="16"/>
                <w:lang w:val="en-GB" w:eastAsia="pl-PL"/>
              </w:rPr>
              <w:t>N</w:t>
            </w:r>
            <w:r w:rsidR="00D558DE" w:rsidRPr="00764DE1">
              <w:rPr>
                <w:rFonts w:eastAsia="Times New Roman" w:cs="Calibri"/>
                <w:color w:val="000000"/>
                <w:sz w:val="16"/>
                <w:szCs w:val="16"/>
                <w:lang w:val="en-GB" w:eastAsia="pl-PL"/>
              </w:rPr>
              <w:t xml:space="preserve">ewly </w:t>
            </w:r>
            <w:r>
              <w:rPr>
                <w:rFonts w:eastAsia="Times New Roman" w:cs="Calibri"/>
                <w:color w:val="000000"/>
                <w:sz w:val="16"/>
                <w:szCs w:val="16"/>
                <w:lang w:val="en-GB" w:eastAsia="pl-PL"/>
              </w:rPr>
              <w:br/>
            </w:r>
            <w:r w:rsidR="00D558DE" w:rsidRPr="00764DE1">
              <w:rPr>
                <w:rFonts w:eastAsia="Times New Roman" w:cs="Calibri"/>
                <w:color w:val="000000"/>
                <w:sz w:val="16"/>
                <w:szCs w:val="16"/>
                <w:lang w:val="en-GB" w:eastAsia="pl-PL"/>
              </w:rPr>
              <w:t>created</w:t>
            </w:r>
            <w:r>
              <w:rPr>
                <w:rFonts w:eastAsia="Times New Roman" w:cs="Calibri"/>
                <w:color w:val="000000"/>
                <w:sz w:val="16"/>
                <w:szCs w:val="16"/>
                <w:lang w:val="en-GB" w:eastAsia="pl-PL"/>
              </w:rPr>
              <w:t xml:space="preserve"> job vacan</w:t>
            </w:r>
            <w:r w:rsidR="00721159">
              <w:rPr>
                <w:rFonts w:eastAsia="Times New Roman" w:cs="Calibri"/>
                <w:color w:val="000000"/>
                <w:sz w:val="16"/>
                <w:szCs w:val="16"/>
                <w:lang w:val="en-GB" w:eastAsia="pl-PL"/>
              </w:rPr>
              <w:t>c</w:t>
            </w:r>
            <w:r>
              <w:rPr>
                <w:rFonts w:eastAsia="Times New Roman" w:cs="Calibri"/>
                <w:color w:val="000000"/>
                <w:sz w:val="16"/>
                <w:szCs w:val="16"/>
                <w:lang w:val="en-GB" w:eastAsia="pl-PL"/>
              </w:rPr>
              <w:t>ies</w:t>
            </w:r>
          </w:p>
        </w:tc>
        <w:tc>
          <w:tcPr>
            <w:tcW w:w="1061" w:type="dxa"/>
            <w:vMerge w:val="restart"/>
            <w:vAlign w:val="center"/>
          </w:tcPr>
          <w:p w14:paraId="7A264245" w14:textId="77777777" w:rsidR="00AF1062" w:rsidRDefault="00AF1062" w:rsidP="00B47CE9">
            <w:pPr>
              <w:spacing w:before="20" w:after="20"/>
              <w:jc w:val="center"/>
              <w:rPr>
                <w:rFonts w:eastAsia="Times New Roman" w:cs="Calibri"/>
                <w:color w:val="000000"/>
                <w:sz w:val="16"/>
                <w:szCs w:val="16"/>
                <w:lang w:val="en-GB" w:eastAsia="pl-PL"/>
              </w:rPr>
            </w:pPr>
            <w:r>
              <w:rPr>
                <w:rFonts w:eastAsia="Times New Roman" w:cs="Calibri"/>
                <w:color w:val="000000"/>
                <w:sz w:val="16"/>
                <w:szCs w:val="16"/>
                <w:lang w:val="en-GB" w:eastAsia="pl-PL"/>
              </w:rPr>
              <w:t>L</w:t>
            </w:r>
            <w:r w:rsidR="00D558DE" w:rsidRPr="00764DE1">
              <w:rPr>
                <w:rFonts w:eastAsia="Times New Roman" w:cs="Calibri"/>
                <w:color w:val="000000"/>
                <w:sz w:val="16"/>
                <w:szCs w:val="16"/>
                <w:lang w:val="en-GB" w:eastAsia="pl-PL"/>
              </w:rPr>
              <w:t>iquidated</w:t>
            </w:r>
            <w:r>
              <w:rPr>
                <w:rFonts w:eastAsia="Times New Roman" w:cs="Calibri"/>
                <w:color w:val="000000"/>
                <w:sz w:val="16"/>
                <w:szCs w:val="16"/>
                <w:lang w:val="en-GB" w:eastAsia="pl-PL"/>
              </w:rPr>
              <w:t xml:space="preserve"> job </w:t>
            </w:r>
          </w:p>
          <w:p w14:paraId="0F34E76B" w14:textId="22D700C0" w:rsidR="00D558DE" w:rsidRPr="008932D3" w:rsidRDefault="00AF1062" w:rsidP="00721159">
            <w:pPr>
              <w:spacing w:before="20" w:after="20"/>
              <w:jc w:val="center"/>
              <w:rPr>
                <w:rFonts w:eastAsia="Times New Roman"/>
                <w:sz w:val="16"/>
                <w:szCs w:val="16"/>
                <w:lang w:eastAsia="pl-PL"/>
              </w:rPr>
            </w:pPr>
            <w:r>
              <w:rPr>
                <w:rFonts w:eastAsia="Times New Roman" w:cs="Calibri"/>
                <w:color w:val="000000"/>
                <w:sz w:val="16"/>
                <w:szCs w:val="16"/>
                <w:lang w:val="en-GB" w:eastAsia="pl-PL"/>
              </w:rPr>
              <w:t>vacan</w:t>
            </w:r>
            <w:r w:rsidR="00721159">
              <w:rPr>
                <w:rFonts w:eastAsia="Times New Roman" w:cs="Calibri"/>
                <w:color w:val="000000"/>
                <w:sz w:val="16"/>
                <w:szCs w:val="16"/>
                <w:lang w:val="en-GB" w:eastAsia="pl-PL"/>
              </w:rPr>
              <w:t>c</w:t>
            </w:r>
            <w:r>
              <w:rPr>
                <w:rFonts w:eastAsia="Times New Roman" w:cs="Calibri"/>
                <w:color w:val="000000"/>
                <w:sz w:val="16"/>
                <w:szCs w:val="16"/>
                <w:lang w:val="en-GB" w:eastAsia="pl-PL"/>
              </w:rPr>
              <w:t>ies</w:t>
            </w:r>
          </w:p>
        </w:tc>
      </w:tr>
      <w:tr w:rsidR="00D558DE" w:rsidRPr="008932D3" w14:paraId="23766C3F" w14:textId="77777777" w:rsidTr="00B47CE9">
        <w:trPr>
          <w:trHeight w:val="56"/>
        </w:trPr>
        <w:tc>
          <w:tcPr>
            <w:tcW w:w="1701" w:type="dxa"/>
            <w:vMerge/>
            <w:vAlign w:val="center"/>
          </w:tcPr>
          <w:p w14:paraId="1098123B" w14:textId="77777777" w:rsidR="00D558DE" w:rsidRPr="008932D3" w:rsidRDefault="00D558DE" w:rsidP="00B47CE9">
            <w:pPr>
              <w:spacing w:before="20" w:after="20"/>
              <w:jc w:val="center"/>
              <w:rPr>
                <w:rFonts w:eastAsia="Times New Roman"/>
                <w:sz w:val="16"/>
                <w:szCs w:val="16"/>
                <w:lang w:eastAsia="pl-PL"/>
              </w:rPr>
            </w:pPr>
          </w:p>
        </w:tc>
        <w:tc>
          <w:tcPr>
            <w:tcW w:w="1060" w:type="dxa"/>
            <w:vMerge/>
            <w:vAlign w:val="center"/>
          </w:tcPr>
          <w:p w14:paraId="35002219" w14:textId="77777777" w:rsidR="00D558DE" w:rsidRDefault="00D558DE" w:rsidP="00B47CE9">
            <w:pPr>
              <w:spacing w:before="20" w:after="20"/>
              <w:jc w:val="center"/>
              <w:rPr>
                <w:rFonts w:eastAsia="Times New Roman" w:cs="Calibri"/>
                <w:color w:val="000000"/>
                <w:sz w:val="16"/>
                <w:szCs w:val="16"/>
                <w:lang w:eastAsia="pl-PL"/>
              </w:rPr>
            </w:pPr>
          </w:p>
        </w:tc>
        <w:tc>
          <w:tcPr>
            <w:tcW w:w="1060" w:type="dxa"/>
            <w:vMerge w:val="restart"/>
            <w:vAlign w:val="center"/>
          </w:tcPr>
          <w:p w14:paraId="6128E98E" w14:textId="29769007" w:rsidR="00D558DE" w:rsidRPr="008932D3" w:rsidRDefault="00D558DE" w:rsidP="00B47CE9">
            <w:pPr>
              <w:spacing w:before="20" w:after="20"/>
              <w:jc w:val="center"/>
              <w:rPr>
                <w:rFonts w:eastAsia="Times New Roman" w:cs="Calibri"/>
                <w:color w:val="000000"/>
                <w:sz w:val="16"/>
                <w:szCs w:val="16"/>
                <w:lang w:eastAsia="pl-PL"/>
              </w:rPr>
            </w:pPr>
            <w:r w:rsidRPr="00764DE1">
              <w:rPr>
                <w:rFonts w:eastAsia="Times New Roman" w:cs="Calibri"/>
                <w:color w:val="000000"/>
                <w:sz w:val="16"/>
                <w:szCs w:val="16"/>
                <w:lang w:val="en-GB" w:eastAsia="pl-PL"/>
              </w:rPr>
              <w:t>total</w:t>
            </w:r>
          </w:p>
        </w:tc>
        <w:tc>
          <w:tcPr>
            <w:tcW w:w="2120" w:type="dxa"/>
            <w:gridSpan w:val="2"/>
            <w:tcBorders>
              <w:bottom w:val="single" w:sz="4" w:space="0" w:color="001D77"/>
            </w:tcBorders>
            <w:vAlign w:val="center"/>
          </w:tcPr>
          <w:p w14:paraId="7994C992" w14:textId="1A5D1915" w:rsidR="00D558DE" w:rsidRPr="008932D3" w:rsidRDefault="00D558DE" w:rsidP="00B47CE9">
            <w:pPr>
              <w:spacing w:before="20" w:after="20" w:line="-220" w:lineRule="auto"/>
              <w:jc w:val="center"/>
              <w:rPr>
                <w:rFonts w:eastAsia="Times New Roman" w:cs="Calibri"/>
                <w:color w:val="000000"/>
                <w:sz w:val="16"/>
                <w:szCs w:val="16"/>
                <w:lang w:eastAsia="pl-PL"/>
              </w:rPr>
            </w:pPr>
            <w:r w:rsidRPr="00764DE1">
              <w:rPr>
                <w:rFonts w:eastAsia="Times New Roman" w:cs="Calibri"/>
                <w:color w:val="000000"/>
                <w:sz w:val="16"/>
                <w:szCs w:val="16"/>
                <w:lang w:val="en-GB" w:eastAsia="pl-PL"/>
              </w:rPr>
              <w:t>of total</w:t>
            </w:r>
          </w:p>
        </w:tc>
        <w:tc>
          <w:tcPr>
            <w:tcW w:w="1060" w:type="dxa"/>
            <w:vMerge/>
            <w:vAlign w:val="center"/>
          </w:tcPr>
          <w:p w14:paraId="5C05CFD6" w14:textId="77777777" w:rsidR="00D558DE" w:rsidRPr="008932D3" w:rsidRDefault="00D558DE" w:rsidP="00B47CE9">
            <w:pPr>
              <w:spacing w:before="20" w:after="20" w:line="-220" w:lineRule="auto"/>
              <w:jc w:val="center"/>
              <w:rPr>
                <w:rFonts w:eastAsia="Times New Roman"/>
                <w:sz w:val="16"/>
                <w:szCs w:val="16"/>
                <w:lang w:eastAsia="pl-PL"/>
              </w:rPr>
            </w:pPr>
          </w:p>
        </w:tc>
        <w:tc>
          <w:tcPr>
            <w:tcW w:w="1061" w:type="dxa"/>
            <w:vMerge/>
            <w:vAlign w:val="center"/>
          </w:tcPr>
          <w:p w14:paraId="660330DD" w14:textId="77777777" w:rsidR="00D558DE" w:rsidRDefault="00D558DE" w:rsidP="00B47CE9">
            <w:pPr>
              <w:spacing w:before="20" w:after="20"/>
              <w:jc w:val="center"/>
              <w:rPr>
                <w:rFonts w:eastAsia="Times New Roman" w:cs="Calibri"/>
                <w:color w:val="000000"/>
                <w:sz w:val="16"/>
                <w:szCs w:val="16"/>
                <w:lang w:eastAsia="pl-PL"/>
              </w:rPr>
            </w:pPr>
          </w:p>
        </w:tc>
      </w:tr>
      <w:tr w:rsidR="00D558DE" w:rsidRPr="008932D3" w14:paraId="72729F6D" w14:textId="77777777" w:rsidTr="00B47CE9">
        <w:trPr>
          <w:trHeight w:val="60"/>
        </w:trPr>
        <w:tc>
          <w:tcPr>
            <w:tcW w:w="1701" w:type="dxa"/>
            <w:vMerge/>
            <w:vAlign w:val="center"/>
          </w:tcPr>
          <w:p w14:paraId="11237E30" w14:textId="77777777" w:rsidR="00D558DE" w:rsidRPr="008932D3" w:rsidRDefault="00D558DE" w:rsidP="00B47CE9">
            <w:pPr>
              <w:spacing w:before="20" w:after="20"/>
              <w:jc w:val="center"/>
              <w:rPr>
                <w:rFonts w:eastAsia="Times New Roman"/>
                <w:sz w:val="16"/>
                <w:szCs w:val="16"/>
                <w:lang w:eastAsia="pl-PL"/>
              </w:rPr>
            </w:pPr>
          </w:p>
        </w:tc>
        <w:tc>
          <w:tcPr>
            <w:tcW w:w="1060" w:type="dxa"/>
            <w:vMerge/>
            <w:vAlign w:val="center"/>
          </w:tcPr>
          <w:p w14:paraId="19ACADFD" w14:textId="77777777" w:rsidR="00D558DE" w:rsidRDefault="00D558DE" w:rsidP="00B47CE9">
            <w:pPr>
              <w:spacing w:before="20" w:after="20"/>
              <w:jc w:val="center"/>
              <w:rPr>
                <w:rFonts w:eastAsia="Times New Roman" w:cs="Calibri"/>
                <w:color w:val="000000"/>
                <w:sz w:val="16"/>
                <w:szCs w:val="16"/>
                <w:lang w:eastAsia="pl-PL"/>
              </w:rPr>
            </w:pPr>
          </w:p>
        </w:tc>
        <w:tc>
          <w:tcPr>
            <w:tcW w:w="1060" w:type="dxa"/>
            <w:vMerge/>
            <w:vAlign w:val="center"/>
          </w:tcPr>
          <w:p w14:paraId="109B7F61" w14:textId="77777777" w:rsidR="00D558DE" w:rsidRDefault="00D558DE" w:rsidP="00B47CE9">
            <w:pPr>
              <w:spacing w:before="20" w:after="20"/>
              <w:jc w:val="center"/>
              <w:rPr>
                <w:rFonts w:eastAsia="Times New Roman" w:cs="Calibri"/>
                <w:color w:val="000000"/>
                <w:sz w:val="16"/>
                <w:szCs w:val="16"/>
                <w:lang w:eastAsia="pl-PL"/>
              </w:rPr>
            </w:pPr>
          </w:p>
        </w:tc>
        <w:tc>
          <w:tcPr>
            <w:tcW w:w="1060" w:type="dxa"/>
            <w:vAlign w:val="center"/>
          </w:tcPr>
          <w:p w14:paraId="3872761E" w14:textId="53FEAEB2" w:rsidR="00D558DE" w:rsidRDefault="00D558DE" w:rsidP="00B47CE9">
            <w:pPr>
              <w:spacing w:before="20" w:after="20" w:line="220" w:lineRule="exact"/>
              <w:jc w:val="center"/>
              <w:rPr>
                <w:rFonts w:eastAsia="Times New Roman" w:cs="Calibri"/>
                <w:color w:val="000000"/>
                <w:sz w:val="16"/>
                <w:szCs w:val="16"/>
                <w:lang w:eastAsia="pl-PL"/>
              </w:rPr>
            </w:pPr>
            <w:r w:rsidRPr="00764DE1">
              <w:rPr>
                <w:rFonts w:eastAsia="Times New Roman" w:cs="Calibri"/>
                <w:color w:val="000000"/>
                <w:sz w:val="16"/>
                <w:szCs w:val="16"/>
                <w:lang w:val="en-GB" w:eastAsia="pl-PL"/>
              </w:rPr>
              <w:t xml:space="preserve">newly </w:t>
            </w:r>
            <w:r>
              <w:rPr>
                <w:rFonts w:eastAsia="Times New Roman" w:cs="Calibri"/>
                <w:color w:val="000000"/>
                <w:sz w:val="16"/>
                <w:szCs w:val="16"/>
                <w:lang w:val="en-GB" w:eastAsia="pl-PL"/>
              </w:rPr>
              <w:br/>
            </w:r>
            <w:r w:rsidRPr="00764DE1">
              <w:rPr>
                <w:rFonts w:eastAsia="Times New Roman" w:cs="Calibri"/>
                <w:color w:val="000000"/>
                <w:sz w:val="16"/>
                <w:szCs w:val="16"/>
                <w:lang w:val="en-GB" w:eastAsia="pl-PL"/>
              </w:rPr>
              <w:t>created</w:t>
            </w:r>
          </w:p>
        </w:tc>
        <w:tc>
          <w:tcPr>
            <w:tcW w:w="1060" w:type="dxa"/>
            <w:vAlign w:val="center"/>
          </w:tcPr>
          <w:p w14:paraId="1A2A3A7D" w14:textId="18768BD1" w:rsidR="00D558DE" w:rsidRDefault="00D558DE" w:rsidP="00B47CE9">
            <w:pPr>
              <w:spacing w:before="20" w:after="20"/>
              <w:jc w:val="center"/>
              <w:rPr>
                <w:rFonts w:eastAsia="Times New Roman" w:cs="Calibri"/>
                <w:color w:val="000000"/>
                <w:sz w:val="16"/>
                <w:szCs w:val="16"/>
                <w:lang w:eastAsia="pl-PL"/>
              </w:rPr>
            </w:pPr>
            <w:r w:rsidRPr="00764DE1">
              <w:rPr>
                <w:rFonts w:eastAsia="Times New Roman" w:cs="Calibri"/>
                <w:color w:val="000000"/>
                <w:sz w:val="16"/>
                <w:szCs w:val="16"/>
                <w:lang w:val="en-GB" w:eastAsia="pl-PL"/>
              </w:rPr>
              <w:t xml:space="preserve">reported to labour </w:t>
            </w:r>
            <w:r w:rsidRPr="00764DE1">
              <w:rPr>
                <w:rFonts w:eastAsia="Times New Roman" w:cs="Calibri"/>
                <w:color w:val="000000"/>
                <w:sz w:val="16"/>
                <w:szCs w:val="16"/>
                <w:lang w:val="en-GB" w:eastAsia="pl-PL"/>
              </w:rPr>
              <w:br/>
              <w:t>offices</w:t>
            </w:r>
          </w:p>
        </w:tc>
        <w:tc>
          <w:tcPr>
            <w:tcW w:w="1060" w:type="dxa"/>
            <w:vMerge/>
            <w:vAlign w:val="center"/>
          </w:tcPr>
          <w:p w14:paraId="61127BDD" w14:textId="77777777" w:rsidR="00D558DE" w:rsidRDefault="00D558DE" w:rsidP="00B47CE9">
            <w:pPr>
              <w:spacing w:before="20" w:after="20"/>
              <w:jc w:val="center"/>
              <w:rPr>
                <w:rFonts w:eastAsia="Times New Roman" w:cs="Calibri"/>
                <w:color w:val="000000"/>
                <w:sz w:val="16"/>
                <w:szCs w:val="16"/>
                <w:lang w:eastAsia="pl-PL"/>
              </w:rPr>
            </w:pPr>
          </w:p>
        </w:tc>
        <w:tc>
          <w:tcPr>
            <w:tcW w:w="1061" w:type="dxa"/>
            <w:vMerge/>
            <w:vAlign w:val="center"/>
          </w:tcPr>
          <w:p w14:paraId="1D26BECE" w14:textId="77777777" w:rsidR="00D558DE" w:rsidRDefault="00D558DE" w:rsidP="00B47CE9">
            <w:pPr>
              <w:spacing w:before="20" w:after="20"/>
              <w:jc w:val="center"/>
              <w:rPr>
                <w:rFonts w:eastAsia="Times New Roman" w:cs="Calibri"/>
                <w:color w:val="000000"/>
                <w:sz w:val="16"/>
                <w:szCs w:val="16"/>
                <w:lang w:eastAsia="pl-PL"/>
              </w:rPr>
            </w:pPr>
          </w:p>
        </w:tc>
      </w:tr>
      <w:tr w:rsidR="00D558DE" w:rsidRPr="008932D3" w14:paraId="41212DF5" w14:textId="77777777" w:rsidTr="00B47CE9">
        <w:trPr>
          <w:trHeight w:val="60"/>
        </w:trPr>
        <w:tc>
          <w:tcPr>
            <w:tcW w:w="1701" w:type="dxa"/>
            <w:vMerge/>
            <w:vAlign w:val="center"/>
          </w:tcPr>
          <w:p w14:paraId="325B1A73" w14:textId="77777777" w:rsidR="00D558DE" w:rsidRPr="008932D3" w:rsidRDefault="00D558DE" w:rsidP="00B47CE9">
            <w:pPr>
              <w:spacing w:before="20" w:after="20"/>
              <w:jc w:val="center"/>
              <w:rPr>
                <w:rFonts w:eastAsia="Times New Roman"/>
                <w:sz w:val="16"/>
                <w:szCs w:val="16"/>
                <w:lang w:eastAsia="pl-PL"/>
              </w:rPr>
            </w:pPr>
          </w:p>
        </w:tc>
        <w:tc>
          <w:tcPr>
            <w:tcW w:w="4240" w:type="dxa"/>
            <w:gridSpan w:val="4"/>
            <w:tcBorders>
              <w:bottom w:val="single" w:sz="4" w:space="0" w:color="auto"/>
            </w:tcBorders>
            <w:vAlign w:val="center"/>
          </w:tcPr>
          <w:p w14:paraId="6C127F5F" w14:textId="35B0267C" w:rsidR="00D558DE" w:rsidRPr="0030567C" w:rsidRDefault="006B045A" w:rsidP="00B47CE9">
            <w:pPr>
              <w:spacing w:before="20" w:after="20"/>
              <w:jc w:val="center"/>
              <w:rPr>
                <w:rFonts w:eastAsia="Times New Roman" w:cs="Calibri"/>
                <w:color w:val="000000"/>
                <w:sz w:val="16"/>
                <w:szCs w:val="16"/>
                <w:highlight w:val="yellow"/>
                <w:lang w:val="en-GB" w:eastAsia="pl-PL"/>
              </w:rPr>
            </w:pPr>
            <w:r w:rsidRPr="0030567C">
              <w:rPr>
                <w:rFonts w:eastAsia="Times New Roman"/>
                <w:sz w:val="16"/>
                <w:szCs w:val="16"/>
                <w:lang w:val="en-GB" w:eastAsia="pl-PL"/>
              </w:rPr>
              <w:t>at the end of the quarter</w:t>
            </w:r>
          </w:p>
        </w:tc>
        <w:tc>
          <w:tcPr>
            <w:tcW w:w="2121" w:type="dxa"/>
            <w:gridSpan w:val="2"/>
            <w:tcBorders>
              <w:bottom w:val="single" w:sz="4" w:space="0" w:color="auto"/>
            </w:tcBorders>
            <w:vAlign w:val="center"/>
          </w:tcPr>
          <w:p w14:paraId="1CAD584C" w14:textId="6388D830" w:rsidR="00D558DE" w:rsidRPr="00D558DE" w:rsidRDefault="006B045A" w:rsidP="00B47CE9">
            <w:pPr>
              <w:spacing w:before="20" w:after="20"/>
              <w:jc w:val="center"/>
              <w:rPr>
                <w:rFonts w:eastAsia="Times New Roman" w:cs="Calibri"/>
                <w:color w:val="000000"/>
                <w:sz w:val="16"/>
                <w:szCs w:val="16"/>
                <w:highlight w:val="yellow"/>
                <w:lang w:eastAsia="pl-PL"/>
              </w:rPr>
            </w:pPr>
            <w:r w:rsidRPr="006B045A">
              <w:rPr>
                <w:rFonts w:eastAsia="Times New Roman" w:cs="Calibri"/>
                <w:color w:val="000000"/>
                <w:sz w:val="16"/>
                <w:szCs w:val="16"/>
                <w:lang w:eastAsia="pl-PL"/>
              </w:rPr>
              <w:t>during the quarter</w:t>
            </w:r>
          </w:p>
        </w:tc>
      </w:tr>
      <w:tr w:rsidR="00D558DE" w:rsidRPr="008932D3" w14:paraId="358ECA92" w14:textId="77777777" w:rsidTr="00B47CE9">
        <w:trPr>
          <w:trHeight w:val="50"/>
        </w:trPr>
        <w:tc>
          <w:tcPr>
            <w:tcW w:w="1701" w:type="dxa"/>
            <w:vMerge/>
            <w:tcBorders>
              <w:bottom w:val="single" w:sz="12" w:space="0" w:color="001D77"/>
            </w:tcBorders>
            <w:vAlign w:val="center"/>
          </w:tcPr>
          <w:p w14:paraId="30ECDB62" w14:textId="77777777" w:rsidR="00D558DE" w:rsidRPr="008932D3" w:rsidRDefault="00D558DE" w:rsidP="00B47CE9">
            <w:pPr>
              <w:spacing w:before="20" w:after="20"/>
              <w:jc w:val="center"/>
              <w:rPr>
                <w:rFonts w:eastAsia="Times New Roman"/>
                <w:sz w:val="16"/>
                <w:szCs w:val="16"/>
                <w:lang w:eastAsia="pl-PL"/>
              </w:rPr>
            </w:pPr>
          </w:p>
        </w:tc>
        <w:tc>
          <w:tcPr>
            <w:tcW w:w="6361" w:type="dxa"/>
            <w:gridSpan w:val="6"/>
            <w:tcBorders>
              <w:top w:val="single" w:sz="4" w:space="0" w:color="auto"/>
              <w:bottom w:val="single" w:sz="12" w:space="0" w:color="001D77"/>
            </w:tcBorders>
            <w:vAlign w:val="center"/>
          </w:tcPr>
          <w:p w14:paraId="09A90E1B" w14:textId="5FCC7006" w:rsidR="00D558DE" w:rsidRDefault="00D558DE" w:rsidP="00B47CE9">
            <w:pPr>
              <w:spacing w:before="20" w:after="20"/>
              <w:jc w:val="center"/>
              <w:rPr>
                <w:rFonts w:eastAsia="Times New Roman" w:cs="Calibri"/>
                <w:color w:val="000000"/>
                <w:sz w:val="16"/>
                <w:szCs w:val="16"/>
                <w:lang w:eastAsia="pl-PL"/>
              </w:rPr>
            </w:pPr>
            <w:r w:rsidRPr="00764DE1">
              <w:rPr>
                <w:rFonts w:eastAsia="Times New Roman" w:cs="Calibri"/>
                <w:color w:val="000000"/>
                <w:sz w:val="16"/>
                <w:szCs w:val="16"/>
                <w:lang w:val="en-GB" w:eastAsia="pl-PL"/>
              </w:rPr>
              <w:t>in thousands</w:t>
            </w:r>
          </w:p>
        </w:tc>
      </w:tr>
      <w:tr w:rsidR="00D558DE" w:rsidRPr="008932D3" w14:paraId="4B92C1D3" w14:textId="77777777" w:rsidTr="00B47CE9">
        <w:tc>
          <w:tcPr>
            <w:tcW w:w="8062" w:type="dxa"/>
            <w:gridSpan w:val="7"/>
            <w:tcBorders>
              <w:top w:val="single" w:sz="12" w:space="0" w:color="001D77"/>
            </w:tcBorders>
            <w:vAlign w:val="center"/>
          </w:tcPr>
          <w:p w14:paraId="41FE15AF" w14:textId="77777777" w:rsidR="00D558DE" w:rsidRPr="002154A8" w:rsidRDefault="00D558DE" w:rsidP="00B47CE9">
            <w:pPr>
              <w:spacing w:before="0" w:after="0"/>
              <w:jc w:val="center"/>
              <w:rPr>
                <w:rFonts w:eastAsia="Times New Roman"/>
                <w:sz w:val="16"/>
                <w:szCs w:val="16"/>
                <w:lang w:eastAsia="pl-PL"/>
              </w:rPr>
            </w:pPr>
            <w:r w:rsidRPr="002154A8">
              <w:rPr>
                <w:rFonts w:eastAsia="Times New Roman"/>
                <w:sz w:val="16"/>
                <w:szCs w:val="16"/>
                <w:lang w:eastAsia="pl-PL"/>
              </w:rPr>
              <w:t>2020</w:t>
            </w:r>
          </w:p>
        </w:tc>
      </w:tr>
      <w:tr w:rsidR="00D558DE" w:rsidRPr="008932D3" w14:paraId="555658E7" w14:textId="77777777" w:rsidTr="00B47CE9">
        <w:tc>
          <w:tcPr>
            <w:tcW w:w="1701" w:type="dxa"/>
          </w:tcPr>
          <w:p w14:paraId="5822A107" w14:textId="50587660" w:rsidR="00D558DE" w:rsidRPr="008932D3" w:rsidRDefault="00D558DE" w:rsidP="00D558DE">
            <w:pPr>
              <w:spacing w:before="0" w:after="0"/>
              <w:rPr>
                <w:rFonts w:eastAsia="Times New Roman"/>
                <w:sz w:val="16"/>
                <w:szCs w:val="16"/>
                <w:lang w:eastAsia="pl-PL"/>
              </w:rPr>
            </w:pPr>
            <w:r w:rsidRPr="00764DE1">
              <w:rPr>
                <w:rFonts w:eastAsia="Times New Roman"/>
                <w:sz w:val="16"/>
                <w:szCs w:val="16"/>
                <w:lang w:val="en-GB" w:eastAsia="pl-PL"/>
              </w:rPr>
              <w:t>Quarter 3</w:t>
            </w:r>
          </w:p>
        </w:tc>
        <w:tc>
          <w:tcPr>
            <w:tcW w:w="1060" w:type="dxa"/>
          </w:tcPr>
          <w:p w14:paraId="43888087" w14:textId="389ACBE1"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12 647.</w:t>
            </w:r>
            <w:r w:rsidR="00D558DE">
              <w:rPr>
                <w:rFonts w:eastAsia="Times New Roman"/>
                <w:sz w:val="16"/>
                <w:szCs w:val="16"/>
                <w:lang w:eastAsia="pl-PL"/>
              </w:rPr>
              <w:t>6</w:t>
            </w:r>
          </w:p>
        </w:tc>
        <w:tc>
          <w:tcPr>
            <w:tcW w:w="1060" w:type="dxa"/>
          </w:tcPr>
          <w:p w14:paraId="66B7A5F7" w14:textId="7D1B1804"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91.</w:t>
            </w:r>
            <w:r w:rsidR="00D558DE">
              <w:rPr>
                <w:rFonts w:eastAsia="Times New Roman"/>
                <w:sz w:val="16"/>
                <w:szCs w:val="16"/>
                <w:lang w:eastAsia="pl-PL"/>
              </w:rPr>
              <w:t>1</w:t>
            </w:r>
          </w:p>
        </w:tc>
        <w:tc>
          <w:tcPr>
            <w:tcW w:w="1060" w:type="dxa"/>
          </w:tcPr>
          <w:p w14:paraId="2E66D64A" w14:textId="1870F8D8"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18.</w:t>
            </w:r>
            <w:r w:rsidR="00D558DE">
              <w:rPr>
                <w:rFonts w:eastAsia="Times New Roman"/>
                <w:sz w:val="16"/>
                <w:szCs w:val="16"/>
                <w:lang w:eastAsia="pl-PL"/>
              </w:rPr>
              <w:t>3</w:t>
            </w:r>
          </w:p>
        </w:tc>
        <w:tc>
          <w:tcPr>
            <w:tcW w:w="1060" w:type="dxa"/>
          </w:tcPr>
          <w:p w14:paraId="3A379B64" w14:textId="4E19F578"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12.</w:t>
            </w:r>
            <w:r w:rsidR="00D558DE">
              <w:rPr>
                <w:rFonts w:eastAsia="Times New Roman"/>
                <w:sz w:val="16"/>
                <w:szCs w:val="16"/>
                <w:lang w:eastAsia="pl-PL"/>
              </w:rPr>
              <w:t>1</w:t>
            </w:r>
          </w:p>
        </w:tc>
        <w:tc>
          <w:tcPr>
            <w:tcW w:w="1060" w:type="dxa"/>
          </w:tcPr>
          <w:p w14:paraId="02512240" w14:textId="511A0785"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126.</w:t>
            </w:r>
            <w:r w:rsidR="00D558DE">
              <w:rPr>
                <w:rFonts w:eastAsia="Times New Roman"/>
                <w:sz w:val="16"/>
                <w:szCs w:val="16"/>
                <w:lang w:eastAsia="pl-PL"/>
              </w:rPr>
              <w:t>4</w:t>
            </w:r>
          </w:p>
        </w:tc>
        <w:tc>
          <w:tcPr>
            <w:tcW w:w="1061" w:type="dxa"/>
          </w:tcPr>
          <w:p w14:paraId="7D9B9955" w14:textId="72EC8430" w:rsidR="00D558DE" w:rsidRPr="008932D3" w:rsidRDefault="006B045A" w:rsidP="00D558DE">
            <w:pPr>
              <w:tabs>
                <w:tab w:val="left" w:pos="398"/>
              </w:tabs>
              <w:spacing w:before="0" w:after="0"/>
              <w:jc w:val="right"/>
              <w:rPr>
                <w:rFonts w:eastAsia="Times New Roman"/>
                <w:sz w:val="16"/>
                <w:szCs w:val="16"/>
                <w:lang w:eastAsia="pl-PL"/>
              </w:rPr>
            </w:pPr>
            <w:r>
              <w:rPr>
                <w:rFonts w:eastAsia="Times New Roman"/>
                <w:sz w:val="16"/>
                <w:szCs w:val="16"/>
                <w:lang w:eastAsia="pl-PL"/>
              </w:rPr>
              <w:t>62.</w:t>
            </w:r>
            <w:r w:rsidR="00D558DE">
              <w:rPr>
                <w:rFonts w:eastAsia="Times New Roman"/>
                <w:sz w:val="16"/>
                <w:szCs w:val="16"/>
                <w:lang w:eastAsia="pl-PL"/>
              </w:rPr>
              <w:t>4</w:t>
            </w:r>
          </w:p>
        </w:tc>
      </w:tr>
      <w:tr w:rsidR="00D558DE" w:rsidRPr="008932D3" w14:paraId="04B1FF20" w14:textId="77777777" w:rsidTr="00B47CE9">
        <w:tc>
          <w:tcPr>
            <w:tcW w:w="1701" w:type="dxa"/>
          </w:tcPr>
          <w:p w14:paraId="6C9D6C9C" w14:textId="6C06817B" w:rsidR="00D558DE" w:rsidRPr="008932D3" w:rsidRDefault="00D558DE" w:rsidP="00D558DE">
            <w:pPr>
              <w:spacing w:before="0" w:after="0"/>
              <w:rPr>
                <w:rFonts w:eastAsia="Times New Roman"/>
                <w:sz w:val="16"/>
                <w:szCs w:val="16"/>
                <w:lang w:eastAsia="pl-PL"/>
              </w:rPr>
            </w:pPr>
            <w:r w:rsidRPr="00764DE1">
              <w:rPr>
                <w:rFonts w:eastAsia="Times New Roman"/>
                <w:sz w:val="16"/>
                <w:szCs w:val="16"/>
                <w:lang w:val="en-GB" w:eastAsia="pl-PL"/>
              </w:rPr>
              <w:t>Quarter 4</w:t>
            </w:r>
          </w:p>
        </w:tc>
        <w:tc>
          <w:tcPr>
            <w:tcW w:w="1060" w:type="dxa"/>
          </w:tcPr>
          <w:p w14:paraId="6E5C7C94" w14:textId="7C7CE019" w:rsidR="00D558DE" w:rsidRPr="000C0964" w:rsidRDefault="00D558DE"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12</w:t>
            </w:r>
            <w:r w:rsidR="006B045A">
              <w:rPr>
                <w:rFonts w:eastAsia="Times New Roman" w:cs="Calibri"/>
                <w:color w:val="000000"/>
                <w:sz w:val="16"/>
                <w:szCs w:val="16"/>
                <w:lang w:eastAsia="pl-PL"/>
              </w:rPr>
              <w:t> 218.</w:t>
            </w:r>
            <w:r>
              <w:rPr>
                <w:rFonts w:eastAsia="Times New Roman" w:cs="Calibri"/>
                <w:color w:val="000000"/>
                <w:sz w:val="16"/>
                <w:szCs w:val="16"/>
                <w:lang w:eastAsia="pl-PL"/>
              </w:rPr>
              <w:t>5</w:t>
            </w:r>
          </w:p>
        </w:tc>
        <w:tc>
          <w:tcPr>
            <w:tcW w:w="1060" w:type="dxa"/>
          </w:tcPr>
          <w:p w14:paraId="6D2426C9" w14:textId="470E0922"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84.</w:t>
            </w:r>
            <w:r w:rsidR="00D558DE" w:rsidRPr="000C0964">
              <w:rPr>
                <w:rFonts w:eastAsia="Times New Roman" w:cs="Calibri"/>
                <w:color w:val="000000"/>
                <w:sz w:val="16"/>
                <w:szCs w:val="16"/>
                <w:lang w:eastAsia="pl-PL"/>
              </w:rPr>
              <w:t>4</w:t>
            </w:r>
          </w:p>
        </w:tc>
        <w:tc>
          <w:tcPr>
            <w:tcW w:w="1060" w:type="dxa"/>
          </w:tcPr>
          <w:p w14:paraId="1EF0D1F3" w14:textId="796B563E"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17.</w:t>
            </w:r>
            <w:r w:rsidR="00D558DE" w:rsidRPr="000C0964">
              <w:rPr>
                <w:rFonts w:eastAsia="Times New Roman" w:cs="Calibri"/>
                <w:color w:val="000000"/>
                <w:sz w:val="16"/>
                <w:szCs w:val="16"/>
                <w:lang w:eastAsia="pl-PL"/>
              </w:rPr>
              <w:t>5</w:t>
            </w:r>
          </w:p>
        </w:tc>
        <w:tc>
          <w:tcPr>
            <w:tcW w:w="1060" w:type="dxa"/>
          </w:tcPr>
          <w:p w14:paraId="17B32488" w14:textId="7FFF1979"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10.</w:t>
            </w:r>
            <w:r w:rsidR="00D558DE">
              <w:rPr>
                <w:rFonts w:eastAsia="Times New Roman"/>
                <w:sz w:val="16"/>
                <w:szCs w:val="16"/>
                <w:lang w:eastAsia="pl-PL"/>
              </w:rPr>
              <w:t>2</w:t>
            </w:r>
          </w:p>
        </w:tc>
        <w:tc>
          <w:tcPr>
            <w:tcW w:w="1060" w:type="dxa"/>
          </w:tcPr>
          <w:p w14:paraId="4E8D334C" w14:textId="0E64E622"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91.</w:t>
            </w:r>
            <w:r w:rsidR="00D558DE" w:rsidRPr="000C0964">
              <w:rPr>
                <w:rFonts w:eastAsia="Times New Roman" w:cs="Calibri"/>
                <w:color w:val="000000"/>
                <w:sz w:val="16"/>
                <w:szCs w:val="16"/>
                <w:lang w:eastAsia="pl-PL"/>
              </w:rPr>
              <w:t>5</w:t>
            </w:r>
          </w:p>
        </w:tc>
        <w:tc>
          <w:tcPr>
            <w:tcW w:w="1061" w:type="dxa"/>
          </w:tcPr>
          <w:p w14:paraId="19F5C5CD" w14:textId="7A336707" w:rsidR="00D558DE" w:rsidRPr="000C0964" w:rsidRDefault="006B045A"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53.</w:t>
            </w:r>
            <w:r w:rsidR="00D558DE" w:rsidRPr="000C0964">
              <w:rPr>
                <w:rFonts w:eastAsia="Times New Roman" w:cs="Calibri"/>
                <w:color w:val="000000"/>
                <w:sz w:val="16"/>
                <w:szCs w:val="16"/>
                <w:lang w:eastAsia="pl-PL"/>
              </w:rPr>
              <w:t>9</w:t>
            </w:r>
          </w:p>
        </w:tc>
      </w:tr>
      <w:tr w:rsidR="00D558DE" w:rsidRPr="008932D3" w14:paraId="639A8D7F" w14:textId="77777777" w:rsidTr="00B47CE9">
        <w:tc>
          <w:tcPr>
            <w:tcW w:w="8062" w:type="dxa"/>
            <w:gridSpan w:val="7"/>
            <w:vAlign w:val="center"/>
          </w:tcPr>
          <w:p w14:paraId="3B952433" w14:textId="77777777" w:rsidR="00D558DE" w:rsidRPr="002154A8" w:rsidRDefault="00D558DE" w:rsidP="00B47CE9">
            <w:pPr>
              <w:spacing w:before="0" w:after="0"/>
              <w:jc w:val="center"/>
              <w:rPr>
                <w:rFonts w:eastAsia="Times New Roman"/>
                <w:sz w:val="16"/>
                <w:szCs w:val="16"/>
                <w:lang w:eastAsia="pl-PL"/>
              </w:rPr>
            </w:pPr>
            <w:r w:rsidRPr="002154A8">
              <w:rPr>
                <w:rFonts w:eastAsia="Times New Roman"/>
                <w:sz w:val="16"/>
                <w:szCs w:val="16"/>
                <w:lang w:eastAsia="pl-PL"/>
              </w:rPr>
              <w:t>2021</w:t>
            </w:r>
          </w:p>
        </w:tc>
      </w:tr>
      <w:tr w:rsidR="00D558DE" w:rsidRPr="008932D3" w14:paraId="12D7C8B0" w14:textId="77777777" w:rsidTr="00B47CE9">
        <w:tc>
          <w:tcPr>
            <w:tcW w:w="1701" w:type="dxa"/>
          </w:tcPr>
          <w:p w14:paraId="3B331A3A" w14:textId="2E0764CE" w:rsidR="00D558DE" w:rsidRPr="008932D3" w:rsidRDefault="00D558DE" w:rsidP="00D558DE">
            <w:pPr>
              <w:spacing w:before="0" w:after="0"/>
              <w:rPr>
                <w:rFonts w:eastAsia="Times New Roman"/>
                <w:sz w:val="16"/>
                <w:szCs w:val="16"/>
                <w:lang w:eastAsia="pl-PL"/>
              </w:rPr>
            </w:pPr>
            <w:r>
              <w:rPr>
                <w:rFonts w:eastAsia="Times New Roman"/>
                <w:sz w:val="16"/>
                <w:szCs w:val="16"/>
                <w:lang w:eastAsia="pl-PL"/>
              </w:rPr>
              <w:t>Quarter 1</w:t>
            </w:r>
          </w:p>
        </w:tc>
        <w:tc>
          <w:tcPr>
            <w:tcW w:w="1060" w:type="dxa"/>
          </w:tcPr>
          <w:p w14:paraId="3281FBC9" w14:textId="3EC863B6" w:rsidR="00D558DE" w:rsidRPr="000C0964" w:rsidRDefault="00D558DE"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12</w:t>
            </w:r>
            <w:r w:rsidR="006B045A">
              <w:rPr>
                <w:rFonts w:eastAsia="Times New Roman" w:cs="Calibri"/>
                <w:color w:val="000000"/>
                <w:sz w:val="16"/>
                <w:szCs w:val="16"/>
                <w:lang w:eastAsia="pl-PL"/>
              </w:rPr>
              <w:t> 186.</w:t>
            </w:r>
            <w:r>
              <w:rPr>
                <w:rFonts w:eastAsia="Times New Roman" w:cs="Calibri"/>
                <w:color w:val="000000"/>
                <w:sz w:val="16"/>
                <w:szCs w:val="16"/>
                <w:lang w:eastAsia="pl-PL"/>
              </w:rPr>
              <w:t>9</w:t>
            </w:r>
          </w:p>
        </w:tc>
        <w:tc>
          <w:tcPr>
            <w:tcW w:w="1060" w:type="dxa"/>
          </w:tcPr>
          <w:p w14:paraId="3FA52A42" w14:textId="5434C981"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110.</w:t>
            </w:r>
            <w:r w:rsidR="00D558DE" w:rsidRPr="000C0964">
              <w:rPr>
                <w:rFonts w:eastAsia="Times New Roman" w:cs="Calibri"/>
                <w:color w:val="000000"/>
                <w:sz w:val="16"/>
                <w:szCs w:val="16"/>
                <w:lang w:eastAsia="pl-PL"/>
              </w:rPr>
              <w:t>2</w:t>
            </w:r>
          </w:p>
        </w:tc>
        <w:tc>
          <w:tcPr>
            <w:tcW w:w="1060" w:type="dxa"/>
          </w:tcPr>
          <w:p w14:paraId="3E52F075" w14:textId="4910573C" w:rsidR="00D558DE" w:rsidRPr="00145A78"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24.</w:t>
            </w:r>
            <w:r w:rsidR="00D558DE" w:rsidRPr="00145A78">
              <w:rPr>
                <w:rFonts w:eastAsia="Times New Roman" w:cs="Calibri"/>
                <w:color w:val="000000"/>
                <w:sz w:val="16"/>
                <w:szCs w:val="16"/>
                <w:lang w:eastAsia="pl-PL"/>
              </w:rPr>
              <w:t>0</w:t>
            </w:r>
          </w:p>
        </w:tc>
        <w:tc>
          <w:tcPr>
            <w:tcW w:w="1060" w:type="dxa"/>
          </w:tcPr>
          <w:p w14:paraId="0EDF811D" w14:textId="08B15602"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13.</w:t>
            </w:r>
            <w:r w:rsidR="00D558DE">
              <w:rPr>
                <w:rFonts w:eastAsia="Times New Roman"/>
                <w:sz w:val="16"/>
                <w:szCs w:val="16"/>
                <w:lang w:eastAsia="pl-PL"/>
              </w:rPr>
              <w:t>7</w:t>
            </w:r>
          </w:p>
        </w:tc>
        <w:tc>
          <w:tcPr>
            <w:tcW w:w="1060" w:type="dxa"/>
          </w:tcPr>
          <w:p w14:paraId="2F68E963" w14:textId="48488E63"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191.</w:t>
            </w:r>
            <w:r w:rsidR="00D558DE" w:rsidRPr="000C0964">
              <w:rPr>
                <w:rFonts w:eastAsia="Times New Roman" w:cs="Calibri"/>
                <w:color w:val="000000"/>
                <w:sz w:val="16"/>
                <w:szCs w:val="16"/>
                <w:lang w:eastAsia="pl-PL"/>
              </w:rPr>
              <w:t>7</w:t>
            </w:r>
          </w:p>
        </w:tc>
        <w:tc>
          <w:tcPr>
            <w:tcW w:w="1061" w:type="dxa"/>
          </w:tcPr>
          <w:p w14:paraId="66CE491D" w14:textId="5554F23F" w:rsidR="00D558DE" w:rsidRPr="000C0964" w:rsidRDefault="006B045A"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70.</w:t>
            </w:r>
            <w:r w:rsidR="00D558DE" w:rsidRPr="000C0964">
              <w:rPr>
                <w:rFonts w:eastAsia="Times New Roman" w:cs="Calibri"/>
                <w:color w:val="000000"/>
                <w:sz w:val="16"/>
                <w:szCs w:val="16"/>
                <w:lang w:eastAsia="pl-PL"/>
              </w:rPr>
              <w:t>2</w:t>
            </w:r>
          </w:p>
        </w:tc>
      </w:tr>
      <w:tr w:rsidR="00D558DE" w:rsidRPr="008932D3" w14:paraId="26A17319" w14:textId="77777777" w:rsidTr="00B47CE9">
        <w:tc>
          <w:tcPr>
            <w:tcW w:w="1701" w:type="dxa"/>
          </w:tcPr>
          <w:p w14:paraId="7B3AB1AB" w14:textId="2BA3DE67" w:rsidR="00D558DE" w:rsidRPr="008932D3" w:rsidRDefault="00D558DE" w:rsidP="00D558DE">
            <w:pPr>
              <w:spacing w:before="0" w:after="0"/>
              <w:rPr>
                <w:rFonts w:eastAsia="Times New Roman"/>
                <w:sz w:val="16"/>
                <w:szCs w:val="16"/>
                <w:lang w:eastAsia="pl-PL"/>
              </w:rPr>
            </w:pPr>
            <w:r>
              <w:rPr>
                <w:rFonts w:eastAsia="Times New Roman"/>
                <w:sz w:val="16"/>
                <w:szCs w:val="16"/>
                <w:lang w:eastAsia="pl-PL"/>
              </w:rPr>
              <w:t>Quarter 2</w:t>
            </w:r>
          </w:p>
        </w:tc>
        <w:tc>
          <w:tcPr>
            <w:tcW w:w="1060" w:type="dxa"/>
          </w:tcPr>
          <w:p w14:paraId="15BEF3FF" w14:textId="3773A036" w:rsidR="00D558DE" w:rsidRDefault="00D558DE"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12</w:t>
            </w:r>
            <w:r w:rsidR="006B045A">
              <w:rPr>
                <w:rFonts w:eastAsia="Times New Roman" w:cs="Calibri"/>
                <w:color w:val="000000"/>
                <w:sz w:val="16"/>
                <w:szCs w:val="16"/>
                <w:lang w:eastAsia="pl-PL"/>
              </w:rPr>
              <w:t> 189.</w:t>
            </w:r>
            <w:r>
              <w:rPr>
                <w:rFonts w:eastAsia="Times New Roman" w:cs="Calibri"/>
                <w:color w:val="000000"/>
                <w:sz w:val="16"/>
                <w:szCs w:val="16"/>
                <w:lang w:eastAsia="pl-PL"/>
              </w:rPr>
              <w:t>8</w:t>
            </w:r>
          </w:p>
        </w:tc>
        <w:tc>
          <w:tcPr>
            <w:tcW w:w="1060" w:type="dxa"/>
          </w:tcPr>
          <w:p w14:paraId="59A32F50" w14:textId="0765808E"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142.</w:t>
            </w:r>
            <w:r w:rsidR="00D558DE">
              <w:rPr>
                <w:rFonts w:eastAsia="Times New Roman" w:cs="Calibri"/>
                <w:color w:val="000000"/>
                <w:sz w:val="16"/>
                <w:szCs w:val="16"/>
                <w:lang w:eastAsia="pl-PL"/>
              </w:rPr>
              <w:t>8</w:t>
            </w:r>
          </w:p>
        </w:tc>
        <w:tc>
          <w:tcPr>
            <w:tcW w:w="1060" w:type="dxa"/>
          </w:tcPr>
          <w:p w14:paraId="645AFA4F" w14:textId="3EB5B3AD"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35.</w:t>
            </w:r>
            <w:r w:rsidR="00D558DE">
              <w:rPr>
                <w:rFonts w:eastAsia="Times New Roman" w:cs="Calibri"/>
                <w:color w:val="000000"/>
                <w:sz w:val="16"/>
                <w:szCs w:val="16"/>
                <w:lang w:eastAsia="pl-PL"/>
              </w:rPr>
              <w:t>0</w:t>
            </w:r>
          </w:p>
        </w:tc>
        <w:tc>
          <w:tcPr>
            <w:tcW w:w="1060" w:type="dxa"/>
          </w:tcPr>
          <w:p w14:paraId="11419845" w14:textId="28212E3B" w:rsidR="00D558DE" w:rsidRPr="008932D3" w:rsidRDefault="006B045A" w:rsidP="00D558DE">
            <w:pPr>
              <w:spacing w:before="0" w:after="0"/>
              <w:jc w:val="right"/>
              <w:rPr>
                <w:rFonts w:eastAsia="Times New Roman"/>
                <w:sz w:val="16"/>
                <w:szCs w:val="16"/>
                <w:lang w:eastAsia="pl-PL"/>
              </w:rPr>
            </w:pPr>
            <w:r>
              <w:rPr>
                <w:rFonts w:eastAsia="Times New Roman"/>
                <w:sz w:val="16"/>
                <w:szCs w:val="16"/>
                <w:lang w:eastAsia="pl-PL"/>
              </w:rPr>
              <w:t>21.</w:t>
            </w:r>
            <w:r w:rsidR="00D558DE">
              <w:rPr>
                <w:rFonts w:eastAsia="Times New Roman"/>
                <w:sz w:val="16"/>
                <w:szCs w:val="16"/>
                <w:lang w:eastAsia="pl-PL"/>
              </w:rPr>
              <w:t>9</w:t>
            </w:r>
          </w:p>
        </w:tc>
        <w:tc>
          <w:tcPr>
            <w:tcW w:w="1060" w:type="dxa"/>
          </w:tcPr>
          <w:p w14:paraId="1C7B544D" w14:textId="7D3BFA5B" w:rsidR="00D558DE" w:rsidRPr="008932D3" w:rsidRDefault="006B045A" w:rsidP="00D558DE">
            <w:pPr>
              <w:spacing w:before="0" w:after="0"/>
              <w:jc w:val="right"/>
              <w:rPr>
                <w:rFonts w:eastAsia="Times New Roman"/>
                <w:sz w:val="16"/>
                <w:szCs w:val="16"/>
                <w:lang w:eastAsia="pl-PL"/>
              </w:rPr>
            </w:pPr>
            <w:r>
              <w:rPr>
                <w:rFonts w:eastAsia="Times New Roman" w:cs="Calibri"/>
                <w:color w:val="000000"/>
                <w:sz w:val="16"/>
                <w:szCs w:val="16"/>
                <w:lang w:eastAsia="pl-PL"/>
              </w:rPr>
              <w:t>145.</w:t>
            </w:r>
            <w:r w:rsidR="00D558DE">
              <w:rPr>
                <w:rFonts w:eastAsia="Times New Roman" w:cs="Calibri"/>
                <w:color w:val="000000"/>
                <w:sz w:val="16"/>
                <w:szCs w:val="16"/>
                <w:lang w:eastAsia="pl-PL"/>
              </w:rPr>
              <w:t>8</w:t>
            </w:r>
          </w:p>
        </w:tc>
        <w:tc>
          <w:tcPr>
            <w:tcW w:w="1061" w:type="dxa"/>
          </w:tcPr>
          <w:p w14:paraId="425DE185" w14:textId="0ACA4FA4" w:rsidR="00D558DE" w:rsidRDefault="006B045A" w:rsidP="00D558D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58.</w:t>
            </w:r>
            <w:r w:rsidR="00D558DE">
              <w:rPr>
                <w:rFonts w:eastAsia="Times New Roman" w:cs="Calibri"/>
                <w:color w:val="000000"/>
                <w:sz w:val="16"/>
                <w:szCs w:val="16"/>
                <w:lang w:eastAsia="pl-PL"/>
              </w:rPr>
              <w:t>5</w:t>
            </w:r>
          </w:p>
        </w:tc>
      </w:tr>
      <w:tr w:rsidR="00D558DE" w:rsidRPr="008932D3" w14:paraId="356CED4E" w14:textId="77777777" w:rsidTr="00B47CE9">
        <w:tc>
          <w:tcPr>
            <w:tcW w:w="1701" w:type="dxa"/>
          </w:tcPr>
          <w:p w14:paraId="1AC96060" w14:textId="03393CE6" w:rsidR="00D558DE" w:rsidRPr="008932D3" w:rsidRDefault="00D558DE" w:rsidP="00D558DE">
            <w:pPr>
              <w:spacing w:before="0" w:after="0"/>
              <w:rPr>
                <w:rFonts w:eastAsia="Times New Roman"/>
                <w:b/>
                <w:sz w:val="16"/>
                <w:szCs w:val="16"/>
                <w:lang w:eastAsia="pl-PL"/>
              </w:rPr>
            </w:pPr>
            <w:r>
              <w:rPr>
                <w:rFonts w:eastAsia="Times New Roman"/>
                <w:b/>
                <w:sz w:val="16"/>
                <w:szCs w:val="16"/>
                <w:lang w:eastAsia="pl-PL"/>
              </w:rPr>
              <w:t>Quarter 3</w:t>
            </w:r>
          </w:p>
        </w:tc>
        <w:tc>
          <w:tcPr>
            <w:tcW w:w="1060" w:type="dxa"/>
          </w:tcPr>
          <w:p w14:paraId="3A82F1A2" w14:textId="7708E5F2" w:rsidR="00D558DE" w:rsidRPr="008932D3" w:rsidRDefault="00D558DE" w:rsidP="00D558DE">
            <w:pPr>
              <w:spacing w:before="0" w:after="0"/>
              <w:jc w:val="right"/>
              <w:rPr>
                <w:rFonts w:eastAsia="Times New Roman"/>
                <w:b/>
                <w:sz w:val="16"/>
                <w:szCs w:val="16"/>
                <w:lang w:eastAsia="pl-PL"/>
              </w:rPr>
            </w:pPr>
            <w:r>
              <w:rPr>
                <w:rFonts w:eastAsia="Times New Roman"/>
                <w:b/>
                <w:sz w:val="16"/>
                <w:szCs w:val="16"/>
                <w:lang w:eastAsia="pl-PL"/>
              </w:rPr>
              <w:t>12</w:t>
            </w:r>
            <w:r w:rsidR="006B045A">
              <w:rPr>
                <w:rFonts w:eastAsia="Times New Roman"/>
                <w:b/>
                <w:sz w:val="16"/>
                <w:szCs w:val="16"/>
                <w:lang w:eastAsia="pl-PL"/>
              </w:rPr>
              <w:t> 172.</w:t>
            </w:r>
            <w:r>
              <w:rPr>
                <w:rFonts w:eastAsia="Times New Roman"/>
                <w:b/>
                <w:sz w:val="16"/>
                <w:szCs w:val="16"/>
                <w:lang w:eastAsia="pl-PL"/>
              </w:rPr>
              <w:t>4</w:t>
            </w:r>
          </w:p>
        </w:tc>
        <w:tc>
          <w:tcPr>
            <w:tcW w:w="1060" w:type="dxa"/>
          </w:tcPr>
          <w:p w14:paraId="4C7C9484" w14:textId="2C0809A6" w:rsidR="00D558DE" w:rsidRPr="008932D3" w:rsidRDefault="006B045A" w:rsidP="00D558DE">
            <w:pPr>
              <w:spacing w:before="0" w:after="0"/>
              <w:jc w:val="right"/>
              <w:rPr>
                <w:rFonts w:eastAsia="Times New Roman"/>
                <w:b/>
                <w:sz w:val="16"/>
                <w:szCs w:val="16"/>
                <w:lang w:eastAsia="pl-PL"/>
              </w:rPr>
            </w:pPr>
            <w:r>
              <w:rPr>
                <w:rFonts w:eastAsia="Times New Roman"/>
                <w:b/>
                <w:sz w:val="16"/>
                <w:szCs w:val="16"/>
                <w:lang w:eastAsia="pl-PL"/>
              </w:rPr>
              <w:t>153.</w:t>
            </w:r>
            <w:r w:rsidR="00D558DE">
              <w:rPr>
                <w:rFonts w:eastAsia="Times New Roman"/>
                <w:b/>
                <w:sz w:val="16"/>
                <w:szCs w:val="16"/>
                <w:lang w:eastAsia="pl-PL"/>
              </w:rPr>
              <w:t>5</w:t>
            </w:r>
          </w:p>
        </w:tc>
        <w:tc>
          <w:tcPr>
            <w:tcW w:w="1060" w:type="dxa"/>
          </w:tcPr>
          <w:p w14:paraId="625A5C6D" w14:textId="44E1D375" w:rsidR="00D558DE" w:rsidRPr="008932D3" w:rsidRDefault="006B045A" w:rsidP="00D558DE">
            <w:pPr>
              <w:spacing w:before="0" w:after="0"/>
              <w:jc w:val="right"/>
              <w:rPr>
                <w:rFonts w:eastAsia="Times New Roman"/>
                <w:b/>
                <w:sz w:val="16"/>
                <w:szCs w:val="16"/>
                <w:lang w:eastAsia="pl-PL"/>
              </w:rPr>
            </w:pPr>
            <w:r>
              <w:rPr>
                <w:rFonts w:eastAsia="Times New Roman"/>
                <w:b/>
                <w:sz w:val="16"/>
                <w:szCs w:val="16"/>
                <w:lang w:eastAsia="pl-PL"/>
              </w:rPr>
              <w:t>35.</w:t>
            </w:r>
            <w:r w:rsidR="00D558DE">
              <w:rPr>
                <w:rFonts w:eastAsia="Times New Roman"/>
                <w:b/>
                <w:sz w:val="16"/>
                <w:szCs w:val="16"/>
                <w:lang w:eastAsia="pl-PL"/>
              </w:rPr>
              <w:t>7</w:t>
            </w:r>
          </w:p>
        </w:tc>
        <w:tc>
          <w:tcPr>
            <w:tcW w:w="1060" w:type="dxa"/>
          </w:tcPr>
          <w:p w14:paraId="3F989E96" w14:textId="30ABBED3" w:rsidR="00D558DE" w:rsidRPr="008932D3" w:rsidRDefault="006B045A" w:rsidP="00D558DE">
            <w:pPr>
              <w:spacing w:before="0" w:after="0"/>
              <w:jc w:val="right"/>
              <w:rPr>
                <w:rFonts w:eastAsia="Times New Roman"/>
                <w:b/>
                <w:sz w:val="16"/>
                <w:szCs w:val="16"/>
                <w:lang w:eastAsia="pl-PL"/>
              </w:rPr>
            </w:pPr>
            <w:r>
              <w:rPr>
                <w:rFonts w:eastAsia="Times New Roman"/>
                <w:b/>
                <w:sz w:val="16"/>
                <w:szCs w:val="16"/>
                <w:lang w:eastAsia="pl-PL"/>
              </w:rPr>
              <w:t>22.</w:t>
            </w:r>
            <w:r w:rsidR="00D558DE">
              <w:rPr>
                <w:rFonts w:eastAsia="Times New Roman"/>
                <w:b/>
                <w:sz w:val="16"/>
                <w:szCs w:val="16"/>
                <w:lang w:eastAsia="pl-PL"/>
              </w:rPr>
              <w:t>8</w:t>
            </w:r>
          </w:p>
        </w:tc>
        <w:tc>
          <w:tcPr>
            <w:tcW w:w="1060" w:type="dxa"/>
          </w:tcPr>
          <w:p w14:paraId="5D08A3ED" w14:textId="58A59466" w:rsidR="00D558DE" w:rsidRPr="008932D3" w:rsidRDefault="006B045A" w:rsidP="00D558DE">
            <w:pPr>
              <w:spacing w:before="0" w:after="0"/>
              <w:jc w:val="right"/>
              <w:rPr>
                <w:rFonts w:eastAsia="Times New Roman"/>
                <w:b/>
                <w:sz w:val="16"/>
                <w:szCs w:val="16"/>
                <w:lang w:eastAsia="pl-PL"/>
              </w:rPr>
            </w:pPr>
            <w:r>
              <w:rPr>
                <w:rFonts w:eastAsia="Times New Roman"/>
                <w:b/>
                <w:sz w:val="16"/>
                <w:szCs w:val="16"/>
                <w:lang w:eastAsia="pl-PL"/>
              </w:rPr>
              <w:t>132.</w:t>
            </w:r>
            <w:r w:rsidR="00D558DE">
              <w:rPr>
                <w:rFonts w:eastAsia="Times New Roman"/>
                <w:b/>
                <w:sz w:val="16"/>
                <w:szCs w:val="16"/>
                <w:lang w:eastAsia="pl-PL"/>
              </w:rPr>
              <w:t>6</w:t>
            </w:r>
          </w:p>
        </w:tc>
        <w:tc>
          <w:tcPr>
            <w:tcW w:w="1061" w:type="dxa"/>
          </w:tcPr>
          <w:p w14:paraId="2F85A738" w14:textId="6A505BF7" w:rsidR="00D558DE" w:rsidRPr="008932D3" w:rsidRDefault="006B045A" w:rsidP="00D558DE">
            <w:pPr>
              <w:spacing w:before="0" w:after="0"/>
              <w:jc w:val="right"/>
              <w:rPr>
                <w:rFonts w:eastAsia="Times New Roman"/>
                <w:b/>
                <w:sz w:val="16"/>
                <w:szCs w:val="16"/>
                <w:lang w:eastAsia="pl-PL"/>
              </w:rPr>
            </w:pPr>
            <w:r>
              <w:rPr>
                <w:rFonts w:eastAsia="Times New Roman"/>
                <w:b/>
                <w:sz w:val="16"/>
                <w:szCs w:val="16"/>
                <w:lang w:eastAsia="pl-PL"/>
              </w:rPr>
              <w:t>57.</w:t>
            </w:r>
            <w:r w:rsidR="00D558DE">
              <w:rPr>
                <w:rFonts w:eastAsia="Times New Roman"/>
                <w:b/>
                <w:sz w:val="16"/>
                <w:szCs w:val="16"/>
                <w:lang w:eastAsia="pl-PL"/>
              </w:rPr>
              <w:t>8</w:t>
            </w:r>
          </w:p>
        </w:tc>
      </w:tr>
      <w:tr w:rsidR="00D558DE" w:rsidRPr="008932D3" w14:paraId="6A9571F0" w14:textId="77777777" w:rsidTr="00B47CE9">
        <w:tc>
          <w:tcPr>
            <w:tcW w:w="1701" w:type="dxa"/>
          </w:tcPr>
          <w:p w14:paraId="2ED89AA2" w14:textId="77777777" w:rsidR="00D558DE" w:rsidRPr="008932D3" w:rsidRDefault="00D558DE" w:rsidP="00B47CE9">
            <w:pPr>
              <w:spacing w:before="0" w:after="0"/>
              <w:jc w:val="right"/>
              <w:rPr>
                <w:rFonts w:eastAsia="Times New Roman"/>
                <w:sz w:val="16"/>
                <w:szCs w:val="16"/>
                <w:lang w:eastAsia="pl-PL"/>
              </w:rPr>
            </w:pPr>
            <w:r w:rsidRPr="008932D3">
              <w:rPr>
                <w:rFonts w:eastAsia="Times New Roman"/>
                <w:sz w:val="16"/>
                <w:szCs w:val="16"/>
                <w:lang w:eastAsia="pl-PL"/>
              </w:rPr>
              <w:t>A</w:t>
            </w:r>
          </w:p>
        </w:tc>
        <w:tc>
          <w:tcPr>
            <w:tcW w:w="1060" w:type="dxa"/>
          </w:tcPr>
          <w:p w14:paraId="46B115C3" w14:textId="1A61C902"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96.</w:t>
            </w:r>
            <w:r w:rsidR="00D558DE">
              <w:rPr>
                <w:rFonts w:eastAsia="Times New Roman"/>
                <w:sz w:val="16"/>
                <w:szCs w:val="16"/>
                <w:lang w:eastAsia="pl-PL"/>
              </w:rPr>
              <w:t>2</w:t>
            </w:r>
          </w:p>
        </w:tc>
        <w:tc>
          <w:tcPr>
            <w:tcW w:w="1060" w:type="dxa"/>
          </w:tcPr>
          <w:p w14:paraId="129CBCAC" w14:textId="3C7AC7BE"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168.</w:t>
            </w:r>
            <w:r w:rsidR="00D558DE">
              <w:rPr>
                <w:rFonts w:eastAsia="Times New Roman"/>
                <w:sz w:val="16"/>
                <w:szCs w:val="16"/>
                <w:lang w:eastAsia="pl-PL"/>
              </w:rPr>
              <w:t>5</w:t>
            </w:r>
          </w:p>
        </w:tc>
        <w:tc>
          <w:tcPr>
            <w:tcW w:w="1060" w:type="dxa"/>
          </w:tcPr>
          <w:p w14:paraId="21FEDC5E" w14:textId="36910EBE"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194.</w:t>
            </w:r>
            <w:r w:rsidR="00D558DE">
              <w:rPr>
                <w:rFonts w:eastAsia="Times New Roman"/>
                <w:sz w:val="16"/>
                <w:szCs w:val="16"/>
                <w:lang w:eastAsia="pl-PL"/>
              </w:rPr>
              <w:t>9</w:t>
            </w:r>
          </w:p>
        </w:tc>
        <w:tc>
          <w:tcPr>
            <w:tcW w:w="1060" w:type="dxa"/>
          </w:tcPr>
          <w:p w14:paraId="4958B95F" w14:textId="79B9B8EF"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187.</w:t>
            </w:r>
            <w:r w:rsidR="00D558DE">
              <w:rPr>
                <w:rFonts w:eastAsia="Times New Roman"/>
                <w:sz w:val="16"/>
                <w:szCs w:val="16"/>
                <w:lang w:eastAsia="pl-PL"/>
              </w:rPr>
              <w:t>7</w:t>
            </w:r>
          </w:p>
        </w:tc>
        <w:tc>
          <w:tcPr>
            <w:tcW w:w="1060" w:type="dxa"/>
          </w:tcPr>
          <w:p w14:paraId="6BCC4654" w14:textId="2EECEC28"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104.</w:t>
            </w:r>
            <w:r w:rsidR="00D558DE">
              <w:rPr>
                <w:rFonts w:eastAsia="Times New Roman"/>
                <w:sz w:val="16"/>
                <w:szCs w:val="16"/>
                <w:lang w:eastAsia="pl-PL"/>
              </w:rPr>
              <w:t>9</w:t>
            </w:r>
          </w:p>
        </w:tc>
        <w:tc>
          <w:tcPr>
            <w:tcW w:w="1061" w:type="dxa"/>
          </w:tcPr>
          <w:p w14:paraId="16B2F609" w14:textId="13EE6A8E"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92.</w:t>
            </w:r>
            <w:r w:rsidR="00D558DE">
              <w:rPr>
                <w:rFonts w:eastAsia="Times New Roman"/>
                <w:sz w:val="16"/>
                <w:szCs w:val="16"/>
                <w:lang w:eastAsia="pl-PL"/>
              </w:rPr>
              <w:t>7</w:t>
            </w:r>
          </w:p>
        </w:tc>
      </w:tr>
      <w:tr w:rsidR="00D558DE" w:rsidRPr="008932D3" w14:paraId="5B33816B" w14:textId="77777777" w:rsidTr="00B47CE9">
        <w:tc>
          <w:tcPr>
            <w:tcW w:w="1701" w:type="dxa"/>
          </w:tcPr>
          <w:p w14:paraId="0240E6A6" w14:textId="77777777" w:rsidR="00D558DE" w:rsidRPr="008932D3" w:rsidRDefault="00D558DE" w:rsidP="00B47CE9">
            <w:pPr>
              <w:spacing w:before="0" w:after="0"/>
              <w:jc w:val="right"/>
              <w:rPr>
                <w:rFonts w:eastAsia="Times New Roman"/>
                <w:sz w:val="16"/>
                <w:szCs w:val="16"/>
                <w:lang w:eastAsia="pl-PL"/>
              </w:rPr>
            </w:pPr>
            <w:r w:rsidRPr="008932D3">
              <w:rPr>
                <w:rFonts w:eastAsia="Times New Roman"/>
                <w:sz w:val="16"/>
                <w:szCs w:val="16"/>
                <w:lang w:eastAsia="pl-PL"/>
              </w:rPr>
              <w:t>B</w:t>
            </w:r>
          </w:p>
        </w:tc>
        <w:tc>
          <w:tcPr>
            <w:tcW w:w="1060" w:type="dxa"/>
          </w:tcPr>
          <w:p w14:paraId="0EDD1558" w14:textId="45D9D56B"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99.</w:t>
            </w:r>
            <w:r w:rsidR="00D558DE">
              <w:rPr>
                <w:rFonts w:eastAsia="Times New Roman"/>
                <w:sz w:val="16"/>
                <w:szCs w:val="16"/>
                <w:lang w:eastAsia="pl-PL"/>
              </w:rPr>
              <w:t>9</w:t>
            </w:r>
          </w:p>
        </w:tc>
        <w:tc>
          <w:tcPr>
            <w:tcW w:w="1060" w:type="dxa"/>
          </w:tcPr>
          <w:p w14:paraId="52889CCC" w14:textId="54BA806F"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107.</w:t>
            </w:r>
            <w:r w:rsidR="00D558DE">
              <w:rPr>
                <w:rFonts w:eastAsia="Times New Roman"/>
                <w:sz w:val="16"/>
                <w:szCs w:val="16"/>
                <w:lang w:eastAsia="pl-PL"/>
              </w:rPr>
              <w:t>5</w:t>
            </w:r>
          </w:p>
        </w:tc>
        <w:tc>
          <w:tcPr>
            <w:tcW w:w="1060" w:type="dxa"/>
          </w:tcPr>
          <w:p w14:paraId="5DF4280E" w14:textId="0C7E84AA"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101.</w:t>
            </w:r>
            <w:r w:rsidR="00D558DE">
              <w:rPr>
                <w:rFonts w:eastAsia="Times New Roman"/>
                <w:sz w:val="16"/>
                <w:szCs w:val="16"/>
                <w:lang w:eastAsia="pl-PL"/>
              </w:rPr>
              <w:t>9</w:t>
            </w:r>
          </w:p>
        </w:tc>
        <w:tc>
          <w:tcPr>
            <w:tcW w:w="1060" w:type="dxa"/>
          </w:tcPr>
          <w:p w14:paraId="7AB19B24" w14:textId="57F84F1C"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103.</w:t>
            </w:r>
            <w:r w:rsidR="00D558DE">
              <w:rPr>
                <w:rFonts w:eastAsia="Times New Roman"/>
                <w:sz w:val="16"/>
                <w:szCs w:val="16"/>
                <w:lang w:eastAsia="pl-PL"/>
              </w:rPr>
              <w:t>8</w:t>
            </w:r>
          </w:p>
        </w:tc>
        <w:tc>
          <w:tcPr>
            <w:tcW w:w="1060" w:type="dxa"/>
          </w:tcPr>
          <w:p w14:paraId="0A99B02A" w14:textId="50CABFAC"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91.</w:t>
            </w:r>
            <w:r w:rsidR="00D558DE">
              <w:rPr>
                <w:rFonts w:eastAsia="Times New Roman"/>
                <w:sz w:val="16"/>
                <w:szCs w:val="16"/>
                <w:lang w:eastAsia="pl-PL"/>
              </w:rPr>
              <w:t>0</w:t>
            </w:r>
          </w:p>
        </w:tc>
        <w:tc>
          <w:tcPr>
            <w:tcW w:w="1061" w:type="dxa"/>
          </w:tcPr>
          <w:p w14:paraId="4507E6F1" w14:textId="51486D84" w:rsidR="00D558DE" w:rsidRPr="008932D3" w:rsidRDefault="006B045A" w:rsidP="00B47CE9">
            <w:pPr>
              <w:spacing w:before="0" w:after="0"/>
              <w:jc w:val="right"/>
              <w:rPr>
                <w:rFonts w:eastAsia="Times New Roman"/>
                <w:sz w:val="16"/>
                <w:szCs w:val="16"/>
                <w:lang w:eastAsia="pl-PL"/>
              </w:rPr>
            </w:pPr>
            <w:r>
              <w:rPr>
                <w:rFonts w:eastAsia="Times New Roman"/>
                <w:sz w:val="16"/>
                <w:szCs w:val="16"/>
                <w:lang w:eastAsia="pl-PL"/>
              </w:rPr>
              <w:t>98.</w:t>
            </w:r>
            <w:r w:rsidR="00D558DE">
              <w:rPr>
                <w:rFonts w:eastAsia="Times New Roman"/>
                <w:sz w:val="16"/>
                <w:szCs w:val="16"/>
                <w:lang w:eastAsia="pl-PL"/>
              </w:rPr>
              <w:t>8</w:t>
            </w:r>
          </w:p>
        </w:tc>
      </w:tr>
    </w:tbl>
    <w:p w14:paraId="503F2D83" w14:textId="77777777" w:rsidR="00E2769D" w:rsidRDefault="00E2769D" w:rsidP="00A404D6">
      <w:pPr>
        <w:rPr>
          <w:rFonts w:eastAsia="Times New Roman"/>
          <w:szCs w:val="19"/>
          <w:highlight w:val="yellow"/>
          <w:lang w:val="en-GB" w:eastAsia="pl-PL"/>
        </w:rPr>
      </w:pPr>
    </w:p>
    <w:p w14:paraId="6704F8A4" w14:textId="06B8B16C" w:rsidR="00A404D6" w:rsidRPr="0079649E" w:rsidRDefault="00C040A1" w:rsidP="00C040A1">
      <w:pPr>
        <w:rPr>
          <w:rFonts w:eastAsia="Times New Roman"/>
          <w:szCs w:val="19"/>
          <w:lang w:val="en-GB" w:eastAsia="pl-PL"/>
        </w:rPr>
      </w:pPr>
      <w:r w:rsidRPr="00C040A1">
        <w:rPr>
          <w:rFonts w:eastAsia="Times New Roman"/>
          <w:szCs w:val="19"/>
          <w:lang w:val="en-GB" w:eastAsia="pl-PL"/>
        </w:rPr>
        <w:t>In Poland, at the end of</w:t>
      </w:r>
      <w:r>
        <w:rPr>
          <w:rFonts w:eastAsia="Times New Roman"/>
          <w:szCs w:val="19"/>
          <w:lang w:val="en-GB" w:eastAsia="pl-PL"/>
        </w:rPr>
        <w:t xml:space="preserve"> the third quarter of this year,</w:t>
      </w:r>
      <w:r w:rsidRPr="00C040A1">
        <w:rPr>
          <w:rFonts w:eastAsia="Times New Roman"/>
          <w:szCs w:val="19"/>
          <w:lang w:val="en-GB" w:eastAsia="pl-PL"/>
        </w:rPr>
        <w:t xml:space="preserve"> the number of job vacancies was also higher than in the</w:t>
      </w:r>
      <w:r>
        <w:rPr>
          <w:rFonts w:eastAsia="Times New Roman"/>
          <w:szCs w:val="19"/>
          <w:lang w:val="en-GB" w:eastAsia="pl-PL"/>
        </w:rPr>
        <w:t xml:space="preserve"> second quarter of 2021. On the other hand</w:t>
      </w:r>
      <w:r w:rsidRPr="00C040A1">
        <w:rPr>
          <w:rFonts w:eastAsia="Times New Roman"/>
          <w:szCs w:val="19"/>
          <w:lang w:val="en-GB" w:eastAsia="pl-PL"/>
        </w:rPr>
        <w:t xml:space="preserve">, the number of newly created </w:t>
      </w:r>
      <w:r w:rsidRPr="00C040A1">
        <w:rPr>
          <w:rFonts w:eastAsia="Times New Roman"/>
          <w:szCs w:val="19"/>
          <w:lang w:val="en-GB" w:eastAsia="pl-PL"/>
        </w:rPr>
        <w:lastRenderedPageBreak/>
        <w:t>and liqui</w:t>
      </w:r>
      <w:r>
        <w:rPr>
          <w:rFonts w:eastAsia="Times New Roman"/>
          <w:szCs w:val="19"/>
          <w:lang w:val="en-GB" w:eastAsia="pl-PL"/>
        </w:rPr>
        <w:t xml:space="preserve">dated jobs (during the quarter) </w:t>
      </w:r>
      <w:r w:rsidRPr="00C040A1">
        <w:rPr>
          <w:rFonts w:eastAsia="Times New Roman"/>
          <w:szCs w:val="19"/>
          <w:lang w:val="en-GB" w:eastAsia="pl-PL"/>
        </w:rPr>
        <w:t>decreased in a short per</w:t>
      </w:r>
      <w:r>
        <w:rPr>
          <w:rFonts w:eastAsia="Times New Roman"/>
          <w:szCs w:val="19"/>
          <w:lang w:val="en-GB" w:eastAsia="pl-PL"/>
        </w:rPr>
        <w:t xml:space="preserve">iod of time, i.e. in comparison </w:t>
      </w:r>
      <w:r w:rsidRPr="00C040A1">
        <w:rPr>
          <w:rFonts w:eastAsia="Times New Roman"/>
          <w:szCs w:val="19"/>
          <w:lang w:val="en-GB" w:eastAsia="pl-PL"/>
        </w:rPr>
        <w:t xml:space="preserve">with </w:t>
      </w:r>
      <w:r>
        <w:rPr>
          <w:rFonts w:eastAsia="Times New Roman"/>
          <w:szCs w:val="19"/>
          <w:lang w:val="en-GB" w:eastAsia="pl-PL"/>
        </w:rPr>
        <w:t>the second quarter of this year.</w:t>
      </w:r>
    </w:p>
    <w:p w14:paraId="2100F093" w14:textId="77777777" w:rsidR="005C632C" w:rsidRPr="0079649E" w:rsidRDefault="005C632C" w:rsidP="00B97C47">
      <w:pPr>
        <w:spacing w:before="0" w:after="0" w:line="240" w:lineRule="auto"/>
        <w:ind w:left="851" w:hanging="851"/>
        <w:rPr>
          <w:b/>
          <w:szCs w:val="18"/>
          <w:lang w:val="en-GB"/>
        </w:rPr>
      </w:pPr>
    </w:p>
    <w:p w14:paraId="10DF4621" w14:textId="2254D718" w:rsidR="009B25AB" w:rsidRDefault="00D840F8" w:rsidP="00B97C47">
      <w:pPr>
        <w:spacing w:before="0" w:after="0" w:line="240" w:lineRule="auto"/>
        <w:ind w:left="851" w:hanging="851"/>
        <w:rPr>
          <w:b/>
          <w:sz w:val="18"/>
          <w:szCs w:val="18"/>
          <w:lang w:val="en-GB"/>
        </w:rPr>
      </w:pPr>
      <w:r w:rsidRPr="00CD35C6">
        <w:rPr>
          <w:b/>
          <w:sz w:val="18"/>
          <w:szCs w:val="18"/>
          <w:lang w:val="en-GB"/>
        </w:rPr>
        <w:t>Chart</w:t>
      </w:r>
      <w:r w:rsidR="00785D1A" w:rsidRPr="0079649E">
        <w:rPr>
          <w:b/>
          <w:sz w:val="18"/>
          <w:szCs w:val="18"/>
          <w:lang w:val="en-GB"/>
        </w:rPr>
        <w:t xml:space="preserve"> 1.</w:t>
      </w:r>
      <w:r w:rsidR="00D558DE">
        <w:rPr>
          <w:b/>
          <w:sz w:val="18"/>
          <w:szCs w:val="18"/>
          <w:lang w:val="en-GB"/>
        </w:rPr>
        <w:t xml:space="preserve"> </w:t>
      </w:r>
      <w:r w:rsidRPr="0079649E">
        <w:rPr>
          <w:b/>
          <w:sz w:val="18"/>
          <w:szCs w:val="18"/>
          <w:lang w:val="en-GB"/>
        </w:rPr>
        <w:t>Newly created and liquidated jobs in Poland</w:t>
      </w:r>
      <w:r w:rsidR="00801616">
        <w:rPr>
          <w:b/>
          <w:sz w:val="18"/>
          <w:szCs w:val="18"/>
          <w:lang w:val="en-GB"/>
        </w:rPr>
        <w:t xml:space="preserve"> </w:t>
      </w:r>
    </w:p>
    <w:p w14:paraId="20F7BF19" w14:textId="5433C671" w:rsidR="00D558DE" w:rsidRPr="00D558DE" w:rsidRDefault="00721159" w:rsidP="0030567C">
      <w:pPr>
        <w:spacing w:before="0" w:after="0" w:line="240" w:lineRule="auto"/>
        <w:ind w:left="737" w:hanging="85"/>
        <w:rPr>
          <w:sz w:val="18"/>
          <w:szCs w:val="18"/>
          <w:lang w:val="en-GB"/>
        </w:rPr>
      </w:pPr>
      <w:r>
        <w:rPr>
          <w:sz w:val="18"/>
          <w:szCs w:val="18"/>
          <w:lang w:val="en-GB"/>
        </w:rPr>
        <w:t>D</w:t>
      </w:r>
      <w:r w:rsidR="00D558DE" w:rsidRPr="00AB4F56">
        <w:rPr>
          <w:sz w:val="18"/>
          <w:szCs w:val="18"/>
          <w:lang w:val="en-GB"/>
        </w:rPr>
        <w:t>uring</w:t>
      </w:r>
      <w:r w:rsidR="00AB4F56" w:rsidRPr="00AB4F56">
        <w:rPr>
          <w:sz w:val="18"/>
          <w:szCs w:val="18"/>
          <w:lang w:val="en-GB"/>
        </w:rPr>
        <w:t xml:space="preserve"> the quarter</w:t>
      </w:r>
    </w:p>
    <w:p w14:paraId="2EBE3ED5" w14:textId="315B868C" w:rsidR="00652D7E" w:rsidRPr="0079649E" w:rsidRDefault="00652D7E" w:rsidP="00B97C47">
      <w:pPr>
        <w:spacing w:before="0" w:after="0" w:line="240" w:lineRule="auto"/>
        <w:ind w:left="851" w:hanging="851"/>
        <w:rPr>
          <w:b/>
          <w:spacing w:val="-2"/>
          <w:sz w:val="18"/>
          <w:szCs w:val="18"/>
          <w:lang w:val="en-GB"/>
        </w:rPr>
      </w:pPr>
      <w:r>
        <w:rPr>
          <w:noProof/>
          <w:lang w:eastAsia="pl-PL"/>
        </w:rPr>
        <w:drawing>
          <wp:inline distT="0" distB="0" distL="0" distR="0" wp14:anchorId="1F4567A7" wp14:editId="30731BB1">
            <wp:extent cx="5001759" cy="2680390"/>
            <wp:effectExtent l="0" t="0" r="8890" b="571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C46FBA" w14:textId="70E3C710" w:rsidR="00CB3513" w:rsidRPr="0079649E" w:rsidRDefault="00CB3513" w:rsidP="00AB4853">
      <w:pPr>
        <w:spacing w:line="240" w:lineRule="auto"/>
        <w:rPr>
          <w:rFonts w:ascii="Fira Sans SemiBold" w:hAnsi="Fira Sans SemiBold"/>
          <w:color w:val="001D77"/>
          <w:lang w:val="en-GB"/>
        </w:rPr>
      </w:pPr>
    </w:p>
    <w:p w14:paraId="11FF0CDD" w14:textId="4D5C4B35" w:rsidR="00C94F6A" w:rsidRPr="0079649E" w:rsidRDefault="00F86730" w:rsidP="00AB4853">
      <w:pPr>
        <w:spacing w:line="240" w:lineRule="auto"/>
        <w:rPr>
          <w:rFonts w:eastAsia="Times New Roman"/>
          <w:spacing w:val="2"/>
          <w:szCs w:val="19"/>
          <w:lang w:val="en-GB" w:eastAsia="pl-PL"/>
        </w:rPr>
      </w:pPr>
      <w:r w:rsidRPr="0079649E">
        <w:rPr>
          <w:rFonts w:ascii="Fira Sans SemiBold" w:hAnsi="Fira Sans SemiBold"/>
          <w:color w:val="001D77"/>
          <w:lang w:val="en-GB"/>
        </w:rPr>
        <w:t>Job vacancies</w:t>
      </w:r>
      <w:r w:rsidR="005D122F">
        <w:rPr>
          <w:rFonts w:ascii="Fira Sans SemiBold" w:hAnsi="Fira Sans SemiBold"/>
          <w:color w:val="001D77"/>
          <w:lang w:val="en-GB"/>
        </w:rPr>
        <w:t xml:space="preserve"> at the end of the third quarter of 2021</w:t>
      </w:r>
    </w:p>
    <w:p w14:paraId="009D290B" w14:textId="7A688912" w:rsidR="00385A9F" w:rsidRPr="0079649E" w:rsidRDefault="00F86730" w:rsidP="00385A9F">
      <w:pPr>
        <w:rPr>
          <w:noProof/>
          <w:lang w:val="en-GB" w:eastAsia="pl-PL"/>
        </w:rPr>
      </w:pPr>
      <w:r w:rsidRPr="0079649E">
        <w:rPr>
          <w:noProof/>
          <w:lang w:val="en-GB" w:eastAsia="pl-PL"/>
        </w:rPr>
        <w:t>The Labo</w:t>
      </w:r>
      <w:r w:rsidR="00A424C0" w:rsidRPr="0079649E">
        <w:rPr>
          <w:noProof/>
          <w:lang w:val="en-GB" w:eastAsia="pl-PL"/>
        </w:rPr>
        <w:t>u</w:t>
      </w:r>
      <w:r w:rsidRPr="0079649E">
        <w:rPr>
          <w:noProof/>
          <w:lang w:val="en-GB" w:eastAsia="pl-PL"/>
        </w:rPr>
        <w:t>r Demand Survey enables the analysis of data on job vacancies, i.e. positions or jobs unoccupied due to labour turnover or newly created ones that simultaneously meet the following thr</w:t>
      </w:r>
      <w:r w:rsidR="00C03350" w:rsidRPr="0079649E">
        <w:rPr>
          <w:noProof/>
          <w:lang w:val="en-GB" w:eastAsia="pl-PL"/>
        </w:rPr>
        <w:t>ee conditions:</w:t>
      </w:r>
    </w:p>
    <w:p w14:paraId="283C4BA9" w14:textId="7B814BA2" w:rsidR="00385A9F" w:rsidRPr="0079649E" w:rsidRDefault="00385A9F" w:rsidP="00385A9F">
      <w:pPr>
        <w:spacing w:before="0" w:after="0"/>
        <w:ind w:left="426" w:hanging="426"/>
        <w:rPr>
          <w:noProof/>
          <w:lang w:val="en-GB" w:eastAsia="pl-PL"/>
        </w:rPr>
      </w:pPr>
      <w:r w:rsidRPr="0079649E">
        <w:rPr>
          <w:noProof/>
          <w:lang w:val="en-GB" w:eastAsia="pl-PL"/>
        </w:rPr>
        <w:t xml:space="preserve">1) </w:t>
      </w:r>
      <w:r w:rsidRPr="0079649E">
        <w:rPr>
          <w:noProof/>
          <w:lang w:val="en-GB" w:eastAsia="pl-PL"/>
        </w:rPr>
        <w:tab/>
      </w:r>
      <w:r w:rsidR="008B66AA" w:rsidRPr="0079649E">
        <w:rPr>
          <w:noProof/>
          <w:lang w:val="en-GB" w:eastAsia="pl-PL"/>
        </w:rPr>
        <w:t>the positions and jobs were actually unoccupied on the survey day</w:t>
      </w:r>
      <w:r w:rsidRPr="0079649E">
        <w:rPr>
          <w:noProof/>
          <w:lang w:val="en-GB" w:eastAsia="pl-PL"/>
        </w:rPr>
        <w:t xml:space="preserve">, </w:t>
      </w:r>
    </w:p>
    <w:p w14:paraId="2C2F62DF" w14:textId="4D2D02A7" w:rsidR="00385A9F" w:rsidRPr="0079649E" w:rsidRDefault="008B66AA" w:rsidP="00385A9F">
      <w:pPr>
        <w:spacing w:before="0" w:after="0"/>
        <w:ind w:left="426" w:hanging="426"/>
        <w:rPr>
          <w:noProof/>
          <w:lang w:val="en-GB" w:eastAsia="pl-PL"/>
        </w:rPr>
      </w:pPr>
      <w:r w:rsidRPr="0079649E">
        <w:rPr>
          <w:noProof/>
          <w:lang w:val="en-GB" w:eastAsia="pl-PL"/>
        </w:rPr>
        <w:t xml:space="preserve">2) </w:t>
      </w:r>
      <w:r w:rsidRPr="0079649E">
        <w:rPr>
          <w:noProof/>
          <w:lang w:val="en-GB" w:eastAsia="pl-PL"/>
        </w:rPr>
        <w:tab/>
        <w:t>the employer made efforts to find people willing to take up the job</w:t>
      </w:r>
      <w:r w:rsidR="00385A9F" w:rsidRPr="0079649E">
        <w:rPr>
          <w:noProof/>
          <w:lang w:val="en-GB" w:eastAsia="pl-PL"/>
        </w:rPr>
        <w:t xml:space="preserve">, </w:t>
      </w:r>
    </w:p>
    <w:p w14:paraId="30F0C723" w14:textId="4F2522C8" w:rsidR="00385A9F" w:rsidRPr="0079649E" w:rsidRDefault="00385A9F" w:rsidP="00385A9F">
      <w:pPr>
        <w:spacing w:before="0" w:after="0"/>
        <w:ind w:left="426" w:hanging="426"/>
        <w:rPr>
          <w:noProof/>
          <w:lang w:val="en-GB" w:eastAsia="pl-PL"/>
        </w:rPr>
      </w:pPr>
      <w:r w:rsidRPr="0079649E">
        <w:rPr>
          <w:noProof/>
          <w:lang w:val="en-GB" w:eastAsia="pl-PL"/>
        </w:rPr>
        <w:t xml:space="preserve">3) </w:t>
      </w:r>
      <w:r w:rsidR="008B66AA" w:rsidRPr="0079649E">
        <w:rPr>
          <w:noProof/>
          <w:lang w:val="en-GB" w:eastAsia="pl-PL"/>
        </w:rPr>
        <w:tab/>
        <w:t xml:space="preserve">if adequate candidates were found to occupy the vacancies, the employer would readily take them on. </w:t>
      </w:r>
    </w:p>
    <w:p w14:paraId="48128DA5" w14:textId="57695DB8" w:rsidR="000E1F61" w:rsidRDefault="008B66AA" w:rsidP="00BA4C2F">
      <w:pPr>
        <w:rPr>
          <w:rFonts w:eastAsia="Times New Roman"/>
          <w:szCs w:val="19"/>
          <w:lang w:val="en-GB" w:eastAsia="pl-PL"/>
        </w:rPr>
      </w:pPr>
      <w:r w:rsidRPr="0079649E">
        <w:rPr>
          <w:rFonts w:eastAsia="Times New Roman"/>
          <w:szCs w:val="19"/>
          <w:lang w:val="en-GB" w:eastAsia="pl-PL"/>
        </w:rPr>
        <w:t xml:space="preserve">The total number of </w:t>
      </w:r>
      <w:r w:rsidRPr="0079649E">
        <w:rPr>
          <w:rFonts w:eastAsia="Times New Roman"/>
          <w:b/>
          <w:szCs w:val="19"/>
          <w:lang w:val="en-GB" w:eastAsia="pl-PL"/>
        </w:rPr>
        <w:t>job vacancies</w:t>
      </w:r>
      <w:r w:rsidRPr="0079649E">
        <w:rPr>
          <w:rFonts w:eastAsia="Times New Roman"/>
          <w:szCs w:val="19"/>
          <w:lang w:val="en-GB" w:eastAsia="pl-PL"/>
        </w:rPr>
        <w:t xml:space="preserve"> in Poland recorded at the end of the third quarter of 2021 amounted to 153.5 thousand. </w:t>
      </w:r>
      <w:r w:rsidR="00BA4C2F" w:rsidRPr="00BA4C2F">
        <w:rPr>
          <w:rFonts w:eastAsia="Times New Roman"/>
          <w:szCs w:val="19"/>
          <w:lang w:val="en-GB" w:eastAsia="pl-PL"/>
        </w:rPr>
        <w:t xml:space="preserve">This means that compared to </w:t>
      </w:r>
      <w:r w:rsidR="00BA4C2F">
        <w:rPr>
          <w:rFonts w:eastAsia="Times New Roman"/>
          <w:szCs w:val="19"/>
          <w:lang w:val="en-GB" w:eastAsia="pl-PL"/>
        </w:rPr>
        <w:t xml:space="preserve">the third quarter of 2020 it increased </w:t>
      </w:r>
      <w:r w:rsidR="00BA4C2F" w:rsidRPr="00BA4C2F">
        <w:rPr>
          <w:rFonts w:eastAsia="Times New Roman"/>
          <w:szCs w:val="19"/>
          <w:lang w:val="en-GB" w:eastAsia="pl-PL"/>
        </w:rPr>
        <w:t>by 68.5%</w:t>
      </w:r>
      <w:r w:rsidR="00811327">
        <w:rPr>
          <w:rFonts w:eastAsia="Times New Roman"/>
          <w:szCs w:val="19"/>
          <w:lang w:val="en-GB" w:eastAsia="pl-PL"/>
        </w:rPr>
        <w:t>.</w:t>
      </w:r>
      <w:r w:rsidR="00BA4C2F" w:rsidRPr="00BA4C2F">
        <w:rPr>
          <w:rFonts w:eastAsia="Times New Roman"/>
          <w:szCs w:val="19"/>
          <w:lang w:val="en-GB" w:eastAsia="pl-PL"/>
        </w:rPr>
        <w:t xml:space="preserve"> Almost a quarter of all job vacancies were newly create</w:t>
      </w:r>
      <w:r w:rsidR="00BA4C2F">
        <w:rPr>
          <w:rFonts w:eastAsia="Times New Roman"/>
          <w:szCs w:val="19"/>
          <w:lang w:val="en-GB" w:eastAsia="pl-PL"/>
        </w:rPr>
        <w:t>d jobs. The number of vacant</w:t>
      </w:r>
      <w:r w:rsidR="00BA4C2F" w:rsidRPr="00BA4C2F">
        <w:rPr>
          <w:rFonts w:eastAsia="Times New Roman"/>
          <w:szCs w:val="19"/>
          <w:lang w:val="en-GB" w:eastAsia="pl-PL"/>
        </w:rPr>
        <w:t xml:space="preserve"> </w:t>
      </w:r>
      <w:r w:rsidR="00BA4C2F">
        <w:rPr>
          <w:rFonts w:eastAsia="Times New Roman"/>
          <w:szCs w:val="19"/>
          <w:lang w:val="en-GB" w:eastAsia="pl-PL"/>
        </w:rPr>
        <w:t>newly created jobs was</w:t>
      </w:r>
      <w:r w:rsidR="00BA4C2F" w:rsidRPr="00BA4C2F">
        <w:rPr>
          <w:rFonts w:eastAsia="Times New Roman"/>
          <w:szCs w:val="19"/>
          <w:lang w:val="en-GB" w:eastAsia="pl-PL"/>
        </w:rPr>
        <w:t xml:space="preserve"> 94.9%</w:t>
      </w:r>
      <w:r w:rsidR="00BA4C2F">
        <w:rPr>
          <w:rFonts w:eastAsia="Times New Roman"/>
          <w:szCs w:val="19"/>
          <w:lang w:val="en-GB" w:eastAsia="pl-PL"/>
        </w:rPr>
        <w:t xml:space="preserve"> higher</w:t>
      </w:r>
      <w:r w:rsidR="00BA4C2F" w:rsidRPr="00BA4C2F">
        <w:rPr>
          <w:rFonts w:eastAsia="Times New Roman"/>
          <w:szCs w:val="19"/>
          <w:lang w:val="en-GB" w:eastAsia="pl-PL"/>
        </w:rPr>
        <w:t xml:space="preserve"> than at the end of the third quarter of the previous year. The entities were </w:t>
      </w:r>
      <w:r w:rsidR="00BA4C2F">
        <w:rPr>
          <w:rFonts w:eastAsia="Times New Roman"/>
          <w:szCs w:val="19"/>
          <w:lang w:val="en-GB" w:eastAsia="pl-PL"/>
        </w:rPr>
        <w:t>looking for employees for instance through labour</w:t>
      </w:r>
      <w:r w:rsidR="00BA4C2F" w:rsidRPr="00BA4C2F">
        <w:rPr>
          <w:rFonts w:eastAsia="Times New Roman"/>
          <w:szCs w:val="19"/>
          <w:lang w:val="en-GB" w:eastAsia="pl-PL"/>
        </w:rPr>
        <w:t xml:space="preserve"> offices. </w:t>
      </w:r>
      <w:r w:rsidR="0030567C">
        <w:rPr>
          <w:rFonts w:eastAsia="Times New Roman"/>
          <w:szCs w:val="19"/>
          <w:lang w:val="en-GB" w:eastAsia="pl-PL"/>
        </w:rPr>
        <w:br/>
      </w:r>
      <w:r w:rsidR="00BA4C2F" w:rsidRPr="00BA4C2F">
        <w:rPr>
          <w:rFonts w:eastAsia="Times New Roman"/>
          <w:szCs w:val="19"/>
          <w:lang w:val="en-GB" w:eastAsia="pl-PL"/>
        </w:rPr>
        <w:t>At the end of the th</w:t>
      </w:r>
      <w:r w:rsidR="00BA4C2F">
        <w:rPr>
          <w:rFonts w:eastAsia="Times New Roman"/>
          <w:szCs w:val="19"/>
          <w:lang w:val="en-GB" w:eastAsia="pl-PL"/>
        </w:rPr>
        <w:t>ird quarter of 2021, 22.8 thousand job vacancies were reported to labour offices.</w:t>
      </w:r>
      <w:r w:rsidR="00BA4C2F" w:rsidRPr="00BA4C2F">
        <w:rPr>
          <w:rFonts w:eastAsia="Times New Roman"/>
          <w:szCs w:val="19"/>
          <w:lang w:val="en-GB" w:eastAsia="pl-PL"/>
        </w:rPr>
        <w:t xml:space="preserve"> They accounted for 14.8% of all </w:t>
      </w:r>
      <w:r w:rsidR="00BA4C2F">
        <w:rPr>
          <w:rFonts w:eastAsia="Times New Roman"/>
          <w:szCs w:val="19"/>
          <w:lang w:val="en-GB" w:eastAsia="pl-PL"/>
        </w:rPr>
        <w:t xml:space="preserve">job </w:t>
      </w:r>
      <w:r w:rsidR="00BA4C2F" w:rsidRPr="00BA4C2F">
        <w:rPr>
          <w:rFonts w:eastAsia="Times New Roman"/>
          <w:szCs w:val="19"/>
          <w:lang w:val="en-GB" w:eastAsia="pl-PL"/>
        </w:rPr>
        <w:t>vacancies at the end of the third quarter.</w:t>
      </w:r>
    </w:p>
    <w:p w14:paraId="0AD0BDB0" w14:textId="1E894C66" w:rsidR="00D74FCB" w:rsidRPr="0079649E" w:rsidRDefault="0060375D" w:rsidP="0060375D">
      <w:pPr>
        <w:rPr>
          <w:rFonts w:eastAsia="Times New Roman"/>
          <w:szCs w:val="19"/>
          <w:lang w:val="en-GB" w:eastAsia="pl-PL"/>
        </w:rPr>
      </w:pPr>
      <w:r w:rsidRPr="0079649E">
        <w:rPr>
          <w:rFonts w:eastAsia="Times New Roman"/>
          <w:szCs w:val="19"/>
          <w:lang w:val="en-GB" w:eastAsia="pl-PL"/>
        </w:rPr>
        <w:t xml:space="preserve">One of the measures for assessing the situation on the labour market is the </w:t>
      </w:r>
      <w:r w:rsidRPr="0079649E">
        <w:rPr>
          <w:rFonts w:eastAsia="Times New Roman"/>
          <w:b/>
          <w:szCs w:val="19"/>
          <w:lang w:val="en-GB" w:eastAsia="pl-PL"/>
        </w:rPr>
        <w:t>job vacancy rate,</w:t>
      </w:r>
      <w:r w:rsidRPr="0079649E">
        <w:rPr>
          <w:rFonts w:eastAsia="Times New Roman"/>
          <w:szCs w:val="19"/>
          <w:lang w:val="en-GB" w:eastAsia="pl-PL"/>
        </w:rPr>
        <w:t xml:space="preserve"> which</w:t>
      </w:r>
      <w:r w:rsidR="00C03350" w:rsidRPr="0079649E">
        <w:rPr>
          <w:rFonts w:eastAsia="Times New Roman"/>
          <w:szCs w:val="19"/>
          <w:lang w:val="en-GB" w:eastAsia="pl-PL"/>
        </w:rPr>
        <w:t xml:space="preserve"> is</w:t>
      </w:r>
      <w:r w:rsidR="000655D7" w:rsidRPr="0079649E">
        <w:rPr>
          <w:rFonts w:eastAsia="Times New Roman"/>
          <w:szCs w:val="19"/>
          <w:lang w:val="en-GB" w:eastAsia="pl-PL"/>
        </w:rPr>
        <w:t xml:space="preserve"> the share of job vacancies in</w:t>
      </w:r>
      <w:r w:rsidRPr="0079649E">
        <w:rPr>
          <w:rFonts w:eastAsia="Times New Roman"/>
          <w:szCs w:val="19"/>
          <w:lang w:val="en-GB" w:eastAsia="pl-PL"/>
        </w:rPr>
        <w:t xml:space="preserve"> the sum of the number of occupied posts and the number of job vacancies in a given period. At the end of the third qu</w:t>
      </w:r>
      <w:r w:rsidR="000655D7" w:rsidRPr="0079649E">
        <w:rPr>
          <w:rFonts w:eastAsia="Times New Roman"/>
          <w:szCs w:val="19"/>
          <w:lang w:val="en-GB" w:eastAsia="pl-PL"/>
        </w:rPr>
        <w:t>arter of 2021, this rate for</w:t>
      </w:r>
      <w:r w:rsidRPr="0079649E">
        <w:rPr>
          <w:rFonts w:eastAsia="Times New Roman"/>
          <w:szCs w:val="19"/>
          <w:lang w:val="en-GB" w:eastAsia="pl-PL"/>
        </w:rPr>
        <w:t xml:space="preserve"> </w:t>
      </w:r>
      <w:r w:rsidR="00D558DE">
        <w:rPr>
          <w:rFonts w:eastAsia="Times New Roman"/>
          <w:szCs w:val="19"/>
          <w:lang w:val="en-GB" w:eastAsia="pl-PL"/>
        </w:rPr>
        <w:br/>
      </w:r>
      <w:r w:rsidRPr="0079649E">
        <w:rPr>
          <w:rFonts w:eastAsia="Times New Roman"/>
          <w:szCs w:val="19"/>
          <w:lang w:val="en-GB" w:eastAsia="pl-PL"/>
        </w:rPr>
        <w:t>Poland amo</w:t>
      </w:r>
      <w:r w:rsidR="000655D7" w:rsidRPr="0079649E">
        <w:rPr>
          <w:rFonts w:eastAsia="Times New Roman"/>
          <w:szCs w:val="19"/>
          <w:lang w:val="en-GB" w:eastAsia="pl-PL"/>
        </w:rPr>
        <w:t>unted to 1.25% and was</w:t>
      </w:r>
      <w:r w:rsidRPr="0079649E">
        <w:rPr>
          <w:rFonts w:eastAsia="Times New Roman"/>
          <w:szCs w:val="19"/>
          <w:lang w:val="en-GB" w:eastAsia="pl-PL"/>
        </w:rPr>
        <w:t xml:space="preserve"> 0.5</w:t>
      </w:r>
      <w:r w:rsidR="000655D7" w:rsidRPr="0079649E">
        <w:rPr>
          <w:rFonts w:eastAsia="Times New Roman"/>
          <w:szCs w:val="19"/>
          <w:lang w:val="en-GB" w:eastAsia="pl-PL"/>
        </w:rPr>
        <w:t>3 percentage points higher</w:t>
      </w:r>
      <w:r w:rsidRPr="0079649E">
        <w:rPr>
          <w:rFonts w:eastAsia="Times New Roman"/>
          <w:szCs w:val="19"/>
          <w:lang w:val="en-GB" w:eastAsia="pl-PL"/>
        </w:rPr>
        <w:t xml:space="preserve"> than in the co</w:t>
      </w:r>
      <w:r w:rsidR="000655D7" w:rsidRPr="0079649E">
        <w:rPr>
          <w:rFonts w:eastAsia="Times New Roman"/>
          <w:szCs w:val="19"/>
          <w:lang w:val="en-GB" w:eastAsia="pl-PL"/>
        </w:rPr>
        <w:t>rresponding period of 2020 and 0.09 percentage points higher</w:t>
      </w:r>
      <w:r w:rsidRPr="0079649E">
        <w:rPr>
          <w:rFonts w:eastAsia="Times New Roman"/>
          <w:szCs w:val="19"/>
          <w:lang w:val="en-GB" w:eastAsia="pl-PL"/>
        </w:rPr>
        <w:t xml:space="preserve"> than in the previous quarter. In the period from the beginning of 2012, it was the second highest rate (t</w:t>
      </w:r>
      <w:r w:rsidR="000655D7" w:rsidRPr="0079649E">
        <w:rPr>
          <w:rFonts w:eastAsia="Times New Roman"/>
          <w:szCs w:val="19"/>
          <w:lang w:val="en-GB" w:eastAsia="pl-PL"/>
        </w:rPr>
        <w:t>he highest job vacancy rate</w:t>
      </w:r>
      <w:r w:rsidRPr="0079649E">
        <w:rPr>
          <w:rFonts w:eastAsia="Times New Roman"/>
          <w:szCs w:val="19"/>
          <w:lang w:val="en-GB" w:eastAsia="pl-PL"/>
        </w:rPr>
        <w:t xml:space="preserve"> was recorded in the second quarter of 2018</w:t>
      </w:r>
      <w:r w:rsidR="00442156" w:rsidRPr="0079649E">
        <w:rPr>
          <w:rFonts w:eastAsia="Times New Roman"/>
          <w:szCs w:val="19"/>
          <w:lang w:val="en-GB" w:eastAsia="pl-PL"/>
        </w:rPr>
        <w:t>, i.e. 1.26%</w:t>
      </w:r>
      <w:r w:rsidRPr="0079649E">
        <w:rPr>
          <w:rFonts w:eastAsia="Times New Roman"/>
          <w:szCs w:val="19"/>
          <w:lang w:val="en-GB" w:eastAsia="pl-PL"/>
        </w:rPr>
        <w:t>).</w:t>
      </w:r>
    </w:p>
    <w:p w14:paraId="0509B05B" w14:textId="505E1BFB" w:rsidR="008C4F99" w:rsidRDefault="00444430" w:rsidP="008C4F99">
      <w:pPr>
        <w:rPr>
          <w:rFonts w:eastAsia="Times New Roman"/>
          <w:szCs w:val="19"/>
          <w:lang w:val="en-GB" w:eastAsia="pl-PL"/>
        </w:rPr>
      </w:pPr>
      <w:r w:rsidRPr="0079649E">
        <w:rPr>
          <w:rFonts w:eastAsia="Times New Roman"/>
          <w:szCs w:val="19"/>
          <w:lang w:val="en-GB" w:eastAsia="pl-PL"/>
        </w:rPr>
        <w:t xml:space="preserve"> </w:t>
      </w:r>
    </w:p>
    <w:p w14:paraId="672861CD" w14:textId="77777777" w:rsidR="00801616" w:rsidRPr="0079649E" w:rsidRDefault="00801616" w:rsidP="008C4F99">
      <w:pPr>
        <w:rPr>
          <w:rFonts w:eastAsia="Times New Roman"/>
          <w:szCs w:val="19"/>
          <w:lang w:val="en-GB" w:eastAsia="pl-PL"/>
        </w:rPr>
      </w:pPr>
    </w:p>
    <w:p w14:paraId="004A8144" w14:textId="77777777" w:rsidR="00E2769D" w:rsidRDefault="00E2769D">
      <w:pPr>
        <w:spacing w:before="0" w:after="0" w:line="240" w:lineRule="auto"/>
        <w:rPr>
          <w:b/>
          <w:noProof/>
          <w:spacing w:val="-2"/>
          <w:sz w:val="18"/>
          <w:szCs w:val="18"/>
          <w:lang w:val="en-GB" w:eastAsia="pl-PL"/>
        </w:rPr>
      </w:pPr>
      <w:r>
        <w:rPr>
          <w:b/>
          <w:noProof/>
          <w:spacing w:val="-2"/>
          <w:sz w:val="18"/>
          <w:szCs w:val="18"/>
          <w:lang w:val="en-GB" w:eastAsia="pl-PL"/>
        </w:rPr>
        <w:br w:type="page"/>
      </w:r>
    </w:p>
    <w:p w14:paraId="5FBF3500" w14:textId="7BFBCFF0" w:rsidR="004D526B" w:rsidRPr="0079649E" w:rsidRDefault="00E2769D" w:rsidP="0030567C">
      <w:pPr>
        <w:spacing w:before="240" w:line="240" w:lineRule="auto"/>
        <w:ind w:left="652" w:hanging="652"/>
        <w:rPr>
          <w:noProof/>
          <w:spacing w:val="-2"/>
          <w:sz w:val="18"/>
          <w:szCs w:val="18"/>
          <w:lang w:val="en-GB" w:eastAsia="pl-PL"/>
        </w:rPr>
      </w:pPr>
      <w:r w:rsidRPr="00CD35C6">
        <w:rPr>
          <w:noProof/>
          <w:lang w:eastAsia="pl-PL"/>
        </w:rPr>
        <w:lastRenderedPageBreak/>
        <w:drawing>
          <wp:anchor distT="0" distB="0" distL="114300" distR="114300" simplePos="0" relativeHeight="251694080" behindDoc="0" locked="0" layoutInCell="1" allowOverlap="1" wp14:anchorId="408B3A5D" wp14:editId="14EE0966">
            <wp:simplePos x="0" y="0"/>
            <wp:positionH relativeFrom="margin">
              <wp:align>left</wp:align>
            </wp:positionH>
            <wp:positionV relativeFrom="paragraph">
              <wp:posOffset>330072</wp:posOffset>
            </wp:positionV>
            <wp:extent cx="5003800" cy="2699385"/>
            <wp:effectExtent l="0" t="0" r="6350" b="5715"/>
            <wp:wrapSquare wrapText="bothSides"/>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6724C" w:rsidRPr="00CD35C6">
        <w:rPr>
          <w:b/>
          <w:noProof/>
          <w:spacing w:val="-2"/>
          <w:sz w:val="18"/>
          <w:szCs w:val="18"/>
          <w:lang w:val="en-GB" w:eastAsia="pl-PL"/>
        </w:rPr>
        <w:t>Chart</w:t>
      </w:r>
      <w:r w:rsidR="004D526B" w:rsidRPr="0079649E">
        <w:rPr>
          <w:b/>
          <w:noProof/>
          <w:spacing w:val="-2"/>
          <w:sz w:val="18"/>
          <w:szCs w:val="18"/>
          <w:lang w:val="en-GB" w:eastAsia="pl-PL"/>
        </w:rPr>
        <w:t xml:space="preserve"> </w:t>
      </w:r>
      <w:r w:rsidR="00A90433" w:rsidRPr="0079649E">
        <w:rPr>
          <w:b/>
          <w:noProof/>
          <w:spacing w:val="-2"/>
          <w:sz w:val="18"/>
          <w:szCs w:val="18"/>
          <w:lang w:val="en-GB" w:eastAsia="pl-PL"/>
        </w:rPr>
        <w:t>2</w:t>
      </w:r>
      <w:r w:rsidR="004D526B" w:rsidRPr="0079649E">
        <w:rPr>
          <w:b/>
          <w:noProof/>
          <w:spacing w:val="-2"/>
          <w:sz w:val="18"/>
          <w:szCs w:val="18"/>
          <w:lang w:val="en-GB" w:eastAsia="pl-PL"/>
        </w:rPr>
        <w:t xml:space="preserve">. </w:t>
      </w:r>
      <w:r w:rsidR="0036724C" w:rsidRPr="0079649E">
        <w:rPr>
          <w:b/>
          <w:noProof/>
          <w:color w:val="000000"/>
          <w:sz w:val="18"/>
          <w:szCs w:val="18"/>
          <w:lang w:val="en-GB" w:eastAsia="pl-PL"/>
        </w:rPr>
        <w:t xml:space="preserve">Job vacancy rate in Poland </w:t>
      </w:r>
      <w:r w:rsidR="004D526B" w:rsidRPr="0079649E">
        <w:rPr>
          <w:b/>
          <w:noProof/>
          <w:sz w:val="18"/>
          <w:szCs w:val="18"/>
          <w:lang w:val="en-GB" w:eastAsia="pl-PL"/>
        </w:rPr>
        <w:br/>
      </w:r>
      <w:r w:rsidR="0036724C" w:rsidRPr="0079649E">
        <w:rPr>
          <w:noProof/>
          <w:sz w:val="18"/>
          <w:szCs w:val="18"/>
          <w:lang w:val="en-GB" w:eastAsia="pl-PL"/>
        </w:rPr>
        <w:t>As at the end of the quarter</w:t>
      </w:r>
    </w:p>
    <w:p w14:paraId="24B877FF" w14:textId="082FB5F6" w:rsidR="00E2769D" w:rsidRDefault="003770F4" w:rsidP="00C65353">
      <w:pPr>
        <w:spacing w:line="240" w:lineRule="auto"/>
        <w:rPr>
          <w:bCs/>
          <w:lang w:val="en-GB"/>
        </w:rPr>
      </w:pPr>
      <w:r w:rsidRPr="004D526B">
        <w:rPr>
          <w:b/>
          <w:noProof/>
          <w:color w:val="FF0000"/>
          <w:lang w:eastAsia="pl-PL"/>
        </w:rPr>
        <mc:AlternateContent>
          <mc:Choice Requires="wps">
            <w:drawing>
              <wp:anchor distT="0" distB="0" distL="114300" distR="114300" simplePos="0" relativeHeight="251700224" behindDoc="0" locked="0" layoutInCell="1" allowOverlap="1" wp14:anchorId="303DB3E0" wp14:editId="4DFF9AAC">
                <wp:simplePos x="0" y="0"/>
                <wp:positionH relativeFrom="page">
                  <wp:posOffset>5667375</wp:posOffset>
                </wp:positionH>
                <wp:positionV relativeFrom="paragraph">
                  <wp:posOffset>2907030</wp:posOffset>
                </wp:positionV>
                <wp:extent cx="1791970" cy="885825"/>
                <wp:effectExtent l="0" t="0" r="0" b="952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44FB0" w14:textId="77777777" w:rsidR="003770F4" w:rsidRPr="0079649E" w:rsidRDefault="003770F4" w:rsidP="003770F4">
                            <w:pPr>
                              <w:spacing w:before="0"/>
                              <w:rPr>
                                <w:bCs/>
                                <w:color w:val="001D77"/>
                                <w:sz w:val="18"/>
                                <w:szCs w:val="18"/>
                                <w:lang w:val="en-GB"/>
                              </w:rPr>
                            </w:pPr>
                            <w:r w:rsidRPr="0079649E">
                              <w:rPr>
                                <w:bCs/>
                                <w:color w:val="001D77"/>
                                <w:sz w:val="18"/>
                                <w:szCs w:val="18"/>
                                <w:lang w:val="en-GB"/>
                              </w:rPr>
                              <w:t>The highest job vacancy rate at the end of the third quarter, as in the previous year, was recorded in the Zachodniopomorskie region</w:t>
                            </w:r>
                          </w:p>
                          <w:p w14:paraId="3451F52B" w14:textId="77777777" w:rsidR="003770F4" w:rsidRPr="0079649E" w:rsidRDefault="003770F4" w:rsidP="003770F4">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3DB3E0" id="_x0000_t202" coordsize="21600,21600" o:spt="202" path="m,l,21600r21600,l21600,xe">
                <v:stroke joinstyle="miter"/>
                <v:path gradientshapeok="t" o:connecttype="rect"/>
              </v:shapetype>
              <v:shape id="_x0000_s1029" type="#_x0000_t202" style="position:absolute;margin-left:446.25pt;margin-top:228.9pt;width:141.1pt;height:69.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fquA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" filled="f" stroked="f">
                <v:textbox>
                  <w:txbxContent>
                    <w:p w14:paraId="45644FB0" w14:textId="77777777" w:rsidR="003770F4" w:rsidRPr="0079649E" w:rsidRDefault="003770F4" w:rsidP="003770F4">
                      <w:pPr>
                        <w:spacing w:before="0"/>
                        <w:rPr>
                          <w:bCs/>
                          <w:color w:val="001D77"/>
                          <w:sz w:val="18"/>
                          <w:szCs w:val="18"/>
                          <w:lang w:val="en-GB"/>
                        </w:rPr>
                      </w:pPr>
                      <w:r w:rsidRPr="0079649E">
                        <w:rPr>
                          <w:bCs/>
                          <w:color w:val="001D77"/>
                          <w:sz w:val="18"/>
                          <w:szCs w:val="18"/>
                          <w:lang w:val="en-GB"/>
                        </w:rPr>
                        <w:t>The highest job vacancy rate at the end of the third quarter, as in the previous year, was recorded in the Zachodniopomorskie region</w:t>
                      </w:r>
                    </w:p>
                    <w:p w14:paraId="3451F52B" w14:textId="77777777" w:rsidR="003770F4" w:rsidRPr="0079649E" w:rsidRDefault="003770F4" w:rsidP="003770F4">
                      <w:pPr>
                        <w:spacing w:before="0"/>
                        <w:rPr>
                          <w:bCs/>
                          <w:color w:val="001D77"/>
                          <w:sz w:val="18"/>
                          <w:szCs w:val="18"/>
                          <w:lang w:val="en-GB"/>
                        </w:rPr>
                      </w:pPr>
                    </w:p>
                  </w:txbxContent>
                </v:textbox>
                <w10:wrap anchorx="page"/>
              </v:shape>
            </w:pict>
          </mc:Fallback>
        </mc:AlternateContent>
      </w:r>
    </w:p>
    <w:p w14:paraId="31819F13" w14:textId="6428C089" w:rsidR="003770F4" w:rsidRDefault="00950370" w:rsidP="00C65353">
      <w:pPr>
        <w:spacing w:line="240" w:lineRule="auto"/>
        <w:rPr>
          <w:rFonts w:eastAsia="Times New Roman"/>
          <w:szCs w:val="19"/>
          <w:lang w:val="en-GB" w:eastAsia="pl-PL"/>
        </w:rPr>
      </w:pPr>
      <w:r w:rsidRPr="00950370">
        <w:rPr>
          <w:rFonts w:eastAsia="Times New Roman"/>
          <w:szCs w:val="19"/>
          <w:lang w:val="en-GB" w:eastAsia="pl-PL"/>
        </w:rPr>
        <w:t xml:space="preserve">When analysing </w:t>
      </w:r>
      <w:r w:rsidR="003770F4" w:rsidRPr="00950370">
        <w:rPr>
          <w:rFonts w:eastAsia="Times New Roman"/>
          <w:szCs w:val="19"/>
          <w:lang w:val="en-GB" w:eastAsia="pl-PL"/>
        </w:rPr>
        <w:t xml:space="preserve">the job vacancy rate </w:t>
      </w:r>
      <w:r w:rsidRPr="00950370">
        <w:rPr>
          <w:rFonts w:eastAsia="Times New Roman"/>
          <w:b/>
          <w:szCs w:val="19"/>
          <w:lang w:val="en-GB" w:eastAsia="pl-PL"/>
        </w:rPr>
        <w:t>at regional level</w:t>
      </w:r>
      <w:r w:rsidR="003770F4" w:rsidRPr="00950370">
        <w:rPr>
          <w:rFonts w:eastAsia="Times New Roman"/>
          <w:szCs w:val="19"/>
          <w:lang w:val="en-GB" w:eastAsia="pl-PL"/>
        </w:rPr>
        <w:t xml:space="preserve">, </w:t>
      </w:r>
      <w:r w:rsidRPr="00950370">
        <w:rPr>
          <w:rFonts w:eastAsia="Times New Roman"/>
          <w:szCs w:val="19"/>
          <w:lang w:val="en-GB" w:eastAsia="pl-PL"/>
        </w:rPr>
        <w:t xml:space="preserve">it can be noted that </w:t>
      </w:r>
      <w:r w:rsidR="003770F4" w:rsidRPr="00950370">
        <w:rPr>
          <w:rFonts w:eastAsia="Times New Roman"/>
          <w:szCs w:val="19"/>
          <w:lang w:val="en-GB" w:eastAsia="pl-PL"/>
        </w:rPr>
        <w:t>the highest value was recorded in the Zachodniopomorskie region (it amounted to 1.68%). High rates were also recorded in the following regions: Małopolskie (1.57%), Warszawski stołeczny (1.50%), Dolnośląskie (1.49%) and Opolskie (1.47%).</w:t>
      </w:r>
    </w:p>
    <w:p w14:paraId="5747CC50" w14:textId="77777777" w:rsidR="003770F4" w:rsidRDefault="003770F4" w:rsidP="00C65353">
      <w:pPr>
        <w:spacing w:line="240" w:lineRule="auto"/>
        <w:rPr>
          <w:rFonts w:eastAsia="Times New Roman"/>
          <w:szCs w:val="19"/>
          <w:lang w:val="en-GB" w:eastAsia="pl-PL"/>
        </w:rPr>
      </w:pPr>
    </w:p>
    <w:p w14:paraId="1DE7AF45" w14:textId="5AADFF93" w:rsidR="003770F4" w:rsidRPr="0030567C" w:rsidRDefault="002D26E8" w:rsidP="0030567C">
      <w:pPr>
        <w:ind w:left="669" w:hanging="669"/>
        <w:rPr>
          <w:b/>
          <w:sz w:val="18"/>
          <w:szCs w:val="18"/>
          <w:shd w:val="clear" w:color="auto" w:fill="FFFFFF"/>
          <w:lang w:val="en-GB"/>
        </w:rPr>
      </w:pPr>
      <w:r w:rsidRPr="0030567C">
        <w:rPr>
          <w:b/>
          <w:sz w:val="18"/>
          <w:szCs w:val="18"/>
          <w:lang w:val="en-GB"/>
        </w:rPr>
        <w:t>Table</w:t>
      </w:r>
      <w:r w:rsidR="003770F4" w:rsidRPr="0030567C">
        <w:rPr>
          <w:b/>
          <w:sz w:val="18"/>
          <w:szCs w:val="18"/>
          <w:lang w:val="en-GB"/>
        </w:rPr>
        <w:t xml:space="preserve"> 2.</w:t>
      </w:r>
      <w:r w:rsidR="003770F4" w:rsidRPr="0030567C">
        <w:rPr>
          <w:b/>
          <w:sz w:val="18"/>
          <w:szCs w:val="18"/>
          <w:shd w:val="clear" w:color="auto" w:fill="FFFFFF"/>
          <w:lang w:val="en-GB"/>
        </w:rPr>
        <w:t xml:space="preserve"> </w:t>
      </w:r>
      <w:r w:rsidRPr="0030567C">
        <w:rPr>
          <w:b/>
          <w:sz w:val="18"/>
          <w:szCs w:val="18"/>
          <w:shd w:val="clear" w:color="auto" w:fill="FFFFFF"/>
          <w:lang w:val="en-GB"/>
        </w:rPr>
        <w:t xml:space="preserve">Job vacancy rate and the ratio </w:t>
      </w:r>
      <w:r w:rsidR="00317593" w:rsidRPr="0030567C">
        <w:rPr>
          <w:b/>
          <w:sz w:val="18"/>
          <w:szCs w:val="18"/>
          <w:shd w:val="clear" w:color="auto" w:fill="FFFFFF"/>
          <w:lang w:val="en-GB"/>
        </w:rPr>
        <w:t xml:space="preserve">of the number of newly created jobs to the number </w:t>
      </w:r>
      <w:r w:rsidR="00FA15EA" w:rsidRPr="0030567C">
        <w:rPr>
          <w:b/>
          <w:sz w:val="18"/>
          <w:szCs w:val="18"/>
          <w:shd w:val="clear" w:color="auto" w:fill="FFFFFF"/>
          <w:lang w:val="en-GB"/>
        </w:rPr>
        <w:br/>
      </w:r>
      <w:r w:rsidR="00317593" w:rsidRPr="0030567C">
        <w:rPr>
          <w:b/>
          <w:sz w:val="18"/>
          <w:szCs w:val="18"/>
          <w:shd w:val="clear" w:color="auto" w:fill="FFFFFF"/>
          <w:lang w:val="en-GB"/>
        </w:rPr>
        <w:t>of liquidated jobs in Poland</w:t>
      </w:r>
    </w:p>
    <w:tbl>
      <w:tblPr>
        <w:tblStyle w:val="Firasans"/>
        <w:tblpPr w:leftFromText="141" w:rightFromText="141" w:vertAnchor="text" w:horzAnchor="margin" w:tblpY="25"/>
        <w:tblW w:w="0" w:type="auto"/>
        <w:tblLook w:val="04A0" w:firstRow="1" w:lastRow="0" w:firstColumn="1" w:lastColumn="0" w:noHBand="0" w:noVBand="1"/>
      </w:tblPr>
      <w:tblGrid>
        <w:gridCol w:w="2685"/>
        <w:gridCol w:w="2686"/>
        <w:gridCol w:w="2686"/>
      </w:tblGrid>
      <w:tr w:rsidR="003770F4" w:rsidRPr="0030567C" w14:paraId="0B9B0809" w14:textId="77777777" w:rsidTr="00FA15EA">
        <w:trPr>
          <w:trHeight w:val="426"/>
        </w:trPr>
        <w:tc>
          <w:tcPr>
            <w:tcW w:w="2685" w:type="dxa"/>
            <w:vMerge w:val="restart"/>
            <w:vAlign w:val="center"/>
          </w:tcPr>
          <w:p w14:paraId="5C3BB3A5" w14:textId="38783377" w:rsidR="003770F4" w:rsidRPr="00FA15EA" w:rsidRDefault="00317593" w:rsidP="00B47CE9">
            <w:pPr>
              <w:spacing w:before="0" w:after="0"/>
              <w:jc w:val="center"/>
              <w:rPr>
                <w:rFonts w:eastAsia="Times New Roman"/>
                <w:sz w:val="16"/>
                <w:szCs w:val="16"/>
                <w:highlight w:val="cyan"/>
                <w:lang w:eastAsia="pl-PL"/>
              </w:rPr>
            </w:pPr>
            <w:r w:rsidRPr="00FA15EA">
              <w:rPr>
                <w:rFonts w:eastAsia="Times New Roman"/>
                <w:sz w:val="16"/>
                <w:szCs w:val="16"/>
                <w:lang w:eastAsia="pl-PL"/>
              </w:rPr>
              <w:t>PERIODS</w:t>
            </w:r>
          </w:p>
        </w:tc>
        <w:tc>
          <w:tcPr>
            <w:tcW w:w="2686" w:type="dxa"/>
            <w:vAlign w:val="center"/>
          </w:tcPr>
          <w:p w14:paraId="18CBE3C2" w14:textId="276AACEA" w:rsidR="003770F4" w:rsidRPr="0030567C" w:rsidRDefault="00317593" w:rsidP="00FA15EA">
            <w:pPr>
              <w:spacing w:before="0" w:after="0" w:line="220" w:lineRule="exact"/>
              <w:jc w:val="center"/>
              <w:rPr>
                <w:rFonts w:eastAsia="Times New Roman"/>
                <w:sz w:val="16"/>
                <w:szCs w:val="16"/>
                <w:highlight w:val="cyan"/>
                <w:lang w:val="en-GB" w:eastAsia="pl-PL"/>
              </w:rPr>
            </w:pPr>
            <w:r w:rsidRPr="0030567C">
              <w:rPr>
                <w:rFonts w:eastAsia="Times New Roman"/>
                <w:sz w:val="16"/>
                <w:szCs w:val="16"/>
                <w:lang w:val="en-GB" w:eastAsia="pl-PL"/>
              </w:rPr>
              <w:t>Job vacancy rate</w:t>
            </w:r>
            <w:r w:rsidRPr="0030567C">
              <w:rPr>
                <w:rFonts w:eastAsia="Times New Roman"/>
                <w:sz w:val="16"/>
                <w:szCs w:val="16"/>
                <w:lang w:val="en-GB" w:eastAsia="pl-PL"/>
              </w:rPr>
              <w:br/>
              <w:t>(as at the end of the quarter</w:t>
            </w:r>
            <w:r w:rsidR="003770F4" w:rsidRPr="0030567C">
              <w:rPr>
                <w:rFonts w:eastAsia="Times New Roman"/>
                <w:sz w:val="16"/>
                <w:szCs w:val="16"/>
                <w:lang w:val="en-GB" w:eastAsia="pl-PL"/>
              </w:rPr>
              <w:t>)</w:t>
            </w:r>
          </w:p>
        </w:tc>
        <w:tc>
          <w:tcPr>
            <w:tcW w:w="2686" w:type="dxa"/>
            <w:vAlign w:val="center"/>
          </w:tcPr>
          <w:p w14:paraId="60ED5321" w14:textId="53E5B0B6" w:rsidR="003770F4" w:rsidRPr="0030567C" w:rsidRDefault="00317593" w:rsidP="00FA15EA">
            <w:pPr>
              <w:spacing w:before="60" w:after="60" w:line="220" w:lineRule="exact"/>
              <w:jc w:val="center"/>
              <w:rPr>
                <w:rFonts w:eastAsia="Times New Roman"/>
                <w:sz w:val="16"/>
                <w:szCs w:val="16"/>
                <w:highlight w:val="cyan"/>
                <w:lang w:val="en-GB" w:eastAsia="pl-PL"/>
              </w:rPr>
            </w:pPr>
            <w:r w:rsidRPr="0030567C">
              <w:rPr>
                <w:rFonts w:eastAsia="Times New Roman"/>
                <w:sz w:val="16"/>
                <w:szCs w:val="16"/>
                <w:lang w:val="en-GB" w:eastAsia="pl-PL"/>
              </w:rPr>
              <w:t xml:space="preserve">The ratio of the number </w:t>
            </w:r>
            <w:r w:rsidR="00FA15EA" w:rsidRPr="0030567C">
              <w:rPr>
                <w:rFonts w:eastAsia="Times New Roman"/>
                <w:sz w:val="16"/>
                <w:szCs w:val="16"/>
                <w:lang w:val="en-GB" w:eastAsia="pl-PL"/>
              </w:rPr>
              <w:br/>
            </w:r>
            <w:r w:rsidRPr="0030567C">
              <w:rPr>
                <w:rFonts w:eastAsia="Times New Roman"/>
                <w:sz w:val="16"/>
                <w:szCs w:val="16"/>
                <w:lang w:val="en-GB" w:eastAsia="pl-PL"/>
              </w:rPr>
              <w:t xml:space="preserve">of newly created jobs </w:t>
            </w:r>
            <w:r w:rsidR="00FA15EA" w:rsidRPr="0030567C">
              <w:rPr>
                <w:rFonts w:eastAsia="Times New Roman"/>
                <w:sz w:val="16"/>
                <w:szCs w:val="16"/>
                <w:lang w:val="en-GB" w:eastAsia="pl-PL"/>
              </w:rPr>
              <w:br/>
            </w:r>
            <w:r w:rsidRPr="0030567C">
              <w:rPr>
                <w:rFonts w:eastAsia="Times New Roman"/>
                <w:sz w:val="16"/>
                <w:szCs w:val="16"/>
                <w:lang w:val="en-GB" w:eastAsia="pl-PL"/>
              </w:rPr>
              <w:t>to the number of liquidated jobs (during the quarter)</w:t>
            </w:r>
          </w:p>
        </w:tc>
      </w:tr>
      <w:tr w:rsidR="003770F4" w14:paraId="5802431F" w14:textId="77777777" w:rsidTr="00B47CE9">
        <w:tc>
          <w:tcPr>
            <w:tcW w:w="2685" w:type="dxa"/>
            <w:vMerge/>
            <w:tcBorders>
              <w:bottom w:val="single" w:sz="12" w:space="0" w:color="001D77"/>
            </w:tcBorders>
            <w:vAlign w:val="center"/>
          </w:tcPr>
          <w:p w14:paraId="558FFC16" w14:textId="77777777" w:rsidR="003770F4" w:rsidRPr="0030567C" w:rsidRDefault="003770F4" w:rsidP="00B47CE9">
            <w:pPr>
              <w:spacing w:before="0" w:after="0"/>
              <w:jc w:val="center"/>
              <w:rPr>
                <w:rFonts w:eastAsia="Times New Roman"/>
                <w:sz w:val="16"/>
                <w:szCs w:val="16"/>
                <w:highlight w:val="cyan"/>
                <w:lang w:val="en-GB" w:eastAsia="pl-PL"/>
              </w:rPr>
            </w:pPr>
          </w:p>
        </w:tc>
        <w:tc>
          <w:tcPr>
            <w:tcW w:w="5372" w:type="dxa"/>
            <w:gridSpan w:val="2"/>
            <w:vAlign w:val="center"/>
          </w:tcPr>
          <w:p w14:paraId="0FC6C863" w14:textId="1F8A2A75" w:rsidR="003770F4" w:rsidRPr="00FA15EA" w:rsidRDefault="00317593" w:rsidP="00B47CE9">
            <w:pPr>
              <w:spacing w:before="40" w:after="40"/>
              <w:jc w:val="center"/>
              <w:rPr>
                <w:rFonts w:eastAsia="Times New Roman"/>
                <w:sz w:val="16"/>
                <w:szCs w:val="16"/>
                <w:lang w:eastAsia="pl-PL"/>
              </w:rPr>
            </w:pPr>
            <w:r w:rsidRPr="00FA15EA">
              <w:rPr>
                <w:rFonts w:eastAsia="Times New Roman"/>
                <w:sz w:val="16"/>
                <w:szCs w:val="16"/>
                <w:lang w:eastAsia="pl-PL"/>
              </w:rPr>
              <w:t>in</w:t>
            </w:r>
            <w:r w:rsidR="003770F4" w:rsidRPr="00FA15EA">
              <w:rPr>
                <w:rFonts w:eastAsia="Times New Roman"/>
                <w:sz w:val="16"/>
                <w:szCs w:val="16"/>
                <w:lang w:eastAsia="pl-PL"/>
              </w:rPr>
              <w:t xml:space="preserve"> %</w:t>
            </w:r>
          </w:p>
        </w:tc>
      </w:tr>
      <w:tr w:rsidR="003770F4" w14:paraId="4F4669CB" w14:textId="77777777" w:rsidTr="00B47CE9">
        <w:tc>
          <w:tcPr>
            <w:tcW w:w="8057" w:type="dxa"/>
            <w:gridSpan w:val="3"/>
            <w:tcBorders>
              <w:top w:val="single" w:sz="12" w:space="0" w:color="001D77"/>
            </w:tcBorders>
          </w:tcPr>
          <w:p w14:paraId="69D5EF33" w14:textId="77777777" w:rsidR="003770F4" w:rsidRPr="00FA15EA" w:rsidRDefault="003770F4" w:rsidP="00B47CE9">
            <w:pPr>
              <w:spacing w:before="0" w:after="0"/>
              <w:jc w:val="center"/>
              <w:rPr>
                <w:rFonts w:eastAsia="Times New Roman"/>
                <w:sz w:val="16"/>
                <w:szCs w:val="16"/>
                <w:lang w:eastAsia="pl-PL"/>
              </w:rPr>
            </w:pPr>
            <w:r w:rsidRPr="00FA15EA">
              <w:rPr>
                <w:rFonts w:eastAsia="Times New Roman"/>
                <w:sz w:val="16"/>
                <w:szCs w:val="16"/>
                <w:lang w:eastAsia="pl-PL"/>
              </w:rPr>
              <w:t>2020</w:t>
            </w:r>
          </w:p>
        </w:tc>
      </w:tr>
      <w:tr w:rsidR="003770F4" w14:paraId="3F0BD0E2" w14:textId="77777777" w:rsidTr="00B47CE9">
        <w:tc>
          <w:tcPr>
            <w:tcW w:w="2685" w:type="dxa"/>
          </w:tcPr>
          <w:p w14:paraId="5B556AA9" w14:textId="0C32D6DA" w:rsidR="003770F4" w:rsidRPr="00FA15EA" w:rsidRDefault="00317593" w:rsidP="00B47CE9">
            <w:pPr>
              <w:spacing w:before="0" w:after="0"/>
              <w:rPr>
                <w:rFonts w:eastAsia="Times New Roman"/>
                <w:sz w:val="16"/>
                <w:szCs w:val="16"/>
                <w:lang w:eastAsia="pl-PL"/>
              </w:rPr>
            </w:pPr>
            <w:r w:rsidRPr="00FA15EA">
              <w:rPr>
                <w:rFonts w:eastAsia="Times New Roman"/>
                <w:sz w:val="16"/>
                <w:szCs w:val="16"/>
                <w:lang w:eastAsia="pl-PL"/>
              </w:rPr>
              <w:t>Quarter 3</w:t>
            </w:r>
          </w:p>
        </w:tc>
        <w:tc>
          <w:tcPr>
            <w:tcW w:w="2686" w:type="dxa"/>
          </w:tcPr>
          <w:p w14:paraId="76E9AE08" w14:textId="00C3612D"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0.</w:t>
            </w:r>
            <w:r w:rsidR="003770F4" w:rsidRPr="00FA15EA">
              <w:rPr>
                <w:rFonts w:eastAsia="Times New Roman"/>
                <w:sz w:val="16"/>
                <w:szCs w:val="16"/>
                <w:lang w:eastAsia="pl-PL"/>
              </w:rPr>
              <w:t>72</w:t>
            </w:r>
          </w:p>
        </w:tc>
        <w:tc>
          <w:tcPr>
            <w:tcW w:w="2686" w:type="dxa"/>
          </w:tcPr>
          <w:p w14:paraId="7DC66489" w14:textId="720D69A9"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2.</w:t>
            </w:r>
            <w:r w:rsidR="003770F4" w:rsidRPr="00FA15EA">
              <w:rPr>
                <w:rFonts w:eastAsia="Times New Roman"/>
                <w:sz w:val="16"/>
                <w:szCs w:val="16"/>
                <w:lang w:eastAsia="pl-PL"/>
              </w:rPr>
              <w:t>0</w:t>
            </w:r>
          </w:p>
        </w:tc>
      </w:tr>
      <w:tr w:rsidR="003770F4" w14:paraId="6073E193" w14:textId="77777777" w:rsidTr="00B47CE9">
        <w:tc>
          <w:tcPr>
            <w:tcW w:w="2685" w:type="dxa"/>
          </w:tcPr>
          <w:p w14:paraId="43594458" w14:textId="798ACE31" w:rsidR="003770F4" w:rsidRPr="00FA15EA" w:rsidRDefault="00317593" w:rsidP="00B47CE9">
            <w:pPr>
              <w:spacing w:before="0" w:after="0"/>
              <w:rPr>
                <w:rFonts w:eastAsia="Times New Roman"/>
                <w:sz w:val="16"/>
                <w:szCs w:val="16"/>
                <w:lang w:eastAsia="pl-PL"/>
              </w:rPr>
            </w:pPr>
            <w:r w:rsidRPr="00FA15EA">
              <w:rPr>
                <w:rFonts w:eastAsia="Times New Roman"/>
                <w:sz w:val="16"/>
                <w:szCs w:val="16"/>
                <w:lang w:eastAsia="pl-PL"/>
              </w:rPr>
              <w:t>Quarter 4</w:t>
            </w:r>
          </w:p>
        </w:tc>
        <w:tc>
          <w:tcPr>
            <w:tcW w:w="2686" w:type="dxa"/>
          </w:tcPr>
          <w:p w14:paraId="529FC06E" w14:textId="0896E265"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0.</w:t>
            </w:r>
            <w:r w:rsidR="003770F4" w:rsidRPr="00FA15EA">
              <w:rPr>
                <w:rFonts w:eastAsia="Times New Roman"/>
                <w:sz w:val="16"/>
                <w:szCs w:val="16"/>
                <w:lang w:eastAsia="pl-PL"/>
              </w:rPr>
              <w:t>69</w:t>
            </w:r>
          </w:p>
        </w:tc>
        <w:tc>
          <w:tcPr>
            <w:tcW w:w="2686" w:type="dxa"/>
          </w:tcPr>
          <w:p w14:paraId="55A61B58" w14:textId="73236F41"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1.</w:t>
            </w:r>
            <w:r w:rsidR="003770F4" w:rsidRPr="00FA15EA">
              <w:rPr>
                <w:rFonts w:eastAsia="Times New Roman"/>
                <w:sz w:val="16"/>
                <w:szCs w:val="16"/>
                <w:lang w:eastAsia="pl-PL"/>
              </w:rPr>
              <w:t>7</w:t>
            </w:r>
          </w:p>
        </w:tc>
      </w:tr>
      <w:tr w:rsidR="003770F4" w14:paraId="4B79FF9C" w14:textId="77777777" w:rsidTr="00B47CE9">
        <w:tc>
          <w:tcPr>
            <w:tcW w:w="8057" w:type="dxa"/>
            <w:gridSpan w:val="3"/>
          </w:tcPr>
          <w:p w14:paraId="58A19FBD" w14:textId="77777777" w:rsidR="003770F4" w:rsidRPr="00FA15EA" w:rsidRDefault="003770F4" w:rsidP="00B47CE9">
            <w:pPr>
              <w:spacing w:before="0" w:after="0"/>
              <w:jc w:val="center"/>
              <w:rPr>
                <w:rFonts w:eastAsia="Times New Roman"/>
                <w:sz w:val="16"/>
                <w:szCs w:val="16"/>
                <w:lang w:eastAsia="pl-PL"/>
              </w:rPr>
            </w:pPr>
            <w:r w:rsidRPr="00FA15EA">
              <w:rPr>
                <w:rFonts w:eastAsia="Times New Roman"/>
                <w:sz w:val="16"/>
                <w:szCs w:val="16"/>
                <w:lang w:eastAsia="pl-PL"/>
              </w:rPr>
              <w:t>2021</w:t>
            </w:r>
          </w:p>
        </w:tc>
      </w:tr>
      <w:tr w:rsidR="003770F4" w14:paraId="0F52369C" w14:textId="77777777" w:rsidTr="00B47CE9">
        <w:tc>
          <w:tcPr>
            <w:tcW w:w="2685" w:type="dxa"/>
          </w:tcPr>
          <w:p w14:paraId="224FD75E" w14:textId="44E03A97" w:rsidR="003770F4" w:rsidRPr="00FA15EA" w:rsidRDefault="00317593" w:rsidP="00B47CE9">
            <w:pPr>
              <w:spacing w:before="0" w:after="0"/>
              <w:rPr>
                <w:rFonts w:eastAsia="Times New Roman"/>
                <w:sz w:val="16"/>
                <w:szCs w:val="16"/>
                <w:lang w:eastAsia="pl-PL"/>
              </w:rPr>
            </w:pPr>
            <w:r w:rsidRPr="00FA15EA">
              <w:rPr>
                <w:rFonts w:eastAsia="Times New Roman"/>
                <w:sz w:val="16"/>
                <w:szCs w:val="16"/>
                <w:lang w:eastAsia="pl-PL"/>
              </w:rPr>
              <w:t>Quarter 1</w:t>
            </w:r>
          </w:p>
        </w:tc>
        <w:tc>
          <w:tcPr>
            <w:tcW w:w="2686" w:type="dxa"/>
          </w:tcPr>
          <w:p w14:paraId="6C0606DD" w14:textId="54F54DEF"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0.</w:t>
            </w:r>
            <w:r w:rsidR="003770F4" w:rsidRPr="00FA15EA">
              <w:rPr>
                <w:rFonts w:eastAsia="Times New Roman"/>
                <w:sz w:val="16"/>
                <w:szCs w:val="16"/>
                <w:lang w:eastAsia="pl-PL"/>
              </w:rPr>
              <w:t>90</w:t>
            </w:r>
          </w:p>
        </w:tc>
        <w:tc>
          <w:tcPr>
            <w:tcW w:w="2686" w:type="dxa"/>
          </w:tcPr>
          <w:p w14:paraId="3E4244B2" w14:textId="30DDAF4C"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2.</w:t>
            </w:r>
            <w:r w:rsidR="003770F4" w:rsidRPr="00FA15EA">
              <w:rPr>
                <w:rFonts w:eastAsia="Times New Roman"/>
                <w:sz w:val="16"/>
                <w:szCs w:val="16"/>
                <w:lang w:eastAsia="pl-PL"/>
              </w:rPr>
              <w:t>7</w:t>
            </w:r>
          </w:p>
        </w:tc>
      </w:tr>
      <w:tr w:rsidR="003770F4" w14:paraId="07F439D5" w14:textId="77777777" w:rsidTr="00B47CE9">
        <w:tc>
          <w:tcPr>
            <w:tcW w:w="2685" w:type="dxa"/>
          </w:tcPr>
          <w:p w14:paraId="6005BF42" w14:textId="1F4F13E9" w:rsidR="003770F4" w:rsidRPr="00FA15EA" w:rsidRDefault="00317593" w:rsidP="00B47CE9">
            <w:pPr>
              <w:spacing w:before="0" w:after="0"/>
              <w:rPr>
                <w:rFonts w:eastAsia="Times New Roman"/>
                <w:sz w:val="16"/>
                <w:szCs w:val="16"/>
                <w:lang w:eastAsia="pl-PL"/>
              </w:rPr>
            </w:pPr>
            <w:r w:rsidRPr="00FA15EA">
              <w:rPr>
                <w:rFonts w:eastAsia="Times New Roman"/>
                <w:sz w:val="16"/>
                <w:szCs w:val="16"/>
                <w:lang w:eastAsia="pl-PL"/>
              </w:rPr>
              <w:t>Quarter 2</w:t>
            </w:r>
          </w:p>
        </w:tc>
        <w:tc>
          <w:tcPr>
            <w:tcW w:w="2686" w:type="dxa"/>
          </w:tcPr>
          <w:p w14:paraId="578736D8" w14:textId="772EFAAB"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1.</w:t>
            </w:r>
            <w:r w:rsidR="003770F4" w:rsidRPr="00FA15EA">
              <w:rPr>
                <w:rFonts w:eastAsia="Times New Roman"/>
                <w:sz w:val="16"/>
                <w:szCs w:val="16"/>
                <w:lang w:eastAsia="pl-PL"/>
              </w:rPr>
              <w:t>16</w:t>
            </w:r>
          </w:p>
        </w:tc>
        <w:tc>
          <w:tcPr>
            <w:tcW w:w="2686" w:type="dxa"/>
          </w:tcPr>
          <w:p w14:paraId="794FDD93" w14:textId="20D1F047" w:rsidR="003770F4" w:rsidRPr="00FA15EA" w:rsidRDefault="00317593" w:rsidP="00B47CE9">
            <w:pPr>
              <w:spacing w:before="0" w:after="0"/>
              <w:jc w:val="right"/>
              <w:rPr>
                <w:rFonts w:eastAsia="Times New Roman"/>
                <w:sz w:val="16"/>
                <w:szCs w:val="16"/>
                <w:lang w:eastAsia="pl-PL"/>
              </w:rPr>
            </w:pPr>
            <w:r w:rsidRPr="00FA15EA">
              <w:rPr>
                <w:rFonts w:eastAsia="Times New Roman"/>
                <w:sz w:val="16"/>
                <w:szCs w:val="16"/>
                <w:lang w:eastAsia="pl-PL"/>
              </w:rPr>
              <w:t>2.</w:t>
            </w:r>
            <w:r w:rsidR="003770F4" w:rsidRPr="00FA15EA">
              <w:rPr>
                <w:rFonts w:eastAsia="Times New Roman"/>
                <w:sz w:val="16"/>
                <w:szCs w:val="16"/>
                <w:lang w:eastAsia="pl-PL"/>
              </w:rPr>
              <w:t>5</w:t>
            </w:r>
          </w:p>
        </w:tc>
      </w:tr>
      <w:tr w:rsidR="003770F4" w14:paraId="78650A44" w14:textId="77777777" w:rsidTr="00B47CE9">
        <w:tc>
          <w:tcPr>
            <w:tcW w:w="2685" w:type="dxa"/>
          </w:tcPr>
          <w:p w14:paraId="3F5B435F" w14:textId="7E33A293" w:rsidR="003770F4" w:rsidRPr="00FA15EA" w:rsidRDefault="00317593" w:rsidP="00B47CE9">
            <w:pPr>
              <w:spacing w:before="0" w:after="0"/>
              <w:rPr>
                <w:rFonts w:eastAsia="Times New Roman"/>
                <w:sz w:val="16"/>
                <w:szCs w:val="16"/>
                <w:lang w:eastAsia="pl-PL"/>
              </w:rPr>
            </w:pPr>
            <w:r w:rsidRPr="00FA15EA">
              <w:rPr>
                <w:rFonts w:eastAsia="Times New Roman"/>
                <w:b/>
                <w:sz w:val="16"/>
                <w:szCs w:val="16"/>
                <w:lang w:eastAsia="pl-PL"/>
              </w:rPr>
              <w:t>Quarter 3</w:t>
            </w:r>
          </w:p>
        </w:tc>
        <w:tc>
          <w:tcPr>
            <w:tcW w:w="2686" w:type="dxa"/>
          </w:tcPr>
          <w:p w14:paraId="2B3466AF" w14:textId="79B50A28" w:rsidR="003770F4" w:rsidRPr="00FA15EA" w:rsidRDefault="00317593" w:rsidP="00B47CE9">
            <w:pPr>
              <w:spacing w:before="0" w:after="0"/>
              <w:jc w:val="right"/>
              <w:rPr>
                <w:rFonts w:eastAsia="Times New Roman"/>
                <w:b/>
                <w:sz w:val="16"/>
                <w:szCs w:val="16"/>
                <w:lang w:eastAsia="pl-PL"/>
              </w:rPr>
            </w:pPr>
            <w:r w:rsidRPr="00FA15EA">
              <w:rPr>
                <w:rFonts w:eastAsia="Times New Roman"/>
                <w:b/>
                <w:sz w:val="16"/>
                <w:szCs w:val="16"/>
                <w:lang w:eastAsia="pl-PL"/>
              </w:rPr>
              <w:t>1.</w:t>
            </w:r>
            <w:r w:rsidR="003770F4" w:rsidRPr="00FA15EA">
              <w:rPr>
                <w:rFonts w:eastAsia="Times New Roman"/>
                <w:b/>
                <w:sz w:val="16"/>
                <w:szCs w:val="16"/>
                <w:lang w:eastAsia="pl-PL"/>
              </w:rPr>
              <w:t>25</w:t>
            </w:r>
          </w:p>
        </w:tc>
        <w:tc>
          <w:tcPr>
            <w:tcW w:w="2686" w:type="dxa"/>
          </w:tcPr>
          <w:p w14:paraId="145412E1" w14:textId="3DAF0629" w:rsidR="003770F4" w:rsidRPr="00FA15EA" w:rsidRDefault="00317593" w:rsidP="00B47CE9">
            <w:pPr>
              <w:spacing w:before="0" w:after="0"/>
              <w:jc w:val="right"/>
              <w:rPr>
                <w:rFonts w:eastAsia="Times New Roman"/>
                <w:b/>
                <w:sz w:val="16"/>
                <w:szCs w:val="16"/>
                <w:lang w:eastAsia="pl-PL"/>
              </w:rPr>
            </w:pPr>
            <w:r w:rsidRPr="00FA15EA">
              <w:rPr>
                <w:rFonts w:eastAsia="Times New Roman"/>
                <w:b/>
                <w:sz w:val="16"/>
                <w:szCs w:val="16"/>
                <w:lang w:eastAsia="pl-PL"/>
              </w:rPr>
              <w:t>2.</w:t>
            </w:r>
            <w:r w:rsidR="003770F4" w:rsidRPr="00FA15EA">
              <w:rPr>
                <w:rFonts w:eastAsia="Times New Roman"/>
                <w:b/>
                <w:sz w:val="16"/>
                <w:szCs w:val="16"/>
                <w:lang w:eastAsia="pl-PL"/>
              </w:rPr>
              <w:t>3</w:t>
            </w:r>
          </w:p>
        </w:tc>
      </w:tr>
    </w:tbl>
    <w:p w14:paraId="34F786B1" w14:textId="6E12464C" w:rsidR="003770F4" w:rsidRDefault="00FA15EA" w:rsidP="00C65353">
      <w:pPr>
        <w:spacing w:line="240" w:lineRule="auto"/>
        <w:rPr>
          <w:rFonts w:eastAsia="Times New Roman"/>
          <w:szCs w:val="19"/>
          <w:lang w:val="en-GB" w:eastAsia="pl-PL"/>
        </w:rPr>
      </w:pPr>
      <w:r>
        <w:rPr>
          <w:noProof/>
          <w:lang w:eastAsia="pl-PL"/>
        </w:rPr>
        <mc:AlternateContent>
          <mc:Choice Requires="wps">
            <w:drawing>
              <wp:anchor distT="0" distB="0" distL="114300" distR="114300" simplePos="0" relativeHeight="251654144" behindDoc="0" locked="0" layoutInCell="1" allowOverlap="1" wp14:anchorId="5C5A1009" wp14:editId="13EBF1B8">
                <wp:simplePos x="0" y="0"/>
                <wp:positionH relativeFrom="rightMargin">
                  <wp:posOffset>167677</wp:posOffset>
                </wp:positionH>
                <wp:positionV relativeFrom="paragraph">
                  <wp:posOffset>2266572</wp:posOffset>
                </wp:positionV>
                <wp:extent cx="1762125" cy="895350"/>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4849" w14:textId="7ADD6469" w:rsidR="00AA0129" w:rsidRPr="0079649E" w:rsidRDefault="00AA0129" w:rsidP="003368EC">
                            <w:pPr>
                              <w:spacing w:before="0"/>
                              <w:rPr>
                                <w:bCs/>
                                <w:color w:val="001D77"/>
                                <w:sz w:val="18"/>
                                <w:szCs w:val="18"/>
                                <w:lang w:val="en-GB"/>
                              </w:rPr>
                            </w:pPr>
                            <w:r w:rsidRPr="0079649E">
                              <w:rPr>
                                <w:bCs/>
                                <w:color w:val="001D77"/>
                                <w:sz w:val="18"/>
                                <w:szCs w:val="18"/>
                                <w:lang w:val="en-GB"/>
                              </w:rPr>
                              <w:t xml:space="preserve">As in previous quarters, the largest number of job vacancies remained in entities operating in the field of manufacturing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C5A1009" id="_x0000_t202" coordsize="21600,21600" o:spt="202" path="m,l,21600r21600,l21600,xe">
                <v:stroke joinstyle="miter"/>
                <v:path gradientshapeok="t" o:connecttype="rect"/>
              </v:shapetype>
              <v:shape id="_x0000_s1029" type="#_x0000_t202" style="position:absolute;margin-left:13.2pt;margin-top:178.45pt;width:138.75pt;height:70.5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NLuwIAAMI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" filled="f" stroked="f">
                <v:textbox>
                  <w:txbxContent>
                    <w:p w14:paraId="56594849" w14:textId="7ADD6469" w:rsidR="00AA0129" w:rsidRPr="0079649E" w:rsidRDefault="00AA0129" w:rsidP="003368EC">
                      <w:pPr>
                        <w:spacing w:before="0"/>
                        <w:rPr>
                          <w:bCs/>
                          <w:color w:val="001D77"/>
                          <w:sz w:val="18"/>
                          <w:szCs w:val="18"/>
                          <w:lang w:val="en-GB"/>
                        </w:rPr>
                      </w:pPr>
                      <w:r w:rsidRPr="0079649E">
                        <w:rPr>
                          <w:bCs/>
                          <w:color w:val="001D77"/>
                          <w:sz w:val="18"/>
                          <w:szCs w:val="18"/>
                          <w:lang w:val="en-GB"/>
                        </w:rPr>
                        <w:t xml:space="preserve">As in previous quarters, the largest number of job vacancies remained in entities operating in the field of manufacturing </w:t>
                      </w:r>
                    </w:p>
                  </w:txbxContent>
                </v:textbox>
                <w10:wrap anchorx="margin"/>
              </v:shape>
            </w:pict>
          </mc:Fallback>
        </mc:AlternateContent>
      </w:r>
    </w:p>
    <w:p w14:paraId="3AF04907" w14:textId="1C3D1318" w:rsidR="00D64CDC" w:rsidRPr="0079649E" w:rsidRDefault="000D6A2C" w:rsidP="00C65353">
      <w:pPr>
        <w:spacing w:line="240" w:lineRule="auto"/>
        <w:rPr>
          <w:bCs/>
          <w:lang w:val="en-GB"/>
        </w:rPr>
      </w:pPr>
      <w:r w:rsidRPr="0060297F">
        <w:rPr>
          <w:bCs/>
          <w:lang w:val="en-GB"/>
        </w:rPr>
        <w:t xml:space="preserve">When analysing data by </w:t>
      </w:r>
      <w:r w:rsidRPr="0060297F">
        <w:rPr>
          <w:b/>
          <w:bCs/>
          <w:lang w:val="en-GB"/>
        </w:rPr>
        <w:t>kind of conducted activity</w:t>
      </w:r>
      <w:r w:rsidRPr="0060297F">
        <w:rPr>
          <w:bCs/>
          <w:lang w:val="en-GB"/>
        </w:rPr>
        <w:t xml:space="preserve"> </w:t>
      </w:r>
      <w:r w:rsidR="00241BBD" w:rsidRPr="0060297F">
        <w:rPr>
          <w:bCs/>
          <w:lang w:val="en-GB"/>
        </w:rPr>
        <w:t>i</w:t>
      </w:r>
      <w:r w:rsidR="0060297F" w:rsidRPr="0060297F">
        <w:rPr>
          <w:bCs/>
          <w:lang w:val="en-GB"/>
        </w:rPr>
        <w:t>t can be</w:t>
      </w:r>
      <w:r w:rsidR="005401C8" w:rsidRPr="0060297F">
        <w:rPr>
          <w:bCs/>
          <w:lang w:val="en-GB"/>
        </w:rPr>
        <w:t xml:space="preserve"> noted that</w:t>
      </w:r>
      <w:r w:rsidRPr="0060297F">
        <w:rPr>
          <w:bCs/>
          <w:lang w:val="en-GB"/>
        </w:rPr>
        <w:t xml:space="preserve"> at the end of the third quarter of 20</w:t>
      </w:r>
      <w:r w:rsidR="005401C8" w:rsidRPr="0060297F">
        <w:rPr>
          <w:bCs/>
          <w:lang w:val="en-GB"/>
        </w:rPr>
        <w:t>21</w:t>
      </w:r>
      <w:r w:rsidR="008D2DC0" w:rsidRPr="0060297F">
        <w:rPr>
          <w:bCs/>
          <w:lang w:val="en-GB"/>
        </w:rPr>
        <w:t>,</w:t>
      </w:r>
      <w:r w:rsidR="005401C8" w:rsidRPr="0060297F">
        <w:rPr>
          <w:bCs/>
          <w:lang w:val="en-GB"/>
        </w:rPr>
        <w:t xml:space="preserve"> </w:t>
      </w:r>
      <w:r w:rsidR="0060297F" w:rsidRPr="0060297F">
        <w:rPr>
          <w:bCs/>
          <w:lang w:val="en-GB"/>
        </w:rPr>
        <w:t>the most, i.e. almost a quarter of job vacancies</w:t>
      </w:r>
      <w:r w:rsidRPr="0060297F">
        <w:rPr>
          <w:bCs/>
          <w:lang w:val="en-GB"/>
        </w:rPr>
        <w:t xml:space="preserve"> were recorded in entities operating in th</w:t>
      </w:r>
      <w:r w:rsidR="0060297F" w:rsidRPr="0060297F">
        <w:rPr>
          <w:bCs/>
          <w:lang w:val="en-GB"/>
        </w:rPr>
        <w:t>e field of manufacturing (34.3 thousand).</w:t>
      </w:r>
      <w:r w:rsidR="005401C8" w:rsidRPr="0060297F">
        <w:rPr>
          <w:bCs/>
          <w:lang w:val="en-GB"/>
        </w:rPr>
        <w:t xml:space="preserve"> In this section, 8.3 thousand</w:t>
      </w:r>
      <w:r w:rsidRPr="0060297F">
        <w:rPr>
          <w:bCs/>
          <w:lang w:val="en-GB"/>
        </w:rPr>
        <w:t xml:space="preserve"> n</w:t>
      </w:r>
      <w:r w:rsidR="008D2DC0" w:rsidRPr="0060297F">
        <w:rPr>
          <w:bCs/>
          <w:lang w:val="en-GB"/>
        </w:rPr>
        <w:t>ewly created jobs were vacant. When c</w:t>
      </w:r>
      <w:r w:rsidRPr="0060297F">
        <w:rPr>
          <w:bCs/>
          <w:lang w:val="en-GB"/>
        </w:rPr>
        <w:t xml:space="preserve">ompared to the corresponding quarter of 2020, the </w:t>
      </w:r>
      <w:r w:rsidR="00FA15EA">
        <w:rPr>
          <w:bCs/>
          <w:lang w:val="en-GB"/>
        </w:rPr>
        <w:t xml:space="preserve">total </w:t>
      </w:r>
      <w:r w:rsidRPr="0060297F">
        <w:rPr>
          <w:bCs/>
          <w:lang w:val="en-GB"/>
        </w:rPr>
        <w:t xml:space="preserve">number of </w:t>
      </w:r>
      <w:r w:rsidR="00FC616E">
        <w:rPr>
          <w:bCs/>
          <w:lang w:val="en-GB"/>
        </w:rPr>
        <w:t>job vacancies as well as the number of vacant newly created jobs</w:t>
      </w:r>
      <w:r w:rsidR="005401C8" w:rsidRPr="0060297F">
        <w:rPr>
          <w:bCs/>
          <w:lang w:val="en-GB"/>
        </w:rPr>
        <w:t xml:space="preserve"> increased by more than</w:t>
      </w:r>
      <w:r w:rsidRPr="0060297F">
        <w:rPr>
          <w:bCs/>
          <w:lang w:val="en-GB"/>
        </w:rPr>
        <w:t xml:space="preserve"> half</w:t>
      </w:r>
      <w:r w:rsidR="008D2DC0" w:rsidRPr="0060297F">
        <w:rPr>
          <w:bCs/>
          <w:lang w:val="en-GB"/>
        </w:rPr>
        <w:t>.</w:t>
      </w:r>
    </w:p>
    <w:p w14:paraId="5ED4E685" w14:textId="29765BAB" w:rsidR="003770F4" w:rsidRPr="0079649E" w:rsidRDefault="003770F4" w:rsidP="003770F4">
      <w:pPr>
        <w:rPr>
          <w:bCs/>
          <w:lang w:val="en-GB"/>
        </w:rPr>
      </w:pPr>
      <w:r w:rsidRPr="0079649E">
        <w:rPr>
          <w:bCs/>
          <w:lang w:val="en-GB"/>
        </w:rPr>
        <w:t>Numerous job vacancies at the end of the third quarter were also recorded in the construction section (22.5 thousand job vacancies, of which 19.1% were newly created jobs) and in the trade; repair of motor vehicles</w:t>
      </w:r>
      <w:r w:rsidRPr="0079649E">
        <w:rPr>
          <w:bCs/>
          <w:vertAlign w:val="superscript"/>
          <w:lang w:val="en-GB"/>
        </w:rPr>
        <w:t>∆</w:t>
      </w:r>
      <w:r w:rsidRPr="0079649E">
        <w:rPr>
          <w:bCs/>
          <w:lang w:val="en-GB"/>
        </w:rPr>
        <w:t xml:space="preserve"> (19.3 thousand job vacancies, </w:t>
      </w:r>
      <w:r w:rsidR="00FA15EA" w:rsidRPr="0079649E">
        <w:rPr>
          <w:bCs/>
          <w:lang w:val="en-GB"/>
        </w:rPr>
        <w:t xml:space="preserve">of which </w:t>
      </w:r>
      <w:r w:rsidRPr="0079649E">
        <w:rPr>
          <w:bCs/>
          <w:lang w:val="en-GB"/>
        </w:rPr>
        <w:t>23.8% were newly created jobs). At the end of the analysed quarter of 2021, the shares of these two sections in the total number of job vacancies increased on an annual basis and amounted to 14.7% in the construction section, and 12.6% in trade; repair of motor vehicles</w:t>
      </w:r>
      <w:r w:rsidRPr="0079649E">
        <w:rPr>
          <w:bCs/>
          <w:vertAlign w:val="superscript"/>
          <w:lang w:val="en-GB"/>
        </w:rPr>
        <w:t>∆</w:t>
      </w:r>
      <w:r w:rsidRPr="0079649E">
        <w:rPr>
          <w:bCs/>
          <w:lang w:val="en-GB"/>
        </w:rPr>
        <w:t xml:space="preserve"> section.</w:t>
      </w:r>
    </w:p>
    <w:p w14:paraId="0ACD44FF" w14:textId="6FBA1236" w:rsidR="00801616" w:rsidRDefault="00801616">
      <w:pPr>
        <w:spacing w:before="0" w:after="0" w:line="240" w:lineRule="auto"/>
        <w:rPr>
          <w:b/>
          <w:spacing w:val="-2"/>
          <w:sz w:val="18"/>
          <w:szCs w:val="18"/>
          <w:lang w:val="en-GB"/>
        </w:rPr>
      </w:pPr>
    </w:p>
    <w:p w14:paraId="289C7255" w14:textId="7DDD0979" w:rsidR="00FA15EA" w:rsidRDefault="00FA15EA">
      <w:pPr>
        <w:spacing w:before="0" w:after="0" w:line="240" w:lineRule="auto"/>
        <w:rPr>
          <w:b/>
          <w:spacing w:val="-2"/>
          <w:sz w:val="18"/>
          <w:szCs w:val="18"/>
          <w:lang w:val="en-GB"/>
        </w:rPr>
      </w:pPr>
      <w:r>
        <w:rPr>
          <w:b/>
          <w:spacing w:val="-2"/>
          <w:sz w:val="18"/>
          <w:szCs w:val="18"/>
          <w:lang w:val="en-GB"/>
        </w:rPr>
        <w:br w:type="page"/>
      </w:r>
    </w:p>
    <w:p w14:paraId="05E1B5BC" w14:textId="64A5EFA6" w:rsidR="00603EBB" w:rsidRPr="0079649E" w:rsidRDefault="00757011" w:rsidP="0030567C">
      <w:pPr>
        <w:pStyle w:val="tytuwykresu"/>
        <w:spacing w:before="0" w:after="0"/>
        <w:ind w:left="652" w:hanging="652"/>
        <w:rPr>
          <w:color w:val="000000"/>
          <w:spacing w:val="0"/>
          <w:szCs w:val="18"/>
          <w:lang w:val="en-GB"/>
        </w:rPr>
      </w:pPr>
      <w:r w:rsidRPr="0079649E">
        <w:rPr>
          <w:szCs w:val="18"/>
          <w:lang w:val="en-GB"/>
        </w:rPr>
        <w:lastRenderedPageBreak/>
        <w:t>Chart</w:t>
      </w:r>
      <w:r w:rsidR="00603EBB" w:rsidRPr="0079649E">
        <w:rPr>
          <w:szCs w:val="18"/>
          <w:lang w:val="en-GB"/>
        </w:rPr>
        <w:t xml:space="preserve"> </w:t>
      </w:r>
      <w:r w:rsidR="00AC125C" w:rsidRPr="0079649E">
        <w:rPr>
          <w:szCs w:val="18"/>
          <w:lang w:val="en-GB"/>
        </w:rPr>
        <w:t>3</w:t>
      </w:r>
      <w:r w:rsidR="00603EBB" w:rsidRPr="0079649E">
        <w:rPr>
          <w:szCs w:val="18"/>
          <w:lang w:val="en-GB"/>
        </w:rPr>
        <w:t>.</w:t>
      </w:r>
      <w:r w:rsidR="00FA15EA">
        <w:rPr>
          <w:szCs w:val="18"/>
          <w:lang w:val="en-GB"/>
        </w:rPr>
        <w:t xml:space="preserve"> </w:t>
      </w:r>
      <w:r w:rsidRPr="0079649E">
        <w:rPr>
          <w:spacing w:val="0"/>
          <w:szCs w:val="18"/>
          <w:lang w:val="en-GB"/>
        </w:rPr>
        <w:t xml:space="preserve">Job vacancies and the job vacancy rate in Poland by selected PKD/NACE sections </w:t>
      </w:r>
      <w:r w:rsidR="00FA15EA">
        <w:rPr>
          <w:spacing w:val="0"/>
          <w:szCs w:val="18"/>
          <w:lang w:val="en-GB"/>
        </w:rPr>
        <w:br/>
      </w:r>
      <w:r w:rsidRPr="0079649E">
        <w:rPr>
          <w:spacing w:val="0"/>
          <w:szCs w:val="18"/>
          <w:lang w:val="en-GB"/>
        </w:rPr>
        <w:t>in the third quarter of 2021</w:t>
      </w:r>
    </w:p>
    <w:p w14:paraId="3F05977B" w14:textId="27B32E8A" w:rsidR="00CA01DC" w:rsidRDefault="0030567C" w:rsidP="0030567C">
      <w:pPr>
        <w:pStyle w:val="tytuwykresu"/>
        <w:spacing w:before="0" w:after="0"/>
        <w:ind w:left="652"/>
        <w:rPr>
          <w:b w:val="0"/>
          <w:szCs w:val="18"/>
          <w:lang w:val="en-GB"/>
        </w:rPr>
      </w:pPr>
      <w:r>
        <w:rPr>
          <w:b w:val="0"/>
          <w:noProof/>
          <w:szCs w:val="18"/>
          <w:lang w:eastAsia="pl-PL"/>
        </w:rPr>
        <w:drawing>
          <wp:anchor distT="0" distB="0" distL="1195070" distR="1195070" simplePos="0" relativeHeight="251701248" behindDoc="0" locked="0" layoutInCell="1" allowOverlap="1" wp14:anchorId="02B795CF" wp14:editId="62F41746">
            <wp:simplePos x="0" y="0"/>
            <wp:positionH relativeFrom="column">
              <wp:posOffset>333323</wp:posOffset>
            </wp:positionH>
            <wp:positionV relativeFrom="paragraph">
              <wp:posOffset>205946</wp:posOffset>
            </wp:positionV>
            <wp:extent cx="4446000" cy="4248000"/>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ykres3_a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46000" cy="4248000"/>
                    </a:xfrm>
                    <a:prstGeom prst="rect">
                      <a:avLst/>
                    </a:prstGeom>
                  </pic:spPr>
                </pic:pic>
              </a:graphicData>
            </a:graphic>
            <wp14:sizeRelH relativeFrom="margin">
              <wp14:pctWidth>0</wp14:pctWidth>
            </wp14:sizeRelH>
            <wp14:sizeRelV relativeFrom="margin">
              <wp14:pctHeight>0</wp14:pctHeight>
            </wp14:sizeRelV>
          </wp:anchor>
        </w:drawing>
      </w:r>
      <w:r w:rsidR="00E2769D">
        <w:rPr>
          <w:noProof/>
          <w:lang w:eastAsia="pl-PL"/>
        </w:rPr>
        <mc:AlternateContent>
          <mc:Choice Requires="wps">
            <w:drawing>
              <wp:anchor distT="0" distB="0" distL="114300" distR="114300" simplePos="0" relativeHeight="251682816" behindDoc="0" locked="0" layoutInCell="1" allowOverlap="1" wp14:anchorId="7FC187C2" wp14:editId="3C0747F5">
                <wp:simplePos x="0" y="0"/>
                <wp:positionH relativeFrom="page">
                  <wp:posOffset>5651500</wp:posOffset>
                </wp:positionH>
                <wp:positionV relativeFrom="paragraph">
                  <wp:posOffset>1685861</wp:posOffset>
                </wp:positionV>
                <wp:extent cx="1762125" cy="1619250"/>
                <wp:effectExtent l="0" t="0"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115B" w14:textId="57796222" w:rsidR="00AA0129" w:rsidRPr="0079649E" w:rsidRDefault="00AA0129" w:rsidP="00757011">
                            <w:pPr>
                              <w:spacing w:before="0"/>
                              <w:rPr>
                                <w:bCs/>
                                <w:color w:val="001D77"/>
                                <w:sz w:val="18"/>
                                <w:szCs w:val="18"/>
                                <w:lang w:val="en-GB"/>
                              </w:rPr>
                            </w:pPr>
                            <w:r w:rsidRPr="0079649E">
                              <w:rPr>
                                <w:bCs/>
                                <w:color w:val="001D77"/>
                                <w:sz w:val="18"/>
                                <w:szCs w:val="18"/>
                                <w:lang w:val="en-GB"/>
                              </w:rPr>
                              <w:t>When analysing data b</w:t>
                            </w:r>
                            <w:r w:rsidR="00B853C9" w:rsidRPr="0079649E">
                              <w:rPr>
                                <w:bCs/>
                                <w:color w:val="001D77"/>
                                <w:sz w:val="18"/>
                                <w:szCs w:val="18"/>
                                <w:lang w:val="en-GB"/>
                              </w:rPr>
                              <w:t xml:space="preserve">roken down by PKD/NACE section </w:t>
                            </w:r>
                            <w:r w:rsidRPr="0079649E">
                              <w:rPr>
                                <w:bCs/>
                                <w:color w:val="001D77"/>
                                <w:sz w:val="18"/>
                                <w:szCs w:val="18"/>
                                <w:lang w:val="en-GB"/>
                              </w:rPr>
                              <w:t>it can be noted th</w:t>
                            </w:r>
                            <w:r w:rsidR="00801616">
                              <w:rPr>
                                <w:bCs/>
                                <w:color w:val="001D77"/>
                                <w:sz w:val="18"/>
                                <w:szCs w:val="18"/>
                                <w:lang w:val="en-GB"/>
                              </w:rPr>
                              <w:t>a</w:t>
                            </w:r>
                            <w:r w:rsidRPr="0079649E">
                              <w:rPr>
                                <w:bCs/>
                                <w:color w:val="001D77"/>
                                <w:sz w:val="18"/>
                                <w:szCs w:val="18"/>
                                <w:lang w:val="en-GB"/>
                              </w:rPr>
                              <w:t xml:space="preserve">t the highest job vacancy rate in the third quarter of the year was recorded in the information and communication 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C187C2" id="_x0000_s1031" type="#_x0000_t202" style="position:absolute;left:0;text-align:left;margin-left:445pt;margin-top:132.75pt;width:138.75pt;height:1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H4vAIAAMM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" filled="f" stroked="f">
                <v:textbox>
                  <w:txbxContent>
                    <w:p w14:paraId="7BAA115B" w14:textId="57796222" w:rsidR="00AA0129" w:rsidRPr="0079649E" w:rsidRDefault="00AA0129" w:rsidP="00757011">
                      <w:pPr>
                        <w:spacing w:before="0"/>
                        <w:rPr>
                          <w:bCs/>
                          <w:color w:val="001D77"/>
                          <w:sz w:val="18"/>
                          <w:szCs w:val="18"/>
                          <w:lang w:val="en-GB"/>
                        </w:rPr>
                      </w:pPr>
                      <w:r w:rsidRPr="0079649E">
                        <w:rPr>
                          <w:bCs/>
                          <w:color w:val="001D77"/>
                          <w:sz w:val="18"/>
                          <w:szCs w:val="18"/>
                          <w:lang w:val="en-GB"/>
                        </w:rPr>
                        <w:t>When analysing data b</w:t>
                      </w:r>
                      <w:r w:rsidR="00B853C9" w:rsidRPr="0079649E">
                        <w:rPr>
                          <w:bCs/>
                          <w:color w:val="001D77"/>
                          <w:sz w:val="18"/>
                          <w:szCs w:val="18"/>
                          <w:lang w:val="en-GB"/>
                        </w:rPr>
                        <w:t xml:space="preserve">roken down by PKD/NACE section </w:t>
                      </w:r>
                      <w:r w:rsidRPr="0079649E">
                        <w:rPr>
                          <w:bCs/>
                          <w:color w:val="001D77"/>
                          <w:sz w:val="18"/>
                          <w:szCs w:val="18"/>
                          <w:lang w:val="en-GB"/>
                        </w:rPr>
                        <w:t>it can be noted th</w:t>
                      </w:r>
                      <w:r w:rsidR="00801616">
                        <w:rPr>
                          <w:bCs/>
                          <w:color w:val="001D77"/>
                          <w:sz w:val="18"/>
                          <w:szCs w:val="18"/>
                          <w:lang w:val="en-GB"/>
                        </w:rPr>
                        <w:t>a</w:t>
                      </w:r>
                      <w:r w:rsidRPr="0079649E">
                        <w:rPr>
                          <w:bCs/>
                          <w:color w:val="001D77"/>
                          <w:sz w:val="18"/>
                          <w:szCs w:val="18"/>
                          <w:lang w:val="en-GB"/>
                        </w:rPr>
                        <w:t xml:space="preserve">t the highest job vacancy rate in the third quarter of the year was recorded in the information and communication section </w:t>
                      </w:r>
                    </w:p>
                  </w:txbxContent>
                </v:textbox>
                <w10:wrap anchorx="page"/>
              </v:shape>
            </w:pict>
          </mc:Fallback>
        </mc:AlternateContent>
      </w:r>
      <w:r w:rsidR="00757011" w:rsidRPr="0079649E">
        <w:rPr>
          <w:b w:val="0"/>
          <w:szCs w:val="18"/>
          <w:lang w:val="en-GB"/>
        </w:rPr>
        <w:t>As at the end of the quarter</w:t>
      </w:r>
    </w:p>
    <w:p w14:paraId="029957EE" w14:textId="406CC44A" w:rsidR="00E2769D" w:rsidRDefault="00E2769D" w:rsidP="00E2769D">
      <w:pPr>
        <w:pStyle w:val="tytuwykresu"/>
        <w:spacing w:before="0" w:after="0"/>
        <w:rPr>
          <w:b w:val="0"/>
          <w:szCs w:val="18"/>
          <w:lang w:val="en-GB"/>
        </w:rPr>
      </w:pPr>
    </w:p>
    <w:p w14:paraId="077C997D" w14:textId="54EBE27C" w:rsidR="009849B0" w:rsidRPr="0079649E" w:rsidRDefault="00CC1581" w:rsidP="009849B0">
      <w:pPr>
        <w:rPr>
          <w:rFonts w:eastAsia="Times New Roman"/>
          <w:szCs w:val="19"/>
          <w:lang w:val="en-GB" w:eastAsia="pl-PL"/>
        </w:rPr>
      </w:pPr>
      <w:r w:rsidRPr="00C628AD">
        <w:rPr>
          <w:noProof/>
          <w:highlight w:val="yellow"/>
          <w:lang w:eastAsia="pl-PL"/>
        </w:rPr>
        <mc:AlternateContent>
          <mc:Choice Requires="wps">
            <w:drawing>
              <wp:anchor distT="0" distB="0" distL="114300" distR="114300" simplePos="0" relativeHeight="251655168" behindDoc="0" locked="0" layoutInCell="1" allowOverlap="1" wp14:anchorId="67A6A1F8" wp14:editId="76F0AF60">
                <wp:simplePos x="0" y="0"/>
                <wp:positionH relativeFrom="page">
                  <wp:posOffset>5659997</wp:posOffset>
                </wp:positionH>
                <wp:positionV relativeFrom="paragraph">
                  <wp:posOffset>1020845</wp:posOffset>
                </wp:positionV>
                <wp:extent cx="1798320" cy="121920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0C10" w14:textId="733CD6A8" w:rsidR="00AA0129" w:rsidRPr="0079649E" w:rsidRDefault="00AA0129" w:rsidP="007F4A54">
                            <w:pPr>
                              <w:spacing w:before="0"/>
                              <w:rPr>
                                <w:bCs/>
                                <w:color w:val="001D77"/>
                                <w:sz w:val="18"/>
                                <w:szCs w:val="18"/>
                                <w:lang w:val="en-GB"/>
                              </w:rPr>
                            </w:pPr>
                            <w:r w:rsidRPr="0079649E">
                              <w:rPr>
                                <w:bCs/>
                                <w:color w:val="001D77"/>
                                <w:sz w:val="18"/>
                                <w:szCs w:val="18"/>
                                <w:lang w:val="en-GB"/>
                              </w:rPr>
                              <w:t>In the third quarter of 2021, job vacancies were offered primarily to professionals (22.7%), craft and related trades workers (22.4%) and plant and machine operators and assemblers (17.5%)</w:t>
                            </w:r>
                          </w:p>
                          <w:p w14:paraId="74A6894B" w14:textId="77777777" w:rsidR="00AA0129" w:rsidRPr="0079649E" w:rsidRDefault="00AA0129" w:rsidP="002F2EF8">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A6A1F8" id="_x0000_s1031" type="#_x0000_t202" style="position:absolute;margin-left:445.65pt;margin-top:80.4pt;width:141.6pt;height:9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J2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" filled="f" stroked="f">
                <v:textbox>
                  <w:txbxContent>
                    <w:p w14:paraId="44470C10" w14:textId="733CD6A8" w:rsidR="00AA0129" w:rsidRPr="0079649E" w:rsidRDefault="00AA0129" w:rsidP="007F4A54">
                      <w:pPr>
                        <w:spacing w:before="0"/>
                        <w:rPr>
                          <w:bCs/>
                          <w:color w:val="001D77"/>
                          <w:sz w:val="18"/>
                          <w:szCs w:val="18"/>
                          <w:lang w:val="en-GB"/>
                        </w:rPr>
                      </w:pPr>
                      <w:r w:rsidRPr="0079649E">
                        <w:rPr>
                          <w:bCs/>
                          <w:color w:val="001D77"/>
                          <w:sz w:val="18"/>
                          <w:szCs w:val="18"/>
                          <w:lang w:val="en-GB"/>
                        </w:rPr>
                        <w:t>In the third quarter of 2021, job vacancies were offered primarily to professionals (22.7%), craft and related trades workers (22.4%) and plant and machine operators and assemblers (17.5%)</w:t>
                      </w:r>
                    </w:p>
                    <w:p w14:paraId="74A6894B" w14:textId="77777777" w:rsidR="00AA0129" w:rsidRPr="0079649E" w:rsidRDefault="00AA0129" w:rsidP="002F2EF8">
                      <w:pPr>
                        <w:spacing w:before="0"/>
                        <w:rPr>
                          <w:bCs/>
                          <w:color w:val="001D77"/>
                          <w:sz w:val="18"/>
                          <w:szCs w:val="18"/>
                          <w:lang w:val="en-GB"/>
                        </w:rPr>
                      </w:pPr>
                    </w:p>
                  </w:txbxContent>
                </v:textbox>
                <w10:wrap anchorx="page"/>
              </v:shape>
            </w:pict>
          </mc:Fallback>
        </mc:AlternateContent>
      </w:r>
      <w:r w:rsidR="009849B0" w:rsidRPr="009849B0">
        <w:rPr>
          <w:rFonts w:eastAsia="Times New Roman"/>
          <w:szCs w:val="19"/>
          <w:lang w:val="en-GB" w:eastAsia="pl-PL"/>
        </w:rPr>
        <w:t>In</w:t>
      </w:r>
      <w:r w:rsidR="009849B0">
        <w:rPr>
          <w:rFonts w:eastAsia="Times New Roman"/>
          <w:szCs w:val="19"/>
          <w:lang w:val="en-GB" w:eastAsia="pl-PL"/>
        </w:rPr>
        <w:t xml:space="preserve"> the third quarter of this year the largest annual</w:t>
      </w:r>
      <w:r w:rsidR="009849B0" w:rsidRPr="009849B0">
        <w:rPr>
          <w:rFonts w:eastAsia="Times New Roman"/>
          <w:szCs w:val="19"/>
          <w:lang w:val="en-GB" w:eastAsia="pl-PL"/>
        </w:rPr>
        <w:t xml:space="preserve"> increase, more than threefold,</w:t>
      </w:r>
      <w:r w:rsidR="009849B0">
        <w:rPr>
          <w:rFonts w:eastAsia="Times New Roman"/>
          <w:szCs w:val="19"/>
          <w:lang w:val="en-GB" w:eastAsia="pl-PL"/>
        </w:rPr>
        <w:t xml:space="preserve"> in the number of job vacancies </w:t>
      </w:r>
      <w:r w:rsidR="009849B0" w:rsidRPr="009849B0">
        <w:rPr>
          <w:rFonts w:eastAsia="Times New Roman"/>
          <w:szCs w:val="19"/>
          <w:lang w:val="en-GB" w:eastAsia="pl-PL"/>
        </w:rPr>
        <w:t>occurre</w:t>
      </w:r>
      <w:r w:rsidR="009849B0">
        <w:rPr>
          <w:rFonts w:eastAsia="Times New Roman"/>
          <w:szCs w:val="19"/>
          <w:lang w:val="en-GB" w:eastAsia="pl-PL"/>
        </w:rPr>
        <w:t>d in the</w:t>
      </w:r>
      <w:r w:rsidR="009849B0" w:rsidRPr="0030567C">
        <w:rPr>
          <w:lang w:val="en-GB"/>
        </w:rPr>
        <w:t xml:space="preserve"> </w:t>
      </w:r>
      <w:r w:rsidR="009849B0" w:rsidRPr="009849B0">
        <w:rPr>
          <w:rFonts w:eastAsia="Times New Roman"/>
          <w:szCs w:val="19"/>
          <w:lang w:val="en-GB" w:eastAsia="pl-PL"/>
        </w:rPr>
        <w:t>accommodation and catering</w:t>
      </w:r>
      <w:r w:rsidR="009849B0" w:rsidRPr="009849B0">
        <w:rPr>
          <w:rFonts w:eastAsia="Times New Roman"/>
          <w:szCs w:val="19"/>
          <w:vertAlign w:val="superscript"/>
          <w:lang w:val="en-GB" w:eastAsia="pl-PL"/>
        </w:rPr>
        <w:t xml:space="preserve">∆ </w:t>
      </w:r>
      <w:r w:rsidR="009849B0" w:rsidRPr="009849B0">
        <w:rPr>
          <w:rFonts w:eastAsia="Times New Roman"/>
          <w:szCs w:val="19"/>
          <w:lang w:val="en-GB" w:eastAsia="pl-PL"/>
        </w:rPr>
        <w:t>section, and in the ca</w:t>
      </w:r>
      <w:r w:rsidR="00B404E7">
        <w:rPr>
          <w:rFonts w:eastAsia="Times New Roman"/>
          <w:szCs w:val="19"/>
          <w:lang w:val="en-GB" w:eastAsia="pl-PL"/>
        </w:rPr>
        <w:t>se of vacant newly created jobs</w:t>
      </w:r>
      <w:r w:rsidR="009849B0" w:rsidRPr="009849B0">
        <w:rPr>
          <w:rFonts w:eastAsia="Times New Roman"/>
          <w:szCs w:val="19"/>
          <w:lang w:val="en-GB" w:eastAsia="pl-PL"/>
        </w:rPr>
        <w:t xml:space="preserve"> the increase was almost sevenfold. The section with a significant increase in </w:t>
      </w:r>
      <w:r w:rsidR="009849B0">
        <w:rPr>
          <w:rFonts w:eastAsia="Times New Roman"/>
          <w:szCs w:val="19"/>
          <w:lang w:val="en-GB" w:eastAsia="pl-PL"/>
        </w:rPr>
        <w:t>the number of jobs was the</w:t>
      </w:r>
      <w:r w:rsidR="009849B0" w:rsidRPr="009849B0">
        <w:rPr>
          <w:rFonts w:eastAsia="Times New Roman"/>
          <w:szCs w:val="19"/>
          <w:lang w:val="en-GB" w:eastAsia="pl-PL"/>
        </w:rPr>
        <w:t xml:space="preserve"> information and communication</w:t>
      </w:r>
      <w:r w:rsidR="009849B0">
        <w:rPr>
          <w:rFonts w:eastAsia="Times New Roman"/>
          <w:szCs w:val="19"/>
          <w:lang w:val="en-GB" w:eastAsia="pl-PL"/>
        </w:rPr>
        <w:t xml:space="preserve"> section</w:t>
      </w:r>
      <w:r w:rsidR="009849B0" w:rsidRPr="009849B0">
        <w:rPr>
          <w:rFonts w:eastAsia="Times New Roman"/>
          <w:szCs w:val="19"/>
          <w:lang w:val="en-GB" w:eastAsia="pl-PL"/>
        </w:rPr>
        <w:t xml:space="preserve">. Compared to the third quarter of 2020, </w:t>
      </w:r>
      <w:r w:rsidR="009849B0">
        <w:rPr>
          <w:rFonts w:eastAsia="Times New Roman"/>
          <w:szCs w:val="19"/>
          <w:lang w:val="en-GB" w:eastAsia="pl-PL"/>
        </w:rPr>
        <w:t xml:space="preserve">the number of </w:t>
      </w:r>
      <w:r w:rsidR="009849B0" w:rsidRPr="009849B0">
        <w:rPr>
          <w:rFonts w:eastAsia="Times New Roman"/>
          <w:szCs w:val="19"/>
          <w:lang w:val="en-GB" w:eastAsia="pl-PL"/>
        </w:rPr>
        <w:t>job vacancies increased by 154.1%, and</w:t>
      </w:r>
      <w:r w:rsidR="009849B0">
        <w:rPr>
          <w:rFonts w:eastAsia="Times New Roman"/>
          <w:szCs w:val="19"/>
          <w:lang w:val="en-GB" w:eastAsia="pl-PL"/>
        </w:rPr>
        <w:t xml:space="preserve"> the number of vacant newly created</w:t>
      </w:r>
      <w:r w:rsidR="009849B0" w:rsidRPr="009849B0">
        <w:rPr>
          <w:rFonts w:eastAsia="Times New Roman"/>
          <w:szCs w:val="19"/>
          <w:lang w:val="en-GB" w:eastAsia="pl-PL"/>
        </w:rPr>
        <w:t xml:space="preserve"> </w:t>
      </w:r>
      <w:r w:rsidR="009849B0">
        <w:rPr>
          <w:rFonts w:eastAsia="Times New Roman"/>
          <w:szCs w:val="19"/>
          <w:lang w:val="en-GB" w:eastAsia="pl-PL"/>
        </w:rPr>
        <w:t>jobs –</w:t>
      </w:r>
      <w:r w:rsidR="009849B0" w:rsidRPr="009849B0">
        <w:rPr>
          <w:rFonts w:eastAsia="Times New Roman"/>
          <w:szCs w:val="19"/>
          <w:lang w:val="en-GB" w:eastAsia="pl-PL"/>
        </w:rPr>
        <w:t xml:space="preserve"> by 244.1%.</w:t>
      </w:r>
    </w:p>
    <w:p w14:paraId="3644FDB8" w14:textId="7B6A8495" w:rsidR="003770F4" w:rsidRPr="00551EAA" w:rsidRDefault="00AA0129" w:rsidP="003770F4">
      <w:pPr>
        <w:rPr>
          <w:rFonts w:eastAsia="Times New Roman"/>
          <w:szCs w:val="19"/>
          <w:lang w:val="en-GB" w:eastAsia="pl-PL"/>
        </w:rPr>
      </w:pPr>
      <w:r w:rsidRPr="0079649E">
        <w:rPr>
          <w:rFonts w:eastAsia="Times New Roman"/>
          <w:szCs w:val="19"/>
          <w:lang w:val="en-GB" w:eastAsia="pl-PL"/>
        </w:rPr>
        <w:t>The analysis of the results of the Labo</w:t>
      </w:r>
      <w:r w:rsidR="00B853C9" w:rsidRPr="0079649E">
        <w:rPr>
          <w:rFonts w:eastAsia="Times New Roman"/>
          <w:szCs w:val="19"/>
          <w:lang w:val="en-GB" w:eastAsia="pl-PL"/>
        </w:rPr>
        <w:t>u</w:t>
      </w:r>
      <w:r w:rsidRPr="0079649E">
        <w:rPr>
          <w:rFonts w:eastAsia="Times New Roman"/>
          <w:szCs w:val="19"/>
          <w:lang w:val="en-GB" w:eastAsia="pl-PL"/>
        </w:rPr>
        <w:t xml:space="preserve">r Demand Survey for the third quarter of 2021 broken down by </w:t>
      </w:r>
      <w:r w:rsidRPr="0079649E">
        <w:rPr>
          <w:rFonts w:eastAsia="Times New Roman"/>
          <w:b/>
          <w:szCs w:val="19"/>
          <w:lang w:val="en-GB" w:eastAsia="pl-PL"/>
        </w:rPr>
        <w:t>major occupational group</w:t>
      </w:r>
      <w:r>
        <w:rPr>
          <w:rStyle w:val="Odwoanieprzypisudolnego"/>
          <w:rFonts w:eastAsia="Times New Roman"/>
          <w:szCs w:val="19"/>
          <w:lang w:eastAsia="pl-PL"/>
        </w:rPr>
        <w:footnoteReference w:id="1"/>
      </w:r>
      <w:r w:rsidRPr="0079649E">
        <w:rPr>
          <w:rFonts w:eastAsia="Times New Roman"/>
          <w:szCs w:val="19"/>
          <w:lang w:val="en-GB" w:eastAsia="pl-PL"/>
        </w:rPr>
        <w:t xml:space="preserve"> shows that the number of job vacancies in all occupational groups increa</w:t>
      </w:r>
      <w:r w:rsidR="00C06888" w:rsidRPr="0079649E">
        <w:rPr>
          <w:rFonts w:eastAsia="Times New Roman"/>
          <w:szCs w:val="19"/>
          <w:lang w:val="en-GB" w:eastAsia="pl-PL"/>
        </w:rPr>
        <w:t>sed over a year's time</w:t>
      </w:r>
      <w:r w:rsidRPr="0079649E">
        <w:rPr>
          <w:rFonts w:eastAsia="Times New Roman"/>
          <w:szCs w:val="19"/>
          <w:lang w:val="en-GB" w:eastAsia="pl-PL"/>
        </w:rPr>
        <w:t xml:space="preserve">. Among the entities with </w:t>
      </w:r>
      <w:r w:rsidR="00C06888" w:rsidRPr="0079649E">
        <w:rPr>
          <w:rFonts w:eastAsia="Times New Roman"/>
          <w:szCs w:val="19"/>
          <w:lang w:val="en-GB" w:eastAsia="pl-PL"/>
        </w:rPr>
        <w:t>job vacancies, the most in-demand</w:t>
      </w:r>
      <w:r w:rsidRPr="0079649E">
        <w:rPr>
          <w:rFonts w:eastAsia="Times New Roman"/>
          <w:szCs w:val="19"/>
          <w:lang w:val="en-GB" w:eastAsia="pl-PL"/>
        </w:rPr>
        <w:t xml:space="preserve"> gr</w:t>
      </w:r>
      <w:r w:rsidR="00C06888" w:rsidRPr="0079649E">
        <w:rPr>
          <w:rFonts w:eastAsia="Times New Roman"/>
          <w:szCs w:val="19"/>
          <w:lang w:val="en-GB" w:eastAsia="pl-PL"/>
        </w:rPr>
        <w:t>oup were professionals</w:t>
      </w:r>
      <w:r w:rsidRPr="0079649E">
        <w:rPr>
          <w:rFonts w:eastAsia="Times New Roman"/>
          <w:szCs w:val="19"/>
          <w:lang w:val="en-GB" w:eastAsia="pl-PL"/>
        </w:rPr>
        <w:t xml:space="preserve"> (34.9 thousand </w:t>
      </w:r>
      <w:r w:rsidR="00C06888" w:rsidRPr="0079649E">
        <w:rPr>
          <w:rFonts w:eastAsia="Times New Roman"/>
          <w:szCs w:val="19"/>
          <w:lang w:val="en-GB" w:eastAsia="pl-PL"/>
        </w:rPr>
        <w:t xml:space="preserve">job </w:t>
      </w:r>
      <w:r w:rsidRPr="0079649E">
        <w:rPr>
          <w:rFonts w:eastAsia="Times New Roman"/>
          <w:szCs w:val="19"/>
          <w:lang w:val="en-GB" w:eastAsia="pl-PL"/>
        </w:rPr>
        <w:t xml:space="preserve">vacancies, of which 29.7% were newly created jobs). The </w:t>
      </w:r>
      <w:r w:rsidRPr="00294D9C">
        <w:rPr>
          <w:rFonts w:eastAsia="Times New Roman"/>
          <w:szCs w:val="19"/>
          <w:lang w:val="en-GB" w:eastAsia="pl-PL"/>
        </w:rPr>
        <w:t>number of job vacan</w:t>
      </w:r>
      <w:r w:rsidR="00C06888" w:rsidRPr="00294D9C">
        <w:rPr>
          <w:rFonts w:eastAsia="Times New Roman"/>
          <w:szCs w:val="19"/>
          <w:lang w:val="en-GB" w:eastAsia="pl-PL"/>
        </w:rPr>
        <w:t xml:space="preserve">cies </w:t>
      </w:r>
      <w:r w:rsidR="00294D9C" w:rsidRPr="00294D9C">
        <w:rPr>
          <w:rFonts w:eastAsia="Times New Roman"/>
          <w:szCs w:val="19"/>
          <w:lang w:val="en-GB" w:eastAsia="pl-PL"/>
        </w:rPr>
        <w:t>in this occupational group</w:t>
      </w:r>
      <w:r w:rsidR="00C06888" w:rsidRPr="00294D9C">
        <w:rPr>
          <w:rFonts w:eastAsia="Times New Roman"/>
          <w:szCs w:val="19"/>
          <w:lang w:val="en-GB" w:eastAsia="pl-PL"/>
        </w:rPr>
        <w:t xml:space="preserve"> increased by 71.7% over a year's time.</w:t>
      </w:r>
    </w:p>
    <w:p w14:paraId="7F82E069" w14:textId="0A84F1BC" w:rsidR="00B14F41" w:rsidRPr="0079649E" w:rsidRDefault="00B404E7" w:rsidP="00B14F41">
      <w:pPr>
        <w:rPr>
          <w:lang w:val="en-GB"/>
        </w:rPr>
      </w:pPr>
      <w:r>
        <w:rPr>
          <w:lang w:val="en-GB"/>
        </w:rPr>
        <w:t>In the analysed period, an</w:t>
      </w:r>
      <w:r w:rsidR="006D00FE">
        <w:rPr>
          <w:lang w:val="en-GB"/>
        </w:rPr>
        <w:t xml:space="preserve"> increase in the number of job vacancies higher than that recorded for professionals, i.e. amounting to</w:t>
      </w:r>
      <w:r w:rsidR="00B14F41" w:rsidRPr="00B14F41">
        <w:rPr>
          <w:lang w:val="en-GB"/>
        </w:rPr>
        <w:t xml:space="preserve"> 88.9%, </w:t>
      </w:r>
      <w:r w:rsidR="00B14F41">
        <w:rPr>
          <w:lang w:val="en-GB"/>
        </w:rPr>
        <w:t>was recorded for a major occupational group plant and machine operators and assemblers</w:t>
      </w:r>
      <w:r w:rsidR="006D00FE">
        <w:rPr>
          <w:lang w:val="en-GB"/>
        </w:rPr>
        <w:t>.</w:t>
      </w:r>
      <w:r w:rsidR="00551EAA">
        <w:rPr>
          <w:lang w:val="en-GB"/>
        </w:rPr>
        <w:t xml:space="preserve"> </w:t>
      </w:r>
      <w:r w:rsidR="00B14F41" w:rsidRPr="00B14F41">
        <w:rPr>
          <w:lang w:val="en-GB"/>
        </w:rPr>
        <w:t>In the third quarter of</w:t>
      </w:r>
      <w:r w:rsidR="006D00FE">
        <w:rPr>
          <w:lang w:val="en-GB"/>
        </w:rPr>
        <w:t xml:space="preserve"> 2021, there were 26.8 thousand</w:t>
      </w:r>
      <w:r w:rsidR="00B14F41" w:rsidRPr="00B14F41">
        <w:rPr>
          <w:lang w:val="en-GB"/>
        </w:rPr>
        <w:t xml:space="preserve"> job vacancies</w:t>
      </w:r>
      <w:r w:rsidR="006D00FE">
        <w:rPr>
          <w:lang w:val="en-GB"/>
        </w:rPr>
        <w:t xml:space="preserve"> for this occupational group</w:t>
      </w:r>
      <w:r w:rsidR="00B14F41" w:rsidRPr="00B14F41">
        <w:rPr>
          <w:lang w:val="en-GB"/>
        </w:rPr>
        <w:t xml:space="preserve"> (17.5% of </w:t>
      </w:r>
      <w:r w:rsidR="00551EAA">
        <w:rPr>
          <w:lang w:val="en-GB"/>
        </w:rPr>
        <w:t xml:space="preserve">the </w:t>
      </w:r>
      <w:r w:rsidR="00B14F41" w:rsidRPr="00B14F41">
        <w:rPr>
          <w:lang w:val="en-GB"/>
        </w:rPr>
        <w:t xml:space="preserve">total </w:t>
      </w:r>
      <w:r w:rsidR="00551EAA">
        <w:rPr>
          <w:lang w:val="en-GB"/>
        </w:rPr>
        <w:t xml:space="preserve">number of </w:t>
      </w:r>
      <w:r w:rsidR="006D00FE">
        <w:rPr>
          <w:lang w:val="en-GB"/>
        </w:rPr>
        <w:t>job vacancies). In the analys</w:t>
      </w:r>
      <w:r w:rsidR="00B14F41" w:rsidRPr="00B14F41">
        <w:rPr>
          <w:lang w:val="en-GB"/>
        </w:rPr>
        <w:t xml:space="preserve">ed quarter, more job vacancies than </w:t>
      </w:r>
      <w:r w:rsidR="006D00FE">
        <w:rPr>
          <w:lang w:val="en-GB"/>
        </w:rPr>
        <w:t xml:space="preserve">for </w:t>
      </w:r>
      <w:r w:rsidR="00B14F41" w:rsidRPr="00B14F41">
        <w:rPr>
          <w:lang w:val="en-GB"/>
        </w:rPr>
        <w:t xml:space="preserve">the </w:t>
      </w:r>
      <w:r w:rsidR="006D00FE">
        <w:rPr>
          <w:lang w:val="en-GB"/>
        </w:rPr>
        <w:t>latter group</w:t>
      </w:r>
      <w:r w:rsidR="00B14F41" w:rsidRPr="00B14F41">
        <w:rPr>
          <w:lang w:val="en-GB"/>
        </w:rPr>
        <w:t xml:space="preserve"> (34.4 thous</w:t>
      </w:r>
      <w:r w:rsidR="00551EAA">
        <w:rPr>
          <w:lang w:val="en-GB"/>
        </w:rPr>
        <w:t>and jobs) were also intended for</w:t>
      </w:r>
      <w:r w:rsidR="00B14F41" w:rsidRPr="00B14F41">
        <w:rPr>
          <w:lang w:val="en-GB"/>
        </w:rPr>
        <w:t xml:space="preserve"> </w:t>
      </w:r>
      <w:r w:rsidR="00551EAA">
        <w:rPr>
          <w:lang w:val="en-GB"/>
        </w:rPr>
        <w:t>craft and related trades workers</w:t>
      </w:r>
      <w:r w:rsidR="00B14F41" w:rsidRPr="00B14F41">
        <w:rPr>
          <w:lang w:val="en-GB"/>
        </w:rPr>
        <w:t xml:space="preserve"> (22.4% of the total number of job vacancies). Over the year, their number increased by 60.6%.</w:t>
      </w:r>
    </w:p>
    <w:p w14:paraId="52AECBE9" w14:textId="77777777" w:rsidR="008C4F99" w:rsidRDefault="008C4F99" w:rsidP="00883BFA">
      <w:pPr>
        <w:rPr>
          <w:rFonts w:eastAsia="Times New Roman"/>
          <w:szCs w:val="19"/>
          <w:highlight w:val="yellow"/>
          <w:lang w:val="en-GB" w:eastAsia="pl-PL"/>
        </w:rPr>
      </w:pPr>
    </w:p>
    <w:p w14:paraId="0FC63A56" w14:textId="77777777" w:rsidR="003770F4" w:rsidRDefault="003770F4" w:rsidP="00883BFA">
      <w:pPr>
        <w:rPr>
          <w:rFonts w:eastAsia="Times New Roman"/>
          <w:szCs w:val="19"/>
          <w:highlight w:val="yellow"/>
          <w:lang w:val="en-GB" w:eastAsia="pl-PL"/>
        </w:rPr>
      </w:pPr>
    </w:p>
    <w:p w14:paraId="42B8BB73" w14:textId="77777777" w:rsidR="003770F4" w:rsidRDefault="003770F4" w:rsidP="00883BFA">
      <w:pPr>
        <w:rPr>
          <w:rFonts w:eastAsia="Times New Roman"/>
          <w:szCs w:val="19"/>
          <w:highlight w:val="yellow"/>
          <w:lang w:val="en-GB" w:eastAsia="pl-PL"/>
        </w:rPr>
      </w:pPr>
    </w:p>
    <w:p w14:paraId="16D1886F" w14:textId="132005D3" w:rsidR="00406F16" w:rsidRPr="0079649E" w:rsidRDefault="0030567C" w:rsidP="0030567C">
      <w:pPr>
        <w:pStyle w:val="tytuwykresu"/>
        <w:ind w:left="652" w:hanging="652"/>
        <w:rPr>
          <w:spacing w:val="-4"/>
          <w:szCs w:val="18"/>
          <w:lang w:val="en-GB"/>
        </w:rPr>
      </w:pPr>
      <w:r>
        <w:rPr>
          <w:noProof/>
          <w:lang w:eastAsia="pl-PL"/>
        </w:rPr>
        <w:lastRenderedPageBreak/>
        <w:drawing>
          <wp:anchor distT="0" distB="0" distL="114300" distR="114300" simplePos="0" relativeHeight="251698176" behindDoc="0" locked="0" layoutInCell="1" allowOverlap="1" wp14:anchorId="0DD6F495" wp14:editId="18A2524C">
            <wp:simplePos x="0" y="0"/>
            <wp:positionH relativeFrom="column">
              <wp:posOffset>3810</wp:posOffset>
            </wp:positionH>
            <wp:positionV relativeFrom="paragraph">
              <wp:posOffset>530860</wp:posOffset>
            </wp:positionV>
            <wp:extent cx="5122545" cy="518414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wy_schemat_ang.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2545" cy="5184140"/>
                    </a:xfrm>
                    <a:prstGeom prst="rect">
                      <a:avLst/>
                    </a:prstGeom>
                  </pic:spPr>
                </pic:pic>
              </a:graphicData>
            </a:graphic>
            <wp14:sizeRelH relativeFrom="margin">
              <wp14:pctWidth>0</wp14:pctWidth>
            </wp14:sizeRelH>
            <wp14:sizeRelV relativeFrom="margin">
              <wp14:pctHeight>0</wp14:pctHeight>
            </wp14:sizeRelV>
          </wp:anchor>
        </w:drawing>
      </w:r>
      <w:r w:rsidR="00F50F6C" w:rsidRPr="0079649E">
        <w:rPr>
          <w:spacing w:val="-4"/>
          <w:szCs w:val="18"/>
          <w:lang w:val="en-GB"/>
        </w:rPr>
        <w:t>Chart</w:t>
      </w:r>
      <w:r w:rsidR="002F2EF8" w:rsidRPr="0079649E">
        <w:rPr>
          <w:spacing w:val="-4"/>
          <w:szCs w:val="18"/>
          <w:lang w:val="en-GB"/>
        </w:rPr>
        <w:t xml:space="preserve"> </w:t>
      </w:r>
      <w:r w:rsidR="005E1A67" w:rsidRPr="0079649E">
        <w:rPr>
          <w:spacing w:val="-4"/>
          <w:szCs w:val="18"/>
          <w:lang w:val="en-GB"/>
        </w:rPr>
        <w:t>4</w:t>
      </w:r>
      <w:r w:rsidR="002F2EF8" w:rsidRPr="0079649E">
        <w:rPr>
          <w:spacing w:val="-4"/>
          <w:szCs w:val="18"/>
          <w:lang w:val="en-GB"/>
        </w:rPr>
        <w:t>.</w:t>
      </w:r>
      <w:r w:rsidR="00CF537D">
        <w:rPr>
          <w:spacing w:val="-4"/>
          <w:szCs w:val="18"/>
          <w:lang w:val="en-GB"/>
        </w:rPr>
        <w:t xml:space="preserve"> </w:t>
      </w:r>
      <w:r w:rsidR="00F50F6C" w:rsidRPr="0079649E">
        <w:rPr>
          <w:spacing w:val="-4"/>
          <w:szCs w:val="18"/>
          <w:lang w:val="en-GB"/>
        </w:rPr>
        <w:t>The structure of job vacancies and occupied jobs in Poland by major occupational group</w:t>
      </w:r>
      <w:r w:rsidR="00D6548F" w:rsidRPr="0079649E">
        <w:rPr>
          <w:spacing w:val="-4"/>
          <w:szCs w:val="18"/>
          <w:lang w:val="en-GB"/>
        </w:rPr>
        <w:t xml:space="preserve"> and ownership sector in the third quarter of 2021</w:t>
      </w:r>
      <w:r w:rsidR="00A90433" w:rsidRPr="0079649E">
        <w:rPr>
          <w:spacing w:val="0"/>
          <w:szCs w:val="18"/>
          <w:lang w:val="en-GB"/>
        </w:rPr>
        <w:br/>
      </w:r>
      <w:r w:rsidR="00D6548F" w:rsidRPr="0079649E">
        <w:rPr>
          <w:b w:val="0"/>
          <w:spacing w:val="0"/>
          <w:szCs w:val="18"/>
          <w:lang w:val="en-GB"/>
        </w:rPr>
        <w:t>As at the end of the quarter</w:t>
      </w:r>
    </w:p>
    <w:p w14:paraId="7F6BB52E" w14:textId="4A403322" w:rsidR="00116C1A" w:rsidRPr="0030567C" w:rsidRDefault="00116C1A" w:rsidP="005C632C">
      <w:pPr>
        <w:spacing w:line="240" w:lineRule="auto"/>
        <w:jc w:val="center"/>
        <w:rPr>
          <w:lang w:val="en-GB"/>
        </w:rPr>
      </w:pPr>
    </w:p>
    <w:p w14:paraId="6212A204" w14:textId="41A450A8" w:rsidR="002914DD" w:rsidRPr="0079649E" w:rsidRDefault="006F0FF2" w:rsidP="009154E3">
      <w:pPr>
        <w:spacing w:before="240" w:line="240" w:lineRule="auto"/>
        <w:jc w:val="both"/>
        <w:rPr>
          <w:rFonts w:ascii="Fira Sans SemiBold" w:hAnsi="Fira Sans SemiBold"/>
          <w:color w:val="001D77"/>
          <w:lang w:val="en-GB"/>
        </w:rPr>
      </w:pPr>
      <w:r w:rsidRPr="0079649E">
        <w:rPr>
          <w:rFonts w:ascii="Fira Sans SemiBold" w:hAnsi="Fira Sans SemiBold"/>
          <w:color w:val="001D77"/>
          <w:lang w:val="en-GB"/>
        </w:rPr>
        <w:t xml:space="preserve">Newly created and </w:t>
      </w:r>
      <w:r w:rsidRPr="0009005E">
        <w:rPr>
          <w:rFonts w:ascii="Fira Sans SemiBold" w:hAnsi="Fira Sans SemiBold"/>
          <w:color w:val="001D77"/>
          <w:lang w:val="en-GB"/>
        </w:rPr>
        <w:t>liquidated jobs</w:t>
      </w:r>
      <w:r w:rsidR="0009005E" w:rsidRPr="0009005E">
        <w:rPr>
          <w:rFonts w:ascii="Fira Sans SemiBold" w:hAnsi="Fira Sans SemiBold"/>
          <w:color w:val="001D77"/>
          <w:lang w:val="en-GB"/>
        </w:rPr>
        <w:t xml:space="preserve"> during the third quarter of 2021</w:t>
      </w:r>
    </w:p>
    <w:p w14:paraId="7FDE5A7A" w14:textId="57B713CC" w:rsidR="00CC1581" w:rsidRPr="0079649E" w:rsidRDefault="00E77402" w:rsidP="006F0FF2">
      <w:pPr>
        <w:rPr>
          <w:szCs w:val="19"/>
          <w:lang w:val="en-GB"/>
        </w:rPr>
      </w:pPr>
      <w:r>
        <w:rPr>
          <w:noProof/>
          <w:lang w:eastAsia="pl-PL"/>
        </w:rPr>
        <mc:AlternateContent>
          <mc:Choice Requires="wps">
            <w:drawing>
              <wp:anchor distT="0" distB="0" distL="114300" distR="114300" simplePos="0" relativeHeight="251657216" behindDoc="0" locked="0" layoutInCell="1" allowOverlap="1" wp14:anchorId="47E1D915" wp14:editId="04380995">
                <wp:simplePos x="0" y="0"/>
                <wp:positionH relativeFrom="page">
                  <wp:posOffset>5669335</wp:posOffset>
                </wp:positionH>
                <wp:positionV relativeFrom="paragraph">
                  <wp:posOffset>668854</wp:posOffset>
                </wp:positionV>
                <wp:extent cx="1762125" cy="1296062"/>
                <wp:effectExtent l="0" t="0" r="0" b="0"/>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6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1A4C9" w14:textId="3A8A95C0" w:rsidR="00C628AD" w:rsidRPr="0079649E" w:rsidRDefault="00B620B6" w:rsidP="00C628AD">
                            <w:pPr>
                              <w:spacing w:before="0"/>
                              <w:rPr>
                                <w:bCs/>
                                <w:color w:val="001D77"/>
                                <w:sz w:val="18"/>
                                <w:szCs w:val="18"/>
                                <w:lang w:val="en-GB"/>
                              </w:rPr>
                            </w:pPr>
                            <w:r w:rsidRPr="00570D5F">
                              <w:rPr>
                                <w:bCs/>
                                <w:color w:val="002060"/>
                                <w:sz w:val="18"/>
                                <w:szCs w:val="18"/>
                                <w:lang w:val="en-GB"/>
                              </w:rPr>
                              <w:t>In the third quarter of 2021, an annual increase in the number of newly created jobs and an annual decrease in the number of liquidated jobs were recorded</w:t>
                            </w:r>
                            <w:r w:rsidR="00C628AD" w:rsidRPr="00570D5F">
                              <w:rPr>
                                <w:bCs/>
                                <w:color w:val="002060"/>
                                <w:sz w:val="18"/>
                                <w:szCs w:val="18"/>
                                <w:lang w:val="en-GB"/>
                              </w:rPr>
                              <w:t>. T</w:t>
                            </w:r>
                            <w:r w:rsidR="00C628AD" w:rsidRPr="00570D5F">
                              <w:rPr>
                                <w:bCs/>
                                <w:color w:val="001D77"/>
                                <w:sz w:val="18"/>
                                <w:szCs w:val="18"/>
                                <w:lang w:val="en-GB"/>
                              </w:rPr>
                              <w:t>here were 2.3 newly created jobs per liquidated job</w:t>
                            </w:r>
                          </w:p>
                          <w:p w14:paraId="48C4B6DB" w14:textId="160E8CF1" w:rsidR="00AA0129" w:rsidRPr="0079649E" w:rsidRDefault="00AA0129" w:rsidP="00A2001D">
                            <w:pPr>
                              <w:spacing w:before="0"/>
                              <w:rPr>
                                <w:bCs/>
                                <w:color w:val="00206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E1D915" id="_x0000_s1032" type="#_x0000_t202" style="position:absolute;margin-left:446.4pt;margin-top:52.65pt;width:138.75pt;height:10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wtug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" filled="f" stroked="f">
                <v:textbox>
                  <w:txbxContent>
                    <w:p w14:paraId="4741A4C9" w14:textId="3A8A95C0" w:rsidR="00C628AD" w:rsidRPr="0079649E" w:rsidRDefault="00B620B6" w:rsidP="00C628AD">
                      <w:pPr>
                        <w:spacing w:before="0"/>
                        <w:rPr>
                          <w:bCs/>
                          <w:color w:val="001D77"/>
                          <w:sz w:val="18"/>
                          <w:szCs w:val="18"/>
                          <w:lang w:val="en-GB"/>
                        </w:rPr>
                      </w:pPr>
                      <w:r w:rsidRPr="00570D5F">
                        <w:rPr>
                          <w:bCs/>
                          <w:color w:val="002060"/>
                          <w:sz w:val="18"/>
                          <w:szCs w:val="18"/>
                          <w:lang w:val="en-GB"/>
                        </w:rPr>
                        <w:t>In the third quarter of 2021, an annual increase in the number of newly created jobs and an annual decrease in the number of liquidated jobs were recorded</w:t>
                      </w:r>
                      <w:r w:rsidR="00C628AD" w:rsidRPr="00570D5F">
                        <w:rPr>
                          <w:bCs/>
                          <w:color w:val="002060"/>
                          <w:sz w:val="18"/>
                          <w:szCs w:val="18"/>
                          <w:lang w:val="en-GB"/>
                        </w:rPr>
                        <w:t>. T</w:t>
                      </w:r>
                      <w:r w:rsidR="00C628AD" w:rsidRPr="00570D5F">
                        <w:rPr>
                          <w:bCs/>
                          <w:color w:val="001D77"/>
                          <w:sz w:val="18"/>
                          <w:szCs w:val="18"/>
                          <w:lang w:val="en-GB"/>
                        </w:rPr>
                        <w:t>here were 2.3 newly created jobs per liquidated job</w:t>
                      </w:r>
                    </w:p>
                    <w:p w14:paraId="48C4B6DB" w14:textId="160E8CF1" w:rsidR="00AA0129" w:rsidRPr="0079649E" w:rsidRDefault="00AA0129" w:rsidP="00A2001D">
                      <w:pPr>
                        <w:spacing w:before="0"/>
                        <w:rPr>
                          <w:bCs/>
                          <w:color w:val="002060"/>
                          <w:sz w:val="18"/>
                          <w:szCs w:val="18"/>
                          <w:lang w:val="en-GB"/>
                        </w:rPr>
                      </w:pPr>
                    </w:p>
                  </w:txbxContent>
                </v:textbox>
                <w10:wrap anchorx="page"/>
              </v:shape>
            </w:pict>
          </mc:Fallback>
        </mc:AlternateContent>
      </w:r>
      <w:r w:rsidR="006F0FF2" w:rsidRPr="00502ED3">
        <w:rPr>
          <w:szCs w:val="19"/>
          <w:lang w:val="en-GB"/>
        </w:rPr>
        <w:t xml:space="preserve">The Labour Demand Survey also enables to analyse </w:t>
      </w:r>
      <w:r w:rsidR="00502ED3" w:rsidRPr="00502ED3">
        <w:rPr>
          <w:szCs w:val="19"/>
          <w:lang w:val="en-GB"/>
        </w:rPr>
        <w:t xml:space="preserve">the situation on the labour market </w:t>
      </w:r>
      <w:r w:rsidR="006F0FF2" w:rsidRPr="00502ED3">
        <w:rPr>
          <w:szCs w:val="19"/>
          <w:lang w:val="en-GB"/>
        </w:rPr>
        <w:t xml:space="preserve">in terms of the number of </w:t>
      </w:r>
      <w:r w:rsidR="006F0FF2" w:rsidRPr="00502ED3">
        <w:rPr>
          <w:b/>
          <w:szCs w:val="19"/>
          <w:lang w:val="en-GB"/>
        </w:rPr>
        <w:t>newly created jobs</w:t>
      </w:r>
      <w:r w:rsidR="006F0FF2" w:rsidRPr="00502ED3">
        <w:rPr>
          <w:szCs w:val="19"/>
          <w:lang w:val="en-GB"/>
        </w:rPr>
        <w:t xml:space="preserve"> (resulting from organisational changes, expansion or change in the business profile and all jobs in newly created units) and </w:t>
      </w:r>
      <w:r w:rsidR="006F0FF2" w:rsidRPr="00502ED3">
        <w:rPr>
          <w:b/>
          <w:szCs w:val="19"/>
          <w:lang w:val="en-GB"/>
        </w:rPr>
        <w:t>liquidated jobs</w:t>
      </w:r>
      <w:r w:rsidR="006F0FF2" w:rsidRPr="00502ED3">
        <w:rPr>
          <w:szCs w:val="19"/>
          <w:lang w:val="en-GB"/>
        </w:rPr>
        <w:t xml:space="preserve"> (lost as a result of organisational changes, limiting or changing the business profile).</w:t>
      </w:r>
    </w:p>
    <w:p w14:paraId="3D832634" w14:textId="14DFEA74" w:rsidR="00C628AD" w:rsidRDefault="00F76E0F" w:rsidP="007719BF">
      <w:pPr>
        <w:rPr>
          <w:szCs w:val="19"/>
          <w:lang w:val="en-GB"/>
        </w:rPr>
      </w:pPr>
      <w:r w:rsidRPr="009704F9">
        <w:rPr>
          <w:noProof/>
          <w:lang w:eastAsia="pl-PL"/>
        </w:rPr>
        <mc:AlternateContent>
          <mc:Choice Requires="wps">
            <w:drawing>
              <wp:anchor distT="0" distB="0" distL="114300" distR="114300" simplePos="0" relativeHeight="251658240" behindDoc="0" locked="0" layoutInCell="1" allowOverlap="1" wp14:anchorId="61EF6CAE" wp14:editId="2A2ABDC0">
                <wp:simplePos x="0" y="0"/>
                <wp:positionH relativeFrom="page">
                  <wp:align>right</wp:align>
                </wp:positionH>
                <wp:positionV relativeFrom="paragraph">
                  <wp:posOffset>696595</wp:posOffset>
                </wp:positionV>
                <wp:extent cx="1828800" cy="581025"/>
                <wp:effectExtent l="0" t="0" r="0" b="9525"/>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DF86" w14:textId="110C0AFF" w:rsidR="00AA0129" w:rsidRPr="0079649E" w:rsidRDefault="00AA0129" w:rsidP="00A2001D">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EF6CAE" id="_x0000_s1034" type="#_x0000_t202" style="position:absolute;margin-left:92.8pt;margin-top:54.85pt;width:2in;height:45.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kBu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" filled="f" stroked="f">
                <v:textbox>
                  <w:txbxContent>
                    <w:p w14:paraId="6BB1DF86" w14:textId="110C0AFF" w:rsidR="00AA0129" w:rsidRPr="0079649E" w:rsidRDefault="00AA0129" w:rsidP="00A2001D">
                      <w:pPr>
                        <w:spacing w:before="0"/>
                        <w:rPr>
                          <w:bCs/>
                          <w:color w:val="001D77"/>
                          <w:sz w:val="18"/>
                          <w:szCs w:val="18"/>
                          <w:lang w:val="en-GB"/>
                        </w:rPr>
                      </w:pPr>
                    </w:p>
                  </w:txbxContent>
                </v:textbox>
                <w10:wrap anchorx="page"/>
              </v:shape>
            </w:pict>
          </mc:Fallback>
        </mc:AlternateContent>
      </w:r>
      <w:r w:rsidR="00640E1B" w:rsidRPr="0079649E">
        <w:rPr>
          <w:szCs w:val="19"/>
          <w:lang w:val="en-GB"/>
        </w:rPr>
        <w:t xml:space="preserve">During the third quarter of 2021, in Poland, 132.6 thousand jobs were created, and 57.8 thousand jobs were liquidated. </w:t>
      </w:r>
      <w:r w:rsidR="008C4C16">
        <w:rPr>
          <w:szCs w:val="19"/>
          <w:lang w:val="en-GB"/>
        </w:rPr>
        <w:t>Compared to the corresponding</w:t>
      </w:r>
      <w:r w:rsidR="008C4C16" w:rsidRPr="008C4C16">
        <w:rPr>
          <w:szCs w:val="19"/>
          <w:lang w:val="en-GB"/>
        </w:rPr>
        <w:t xml:space="preserve"> period of the previous year, the number of newly created jobs increased by 4.9% and the number of jobs liquidated decreased by 7.3%.</w:t>
      </w:r>
    </w:p>
    <w:p w14:paraId="1041F129" w14:textId="0CE4A81A" w:rsidR="00296D18" w:rsidRPr="0079649E" w:rsidRDefault="00754A7E" w:rsidP="007719BF">
      <w:pPr>
        <w:rPr>
          <w:szCs w:val="19"/>
          <w:lang w:val="en-GB"/>
        </w:rPr>
      </w:pPr>
      <w:r>
        <w:rPr>
          <w:szCs w:val="19"/>
          <w:lang w:val="en-GB"/>
        </w:rPr>
        <w:t>When c</w:t>
      </w:r>
      <w:r w:rsidR="00640E1B" w:rsidRPr="0079649E">
        <w:rPr>
          <w:szCs w:val="19"/>
          <w:lang w:val="en-GB"/>
        </w:rPr>
        <w:t xml:space="preserve">omparing the results of the current </w:t>
      </w:r>
      <w:r w:rsidR="008C4C16">
        <w:rPr>
          <w:szCs w:val="19"/>
          <w:lang w:val="en-GB"/>
        </w:rPr>
        <w:t>Labour Demand Survey</w:t>
      </w:r>
      <w:r w:rsidR="00640E1B" w:rsidRPr="0079649E">
        <w:rPr>
          <w:szCs w:val="19"/>
          <w:lang w:val="en-GB"/>
        </w:rPr>
        <w:t xml:space="preserve"> with the results for the second quarter of this year, there is a noticeable decrease in both the number of newly created and liquidated jobs (by 9.0% and 1.2%, respectively).</w:t>
      </w:r>
    </w:p>
    <w:p w14:paraId="4CCD68AB" w14:textId="29EBA426" w:rsidR="00F90CF4" w:rsidRDefault="00F76E0F" w:rsidP="00F76E0F">
      <w:pPr>
        <w:rPr>
          <w:szCs w:val="19"/>
          <w:shd w:val="clear" w:color="auto" w:fill="FFFFFF"/>
          <w:lang w:val="en-GB"/>
        </w:rPr>
      </w:pPr>
      <w:r w:rsidRPr="0079649E">
        <w:rPr>
          <w:szCs w:val="19"/>
          <w:shd w:val="clear" w:color="auto" w:fill="FFFFFF"/>
          <w:lang w:val="en-GB"/>
        </w:rPr>
        <w:t xml:space="preserve">The measure of the labour market's adjustment to the labour demand is </w:t>
      </w:r>
      <w:r w:rsidRPr="00B61989">
        <w:rPr>
          <w:b/>
          <w:szCs w:val="19"/>
          <w:shd w:val="clear" w:color="auto" w:fill="FFFFFF"/>
          <w:lang w:val="en-GB"/>
        </w:rPr>
        <w:t>the</w:t>
      </w:r>
      <w:r w:rsidRPr="0079649E">
        <w:rPr>
          <w:szCs w:val="19"/>
          <w:shd w:val="clear" w:color="auto" w:fill="FFFFFF"/>
          <w:lang w:val="en-GB"/>
        </w:rPr>
        <w:t xml:space="preserve"> </w:t>
      </w:r>
      <w:r w:rsidRPr="0079649E">
        <w:rPr>
          <w:b/>
          <w:szCs w:val="19"/>
          <w:shd w:val="clear" w:color="auto" w:fill="FFFFFF"/>
          <w:lang w:val="en-GB"/>
        </w:rPr>
        <w:t>ratio of the number of newly created jobs to the number of jobs liquidated</w:t>
      </w:r>
      <w:r w:rsidRPr="0079649E">
        <w:rPr>
          <w:szCs w:val="19"/>
          <w:shd w:val="clear" w:color="auto" w:fill="FFFFFF"/>
          <w:lang w:val="en-GB"/>
        </w:rPr>
        <w:t xml:space="preserve"> in a given period. Data for the third quarter of 2021 indicate an increase in the ratio compared to the corresponding period of 2020 (an increase from 2.0 newly created jobs per liquidated job to 2.3 newly created jobs in the third quarter of this year).</w:t>
      </w:r>
    </w:p>
    <w:p w14:paraId="4D0E1247" w14:textId="77777777" w:rsidR="0030567C" w:rsidRDefault="0030567C">
      <w:pPr>
        <w:spacing w:before="0" w:after="0" w:line="240" w:lineRule="auto"/>
        <w:rPr>
          <w:szCs w:val="19"/>
          <w:shd w:val="clear" w:color="auto" w:fill="FFFFFF"/>
          <w:lang w:val="en-GB"/>
        </w:rPr>
      </w:pPr>
      <w:r>
        <w:rPr>
          <w:szCs w:val="19"/>
          <w:shd w:val="clear" w:color="auto" w:fill="FFFFFF"/>
          <w:lang w:val="en-GB"/>
        </w:rPr>
        <w:br w:type="page"/>
      </w:r>
    </w:p>
    <w:p w14:paraId="7F35397D" w14:textId="7E8846B9" w:rsidR="00A93B4F" w:rsidRPr="0079649E" w:rsidRDefault="00685F18" w:rsidP="00247755">
      <w:pPr>
        <w:rPr>
          <w:szCs w:val="19"/>
          <w:shd w:val="clear" w:color="auto" w:fill="FFFFFF"/>
          <w:lang w:val="en-GB"/>
        </w:rPr>
      </w:pPr>
      <w:r>
        <w:rPr>
          <w:noProof/>
          <w:lang w:eastAsia="pl-PL"/>
        </w:rPr>
        <w:lastRenderedPageBreak/>
        <mc:AlternateContent>
          <mc:Choice Requires="wps">
            <w:drawing>
              <wp:anchor distT="0" distB="0" distL="114300" distR="114300" simplePos="0" relativeHeight="251687936" behindDoc="0" locked="0" layoutInCell="1" allowOverlap="1" wp14:anchorId="7F79B6F4" wp14:editId="62DCD1F2">
                <wp:simplePos x="0" y="0"/>
                <wp:positionH relativeFrom="rightMargin">
                  <wp:posOffset>90307</wp:posOffset>
                </wp:positionH>
                <wp:positionV relativeFrom="paragraph">
                  <wp:posOffset>6350</wp:posOffset>
                </wp:positionV>
                <wp:extent cx="1762125" cy="2127885"/>
                <wp:effectExtent l="0" t="0" r="0" b="571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12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DD3C" w14:textId="21EB9F2A" w:rsidR="00AA0129" w:rsidRPr="0079649E" w:rsidRDefault="00B620B6" w:rsidP="00BA5D36">
                            <w:pPr>
                              <w:spacing w:before="0"/>
                              <w:rPr>
                                <w:bCs/>
                                <w:color w:val="001D77"/>
                                <w:sz w:val="18"/>
                                <w:szCs w:val="18"/>
                                <w:lang w:val="en-GB"/>
                              </w:rPr>
                            </w:pPr>
                            <w:r w:rsidRPr="0079649E">
                              <w:rPr>
                                <w:bCs/>
                                <w:color w:val="001D77"/>
                                <w:sz w:val="18"/>
                                <w:szCs w:val="18"/>
                                <w:lang w:val="en-GB"/>
                              </w:rPr>
                              <w:t>In the third qu</w:t>
                            </w:r>
                            <w:r w:rsidR="00E719F2">
                              <w:rPr>
                                <w:bCs/>
                                <w:color w:val="001D77"/>
                                <w:sz w:val="18"/>
                                <w:szCs w:val="18"/>
                                <w:lang w:val="en-GB"/>
                              </w:rPr>
                              <w:t>a</w:t>
                            </w:r>
                            <w:r w:rsidRPr="0079649E">
                              <w:rPr>
                                <w:bCs/>
                                <w:color w:val="001D77"/>
                                <w:sz w:val="18"/>
                                <w:szCs w:val="18"/>
                                <w:lang w:val="en-GB"/>
                              </w:rPr>
                              <w:t xml:space="preserve">rter of 2021, the most intense movement was observed in the trade; </w:t>
                            </w:r>
                            <w:r w:rsidR="00F76E0F" w:rsidRPr="0079649E">
                              <w:rPr>
                                <w:bCs/>
                                <w:color w:val="001D77"/>
                                <w:sz w:val="18"/>
                                <w:szCs w:val="18"/>
                                <w:lang w:val="en-GB"/>
                              </w:rPr>
                              <w:t>repair of motor vehicles</w:t>
                            </w:r>
                            <w:r w:rsidR="00F76E0F" w:rsidRPr="0079649E">
                              <w:rPr>
                                <w:bCs/>
                                <w:color w:val="001D77"/>
                                <w:sz w:val="18"/>
                                <w:szCs w:val="18"/>
                                <w:vertAlign w:val="superscript"/>
                                <w:lang w:val="en-GB"/>
                              </w:rPr>
                              <w:t>∆</w:t>
                            </w:r>
                            <w:r w:rsidR="00AA0129" w:rsidRPr="0079649E">
                              <w:rPr>
                                <w:bCs/>
                                <w:color w:val="001D77"/>
                                <w:sz w:val="18"/>
                                <w:szCs w:val="18"/>
                                <w:vertAlign w:val="superscript"/>
                                <w:lang w:val="en-GB"/>
                              </w:rPr>
                              <w:t xml:space="preserve"> </w:t>
                            </w:r>
                            <w:r w:rsidR="00AA0129" w:rsidRPr="0079649E">
                              <w:rPr>
                                <w:bCs/>
                                <w:color w:val="001D77"/>
                                <w:sz w:val="18"/>
                                <w:szCs w:val="18"/>
                                <w:vertAlign w:val="superscript"/>
                                <w:lang w:val="en-GB"/>
                              </w:rPr>
                              <w:br/>
                            </w:r>
                            <w:r w:rsidR="00AA0129" w:rsidRPr="0079649E">
                              <w:rPr>
                                <w:bCs/>
                                <w:color w:val="001D77"/>
                                <w:sz w:val="18"/>
                                <w:szCs w:val="18"/>
                                <w:lang w:val="en-GB"/>
                              </w:rPr>
                              <w:t xml:space="preserve">– </w:t>
                            </w:r>
                            <w:r w:rsidR="00F76E0F" w:rsidRPr="0079649E">
                              <w:rPr>
                                <w:bCs/>
                                <w:color w:val="001D77"/>
                                <w:sz w:val="18"/>
                                <w:szCs w:val="18"/>
                                <w:lang w:val="en-GB"/>
                              </w:rPr>
                              <w:t xml:space="preserve">the largest number of jobs were created (16.5% of the total number of newly created jobs) and liquidated (20.4% </w:t>
                            </w:r>
                            <w:r w:rsidR="0030567C">
                              <w:rPr>
                                <w:bCs/>
                                <w:color w:val="001D77"/>
                                <w:sz w:val="18"/>
                                <w:szCs w:val="18"/>
                                <w:lang w:val="en-GB"/>
                              </w:rPr>
                              <w:br/>
                            </w:r>
                            <w:r w:rsidR="00F76E0F" w:rsidRPr="0079649E">
                              <w:rPr>
                                <w:bCs/>
                                <w:color w:val="001D77"/>
                                <w:sz w:val="18"/>
                                <w:szCs w:val="18"/>
                                <w:lang w:val="en-GB"/>
                              </w:rPr>
                              <w:t>of the total number of liquidated jobs</w:t>
                            </w:r>
                            <w:r w:rsidR="00AA0129" w:rsidRPr="0079649E">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79B6F4" id="_x0000_t202" coordsize="21600,21600" o:spt="202" path="m,l,21600r21600,l21600,xe">
                <v:stroke joinstyle="miter"/>
                <v:path gradientshapeok="t" o:connecttype="rect"/>
              </v:shapetype>
              <v:shape id="_x0000_s1034" type="#_x0000_t202" style="position:absolute;margin-left:7.1pt;margin-top:.5pt;width:138.75pt;height:167.5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e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" filled="f" stroked="f">
                <v:textbox>
                  <w:txbxContent>
                    <w:p w14:paraId="1C17DD3C" w14:textId="21EB9F2A" w:rsidR="00AA0129" w:rsidRPr="0079649E" w:rsidRDefault="00B620B6" w:rsidP="00BA5D36">
                      <w:pPr>
                        <w:spacing w:before="0"/>
                        <w:rPr>
                          <w:bCs/>
                          <w:color w:val="001D77"/>
                          <w:sz w:val="18"/>
                          <w:szCs w:val="18"/>
                          <w:lang w:val="en-GB"/>
                        </w:rPr>
                      </w:pPr>
                      <w:r w:rsidRPr="0079649E">
                        <w:rPr>
                          <w:bCs/>
                          <w:color w:val="001D77"/>
                          <w:sz w:val="18"/>
                          <w:szCs w:val="18"/>
                          <w:lang w:val="en-GB"/>
                        </w:rPr>
                        <w:t>In the third qu</w:t>
                      </w:r>
                      <w:r w:rsidR="00E719F2">
                        <w:rPr>
                          <w:bCs/>
                          <w:color w:val="001D77"/>
                          <w:sz w:val="18"/>
                          <w:szCs w:val="18"/>
                          <w:lang w:val="en-GB"/>
                        </w:rPr>
                        <w:t>a</w:t>
                      </w:r>
                      <w:r w:rsidRPr="0079649E">
                        <w:rPr>
                          <w:bCs/>
                          <w:color w:val="001D77"/>
                          <w:sz w:val="18"/>
                          <w:szCs w:val="18"/>
                          <w:lang w:val="en-GB"/>
                        </w:rPr>
                        <w:t xml:space="preserve">rter of 2021, the most intense movement was observed in the trade; </w:t>
                      </w:r>
                      <w:r w:rsidR="00F76E0F" w:rsidRPr="0079649E">
                        <w:rPr>
                          <w:bCs/>
                          <w:color w:val="001D77"/>
                          <w:sz w:val="18"/>
                          <w:szCs w:val="18"/>
                          <w:lang w:val="en-GB"/>
                        </w:rPr>
                        <w:t>repair of motor vehicles</w:t>
                      </w:r>
                      <w:r w:rsidR="00F76E0F" w:rsidRPr="0079649E">
                        <w:rPr>
                          <w:bCs/>
                          <w:color w:val="001D77"/>
                          <w:sz w:val="18"/>
                          <w:szCs w:val="18"/>
                          <w:vertAlign w:val="superscript"/>
                          <w:lang w:val="en-GB"/>
                        </w:rPr>
                        <w:t>∆</w:t>
                      </w:r>
                      <w:r w:rsidR="00AA0129" w:rsidRPr="0079649E">
                        <w:rPr>
                          <w:bCs/>
                          <w:color w:val="001D77"/>
                          <w:sz w:val="18"/>
                          <w:szCs w:val="18"/>
                          <w:vertAlign w:val="superscript"/>
                          <w:lang w:val="en-GB"/>
                        </w:rPr>
                        <w:t xml:space="preserve"> </w:t>
                      </w:r>
                      <w:r w:rsidR="00AA0129" w:rsidRPr="0079649E">
                        <w:rPr>
                          <w:bCs/>
                          <w:color w:val="001D77"/>
                          <w:sz w:val="18"/>
                          <w:szCs w:val="18"/>
                          <w:vertAlign w:val="superscript"/>
                          <w:lang w:val="en-GB"/>
                        </w:rPr>
                        <w:br/>
                      </w:r>
                      <w:r w:rsidR="00AA0129" w:rsidRPr="0079649E">
                        <w:rPr>
                          <w:bCs/>
                          <w:color w:val="001D77"/>
                          <w:sz w:val="18"/>
                          <w:szCs w:val="18"/>
                          <w:lang w:val="en-GB"/>
                        </w:rPr>
                        <w:t xml:space="preserve">– </w:t>
                      </w:r>
                      <w:r w:rsidR="00F76E0F" w:rsidRPr="0079649E">
                        <w:rPr>
                          <w:bCs/>
                          <w:color w:val="001D77"/>
                          <w:sz w:val="18"/>
                          <w:szCs w:val="18"/>
                          <w:lang w:val="en-GB"/>
                        </w:rPr>
                        <w:t xml:space="preserve">the largest number of jobs were created (16.5% of the total number of newly created jobs) and liquidated (20.4% </w:t>
                      </w:r>
                      <w:r w:rsidR="0030567C">
                        <w:rPr>
                          <w:bCs/>
                          <w:color w:val="001D77"/>
                          <w:sz w:val="18"/>
                          <w:szCs w:val="18"/>
                          <w:lang w:val="en-GB"/>
                        </w:rPr>
                        <w:br/>
                      </w:r>
                      <w:r w:rsidR="00F76E0F" w:rsidRPr="0079649E">
                        <w:rPr>
                          <w:bCs/>
                          <w:color w:val="001D77"/>
                          <w:sz w:val="18"/>
                          <w:szCs w:val="18"/>
                          <w:lang w:val="en-GB"/>
                        </w:rPr>
                        <w:t>of the total number of liquidated jobs</w:t>
                      </w:r>
                      <w:r w:rsidR="00AA0129" w:rsidRPr="0079649E">
                        <w:rPr>
                          <w:bCs/>
                          <w:color w:val="001D77"/>
                          <w:sz w:val="18"/>
                          <w:szCs w:val="18"/>
                          <w:lang w:val="en-GB"/>
                        </w:rPr>
                        <w:t>)</w:t>
                      </w:r>
                    </w:p>
                  </w:txbxContent>
                </v:textbox>
                <w10:wrap anchorx="margin"/>
              </v:shape>
            </w:pict>
          </mc:Fallback>
        </mc:AlternateContent>
      </w:r>
      <w:r w:rsidR="00247755" w:rsidRPr="0079649E">
        <w:rPr>
          <w:szCs w:val="19"/>
          <w:shd w:val="clear" w:color="auto" w:fill="FFFFFF"/>
          <w:lang w:val="en-GB"/>
        </w:rPr>
        <w:t xml:space="preserve">When analysing data </w:t>
      </w:r>
      <w:r w:rsidR="00247755" w:rsidRPr="00B61989">
        <w:rPr>
          <w:szCs w:val="19"/>
          <w:shd w:val="clear" w:color="auto" w:fill="FFFFFF"/>
          <w:lang w:val="en-GB"/>
        </w:rPr>
        <w:t>broken down by</w:t>
      </w:r>
      <w:r w:rsidR="00247755" w:rsidRPr="0079649E">
        <w:rPr>
          <w:b/>
          <w:szCs w:val="19"/>
          <w:shd w:val="clear" w:color="auto" w:fill="FFFFFF"/>
          <w:lang w:val="en-GB"/>
        </w:rPr>
        <w:t xml:space="preserve"> PKD/NACE section</w:t>
      </w:r>
      <w:r w:rsidR="00247755" w:rsidRPr="0079649E">
        <w:rPr>
          <w:szCs w:val="19"/>
          <w:shd w:val="clear" w:color="auto" w:fill="FFFFFF"/>
          <w:lang w:val="en-GB"/>
        </w:rPr>
        <w:t xml:space="preserve"> it can be noted that, in the third quarter of 2021, the largest number of new jobs were created in units operating in the field of trade; repair of motor vehicles</w:t>
      </w:r>
      <w:r w:rsidR="00247755" w:rsidRPr="0079649E">
        <w:rPr>
          <w:szCs w:val="19"/>
          <w:shd w:val="clear" w:color="auto" w:fill="FFFFFF"/>
          <w:vertAlign w:val="superscript"/>
          <w:lang w:val="en-GB"/>
        </w:rPr>
        <w:t>∆</w:t>
      </w:r>
      <w:r w:rsidR="00B853C9" w:rsidRPr="0079649E">
        <w:rPr>
          <w:szCs w:val="19"/>
          <w:shd w:val="clear" w:color="auto" w:fill="FFFFFF"/>
          <w:lang w:val="en-GB"/>
        </w:rPr>
        <w:t xml:space="preserve"> (21.9 thousand jobs). The largest number of</w:t>
      </w:r>
      <w:r w:rsidR="00247755" w:rsidRPr="0079649E">
        <w:rPr>
          <w:szCs w:val="19"/>
          <w:shd w:val="clear" w:color="auto" w:fill="FFFFFF"/>
          <w:lang w:val="en-GB"/>
        </w:rPr>
        <w:t xml:space="preserve"> jobs were liquidated also in this section (11.8 thousand jobs). In relation to the third quarter of 2020, the number of newly created jobs decreased by 9.1% and the number of liquidated jobs increased by 51.5%.</w:t>
      </w:r>
      <w:r w:rsidR="00580A11">
        <w:rPr>
          <w:szCs w:val="19"/>
          <w:shd w:val="clear" w:color="auto" w:fill="FFFFFF"/>
          <w:lang w:val="en-GB"/>
        </w:rPr>
        <w:t xml:space="preserve"> </w:t>
      </w:r>
      <w:r w:rsidR="00580A11" w:rsidRPr="00580A11">
        <w:rPr>
          <w:szCs w:val="19"/>
          <w:shd w:val="clear" w:color="auto" w:fill="FFFFFF"/>
          <w:lang w:val="en-GB"/>
        </w:rPr>
        <w:t>As a result,</w:t>
      </w:r>
      <w:r w:rsidR="00247755" w:rsidRPr="00580A11">
        <w:rPr>
          <w:szCs w:val="19"/>
          <w:shd w:val="clear" w:color="auto" w:fill="FFFFFF"/>
          <w:lang w:val="en-GB"/>
        </w:rPr>
        <w:t xml:space="preserve"> </w:t>
      </w:r>
      <w:r w:rsidR="00580A11" w:rsidRPr="00580A11">
        <w:rPr>
          <w:szCs w:val="19"/>
          <w:shd w:val="clear" w:color="auto" w:fill="FFFFFF"/>
          <w:lang w:val="en-GB"/>
        </w:rPr>
        <w:t>i</w:t>
      </w:r>
      <w:r w:rsidR="00247755" w:rsidRPr="00580A11">
        <w:rPr>
          <w:szCs w:val="19"/>
          <w:shd w:val="clear" w:color="auto" w:fill="FFFFFF"/>
          <w:lang w:val="en-GB"/>
        </w:rPr>
        <w:t>n the third</w:t>
      </w:r>
      <w:r w:rsidR="00247755" w:rsidRPr="0079649E">
        <w:rPr>
          <w:szCs w:val="19"/>
          <w:shd w:val="clear" w:color="auto" w:fill="FFFFFF"/>
          <w:lang w:val="en-GB"/>
        </w:rPr>
        <w:t xml:space="preserve"> quarter of this year</w:t>
      </w:r>
      <w:r w:rsidR="00B853C9" w:rsidRPr="0079649E">
        <w:rPr>
          <w:szCs w:val="19"/>
          <w:shd w:val="clear" w:color="auto" w:fill="FFFFFF"/>
          <w:lang w:val="en-GB"/>
        </w:rPr>
        <w:t>,</w:t>
      </w:r>
      <w:r w:rsidR="00247755" w:rsidRPr="0079649E">
        <w:rPr>
          <w:szCs w:val="19"/>
          <w:shd w:val="clear" w:color="auto" w:fill="FFFFFF"/>
          <w:lang w:val="en-GB"/>
        </w:rPr>
        <w:t xml:space="preserve"> in the above-mentioned section, there were 1.9 newly created jobs per liquidated job (3.1 jobs in the previous year).</w:t>
      </w:r>
    </w:p>
    <w:p w14:paraId="37EB7AA7" w14:textId="41506DE0" w:rsidR="00A93B4F" w:rsidRDefault="006C1FD3" w:rsidP="006C1FD3">
      <w:pPr>
        <w:rPr>
          <w:szCs w:val="19"/>
          <w:shd w:val="clear" w:color="auto" w:fill="FFFFFF"/>
          <w:lang w:val="en-GB"/>
        </w:rPr>
      </w:pPr>
      <w:r w:rsidRPr="006C1FD3">
        <w:rPr>
          <w:szCs w:val="19"/>
          <w:shd w:val="clear" w:color="auto" w:fill="FFFFFF"/>
          <w:lang w:val="en-GB"/>
        </w:rPr>
        <w:t>In the third quarter of 2021, the second section in terms of the number of newly created jobs (21.2 thousand new jobs) and liq</w:t>
      </w:r>
      <w:r>
        <w:rPr>
          <w:szCs w:val="19"/>
          <w:shd w:val="clear" w:color="auto" w:fill="FFFFFF"/>
          <w:lang w:val="en-GB"/>
        </w:rPr>
        <w:t>uidated jobs (11.0 thousand liquidated</w:t>
      </w:r>
      <w:r w:rsidRPr="006C1FD3">
        <w:rPr>
          <w:szCs w:val="19"/>
          <w:shd w:val="clear" w:color="auto" w:fill="FFFFFF"/>
          <w:lang w:val="en-GB"/>
        </w:rPr>
        <w:t xml:space="preserve"> jobs) was manufacturing. In this section, as compared to the third quarter of 2020, there was a decrease in both discussed categories of jobs, by 15.5% and 18.2%, respectiv</w:t>
      </w:r>
      <w:r>
        <w:rPr>
          <w:szCs w:val="19"/>
          <w:shd w:val="clear" w:color="auto" w:fill="FFFFFF"/>
          <w:lang w:val="en-GB"/>
        </w:rPr>
        <w:t>ely. A similar scale of decreases</w:t>
      </w:r>
      <w:r w:rsidRPr="006C1FD3">
        <w:rPr>
          <w:szCs w:val="19"/>
          <w:shd w:val="clear" w:color="auto" w:fill="FFFFFF"/>
          <w:lang w:val="en-GB"/>
        </w:rPr>
        <w:t xml:space="preserve"> resulted in the </w:t>
      </w:r>
      <w:r w:rsidR="001D0E9A">
        <w:rPr>
          <w:szCs w:val="19"/>
          <w:shd w:val="clear" w:color="auto" w:fill="FFFFFF"/>
          <w:lang w:val="en-GB"/>
        </w:rPr>
        <w:t>fact that, similarly as in the previous year</w:t>
      </w:r>
      <w:r w:rsidRPr="006C1FD3">
        <w:rPr>
          <w:szCs w:val="19"/>
          <w:shd w:val="clear" w:color="auto" w:fill="FFFFFF"/>
          <w:lang w:val="en-GB"/>
        </w:rPr>
        <w:t xml:space="preserve"> in the third quarter</w:t>
      </w:r>
      <w:r w:rsidR="00B61989">
        <w:rPr>
          <w:szCs w:val="19"/>
          <w:shd w:val="clear" w:color="auto" w:fill="FFFFFF"/>
          <w:lang w:val="en-GB"/>
        </w:rPr>
        <w:t xml:space="preserve"> 2021</w:t>
      </w:r>
      <w:r w:rsidRPr="006C1FD3">
        <w:rPr>
          <w:szCs w:val="19"/>
          <w:shd w:val="clear" w:color="auto" w:fill="FFFFFF"/>
          <w:lang w:val="en-GB"/>
        </w:rPr>
        <w:t>,</w:t>
      </w:r>
      <w:r>
        <w:rPr>
          <w:szCs w:val="19"/>
          <w:shd w:val="clear" w:color="auto" w:fill="FFFFFF"/>
          <w:lang w:val="en-GB"/>
        </w:rPr>
        <w:t xml:space="preserve"> there were </w:t>
      </w:r>
      <w:r w:rsidRPr="006C1FD3">
        <w:rPr>
          <w:szCs w:val="19"/>
          <w:shd w:val="clear" w:color="auto" w:fill="FFFFFF"/>
          <w:lang w:val="en-GB"/>
        </w:rPr>
        <w:t>1.9 newly crea</w:t>
      </w:r>
      <w:r>
        <w:rPr>
          <w:szCs w:val="19"/>
          <w:shd w:val="clear" w:color="auto" w:fill="FFFFFF"/>
          <w:lang w:val="en-GB"/>
        </w:rPr>
        <w:t>ted jobs per liquidated job.</w:t>
      </w:r>
    </w:p>
    <w:p w14:paraId="33ACBDE7" w14:textId="15D87764" w:rsidR="00442858" w:rsidRPr="0081785E" w:rsidRDefault="0081785E" w:rsidP="00A93B4F">
      <w:pPr>
        <w:rPr>
          <w:rFonts w:eastAsia="Times New Roman"/>
          <w:szCs w:val="19"/>
          <w:lang w:val="en-GB" w:eastAsia="pl-PL"/>
        </w:rPr>
      </w:pPr>
      <w:r w:rsidRPr="0081785E">
        <w:rPr>
          <w:rFonts w:eastAsia="Times New Roman"/>
          <w:szCs w:val="19"/>
          <w:lang w:val="en-GB" w:eastAsia="pl-PL"/>
        </w:rPr>
        <w:t xml:space="preserve">In </w:t>
      </w:r>
      <w:r w:rsidR="00B61989">
        <w:rPr>
          <w:rFonts w:eastAsia="Times New Roman"/>
          <w:szCs w:val="19"/>
          <w:lang w:val="en-GB" w:eastAsia="pl-PL"/>
        </w:rPr>
        <w:t>analysing</w:t>
      </w:r>
      <w:r w:rsidRPr="0081785E">
        <w:rPr>
          <w:rFonts w:eastAsia="Times New Roman"/>
          <w:szCs w:val="19"/>
          <w:lang w:val="en-GB" w:eastAsia="pl-PL"/>
        </w:rPr>
        <w:t xml:space="preserve"> quarter of 2021, the largest</w:t>
      </w:r>
      <w:r>
        <w:rPr>
          <w:rFonts w:eastAsia="Times New Roman"/>
          <w:szCs w:val="19"/>
          <w:lang w:val="en-GB" w:eastAsia="pl-PL"/>
        </w:rPr>
        <w:t xml:space="preserve"> annual</w:t>
      </w:r>
      <w:r w:rsidRPr="0081785E">
        <w:rPr>
          <w:rFonts w:eastAsia="Times New Roman"/>
          <w:szCs w:val="19"/>
          <w:lang w:val="en-GB" w:eastAsia="pl-PL"/>
        </w:rPr>
        <w:t xml:space="preserve"> increases in the numbe</w:t>
      </w:r>
      <w:r>
        <w:rPr>
          <w:rFonts w:eastAsia="Times New Roman"/>
          <w:szCs w:val="19"/>
          <w:lang w:val="en-GB" w:eastAsia="pl-PL"/>
        </w:rPr>
        <w:t>r of newly created jobs – by more than 90% –</w:t>
      </w:r>
      <w:r w:rsidRPr="0081785E">
        <w:rPr>
          <w:rFonts w:eastAsia="Times New Roman"/>
          <w:szCs w:val="19"/>
          <w:lang w:val="en-GB" w:eastAsia="pl-PL"/>
        </w:rPr>
        <w:t xml:space="preserve"> took place in the following </w:t>
      </w:r>
      <w:r>
        <w:rPr>
          <w:rFonts w:eastAsia="Times New Roman"/>
          <w:szCs w:val="19"/>
          <w:lang w:val="en-GB" w:eastAsia="pl-PL"/>
        </w:rPr>
        <w:t xml:space="preserve">sections: </w:t>
      </w:r>
      <w:r w:rsidRPr="0081785E">
        <w:rPr>
          <w:rFonts w:eastAsia="Times New Roman"/>
          <w:szCs w:val="19"/>
          <w:lang w:val="en-GB" w:eastAsia="pl-PL"/>
        </w:rPr>
        <w:t>accommodation and catering</w:t>
      </w:r>
      <w:r w:rsidRPr="0081785E">
        <w:rPr>
          <w:rFonts w:eastAsia="Times New Roman"/>
          <w:szCs w:val="19"/>
          <w:vertAlign w:val="superscript"/>
          <w:lang w:val="en-GB" w:eastAsia="pl-PL"/>
        </w:rPr>
        <w:t>∆</w:t>
      </w:r>
      <w:r w:rsidRPr="0081785E">
        <w:rPr>
          <w:rFonts w:eastAsia="Times New Roman"/>
          <w:szCs w:val="19"/>
          <w:lang w:val="en-GB" w:eastAsia="pl-PL"/>
        </w:rPr>
        <w:t xml:space="preserve"> and information and communication.</w:t>
      </w:r>
      <w:r>
        <w:rPr>
          <w:rFonts w:eastAsia="Times New Roman"/>
          <w:szCs w:val="19"/>
          <w:lang w:val="en-GB" w:eastAsia="pl-PL"/>
        </w:rPr>
        <w:t xml:space="preserve"> </w:t>
      </w:r>
      <w:r w:rsidR="00442858" w:rsidRPr="0079649E">
        <w:rPr>
          <w:rFonts w:eastAsia="Times New Roman"/>
          <w:szCs w:val="19"/>
          <w:lang w:val="en-GB" w:eastAsia="pl-PL"/>
        </w:rPr>
        <w:t>In each of the above-mentioned sections, there were more than 5 newly created jobs per liquidated job (5.1 jobs and 5.9 jobs, respectively).</w:t>
      </w:r>
    </w:p>
    <w:p w14:paraId="5FCD3773" w14:textId="77777777" w:rsidR="00A93B4F" w:rsidRPr="0079649E" w:rsidRDefault="00A93B4F" w:rsidP="0031464D">
      <w:pPr>
        <w:pStyle w:val="tytuwykresu"/>
        <w:ind w:left="833" w:hanging="833"/>
        <w:rPr>
          <w:spacing w:val="0"/>
          <w:szCs w:val="18"/>
          <w:lang w:val="en-GB"/>
        </w:rPr>
      </w:pPr>
    </w:p>
    <w:p w14:paraId="5ED52E5D" w14:textId="70813917" w:rsidR="00A2001D" w:rsidRPr="0079649E" w:rsidRDefault="0030567C" w:rsidP="0030567C">
      <w:pPr>
        <w:pStyle w:val="tytuwykresu"/>
        <w:ind w:left="669" w:hanging="669"/>
        <w:rPr>
          <w:spacing w:val="0"/>
          <w:szCs w:val="18"/>
          <w:lang w:val="en-GB"/>
        </w:rPr>
      </w:pPr>
      <w:r>
        <w:rPr>
          <w:rFonts w:eastAsia="Times New Roman"/>
          <w:noProof/>
          <w:szCs w:val="19"/>
          <w:lang w:eastAsia="pl-PL"/>
        </w:rPr>
        <w:drawing>
          <wp:anchor distT="0" distB="0" distL="1195070" distR="1195070" simplePos="0" relativeHeight="251702272" behindDoc="0" locked="0" layoutInCell="1" allowOverlap="1" wp14:anchorId="3F46D4CD" wp14:editId="1B42CADA">
            <wp:simplePos x="0" y="0"/>
            <wp:positionH relativeFrom="margin">
              <wp:align>center</wp:align>
            </wp:positionH>
            <wp:positionV relativeFrom="paragraph">
              <wp:posOffset>370325</wp:posOffset>
            </wp:positionV>
            <wp:extent cx="4464000" cy="4417200"/>
            <wp:effectExtent l="0" t="0" r="0" b="254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ykres5_a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64000" cy="4417200"/>
                    </a:xfrm>
                    <a:prstGeom prst="rect">
                      <a:avLst/>
                    </a:prstGeom>
                  </pic:spPr>
                </pic:pic>
              </a:graphicData>
            </a:graphic>
            <wp14:sizeRelH relativeFrom="margin">
              <wp14:pctWidth>0</wp14:pctWidth>
            </wp14:sizeRelH>
            <wp14:sizeRelV relativeFrom="margin">
              <wp14:pctHeight>0</wp14:pctHeight>
            </wp14:sizeRelV>
          </wp:anchor>
        </w:drawing>
      </w:r>
      <w:r w:rsidR="0079182A" w:rsidRPr="0079649E">
        <w:rPr>
          <w:spacing w:val="0"/>
          <w:szCs w:val="18"/>
          <w:lang w:val="en-GB"/>
        </w:rPr>
        <w:t>Chart</w:t>
      </w:r>
      <w:r w:rsidR="00A2001D" w:rsidRPr="0079649E">
        <w:rPr>
          <w:spacing w:val="0"/>
          <w:szCs w:val="18"/>
          <w:lang w:val="en-GB"/>
        </w:rPr>
        <w:t xml:space="preserve"> </w:t>
      </w:r>
      <w:r w:rsidR="00EA7401" w:rsidRPr="0079649E">
        <w:rPr>
          <w:spacing w:val="0"/>
          <w:szCs w:val="18"/>
          <w:lang w:val="en-GB"/>
        </w:rPr>
        <w:t>5</w:t>
      </w:r>
      <w:r w:rsidR="0097192E" w:rsidRPr="0079649E">
        <w:rPr>
          <w:spacing w:val="0"/>
          <w:szCs w:val="18"/>
          <w:lang w:val="en-GB"/>
        </w:rPr>
        <w:t>.</w:t>
      </w:r>
      <w:r w:rsidR="00A2001D" w:rsidRPr="0079649E">
        <w:rPr>
          <w:spacing w:val="0"/>
          <w:szCs w:val="18"/>
          <w:lang w:val="en-GB"/>
        </w:rPr>
        <w:t xml:space="preserve"> </w:t>
      </w:r>
      <w:r w:rsidR="0079182A" w:rsidRPr="0081785E">
        <w:rPr>
          <w:spacing w:val="0"/>
          <w:szCs w:val="18"/>
          <w:lang w:val="en-GB"/>
        </w:rPr>
        <w:t xml:space="preserve">Newly created and liquidated jobs in Poland </w:t>
      </w:r>
      <w:r w:rsidR="00442858" w:rsidRPr="0081785E">
        <w:rPr>
          <w:spacing w:val="0"/>
          <w:szCs w:val="18"/>
          <w:lang w:val="en-GB"/>
        </w:rPr>
        <w:t>in</w:t>
      </w:r>
      <w:r w:rsidR="0079182A" w:rsidRPr="0081785E">
        <w:rPr>
          <w:spacing w:val="0"/>
          <w:szCs w:val="18"/>
          <w:lang w:val="en-GB"/>
        </w:rPr>
        <w:t xml:space="preserve"> selected PKD/NACE section</w:t>
      </w:r>
      <w:r w:rsidR="0081785E" w:rsidRPr="0081785E">
        <w:rPr>
          <w:spacing w:val="0"/>
          <w:szCs w:val="18"/>
          <w:lang w:val="en-GB"/>
        </w:rPr>
        <w:t>s</w:t>
      </w:r>
      <w:r w:rsidR="0079182A" w:rsidRPr="0081785E">
        <w:rPr>
          <w:spacing w:val="0"/>
          <w:szCs w:val="18"/>
          <w:lang w:val="en-GB"/>
        </w:rPr>
        <w:t xml:space="preserve"> in the third quarter of 2021</w:t>
      </w:r>
      <w:r w:rsidR="0079182A" w:rsidRPr="0079649E">
        <w:rPr>
          <w:spacing w:val="0"/>
          <w:szCs w:val="18"/>
          <w:lang w:val="en-GB"/>
        </w:rPr>
        <w:t xml:space="preserve"> </w:t>
      </w:r>
    </w:p>
    <w:p w14:paraId="6143417D" w14:textId="7E24E82A" w:rsidR="00E2769D" w:rsidRDefault="0030567C" w:rsidP="002800ED">
      <w:pPr>
        <w:rPr>
          <w:rFonts w:eastAsia="Times New Roman"/>
          <w:szCs w:val="19"/>
          <w:highlight w:val="yellow"/>
          <w:lang w:val="en-GB" w:eastAsia="pl-PL"/>
        </w:rPr>
      </w:pPr>
      <w:r w:rsidRPr="00442858">
        <w:rPr>
          <w:noProof/>
          <w:highlight w:val="yellow"/>
          <w:lang w:eastAsia="pl-PL"/>
        </w:rPr>
        <mc:AlternateContent>
          <mc:Choice Requires="wps">
            <w:drawing>
              <wp:anchor distT="0" distB="0" distL="114300" distR="114300" simplePos="0" relativeHeight="251692032" behindDoc="0" locked="0" layoutInCell="1" allowOverlap="1" wp14:anchorId="7085B94F" wp14:editId="09F1773F">
                <wp:simplePos x="0" y="0"/>
                <wp:positionH relativeFrom="rightMargin">
                  <wp:posOffset>120067</wp:posOffset>
                </wp:positionH>
                <wp:positionV relativeFrom="paragraph">
                  <wp:posOffset>4608195</wp:posOffset>
                </wp:positionV>
                <wp:extent cx="1762125" cy="1038225"/>
                <wp:effectExtent l="0" t="0" r="0" b="9525"/>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37EC" w14:textId="208F9C98" w:rsidR="00AA0129" w:rsidRPr="0079649E" w:rsidRDefault="00EB52F8" w:rsidP="00EB52F8">
                            <w:pPr>
                              <w:spacing w:before="0"/>
                              <w:rPr>
                                <w:bCs/>
                                <w:color w:val="001D77"/>
                                <w:sz w:val="18"/>
                                <w:szCs w:val="18"/>
                                <w:lang w:val="en-GB"/>
                              </w:rPr>
                            </w:pPr>
                            <w:r w:rsidRPr="0079649E">
                              <w:rPr>
                                <w:bCs/>
                                <w:color w:val="001D77"/>
                                <w:sz w:val="18"/>
                                <w:szCs w:val="18"/>
                                <w:lang w:val="en-GB"/>
                              </w:rPr>
                              <w:t xml:space="preserve">In the third quarter of 2021, the largest number of newly created jobs (4.0 jobs) per </w:t>
                            </w:r>
                            <w:r w:rsidR="00442858">
                              <w:rPr>
                                <w:bCs/>
                                <w:color w:val="001D77"/>
                                <w:sz w:val="18"/>
                                <w:szCs w:val="18"/>
                                <w:lang w:val="en-GB"/>
                              </w:rPr>
                              <w:br/>
                            </w:r>
                            <w:r w:rsidRPr="0079649E">
                              <w:rPr>
                                <w:bCs/>
                                <w:color w:val="001D77"/>
                                <w:sz w:val="18"/>
                                <w:szCs w:val="18"/>
                                <w:lang w:val="en-GB"/>
                              </w:rPr>
                              <w:t>liquidated job were recorded in the Kujawsko-Pomorskie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85B94F" id="_x0000_s1035" type="#_x0000_t202" style="position:absolute;margin-left:9.45pt;margin-top:362.85pt;width:138.75pt;height:81.7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So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" filled="f" stroked="f">
                <v:textbox>
                  <w:txbxContent>
                    <w:p w14:paraId="3AF037EC" w14:textId="208F9C98" w:rsidR="00AA0129" w:rsidRPr="0079649E" w:rsidRDefault="00EB52F8" w:rsidP="00EB52F8">
                      <w:pPr>
                        <w:spacing w:before="0"/>
                        <w:rPr>
                          <w:bCs/>
                          <w:color w:val="001D77"/>
                          <w:sz w:val="18"/>
                          <w:szCs w:val="18"/>
                          <w:lang w:val="en-GB"/>
                        </w:rPr>
                      </w:pPr>
                      <w:r w:rsidRPr="0079649E">
                        <w:rPr>
                          <w:bCs/>
                          <w:color w:val="001D77"/>
                          <w:sz w:val="18"/>
                          <w:szCs w:val="18"/>
                          <w:lang w:val="en-GB"/>
                        </w:rPr>
                        <w:t xml:space="preserve">In the third quarter of 2021, the largest number of newly created jobs (4.0 jobs) per </w:t>
                      </w:r>
                      <w:r w:rsidR="00442858">
                        <w:rPr>
                          <w:bCs/>
                          <w:color w:val="001D77"/>
                          <w:sz w:val="18"/>
                          <w:szCs w:val="18"/>
                          <w:lang w:val="en-GB"/>
                        </w:rPr>
                        <w:br/>
                      </w:r>
                      <w:r w:rsidRPr="0079649E">
                        <w:rPr>
                          <w:bCs/>
                          <w:color w:val="001D77"/>
                          <w:sz w:val="18"/>
                          <w:szCs w:val="18"/>
                          <w:lang w:val="en-GB"/>
                        </w:rPr>
                        <w:t>liquidated job were recorded in the Kujawsko-Pomorskie region</w:t>
                      </w:r>
                    </w:p>
                  </w:txbxContent>
                </v:textbox>
                <w10:wrap anchorx="margin"/>
              </v:shape>
            </w:pict>
          </mc:Fallback>
        </mc:AlternateContent>
      </w:r>
    </w:p>
    <w:p w14:paraId="50CA2122" w14:textId="43402B9D" w:rsidR="00951CD0" w:rsidRPr="0079649E" w:rsidRDefault="00FE4355" w:rsidP="002800ED">
      <w:pPr>
        <w:rPr>
          <w:rFonts w:eastAsia="Times New Roman"/>
          <w:szCs w:val="19"/>
          <w:lang w:val="en-GB" w:eastAsia="pl-PL"/>
        </w:rPr>
      </w:pPr>
      <w:r w:rsidRPr="00FE4355">
        <w:rPr>
          <w:rFonts w:eastAsia="Times New Roman"/>
          <w:szCs w:val="19"/>
          <w:lang w:val="en-GB" w:eastAsia="pl-PL"/>
        </w:rPr>
        <w:t>The distribution of jobs in the third quarter of 2021 in a territorial breakdown shows that</w:t>
      </w:r>
      <w:r w:rsidR="0008522F">
        <w:rPr>
          <w:rFonts w:eastAsia="Times New Roman"/>
          <w:szCs w:val="19"/>
          <w:lang w:val="en-GB" w:eastAsia="pl-PL"/>
        </w:rPr>
        <w:t xml:space="preserve"> </w:t>
      </w:r>
      <w:r w:rsidRPr="00FE4355">
        <w:rPr>
          <w:rFonts w:eastAsia="Times New Roman"/>
          <w:szCs w:val="19"/>
          <w:lang w:val="en-GB" w:eastAsia="pl-PL"/>
        </w:rPr>
        <w:t>t</w:t>
      </w:r>
      <w:r w:rsidR="002800ED" w:rsidRPr="00FE4355">
        <w:rPr>
          <w:rFonts w:eastAsia="Times New Roman"/>
          <w:szCs w:val="19"/>
          <w:lang w:val="en-GB" w:eastAsia="pl-PL"/>
        </w:rPr>
        <w:t>he largest number of newly created jobs per liquidated job were recorded in the Kujawsko-</w:t>
      </w:r>
      <w:r w:rsidR="00764DE1" w:rsidRPr="00FE4355">
        <w:rPr>
          <w:rFonts w:eastAsia="Times New Roman"/>
          <w:szCs w:val="19"/>
          <w:lang w:val="en-GB" w:eastAsia="pl-PL"/>
        </w:rPr>
        <w:br/>
        <w:t>-</w:t>
      </w:r>
      <w:r w:rsidR="002800ED" w:rsidRPr="00FE4355">
        <w:rPr>
          <w:rFonts w:eastAsia="Times New Roman"/>
          <w:szCs w:val="19"/>
          <w:lang w:val="en-GB" w:eastAsia="pl-PL"/>
        </w:rPr>
        <w:t>Pomorskie region (4.0 newly created job</w:t>
      </w:r>
      <w:r w:rsidR="0008522F">
        <w:rPr>
          <w:rFonts w:eastAsia="Times New Roman"/>
          <w:szCs w:val="19"/>
          <w:lang w:val="en-GB" w:eastAsia="pl-PL"/>
        </w:rPr>
        <w:t>s), and a similar ratio</w:t>
      </w:r>
      <w:r w:rsidR="002800ED" w:rsidRPr="00FE4355">
        <w:rPr>
          <w:rFonts w:eastAsia="Times New Roman"/>
          <w:szCs w:val="19"/>
          <w:lang w:val="en-GB" w:eastAsia="pl-PL"/>
        </w:rPr>
        <w:t xml:space="preserve"> was recorded in the Świętokrzyskie region (3.8 jobs). On the other hand, the smallest number,</w:t>
      </w:r>
      <w:r w:rsidR="00BE4450" w:rsidRPr="00FE4355">
        <w:rPr>
          <w:rFonts w:eastAsia="Times New Roman"/>
          <w:szCs w:val="19"/>
          <w:lang w:val="en-GB" w:eastAsia="pl-PL"/>
        </w:rPr>
        <w:t xml:space="preserve"> i.e.</w:t>
      </w:r>
      <w:r w:rsidR="002800ED" w:rsidRPr="00FE4355">
        <w:rPr>
          <w:rFonts w:eastAsia="Times New Roman"/>
          <w:szCs w:val="19"/>
          <w:lang w:val="en-GB" w:eastAsia="pl-PL"/>
        </w:rPr>
        <w:t xml:space="preserve"> 1.5 new jobs</w:t>
      </w:r>
      <w:r w:rsidR="000E4BB9">
        <w:rPr>
          <w:rFonts w:eastAsia="Times New Roman"/>
          <w:szCs w:val="19"/>
          <w:lang w:val="en-GB" w:eastAsia="pl-PL"/>
        </w:rPr>
        <w:t>,</w:t>
      </w:r>
      <w:r w:rsidR="002800ED" w:rsidRPr="00FE4355">
        <w:rPr>
          <w:rFonts w:eastAsia="Times New Roman"/>
          <w:szCs w:val="19"/>
          <w:lang w:val="en-GB" w:eastAsia="pl-PL"/>
        </w:rPr>
        <w:t xml:space="preserve"> were created in the Mazowiecki regionalny and Warmińsko-Mazurskie regions.</w:t>
      </w:r>
    </w:p>
    <w:p w14:paraId="65DA76D6" w14:textId="77777777" w:rsidR="00F90CF4" w:rsidRPr="0079649E" w:rsidRDefault="00F90CF4" w:rsidP="00F90CF4">
      <w:pPr>
        <w:rPr>
          <w:rFonts w:eastAsia="Times New Roman"/>
          <w:szCs w:val="19"/>
          <w:lang w:val="en-GB" w:eastAsia="pl-PL"/>
        </w:rPr>
      </w:pPr>
    </w:p>
    <w:p w14:paraId="090DE59C" w14:textId="77777777" w:rsidR="001C3157" w:rsidRPr="0079649E" w:rsidRDefault="001C3157" w:rsidP="00226AA7">
      <w:pPr>
        <w:pStyle w:val="tytuwykresu"/>
        <w:ind w:left="851" w:hanging="851"/>
        <w:rPr>
          <w:spacing w:val="0"/>
          <w:szCs w:val="18"/>
          <w:lang w:val="en-GB"/>
        </w:rPr>
      </w:pPr>
    </w:p>
    <w:p w14:paraId="752E3A6E" w14:textId="77777777" w:rsidR="00226AA7" w:rsidRPr="0079649E" w:rsidRDefault="00226AA7" w:rsidP="00C65271">
      <w:pPr>
        <w:pStyle w:val="tytuwykresu"/>
        <w:ind w:left="851" w:hanging="851"/>
        <w:rPr>
          <w:spacing w:val="0"/>
          <w:szCs w:val="18"/>
          <w:lang w:val="en-GB"/>
        </w:rPr>
      </w:pPr>
    </w:p>
    <w:p w14:paraId="03D8D5D3" w14:textId="77777777" w:rsidR="00266563" w:rsidRPr="0079649E" w:rsidRDefault="00266563" w:rsidP="00266563">
      <w:pPr>
        <w:spacing w:before="0" w:after="0" w:line="240" w:lineRule="auto"/>
        <w:rPr>
          <w:szCs w:val="19"/>
          <w:lang w:val="en-GB"/>
        </w:rPr>
      </w:pPr>
      <w:r w:rsidRPr="0079649E">
        <w:rPr>
          <w:szCs w:val="19"/>
          <w:lang w:val="en-GB"/>
        </w:rPr>
        <w:lastRenderedPageBreak/>
        <w:t>In this news release abbreviated names of NACE, Rev. 2 sections were used. Abbreviations</w:t>
      </w:r>
    </w:p>
    <w:p w14:paraId="308FB201" w14:textId="77777777" w:rsidR="00266563" w:rsidRPr="0079649E" w:rsidRDefault="00266563" w:rsidP="00266563">
      <w:pPr>
        <w:spacing w:before="0" w:after="0" w:line="240" w:lineRule="auto"/>
        <w:rPr>
          <w:szCs w:val="19"/>
          <w:lang w:val="en-GB"/>
        </w:rPr>
      </w:pPr>
      <w:r w:rsidRPr="0079649E">
        <w:rPr>
          <w:szCs w:val="19"/>
          <w:lang w:val="en-GB"/>
        </w:rPr>
        <w:t>are marked with a ‘</w:t>
      </w:r>
      <w:r w:rsidRPr="00266563">
        <w:rPr>
          <w:szCs w:val="19"/>
        </w:rPr>
        <w:t>Δ</w:t>
      </w:r>
      <w:r w:rsidRPr="0079649E">
        <w:rPr>
          <w:szCs w:val="19"/>
          <w:lang w:val="en-GB"/>
        </w:rPr>
        <w:t>’ symbol. Full names are available on the Eurostat website at:</w:t>
      </w:r>
    </w:p>
    <w:p w14:paraId="13ACAC9A" w14:textId="77777777" w:rsidR="00266563" w:rsidRPr="0079649E" w:rsidRDefault="008331E2" w:rsidP="00266563">
      <w:pPr>
        <w:spacing w:before="0" w:after="0" w:line="240" w:lineRule="auto"/>
        <w:rPr>
          <w:szCs w:val="19"/>
          <w:lang w:val="en-GB"/>
        </w:rPr>
      </w:pPr>
      <w:hyperlink r:id="rId15" w:history="1">
        <w:r w:rsidR="00266563" w:rsidRPr="0079649E">
          <w:rPr>
            <w:rStyle w:val="Hipercze"/>
            <w:szCs w:val="19"/>
            <w:lang w:val="en-GB"/>
          </w:rPr>
          <w:t>https://ec.europa.eu/eurostat/data/classifications</w:t>
        </w:r>
      </w:hyperlink>
    </w:p>
    <w:p w14:paraId="62665A6C" w14:textId="77777777" w:rsidR="000046D3" w:rsidRPr="0079649E" w:rsidRDefault="00565C96" w:rsidP="005E58AD">
      <w:pPr>
        <w:jc w:val="both"/>
        <w:rPr>
          <w:lang w:val="en-GB" w:eastAsia="pl-PL"/>
        </w:rPr>
      </w:pPr>
      <w:r w:rsidRPr="0079649E">
        <w:rPr>
          <w:lang w:val="en-GB" w:eastAsia="pl-PL"/>
        </w:rPr>
        <w:t>Relative numbers (rates, percentages) were calculated on the basis of absolute data expressed with greater accuracy than given in the study.</w:t>
      </w:r>
    </w:p>
    <w:p w14:paraId="0BA7D035" w14:textId="77777777" w:rsidR="005E58AD" w:rsidRDefault="005E58AD" w:rsidP="005E58AD">
      <w:pPr>
        <w:jc w:val="both"/>
        <w:rPr>
          <w:lang w:val="en-GB" w:eastAsia="pl-PL"/>
        </w:rPr>
      </w:pPr>
    </w:p>
    <w:p w14:paraId="7A273B6A" w14:textId="77777777" w:rsidR="00CD35C6" w:rsidRPr="0079649E" w:rsidRDefault="00CD35C6" w:rsidP="005E58AD">
      <w:pPr>
        <w:jc w:val="both"/>
        <w:rPr>
          <w:lang w:val="en-GB" w:eastAsia="pl-PL"/>
        </w:rPr>
      </w:pPr>
    </w:p>
    <w:p w14:paraId="3FEB351B" w14:textId="77777777" w:rsidR="00D64CDC" w:rsidRPr="0079649E" w:rsidRDefault="00D64CDC" w:rsidP="005E58AD">
      <w:pPr>
        <w:jc w:val="both"/>
        <w:rPr>
          <w:lang w:val="en-GB" w:eastAsia="pl-PL"/>
        </w:rPr>
      </w:pPr>
    </w:p>
    <w:p w14:paraId="3D611AF6" w14:textId="77777777" w:rsidR="00694AF0" w:rsidRPr="0079649E" w:rsidRDefault="00266563" w:rsidP="00E76D26">
      <w:pPr>
        <w:rPr>
          <w:lang w:val="en-GB" w:eastAsia="pl-PL"/>
        </w:rPr>
        <w:sectPr w:rsidR="00694AF0" w:rsidRPr="0079649E" w:rsidSect="00FC52FD">
          <w:headerReference w:type="default" r:id="rId16"/>
          <w:footerReference w:type="default" r:id="rId17"/>
          <w:headerReference w:type="first" r:id="rId18"/>
          <w:footerReference w:type="first" r:id="rId19"/>
          <w:pgSz w:w="11906" w:h="16838" w:code="9"/>
          <w:pgMar w:top="720" w:right="3119" w:bottom="720" w:left="720" w:header="283" w:footer="397" w:gutter="0"/>
          <w:cols w:space="708"/>
          <w:titlePg/>
          <w:docGrid w:linePitch="360"/>
        </w:sectPr>
      </w:pPr>
      <w:r w:rsidRPr="0079649E">
        <w:rPr>
          <w:sz w:val="18"/>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p w14:paraId="51541427" w14:textId="77777777" w:rsidR="008E1770" w:rsidRPr="0079649E" w:rsidRDefault="008E1770" w:rsidP="008E1770">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53"/>
        <w:gridCol w:w="3814"/>
      </w:tblGrid>
      <w:tr w:rsidR="008E1770" w:rsidRPr="0030567C" w14:paraId="5E8798C8" w14:textId="77777777" w:rsidTr="008E1770">
        <w:trPr>
          <w:trHeight w:val="1912"/>
        </w:trPr>
        <w:tc>
          <w:tcPr>
            <w:tcW w:w="4253" w:type="dxa"/>
          </w:tcPr>
          <w:p w14:paraId="2195EC45" w14:textId="77777777" w:rsidR="008E1770" w:rsidRPr="0079649E" w:rsidRDefault="005726A3" w:rsidP="00AA5EEE">
            <w:pPr>
              <w:spacing w:before="0" w:after="0" w:line="276" w:lineRule="auto"/>
              <w:rPr>
                <w:rFonts w:cs="Arial"/>
                <w:color w:val="000000"/>
                <w:sz w:val="20"/>
                <w:lang w:val="en-GB"/>
              </w:rPr>
            </w:pPr>
            <w:r w:rsidRPr="0079649E">
              <w:rPr>
                <w:rFonts w:cs="Arial"/>
                <w:color w:val="000000"/>
                <w:sz w:val="20"/>
                <w:lang w:val="en-GB"/>
              </w:rPr>
              <w:t>Prepared by</w:t>
            </w:r>
            <w:r w:rsidR="008E1770" w:rsidRPr="0079649E">
              <w:rPr>
                <w:rFonts w:cs="Arial"/>
                <w:color w:val="000000"/>
                <w:sz w:val="20"/>
                <w:lang w:val="en-GB"/>
              </w:rPr>
              <w:t>:</w:t>
            </w:r>
          </w:p>
          <w:p w14:paraId="0F95CD37" w14:textId="77777777" w:rsidR="008E1770" w:rsidRPr="0079649E" w:rsidRDefault="005726A3" w:rsidP="008E1770">
            <w:pPr>
              <w:spacing w:before="0" w:after="0" w:line="240" w:lineRule="auto"/>
              <w:rPr>
                <w:rFonts w:cs="Arial"/>
                <w:b/>
                <w:color w:val="000000"/>
                <w:sz w:val="20"/>
                <w:lang w:val="en-GB"/>
              </w:rPr>
            </w:pPr>
            <w:r w:rsidRPr="0079649E">
              <w:rPr>
                <w:rFonts w:cs="Arial"/>
                <w:b/>
                <w:color w:val="000000"/>
                <w:sz w:val="20"/>
                <w:lang w:val="en-GB"/>
              </w:rPr>
              <w:t>Statistical Office in Bydgoszcz</w:t>
            </w:r>
          </w:p>
          <w:p w14:paraId="00EE68A9" w14:textId="77777777" w:rsidR="00BD159E" w:rsidRPr="00C40887" w:rsidRDefault="005726A3" w:rsidP="005363D0">
            <w:pPr>
              <w:pStyle w:val="Nagwek3"/>
              <w:spacing w:before="60" w:line="276" w:lineRule="auto"/>
              <w:rPr>
                <w:rFonts w:ascii="Fira Sans" w:hAnsi="Fira Sans" w:cs="Arial"/>
                <w:b/>
                <w:color w:val="000000"/>
                <w:sz w:val="20"/>
                <w:szCs w:val="28"/>
              </w:rPr>
            </w:pPr>
            <w:r w:rsidRPr="005726A3">
              <w:rPr>
                <w:rFonts w:ascii="Fira Sans" w:hAnsi="Fira Sans" w:cs="Arial"/>
                <w:b/>
                <w:color w:val="000000"/>
                <w:sz w:val="20"/>
                <w:szCs w:val="28"/>
              </w:rPr>
              <w:t>Director Wiesława Gierańczyk, Ph.D.</w:t>
            </w:r>
          </w:p>
          <w:p w14:paraId="5531DF47" w14:textId="77777777" w:rsidR="00BD159E" w:rsidRPr="00327EE6" w:rsidRDefault="005726A3" w:rsidP="005363D0">
            <w:pPr>
              <w:pStyle w:val="Nagwek3"/>
              <w:spacing w:before="0" w:line="276" w:lineRule="auto"/>
              <w:rPr>
                <w:rFonts w:ascii="Fira Sans" w:hAnsi="Fira Sans" w:cs="Arial"/>
                <w:color w:val="000000"/>
                <w:sz w:val="20"/>
                <w:lang w:val="fi-FI"/>
              </w:rPr>
            </w:pPr>
            <w:r w:rsidRPr="005726A3">
              <w:rPr>
                <w:rFonts w:ascii="Fira Sans" w:hAnsi="Fira Sans" w:cs="Arial"/>
                <w:color w:val="000000"/>
                <w:sz w:val="20"/>
                <w:lang w:val="fi-FI"/>
              </w:rPr>
              <w:t>Office: tel. (+48 52) 366 93 90</w:t>
            </w:r>
          </w:p>
          <w:p w14:paraId="754F965C" w14:textId="77777777" w:rsidR="008E1770" w:rsidRPr="00C40887" w:rsidRDefault="008E1770" w:rsidP="00BD159E">
            <w:pPr>
              <w:pStyle w:val="Nagwek3"/>
              <w:spacing w:before="0" w:line="240" w:lineRule="auto"/>
              <w:rPr>
                <w:rFonts w:ascii="Fira Sans" w:hAnsi="Fira Sans" w:cs="Arial"/>
                <w:b/>
                <w:color w:val="001D77"/>
                <w:sz w:val="20"/>
                <w:szCs w:val="20"/>
                <w:u w:val="single"/>
              </w:rPr>
            </w:pPr>
          </w:p>
        </w:tc>
        <w:tc>
          <w:tcPr>
            <w:tcW w:w="3814" w:type="dxa"/>
          </w:tcPr>
          <w:p w14:paraId="09483E7D" w14:textId="77777777" w:rsidR="008E1770" w:rsidRPr="0079649E" w:rsidRDefault="005726A3" w:rsidP="00AA5EEE">
            <w:pPr>
              <w:spacing w:before="0" w:after="0" w:line="276" w:lineRule="auto"/>
              <w:rPr>
                <w:rFonts w:cs="Arial"/>
                <w:b/>
                <w:color w:val="000000"/>
                <w:sz w:val="20"/>
                <w:lang w:val="en-GB"/>
              </w:rPr>
            </w:pPr>
            <w:r w:rsidRPr="0079649E">
              <w:rPr>
                <w:rFonts w:cs="Arial"/>
                <w:color w:val="000000"/>
                <w:sz w:val="20"/>
                <w:lang w:val="en-GB"/>
              </w:rPr>
              <w:t>Issued by</w:t>
            </w:r>
            <w:r w:rsidR="008E1770" w:rsidRPr="0079649E">
              <w:rPr>
                <w:rFonts w:cs="Arial"/>
                <w:color w:val="000000"/>
                <w:sz w:val="20"/>
                <w:lang w:val="en-GB"/>
              </w:rPr>
              <w:t>:</w:t>
            </w:r>
            <w:r w:rsidR="008E1770" w:rsidRPr="0079649E">
              <w:rPr>
                <w:rFonts w:cs="Arial"/>
                <w:color w:val="000000"/>
                <w:sz w:val="20"/>
                <w:lang w:val="en-GB"/>
              </w:rPr>
              <w:br/>
            </w:r>
            <w:r w:rsidRPr="0079649E">
              <w:rPr>
                <w:rFonts w:cs="Arial"/>
                <w:b/>
                <w:color w:val="000000"/>
                <w:sz w:val="20"/>
                <w:lang w:val="en-GB"/>
              </w:rPr>
              <w:t>The Spokesperson for the President</w:t>
            </w:r>
          </w:p>
          <w:p w14:paraId="3391E6A7" w14:textId="77777777" w:rsidR="005726A3" w:rsidRPr="0079649E" w:rsidRDefault="005726A3" w:rsidP="00AA5EEE">
            <w:pPr>
              <w:spacing w:before="0" w:after="0" w:line="276" w:lineRule="auto"/>
              <w:rPr>
                <w:rFonts w:cs="Arial"/>
                <w:b/>
                <w:color w:val="000000"/>
                <w:sz w:val="20"/>
                <w:lang w:val="en-GB"/>
              </w:rPr>
            </w:pPr>
            <w:r w:rsidRPr="0079649E">
              <w:rPr>
                <w:rFonts w:cs="Arial"/>
                <w:b/>
                <w:color w:val="000000"/>
                <w:sz w:val="20"/>
                <w:lang w:val="en-GB"/>
              </w:rPr>
              <w:t>of Statistics Poland</w:t>
            </w:r>
          </w:p>
          <w:p w14:paraId="7F4A52B4" w14:textId="77777777" w:rsidR="008E1770" w:rsidRPr="0079649E" w:rsidRDefault="008E1770" w:rsidP="00807D81">
            <w:pPr>
              <w:pStyle w:val="Nagwek3"/>
              <w:spacing w:before="0" w:line="276" w:lineRule="auto"/>
              <w:rPr>
                <w:rFonts w:ascii="Fira Sans" w:hAnsi="Fira Sans" w:cs="Arial"/>
                <w:b/>
                <w:color w:val="000000"/>
                <w:sz w:val="20"/>
                <w:szCs w:val="28"/>
                <w:lang w:val="en-GB"/>
              </w:rPr>
            </w:pPr>
            <w:r w:rsidRPr="0079649E">
              <w:rPr>
                <w:rFonts w:ascii="Fira Sans" w:hAnsi="Fira Sans" w:cs="Arial"/>
                <w:b/>
                <w:color w:val="000000"/>
                <w:sz w:val="20"/>
                <w:szCs w:val="28"/>
                <w:lang w:val="en-GB"/>
              </w:rPr>
              <w:t xml:space="preserve">Karolina </w:t>
            </w:r>
            <w:r w:rsidR="00D83C5E" w:rsidRPr="0079649E">
              <w:rPr>
                <w:rFonts w:ascii="Fira Sans" w:hAnsi="Fira Sans" w:cs="Arial"/>
                <w:b/>
                <w:color w:val="000000"/>
                <w:sz w:val="20"/>
                <w:szCs w:val="28"/>
                <w:lang w:val="en-GB"/>
              </w:rPr>
              <w:t>Banaszek</w:t>
            </w:r>
          </w:p>
          <w:p w14:paraId="6153D2E0" w14:textId="77777777" w:rsidR="00807D81" w:rsidRPr="00327EE6" w:rsidRDefault="005726A3" w:rsidP="00807D81">
            <w:pPr>
              <w:pStyle w:val="Nagwek3"/>
              <w:spacing w:before="0" w:line="276" w:lineRule="auto"/>
              <w:rPr>
                <w:rFonts w:ascii="Fira Sans" w:hAnsi="Fira Sans" w:cs="Arial"/>
                <w:color w:val="auto"/>
                <w:sz w:val="20"/>
                <w:szCs w:val="20"/>
                <w:lang w:val="en-US"/>
              </w:rPr>
            </w:pPr>
            <w:r w:rsidRPr="005726A3">
              <w:rPr>
                <w:rFonts w:ascii="Fira Sans" w:hAnsi="Fira Sans" w:cs="Arial"/>
                <w:color w:val="auto"/>
                <w:sz w:val="20"/>
                <w:szCs w:val="20"/>
                <w:lang w:val="en-US"/>
              </w:rPr>
              <w:t>Mobile: (+48) 695 255 011</w:t>
            </w:r>
          </w:p>
          <w:p w14:paraId="67CDD595" w14:textId="77777777" w:rsidR="008E1770" w:rsidRPr="00327EE6" w:rsidRDefault="008E1770" w:rsidP="00AA5EEE">
            <w:pPr>
              <w:pStyle w:val="Nagwek3"/>
              <w:spacing w:before="0" w:line="240" w:lineRule="auto"/>
              <w:rPr>
                <w:rFonts w:ascii="Fira Sans" w:hAnsi="Fira Sans" w:cs="Arial"/>
                <w:color w:val="000000"/>
                <w:sz w:val="20"/>
                <w:szCs w:val="20"/>
                <w:lang w:val="en-US"/>
              </w:rPr>
            </w:pPr>
          </w:p>
        </w:tc>
      </w:tr>
    </w:tbl>
    <w:p w14:paraId="12FD20D4" w14:textId="77777777" w:rsidR="008E1770" w:rsidRPr="009872E1" w:rsidRDefault="008E1770" w:rsidP="008E1770">
      <w:pPr>
        <w:rPr>
          <w:sz w:val="18"/>
          <w:lang w:val="en-GB"/>
        </w:rPr>
      </w:pPr>
    </w:p>
    <w:p w14:paraId="13E11546" w14:textId="77777777" w:rsidR="008E1770" w:rsidRPr="009872E1" w:rsidRDefault="008E1770" w:rsidP="008E1770">
      <w:pPr>
        <w:rPr>
          <w:sz w:val="18"/>
          <w:lang w:val="en-GB"/>
        </w:rPr>
      </w:pPr>
    </w:p>
    <w:tbl>
      <w:tblPr>
        <w:tblW w:w="5000" w:type="pct"/>
        <w:tblCellMar>
          <w:left w:w="57" w:type="dxa"/>
          <w:right w:w="57" w:type="dxa"/>
        </w:tblCellMar>
        <w:tblLook w:val="04A0" w:firstRow="1" w:lastRow="0" w:firstColumn="1" w:lastColumn="0" w:noHBand="0" w:noVBand="1"/>
      </w:tblPr>
      <w:tblGrid>
        <w:gridCol w:w="4390"/>
        <w:gridCol w:w="595"/>
        <w:gridCol w:w="3082"/>
      </w:tblGrid>
      <w:tr w:rsidR="008E1770" w:rsidRPr="0030567C" w14:paraId="75AE85FB" w14:textId="77777777" w:rsidTr="00327EE6">
        <w:trPr>
          <w:trHeight w:val="610"/>
        </w:trPr>
        <w:tc>
          <w:tcPr>
            <w:tcW w:w="2721" w:type="pct"/>
            <w:vMerge w:val="restart"/>
            <w:shd w:val="clear" w:color="auto" w:fill="auto"/>
          </w:tcPr>
          <w:p w14:paraId="3CF9D102" w14:textId="77777777" w:rsidR="008E1770" w:rsidRPr="0079649E" w:rsidRDefault="005726A3" w:rsidP="00807D81">
            <w:pPr>
              <w:rPr>
                <w:b/>
                <w:sz w:val="20"/>
                <w:lang w:val="en-GB"/>
              </w:rPr>
            </w:pPr>
            <w:r w:rsidRPr="0079649E">
              <w:rPr>
                <w:b/>
                <w:sz w:val="20"/>
                <w:lang w:val="en-GB"/>
              </w:rPr>
              <w:t>Press Office</w:t>
            </w:r>
          </w:p>
          <w:p w14:paraId="56D40481" w14:textId="77777777" w:rsidR="008E1770" w:rsidRPr="0079649E" w:rsidRDefault="005726A3" w:rsidP="00327EE6">
            <w:pPr>
              <w:tabs>
                <w:tab w:val="right" w:pos="4276"/>
              </w:tabs>
              <w:rPr>
                <w:sz w:val="20"/>
                <w:lang w:val="en-GB"/>
              </w:rPr>
            </w:pPr>
            <w:r w:rsidRPr="0079649E">
              <w:rPr>
                <w:sz w:val="20"/>
                <w:lang w:val="en-GB"/>
              </w:rPr>
              <w:t>Office: tel. (+48 22) 608 34 91, 608 38 04</w:t>
            </w:r>
            <w:r w:rsidR="006F61CF" w:rsidRPr="0079649E">
              <w:rPr>
                <w:sz w:val="20"/>
                <w:lang w:val="en-GB"/>
              </w:rPr>
              <w:tab/>
            </w:r>
          </w:p>
          <w:p w14:paraId="1EBDAD58" w14:textId="77777777" w:rsidR="008E1770" w:rsidRPr="00327EE6" w:rsidRDefault="00A241F9" w:rsidP="00327EE6">
            <w:pPr>
              <w:keepNext/>
              <w:outlineLvl w:val="0"/>
              <w:rPr>
                <w:rFonts w:eastAsia="Times New Roman"/>
                <w:bCs/>
                <w:color w:val="001D77"/>
                <w:sz w:val="18"/>
                <w:szCs w:val="24"/>
                <w:lang w:val="en-US" w:eastAsia="pl-PL"/>
              </w:rPr>
            </w:pPr>
            <w:r w:rsidRPr="00327EE6">
              <w:rPr>
                <w:b/>
                <w:sz w:val="20"/>
                <w:lang w:val="en-US"/>
              </w:rPr>
              <w:t>e</w:t>
            </w:r>
            <w:r w:rsidR="00207C51" w:rsidRPr="00327EE6">
              <w:rPr>
                <w:b/>
                <w:sz w:val="20"/>
                <w:lang w:val="en-US"/>
              </w:rPr>
              <w:t>–</w:t>
            </w:r>
            <w:r w:rsidRPr="00327EE6">
              <w:rPr>
                <w:b/>
                <w:sz w:val="20"/>
                <w:lang w:val="en-US"/>
              </w:rPr>
              <w:t>mail:</w:t>
            </w:r>
            <w:r w:rsidRPr="00327EE6">
              <w:rPr>
                <w:sz w:val="20"/>
                <w:lang w:val="en-US"/>
              </w:rPr>
              <w:t xml:space="preserve"> </w:t>
            </w:r>
            <w:hyperlink r:id="rId20" w:history="1">
              <w:r w:rsidR="002605D4" w:rsidRPr="0031464D">
                <w:rPr>
                  <w:rStyle w:val="Hipercze"/>
                  <w:b/>
                  <w:color w:val="001D77"/>
                  <w:sz w:val="20"/>
                  <w:lang w:val="en-US"/>
                </w:rPr>
                <w:t>obslugaprasowa@stat.gov.pl</w:t>
              </w:r>
            </w:hyperlink>
          </w:p>
        </w:tc>
        <w:tc>
          <w:tcPr>
            <w:tcW w:w="369" w:type="pct"/>
            <w:shd w:val="clear" w:color="auto" w:fill="auto"/>
            <w:vAlign w:val="center"/>
          </w:tcPr>
          <w:p w14:paraId="6DAFD2B2" w14:textId="77777777" w:rsidR="008E1770" w:rsidRPr="00327EE6" w:rsidRDefault="000930F3" w:rsidP="00AA5EEE">
            <w:pPr>
              <w:rPr>
                <w:sz w:val="18"/>
                <w:lang w:val="en-US"/>
              </w:rPr>
            </w:pPr>
            <w:r>
              <w:rPr>
                <w:noProof/>
                <w:lang w:eastAsia="pl-PL"/>
              </w:rPr>
              <w:drawing>
                <wp:anchor distT="0" distB="0" distL="114300" distR="114300" simplePos="0" relativeHeight="251645952" behindDoc="0" locked="0" layoutInCell="1" allowOverlap="1" wp14:anchorId="3D4A2621" wp14:editId="60A59CE6">
                  <wp:simplePos x="0" y="0"/>
                  <wp:positionH relativeFrom="column">
                    <wp:posOffset>78740</wp:posOffset>
                  </wp:positionH>
                  <wp:positionV relativeFrom="paragraph">
                    <wp:posOffset>21590</wp:posOffset>
                  </wp:positionV>
                  <wp:extent cx="256540" cy="251460"/>
                  <wp:effectExtent l="0" t="0" r="0" b="0"/>
                  <wp:wrapNone/>
                  <wp:docPr id="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vAlign w:val="center"/>
          </w:tcPr>
          <w:p w14:paraId="0D32ECAE" w14:textId="77777777" w:rsidR="008E1770" w:rsidRPr="00327EE6" w:rsidRDefault="005726A3" w:rsidP="00AA5EEE">
            <w:pPr>
              <w:rPr>
                <w:sz w:val="18"/>
                <w:lang w:val="en-US"/>
              </w:rPr>
            </w:pPr>
            <w:r w:rsidRPr="005726A3">
              <w:rPr>
                <w:sz w:val="18"/>
                <w:lang w:val="en-US"/>
              </w:rPr>
              <w:t>https://stat.gov.pl/en/</w:t>
            </w:r>
          </w:p>
        </w:tc>
      </w:tr>
      <w:tr w:rsidR="008E1770" w:rsidRPr="00327EE6" w14:paraId="1893A88E" w14:textId="77777777" w:rsidTr="00327EE6">
        <w:trPr>
          <w:trHeight w:val="436"/>
        </w:trPr>
        <w:tc>
          <w:tcPr>
            <w:tcW w:w="2721" w:type="pct"/>
            <w:vMerge/>
            <w:shd w:val="clear" w:color="auto" w:fill="auto"/>
            <w:vAlign w:val="center"/>
          </w:tcPr>
          <w:p w14:paraId="4356E5EB" w14:textId="77777777" w:rsidR="008E1770" w:rsidRPr="00327EE6" w:rsidRDefault="008E1770" w:rsidP="00AA5EEE">
            <w:pPr>
              <w:rPr>
                <w:sz w:val="18"/>
                <w:lang w:val="en-US"/>
              </w:rPr>
            </w:pPr>
          </w:p>
        </w:tc>
        <w:tc>
          <w:tcPr>
            <w:tcW w:w="369" w:type="pct"/>
            <w:shd w:val="clear" w:color="auto" w:fill="auto"/>
            <w:vAlign w:val="center"/>
          </w:tcPr>
          <w:p w14:paraId="77BF4C66" w14:textId="77777777" w:rsidR="008E1770" w:rsidRPr="00327EE6" w:rsidRDefault="000930F3" w:rsidP="00AA5EEE">
            <w:pPr>
              <w:rPr>
                <w:sz w:val="18"/>
                <w:lang w:val="en-US"/>
              </w:rPr>
            </w:pPr>
            <w:r>
              <w:rPr>
                <w:noProof/>
                <w:lang w:eastAsia="pl-PL"/>
              </w:rPr>
              <w:drawing>
                <wp:anchor distT="0" distB="0" distL="114300" distR="114300" simplePos="0" relativeHeight="251648000" behindDoc="0" locked="0" layoutInCell="1" allowOverlap="1" wp14:anchorId="4C810662" wp14:editId="0CDECDD9">
                  <wp:simplePos x="0" y="0"/>
                  <wp:positionH relativeFrom="column">
                    <wp:posOffset>81280</wp:posOffset>
                  </wp:positionH>
                  <wp:positionV relativeFrom="paragraph">
                    <wp:posOffset>18415</wp:posOffset>
                  </wp:positionV>
                  <wp:extent cx="256540" cy="251460"/>
                  <wp:effectExtent l="0" t="0" r="0" b="0"/>
                  <wp:wrapNone/>
                  <wp:docPr id="6"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14:paraId="00E2D1B4" w14:textId="77777777" w:rsidR="008E1770" w:rsidRPr="00327EE6" w:rsidRDefault="008E1770" w:rsidP="00AA5EEE">
            <w:pPr>
              <w:rPr>
                <w:sz w:val="18"/>
                <w:lang w:val="en-US"/>
              </w:rPr>
            </w:pPr>
            <w:r w:rsidRPr="00327EE6">
              <w:rPr>
                <w:sz w:val="20"/>
                <w:lang w:val="en-US"/>
              </w:rPr>
              <w:t>@GUS_STAT</w:t>
            </w:r>
          </w:p>
        </w:tc>
      </w:tr>
      <w:tr w:rsidR="008E1770" w:rsidRPr="00327EE6" w14:paraId="40DEF149" w14:textId="77777777" w:rsidTr="00327EE6">
        <w:trPr>
          <w:trHeight w:val="436"/>
        </w:trPr>
        <w:tc>
          <w:tcPr>
            <w:tcW w:w="2721" w:type="pct"/>
            <w:vMerge/>
            <w:shd w:val="clear" w:color="auto" w:fill="auto"/>
            <w:vAlign w:val="center"/>
          </w:tcPr>
          <w:p w14:paraId="73B611F9" w14:textId="77777777" w:rsidR="008E1770" w:rsidRPr="00327EE6" w:rsidRDefault="008E1770" w:rsidP="00AA5EEE">
            <w:pPr>
              <w:rPr>
                <w:sz w:val="18"/>
                <w:lang w:val="en-US"/>
              </w:rPr>
            </w:pPr>
          </w:p>
        </w:tc>
        <w:tc>
          <w:tcPr>
            <w:tcW w:w="369" w:type="pct"/>
            <w:shd w:val="clear" w:color="auto" w:fill="auto"/>
            <w:vAlign w:val="center"/>
          </w:tcPr>
          <w:p w14:paraId="2ADC6040" w14:textId="77777777" w:rsidR="008E1770" w:rsidRPr="00327EE6" w:rsidRDefault="000930F3" w:rsidP="00AA5EEE">
            <w:pPr>
              <w:rPr>
                <w:sz w:val="18"/>
                <w:lang w:val="en-US"/>
              </w:rPr>
            </w:pPr>
            <w:r>
              <w:rPr>
                <w:noProof/>
                <w:lang w:eastAsia="pl-PL"/>
              </w:rPr>
              <w:drawing>
                <wp:anchor distT="0" distB="0" distL="114300" distR="114300" simplePos="0" relativeHeight="251646976" behindDoc="0" locked="0" layoutInCell="1" allowOverlap="1" wp14:anchorId="5A8BB50E" wp14:editId="3CADAEE8">
                  <wp:simplePos x="0" y="0"/>
                  <wp:positionH relativeFrom="column">
                    <wp:posOffset>78740</wp:posOffset>
                  </wp:positionH>
                  <wp:positionV relativeFrom="paragraph">
                    <wp:posOffset>15240</wp:posOffset>
                  </wp:positionV>
                  <wp:extent cx="256540" cy="251460"/>
                  <wp:effectExtent l="0" t="0" r="0" b="0"/>
                  <wp:wrapNone/>
                  <wp:docPr id="5"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14:paraId="636550F0" w14:textId="77777777" w:rsidR="008E1770" w:rsidRPr="00327EE6" w:rsidRDefault="008E1770" w:rsidP="00AA5EEE">
            <w:pPr>
              <w:rPr>
                <w:sz w:val="20"/>
                <w:lang w:val="en-US"/>
              </w:rPr>
            </w:pPr>
            <w:r w:rsidRPr="00327EE6">
              <w:rPr>
                <w:sz w:val="20"/>
                <w:lang w:val="en-US"/>
              </w:rPr>
              <w:t>@GlownyUrzadStatystyczny</w:t>
            </w:r>
          </w:p>
        </w:tc>
      </w:tr>
    </w:tbl>
    <w:p w14:paraId="43DB5F27" w14:textId="77777777" w:rsidR="00896319" w:rsidRPr="0042209C" w:rsidRDefault="009704F9" w:rsidP="00896319">
      <w:pPr>
        <w:rPr>
          <w:sz w:val="18"/>
          <w:lang w:val="en-US"/>
        </w:rPr>
      </w:pPr>
      <w:r>
        <w:rPr>
          <w:noProof/>
          <w:lang w:eastAsia="pl-PL"/>
        </w:rPr>
        <mc:AlternateContent>
          <mc:Choice Requires="wps">
            <w:drawing>
              <wp:anchor distT="45720" distB="45720" distL="114300" distR="114300" simplePos="0" relativeHeight="251651072" behindDoc="0" locked="0" layoutInCell="1" allowOverlap="1" wp14:anchorId="6E1BC56F" wp14:editId="3A721448">
                <wp:simplePos x="0" y="0"/>
                <wp:positionH relativeFrom="margin">
                  <wp:posOffset>19877</wp:posOffset>
                </wp:positionH>
                <wp:positionV relativeFrom="paragraph">
                  <wp:posOffset>426030</wp:posOffset>
                </wp:positionV>
                <wp:extent cx="5136543" cy="4629150"/>
                <wp:effectExtent l="0" t="0" r="26035" b="190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6543" cy="4629150"/>
                        </a:xfrm>
                        <a:prstGeom prst="rect">
                          <a:avLst/>
                        </a:prstGeom>
                        <a:solidFill>
                          <a:sysClr val="window" lastClr="FFFFFF">
                            <a:lumMod val="95000"/>
                          </a:sysClr>
                        </a:solidFill>
                        <a:ln w="9525">
                          <a:solidFill>
                            <a:sysClr val="window" lastClr="FFFFFF"/>
                          </a:solidFill>
                          <a:miter lim="800000"/>
                          <a:headEnd/>
                          <a:tailEnd/>
                        </a:ln>
                      </wps:spPr>
                      <wps:txbx>
                        <w:txbxContent>
                          <w:p w14:paraId="485B0D5D" w14:textId="77777777" w:rsidR="00AA0129" w:rsidRDefault="00AA0129" w:rsidP="003138BE">
                            <w:pPr>
                              <w:rPr>
                                <w:b/>
                              </w:rPr>
                            </w:pPr>
                          </w:p>
                          <w:p w14:paraId="681C870B" w14:textId="77777777" w:rsidR="00AA0129" w:rsidRPr="0079649E" w:rsidRDefault="00AA0129" w:rsidP="003138BE">
                            <w:pPr>
                              <w:rPr>
                                <w:b/>
                                <w:lang w:val="en-GB"/>
                              </w:rPr>
                            </w:pPr>
                            <w:r w:rsidRPr="0079649E">
                              <w:rPr>
                                <w:b/>
                                <w:lang w:val="en-GB"/>
                              </w:rPr>
                              <w:t>Related information</w:t>
                            </w:r>
                          </w:p>
                          <w:p w14:paraId="29759E2B"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begin"/>
                            </w:r>
                            <w:r w:rsidRPr="00764DE1">
                              <w:rPr>
                                <w:rFonts w:cs="Arial"/>
                                <w:color w:val="001D77"/>
                                <w:sz w:val="18"/>
                                <w:szCs w:val="30"/>
                                <w:shd w:val="clear" w:color="auto" w:fill="F0F0F0"/>
                                <w:lang w:val="en-GB"/>
                              </w:rPr>
                              <w:instrText>HYPERLINK "https://stat.gov.pl/obszary-tematyczne/rynek-pracy/popyt-na-prace/popyt-na-prace-w-2020-roku,1,16.html"</w:instrText>
                            </w:r>
                            <w:r w:rsidRPr="00764DE1">
                              <w:rPr>
                                <w:rFonts w:cs="Arial"/>
                                <w:color w:val="001D77"/>
                                <w:sz w:val="18"/>
                                <w:szCs w:val="30"/>
                                <w:shd w:val="clear" w:color="auto" w:fill="F0F0F0"/>
                              </w:rPr>
                              <w:fldChar w:fldCharType="separate"/>
                            </w:r>
                            <w:r w:rsidRPr="00764DE1">
                              <w:rPr>
                                <w:rStyle w:val="Hipercze"/>
                                <w:rFonts w:cs="Arial"/>
                                <w:color w:val="001D77"/>
                                <w:sz w:val="18"/>
                                <w:szCs w:val="30"/>
                                <w:shd w:val="clear" w:color="auto" w:fill="F0F0F0"/>
                                <w:lang w:val="en-GB"/>
                              </w:rPr>
                              <w:t>The demand for labour in 2020 – annual publication</w:t>
                            </w:r>
                          </w:p>
                          <w:p w14:paraId="2041A40D" w14:textId="77777777" w:rsidR="00AA0129" w:rsidRPr="00764DE1" w:rsidRDefault="00AA0129" w:rsidP="003138BE">
                            <w:pPr>
                              <w:rPr>
                                <w:rFonts w:cs="Arial"/>
                                <w:color w:val="001D77"/>
                                <w:sz w:val="18"/>
                                <w:szCs w:val="30"/>
                                <w:shd w:val="clear" w:color="auto" w:fill="F0F0F0"/>
                                <w:lang w:val="en-GB"/>
                              </w:rPr>
                            </w:pPr>
                            <w:r w:rsidRPr="00764DE1">
                              <w:rPr>
                                <w:rFonts w:cs="Arial"/>
                                <w:color w:val="001D77"/>
                                <w:sz w:val="18"/>
                                <w:szCs w:val="30"/>
                                <w:shd w:val="clear" w:color="auto" w:fill="F0F0F0"/>
                              </w:rPr>
                              <w:fldChar w:fldCharType="end"/>
                            </w:r>
                            <w:hyperlink r:id="rId24" w:history="1">
                              <w:r w:rsidRPr="00764DE1">
                                <w:rPr>
                                  <w:rStyle w:val="Hipercze"/>
                                  <w:rFonts w:cs="Arial"/>
                                  <w:color w:val="001D77"/>
                                  <w:sz w:val="18"/>
                                  <w:szCs w:val="30"/>
                                  <w:shd w:val="clear" w:color="auto" w:fill="F0F0F0"/>
                                  <w:lang w:val="en-GB"/>
                                </w:rPr>
                                <w:t>The demand for labour in the second quarter of 2021</w:t>
                              </w:r>
                            </w:hyperlink>
                          </w:p>
                          <w:p w14:paraId="113F44B1" w14:textId="77777777" w:rsidR="00AA0129" w:rsidRPr="00764DE1" w:rsidRDefault="008331E2" w:rsidP="003138BE">
                            <w:pPr>
                              <w:rPr>
                                <w:rFonts w:cs="Arial"/>
                                <w:color w:val="001D77"/>
                                <w:sz w:val="18"/>
                                <w:szCs w:val="30"/>
                                <w:shd w:val="clear" w:color="auto" w:fill="F0F0F0"/>
                                <w:lang w:val="en-GB"/>
                              </w:rPr>
                            </w:pPr>
                            <w:hyperlink r:id="rId25" w:history="1">
                              <w:r w:rsidR="00AA0129" w:rsidRPr="00764DE1">
                                <w:rPr>
                                  <w:rStyle w:val="Hipercze"/>
                                  <w:rFonts w:cs="Arial"/>
                                  <w:color w:val="001D77"/>
                                  <w:sz w:val="18"/>
                                  <w:szCs w:val="30"/>
                                  <w:shd w:val="clear" w:color="auto" w:fill="F0F0F0"/>
                                  <w:lang w:val="en-GB"/>
                                </w:rPr>
                                <w:t>The impact of the Covid-19 epidemic on selected elements of the labour market in the second quarter of</w:t>
                              </w:r>
                            </w:hyperlink>
                            <w:r w:rsidR="00AA0129" w:rsidRPr="00764DE1">
                              <w:rPr>
                                <w:rStyle w:val="Hipercze"/>
                                <w:rFonts w:cs="Arial"/>
                                <w:color w:val="001D77"/>
                                <w:sz w:val="18"/>
                                <w:szCs w:val="30"/>
                                <w:shd w:val="clear" w:color="auto" w:fill="F0F0F0"/>
                                <w:lang w:val="en-GB"/>
                              </w:rPr>
                              <w:t xml:space="preserve"> 2021</w:t>
                            </w:r>
                          </w:p>
                          <w:p w14:paraId="433AF618" w14:textId="77777777" w:rsidR="00AA0129" w:rsidRPr="00764DE1" w:rsidRDefault="008331E2" w:rsidP="003138BE">
                            <w:pPr>
                              <w:rPr>
                                <w:rStyle w:val="Hipercze"/>
                                <w:rFonts w:cs="Arial"/>
                                <w:color w:val="001D77"/>
                                <w:sz w:val="18"/>
                                <w:szCs w:val="30"/>
                                <w:shd w:val="clear" w:color="auto" w:fill="F0F0F0"/>
                                <w:lang w:val="en-GB"/>
                              </w:rPr>
                            </w:pPr>
                            <w:hyperlink r:id="rId26" w:history="1">
                              <w:r w:rsidR="00AA0129" w:rsidRPr="00764DE1">
                                <w:rPr>
                                  <w:rStyle w:val="Hipercze"/>
                                  <w:rFonts w:cs="Arial"/>
                                  <w:color w:val="001D77"/>
                                  <w:sz w:val="18"/>
                                  <w:szCs w:val="30"/>
                                  <w:shd w:val="clear" w:color="auto" w:fill="F0F0F0"/>
                                  <w:lang w:val="en-GB"/>
                                </w:rPr>
                                <w:t xml:space="preserve">Other publications that contain the results of these surveys: stat.gov.pl → Topics → Labour market </w:t>
                              </w:r>
                            </w:hyperlink>
                            <w:r w:rsidR="00AA0129" w:rsidRPr="00764DE1">
                              <w:rPr>
                                <w:rStyle w:val="Hipercze"/>
                                <w:rFonts w:cs="Arial"/>
                                <w:color w:val="001D77"/>
                                <w:sz w:val="18"/>
                                <w:szCs w:val="30"/>
                                <w:shd w:val="clear" w:color="auto" w:fill="F0F0F0"/>
                                <w:lang w:val="en-GB"/>
                              </w:rPr>
                              <w:t xml:space="preserve"> </w:t>
                            </w:r>
                          </w:p>
                          <w:p w14:paraId="47FFCE9C" w14:textId="77777777" w:rsidR="00AA0129" w:rsidRPr="0079649E" w:rsidRDefault="00AA0129" w:rsidP="003138BE">
                            <w:pPr>
                              <w:rPr>
                                <w:b/>
                                <w:color w:val="000000"/>
                                <w:szCs w:val="24"/>
                                <w:lang w:val="en-GB"/>
                              </w:rPr>
                            </w:pPr>
                          </w:p>
                          <w:p w14:paraId="3BA612FC" w14:textId="77777777" w:rsidR="00AA0129" w:rsidRPr="0079649E" w:rsidRDefault="00AA0129" w:rsidP="003138BE">
                            <w:pPr>
                              <w:rPr>
                                <w:b/>
                                <w:color w:val="000000"/>
                                <w:szCs w:val="24"/>
                                <w:lang w:val="en-GB"/>
                              </w:rPr>
                            </w:pPr>
                            <w:r w:rsidRPr="0079649E">
                              <w:rPr>
                                <w:b/>
                                <w:color w:val="000000"/>
                                <w:szCs w:val="24"/>
                                <w:lang w:val="en-GB"/>
                              </w:rPr>
                              <w:t>Data available in databases</w:t>
                            </w:r>
                          </w:p>
                          <w:p w14:paraId="6D331EFE" w14:textId="77777777" w:rsidR="00AA0129" w:rsidRPr="00764DE1" w:rsidRDefault="008331E2" w:rsidP="003138BE">
                            <w:pPr>
                              <w:rPr>
                                <w:rStyle w:val="Hipercze"/>
                                <w:rFonts w:cs="Arial"/>
                                <w:color w:val="001D77"/>
                                <w:sz w:val="18"/>
                                <w:szCs w:val="30"/>
                                <w:shd w:val="clear" w:color="auto" w:fill="F0F0F0"/>
                                <w:lang w:val="en-GB"/>
                              </w:rPr>
                            </w:pPr>
                            <w:hyperlink r:id="rId27" w:history="1">
                              <w:r w:rsidR="00AA0129" w:rsidRPr="00764DE1">
                                <w:rPr>
                                  <w:rStyle w:val="Hipercze"/>
                                  <w:rFonts w:cs="Arial"/>
                                  <w:color w:val="001D77"/>
                                  <w:sz w:val="18"/>
                                  <w:szCs w:val="30"/>
                                  <w:shd w:val="clear" w:color="auto" w:fill="F0F0F0"/>
                                  <w:lang w:val="en-GB"/>
                                </w:rPr>
                                <w:t>Knowledge databases – Labour market</w:t>
                              </w:r>
                            </w:hyperlink>
                          </w:p>
                          <w:p w14:paraId="5D38E11F"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begin"/>
                            </w:r>
                            <w:r w:rsidRPr="00764DE1">
                              <w:rPr>
                                <w:rFonts w:cs="Arial"/>
                                <w:color w:val="001D77"/>
                                <w:sz w:val="18"/>
                                <w:szCs w:val="30"/>
                                <w:shd w:val="clear" w:color="auto" w:fill="F0F0F0"/>
                                <w:lang w:val="en-GB"/>
                              </w:rPr>
                              <w:instrText xml:space="preserve"> HYPERLINK "http://strateg.stat.gov.pl/" </w:instrText>
                            </w:r>
                            <w:r w:rsidRPr="00764DE1">
                              <w:rPr>
                                <w:rFonts w:cs="Arial"/>
                                <w:color w:val="001D77"/>
                                <w:sz w:val="18"/>
                                <w:szCs w:val="30"/>
                                <w:shd w:val="clear" w:color="auto" w:fill="F0F0F0"/>
                              </w:rPr>
                              <w:fldChar w:fldCharType="separate"/>
                            </w:r>
                            <w:r w:rsidRPr="00764DE1">
                              <w:rPr>
                                <w:rStyle w:val="Hipercze"/>
                                <w:rFonts w:cs="Arial"/>
                                <w:color w:val="001D77"/>
                                <w:sz w:val="18"/>
                                <w:szCs w:val="30"/>
                                <w:shd w:val="clear" w:color="auto" w:fill="F0F0F0"/>
                                <w:lang w:val="en-GB"/>
                              </w:rPr>
                              <w:t>Strateg → Themes → Labour market</w:t>
                            </w:r>
                          </w:p>
                          <w:p w14:paraId="6A213CFF"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end"/>
                            </w:r>
                            <w:r w:rsidRPr="00764DE1">
                              <w:rPr>
                                <w:rStyle w:val="Hipercze"/>
                                <w:rFonts w:cs="Arial"/>
                                <w:color w:val="001D77"/>
                                <w:sz w:val="18"/>
                                <w:szCs w:val="30"/>
                                <w:shd w:val="clear" w:color="auto" w:fill="F0F0F0"/>
                                <w:lang w:val="en-GB"/>
                              </w:rPr>
                              <w:t>Local Data Bank → Labour market</w:t>
                            </w:r>
                          </w:p>
                          <w:p w14:paraId="182E0191" w14:textId="77777777" w:rsidR="00AA0129" w:rsidRPr="0079649E" w:rsidRDefault="008331E2" w:rsidP="003138BE">
                            <w:pPr>
                              <w:rPr>
                                <w:rStyle w:val="Hipercze"/>
                                <w:rFonts w:cs="Arial"/>
                                <w:color w:val="001D77"/>
                                <w:sz w:val="18"/>
                                <w:szCs w:val="30"/>
                                <w:shd w:val="clear" w:color="auto" w:fill="F0F0F0"/>
                                <w:lang w:val="en-GB"/>
                              </w:rPr>
                            </w:pPr>
                            <w:hyperlink r:id="rId28" w:history="1">
                              <w:r w:rsidR="00AA0129" w:rsidRPr="00764DE1">
                                <w:rPr>
                                  <w:rStyle w:val="Hipercze"/>
                                  <w:rFonts w:cs="Arial"/>
                                  <w:color w:val="001D77"/>
                                  <w:sz w:val="18"/>
                                  <w:szCs w:val="30"/>
                                  <w:shd w:val="clear" w:color="auto" w:fill="F0F0F0"/>
                                  <w:lang w:val="en-GB"/>
                                </w:rPr>
                                <w:t>Statistics for the SDGs – global indicators</w:t>
                              </w:r>
                            </w:hyperlink>
                          </w:p>
                          <w:p w14:paraId="37FEE5FA" w14:textId="77777777" w:rsidR="00AA0129" w:rsidRPr="0079649E" w:rsidRDefault="00AA0129" w:rsidP="003138BE">
                            <w:pPr>
                              <w:rPr>
                                <w:b/>
                                <w:color w:val="000000"/>
                                <w:szCs w:val="24"/>
                                <w:lang w:val="en-GB"/>
                              </w:rPr>
                            </w:pPr>
                          </w:p>
                          <w:p w14:paraId="48C97A8A" w14:textId="77777777" w:rsidR="00AA0129" w:rsidRPr="0079649E" w:rsidRDefault="00AA0129" w:rsidP="003138BE">
                            <w:pPr>
                              <w:rPr>
                                <w:b/>
                                <w:color w:val="000000"/>
                                <w:szCs w:val="24"/>
                                <w:lang w:val="en-GB"/>
                              </w:rPr>
                            </w:pPr>
                            <w:r w:rsidRPr="0079649E">
                              <w:rPr>
                                <w:b/>
                                <w:color w:val="000000"/>
                                <w:szCs w:val="24"/>
                                <w:lang w:val="en-GB"/>
                              </w:rPr>
                              <w:t>Terms used in official statistics</w:t>
                            </w:r>
                          </w:p>
                          <w:p w14:paraId="746EEE59" w14:textId="77777777" w:rsidR="00AA0129" w:rsidRPr="00764DE1" w:rsidRDefault="008331E2" w:rsidP="003138BE">
                            <w:pPr>
                              <w:rPr>
                                <w:rStyle w:val="Hipercze"/>
                                <w:rFonts w:cs="Arial"/>
                                <w:color w:val="001D77"/>
                                <w:sz w:val="18"/>
                                <w:szCs w:val="30"/>
                                <w:shd w:val="clear" w:color="auto" w:fill="F0F0F0"/>
                                <w:lang w:val="en-GB"/>
                              </w:rPr>
                            </w:pPr>
                            <w:hyperlink r:id="rId29" w:history="1">
                              <w:r w:rsidR="00AA0129" w:rsidRPr="00764DE1">
                                <w:rPr>
                                  <w:rStyle w:val="Hipercze"/>
                                  <w:rFonts w:cs="Arial"/>
                                  <w:color w:val="001D77"/>
                                  <w:sz w:val="18"/>
                                  <w:szCs w:val="30"/>
                                  <w:shd w:val="clear" w:color="auto" w:fill="F0F0F0"/>
                                  <w:lang w:val="en-GB"/>
                                </w:rPr>
                                <w:t>Demand for labour</w:t>
                              </w:r>
                            </w:hyperlink>
                            <w:r w:rsidR="00AA0129" w:rsidRPr="00764DE1">
                              <w:rPr>
                                <w:rStyle w:val="Hipercze"/>
                                <w:rFonts w:cs="Arial"/>
                                <w:color w:val="001D77"/>
                                <w:sz w:val="18"/>
                                <w:szCs w:val="30"/>
                                <w:shd w:val="clear" w:color="auto" w:fill="F0F0F0"/>
                                <w:lang w:val="en-GB"/>
                              </w:rPr>
                              <w:t xml:space="preserve"> </w:t>
                            </w:r>
                          </w:p>
                          <w:p w14:paraId="5EBAD3F3" w14:textId="77777777" w:rsidR="00AA0129" w:rsidRPr="00764DE1" w:rsidRDefault="008331E2" w:rsidP="003138BE">
                            <w:pPr>
                              <w:rPr>
                                <w:rStyle w:val="Hipercze"/>
                                <w:rFonts w:cs="Arial"/>
                                <w:color w:val="001D77"/>
                                <w:sz w:val="18"/>
                                <w:szCs w:val="30"/>
                                <w:shd w:val="clear" w:color="auto" w:fill="F0F0F0"/>
                                <w:lang w:val="en-GB"/>
                              </w:rPr>
                            </w:pPr>
                            <w:hyperlink r:id="rId30" w:history="1">
                              <w:r w:rsidR="00AA0129" w:rsidRPr="00764DE1">
                                <w:rPr>
                                  <w:rStyle w:val="Hipercze"/>
                                  <w:rFonts w:cs="Arial"/>
                                  <w:color w:val="001D77"/>
                                  <w:sz w:val="18"/>
                                  <w:szCs w:val="30"/>
                                  <w:shd w:val="clear" w:color="auto" w:fill="F0F0F0"/>
                                  <w:lang w:val="en-GB"/>
                                </w:rPr>
                                <w:t>Vacancies</w:t>
                              </w:r>
                            </w:hyperlink>
                          </w:p>
                          <w:p w14:paraId="406208CA" w14:textId="77777777" w:rsidR="00AA0129" w:rsidRPr="00764DE1" w:rsidRDefault="008331E2" w:rsidP="003138BE">
                            <w:pPr>
                              <w:rPr>
                                <w:rStyle w:val="Hipercze"/>
                                <w:rFonts w:cs="Arial"/>
                                <w:color w:val="001D77"/>
                                <w:sz w:val="18"/>
                                <w:szCs w:val="30"/>
                                <w:shd w:val="clear" w:color="auto" w:fill="F0F0F0"/>
                                <w:lang w:val="en-GB"/>
                              </w:rPr>
                            </w:pPr>
                            <w:hyperlink r:id="rId31" w:history="1">
                              <w:r w:rsidR="00AA0129" w:rsidRPr="00764DE1">
                                <w:rPr>
                                  <w:rStyle w:val="Hipercze"/>
                                  <w:rFonts w:cs="Arial"/>
                                  <w:color w:val="001D77"/>
                                  <w:sz w:val="18"/>
                                  <w:szCs w:val="30"/>
                                  <w:shd w:val="clear" w:color="auto" w:fill="F0F0F0"/>
                                  <w:lang w:val="en-GB"/>
                                </w:rPr>
                                <w:t>Newly created jobs</w:t>
                              </w:r>
                            </w:hyperlink>
                          </w:p>
                          <w:p w14:paraId="0BF7FC5C" w14:textId="77777777" w:rsidR="00AA0129" w:rsidRPr="00764DE1" w:rsidRDefault="008331E2" w:rsidP="003138BE">
                            <w:pPr>
                              <w:rPr>
                                <w:rStyle w:val="Hipercze"/>
                                <w:rFonts w:cs="Arial"/>
                                <w:color w:val="001D77"/>
                                <w:sz w:val="18"/>
                                <w:szCs w:val="30"/>
                                <w:shd w:val="clear" w:color="auto" w:fill="F0F0F0"/>
                                <w:lang w:val="en-GB"/>
                              </w:rPr>
                            </w:pPr>
                            <w:hyperlink r:id="rId32" w:history="1">
                              <w:r w:rsidR="00AA0129" w:rsidRPr="00764DE1">
                                <w:rPr>
                                  <w:rStyle w:val="Hipercze"/>
                                  <w:rFonts w:cs="Arial"/>
                                  <w:color w:val="001D77"/>
                                  <w:sz w:val="18"/>
                                  <w:szCs w:val="30"/>
                                  <w:shd w:val="clear" w:color="auto" w:fill="F0F0F0"/>
                                  <w:lang w:val="en-GB"/>
                                </w:rPr>
                                <w:t xml:space="preserve">Liquidated jobs </w:t>
                              </w:r>
                            </w:hyperlink>
                          </w:p>
                          <w:p w14:paraId="43991A22" w14:textId="77777777" w:rsidR="00AA0129" w:rsidRPr="0079649E" w:rsidRDefault="00AA0129" w:rsidP="003138BE">
                            <w:pPr>
                              <w:rPr>
                                <w:b/>
                                <w:color w:val="001D77"/>
                                <w:szCs w:val="24"/>
                                <w:lang w:val="en-GB"/>
                              </w:rPr>
                            </w:pPr>
                          </w:p>
                          <w:p w14:paraId="638C537B" w14:textId="77777777" w:rsidR="00AA0129" w:rsidRPr="0079649E" w:rsidRDefault="00AA0129" w:rsidP="00896319">
                            <w:pPr>
                              <w:rPr>
                                <w:b/>
                                <w:color w:val="000000"/>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E1BC56F" id="_x0000_s1038" type="#_x0000_t202" style="position:absolute;margin-left:1.55pt;margin-top:33.55pt;width:404.45pt;height:364.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" fillcolor="#f2f2f2" strokecolor="window">
                <v:textbox>
                  <w:txbxContent>
                    <w:p w14:paraId="485B0D5D" w14:textId="77777777" w:rsidR="00AA0129" w:rsidRDefault="00AA0129" w:rsidP="003138BE">
                      <w:pPr>
                        <w:rPr>
                          <w:b/>
                        </w:rPr>
                      </w:pPr>
                    </w:p>
                    <w:p w14:paraId="681C870B" w14:textId="77777777" w:rsidR="00AA0129" w:rsidRPr="0079649E" w:rsidRDefault="00AA0129" w:rsidP="003138BE">
                      <w:pPr>
                        <w:rPr>
                          <w:b/>
                          <w:lang w:val="en-GB"/>
                        </w:rPr>
                      </w:pPr>
                      <w:r w:rsidRPr="0079649E">
                        <w:rPr>
                          <w:b/>
                          <w:lang w:val="en-GB"/>
                        </w:rPr>
                        <w:t>Related information</w:t>
                      </w:r>
                    </w:p>
                    <w:p w14:paraId="29759E2B"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begin"/>
                      </w:r>
                      <w:r w:rsidRPr="00764DE1">
                        <w:rPr>
                          <w:rFonts w:cs="Arial"/>
                          <w:color w:val="001D77"/>
                          <w:sz w:val="18"/>
                          <w:szCs w:val="30"/>
                          <w:shd w:val="clear" w:color="auto" w:fill="F0F0F0"/>
                          <w:lang w:val="en-GB"/>
                        </w:rPr>
                        <w:instrText>HYPERLINK "https://stat.gov.pl/obszary-tematyczne/rynek-pracy/popyt-na-prace/popyt-na-prace-w-2020-roku,1,16.html"</w:instrText>
                      </w:r>
                      <w:r w:rsidRPr="00764DE1">
                        <w:rPr>
                          <w:rFonts w:cs="Arial"/>
                          <w:color w:val="001D77"/>
                          <w:sz w:val="18"/>
                          <w:szCs w:val="30"/>
                          <w:shd w:val="clear" w:color="auto" w:fill="F0F0F0"/>
                        </w:rPr>
                        <w:fldChar w:fldCharType="separate"/>
                      </w:r>
                      <w:r w:rsidRPr="00764DE1">
                        <w:rPr>
                          <w:rStyle w:val="Hipercze"/>
                          <w:rFonts w:cs="Arial"/>
                          <w:color w:val="001D77"/>
                          <w:sz w:val="18"/>
                          <w:szCs w:val="30"/>
                          <w:shd w:val="clear" w:color="auto" w:fill="F0F0F0"/>
                          <w:lang w:val="en-GB"/>
                        </w:rPr>
                        <w:t>The demand for labour in 2020 – annual publication</w:t>
                      </w:r>
                    </w:p>
                    <w:p w14:paraId="2041A40D" w14:textId="77777777" w:rsidR="00AA0129" w:rsidRPr="00764DE1" w:rsidRDefault="00AA0129" w:rsidP="003138BE">
                      <w:pPr>
                        <w:rPr>
                          <w:rFonts w:cs="Arial"/>
                          <w:color w:val="001D77"/>
                          <w:sz w:val="18"/>
                          <w:szCs w:val="30"/>
                          <w:shd w:val="clear" w:color="auto" w:fill="F0F0F0"/>
                          <w:lang w:val="en-GB"/>
                        </w:rPr>
                      </w:pPr>
                      <w:r w:rsidRPr="00764DE1">
                        <w:rPr>
                          <w:rFonts w:cs="Arial"/>
                          <w:color w:val="001D77"/>
                          <w:sz w:val="18"/>
                          <w:szCs w:val="30"/>
                          <w:shd w:val="clear" w:color="auto" w:fill="F0F0F0"/>
                        </w:rPr>
                        <w:fldChar w:fldCharType="end"/>
                      </w:r>
                      <w:hyperlink r:id="rId35" w:history="1">
                        <w:r w:rsidRPr="00764DE1">
                          <w:rPr>
                            <w:rStyle w:val="Hipercze"/>
                            <w:rFonts w:cs="Arial"/>
                            <w:color w:val="001D77"/>
                            <w:sz w:val="18"/>
                            <w:szCs w:val="30"/>
                            <w:shd w:val="clear" w:color="auto" w:fill="F0F0F0"/>
                            <w:lang w:val="en-GB"/>
                          </w:rPr>
                          <w:t>The demand for labour in the second quarter of 2021</w:t>
                        </w:r>
                      </w:hyperlink>
                    </w:p>
                    <w:p w14:paraId="113F44B1" w14:textId="77777777" w:rsidR="00AA0129" w:rsidRPr="00764DE1" w:rsidRDefault="0086309B" w:rsidP="003138BE">
                      <w:pPr>
                        <w:rPr>
                          <w:rFonts w:cs="Arial"/>
                          <w:color w:val="001D77"/>
                          <w:sz w:val="18"/>
                          <w:szCs w:val="30"/>
                          <w:shd w:val="clear" w:color="auto" w:fill="F0F0F0"/>
                          <w:lang w:val="en-GB"/>
                        </w:rPr>
                      </w:pPr>
                      <w:hyperlink r:id="rId36" w:history="1">
                        <w:r w:rsidR="00AA0129" w:rsidRPr="00764DE1">
                          <w:rPr>
                            <w:rStyle w:val="Hipercze"/>
                            <w:rFonts w:cs="Arial"/>
                            <w:color w:val="001D77"/>
                            <w:sz w:val="18"/>
                            <w:szCs w:val="30"/>
                            <w:shd w:val="clear" w:color="auto" w:fill="F0F0F0"/>
                            <w:lang w:val="en-GB"/>
                          </w:rPr>
                          <w:t>The impact of the Covid-19 epidemic on selected elements of the labour market in the second quarter of</w:t>
                        </w:r>
                      </w:hyperlink>
                      <w:r w:rsidR="00AA0129" w:rsidRPr="00764DE1">
                        <w:rPr>
                          <w:rStyle w:val="Hipercze"/>
                          <w:rFonts w:cs="Arial"/>
                          <w:color w:val="001D77"/>
                          <w:sz w:val="18"/>
                          <w:szCs w:val="30"/>
                          <w:shd w:val="clear" w:color="auto" w:fill="F0F0F0"/>
                          <w:lang w:val="en-GB"/>
                        </w:rPr>
                        <w:t xml:space="preserve"> 2021</w:t>
                      </w:r>
                    </w:p>
                    <w:p w14:paraId="433AF618" w14:textId="77777777" w:rsidR="00AA0129" w:rsidRPr="00764DE1" w:rsidRDefault="0086309B" w:rsidP="003138BE">
                      <w:pPr>
                        <w:rPr>
                          <w:rStyle w:val="Hipercze"/>
                          <w:rFonts w:cs="Arial"/>
                          <w:color w:val="001D77"/>
                          <w:sz w:val="18"/>
                          <w:szCs w:val="30"/>
                          <w:shd w:val="clear" w:color="auto" w:fill="F0F0F0"/>
                          <w:lang w:val="en-GB"/>
                        </w:rPr>
                      </w:pPr>
                      <w:hyperlink r:id="rId37" w:history="1">
                        <w:r w:rsidR="00AA0129" w:rsidRPr="00764DE1">
                          <w:rPr>
                            <w:rStyle w:val="Hipercze"/>
                            <w:rFonts w:cs="Arial"/>
                            <w:color w:val="001D77"/>
                            <w:sz w:val="18"/>
                            <w:szCs w:val="30"/>
                            <w:shd w:val="clear" w:color="auto" w:fill="F0F0F0"/>
                            <w:lang w:val="en-GB"/>
                          </w:rPr>
                          <w:t xml:space="preserve">Other publications that contain the results of these surveys: stat.gov.pl → Topics → Labour market </w:t>
                        </w:r>
                      </w:hyperlink>
                      <w:r w:rsidR="00AA0129" w:rsidRPr="00764DE1">
                        <w:rPr>
                          <w:rStyle w:val="Hipercze"/>
                          <w:rFonts w:cs="Arial"/>
                          <w:color w:val="001D77"/>
                          <w:sz w:val="18"/>
                          <w:szCs w:val="30"/>
                          <w:shd w:val="clear" w:color="auto" w:fill="F0F0F0"/>
                          <w:lang w:val="en-GB"/>
                        </w:rPr>
                        <w:t xml:space="preserve"> </w:t>
                      </w:r>
                    </w:p>
                    <w:p w14:paraId="47FFCE9C" w14:textId="77777777" w:rsidR="00AA0129" w:rsidRPr="0079649E" w:rsidRDefault="00AA0129" w:rsidP="003138BE">
                      <w:pPr>
                        <w:rPr>
                          <w:b/>
                          <w:color w:val="000000"/>
                          <w:szCs w:val="24"/>
                          <w:lang w:val="en-GB"/>
                        </w:rPr>
                      </w:pPr>
                    </w:p>
                    <w:p w14:paraId="3BA612FC" w14:textId="77777777" w:rsidR="00AA0129" w:rsidRPr="0079649E" w:rsidRDefault="00AA0129" w:rsidP="003138BE">
                      <w:pPr>
                        <w:rPr>
                          <w:b/>
                          <w:color w:val="000000"/>
                          <w:szCs w:val="24"/>
                          <w:lang w:val="en-GB"/>
                        </w:rPr>
                      </w:pPr>
                      <w:r w:rsidRPr="0079649E">
                        <w:rPr>
                          <w:b/>
                          <w:color w:val="000000"/>
                          <w:szCs w:val="24"/>
                          <w:lang w:val="en-GB"/>
                        </w:rPr>
                        <w:t>Data available in databases</w:t>
                      </w:r>
                    </w:p>
                    <w:p w14:paraId="6D331EFE" w14:textId="77777777" w:rsidR="00AA0129" w:rsidRPr="00764DE1" w:rsidRDefault="0086309B" w:rsidP="003138BE">
                      <w:pPr>
                        <w:rPr>
                          <w:rStyle w:val="Hipercze"/>
                          <w:rFonts w:cs="Arial"/>
                          <w:color w:val="001D77"/>
                          <w:sz w:val="18"/>
                          <w:szCs w:val="30"/>
                          <w:shd w:val="clear" w:color="auto" w:fill="F0F0F0"/>
                          <w:lang w:val="en-GB"/>
                        </w:rPr>
                      </w:pPr>
                      <w:hyperlink r:id="rId38" w:history="1">
                        <w:r w:rsidR="00AA0129" w:rsidRPr="00764DE1">
                          <w:rPr>
                            <w:rStyle w:val="Hipercze"/>
                            <w:rFonts w:cs="Arial"/>
                            <w:color w:val="001D77"/>
                            <w:sz w:val="18"/>
                            <w:szCs w:val="30"/>
                            <w:shd w:val="clear" w:color="auto" w:fill="F0F0F0"/>
                            <w:lang w:val="en-GB"/>
                          </w:rPr>
                          <w:t>Knowledge databases – Labour market</w:t>
                        </w:r>
                      </w:hyperlink>
                    </w:p>
                    <w:p w14:paraId="5D38E11F"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begin"/>
                      </w:r>
                      <w:r w:rsidRPr="00764DE1">
                        <w:rPr>
                          <w:rFonts w:cs="Arial"/>
                          <w:color w:val="001D77"/>
                          <w:sz w:val="18"/>
                          <w:szCs w:val="30"/>
                          <w:shd w:val="clear" w:color="auto" w:fill="F0F0F0"/>
                          <w:lang w:val="en-GB"/>
                        </w:rPr>
                        <w:instrText xml:space="preserve"> HYPERLINK "http://strateg.stat.gov.pl/" </w:instrText>
                      </w:r>
                      <w:r w:rsidRPr="00764DE1">
                        <w:rPr>
                          <w:rFonts w:cs="Arial"/>
                          <w:color w:val="001D77"/>
                          <w:sz w:val="18"/>
                          <w:szCs w:val="30"/>
                          <w:shd w:val="clear" w:color="auto" w:fill="F0F0F0"/>
                        </w:rPr>
                        <w:fldChar w:fldCharType="separate"/>
                      </w:r>
                      <w:r w:rsidRPr="00764DE1">
                        <w:rPr>
                          <w:rStyle w:val="Hipercze"/>
                          <w:rFonts w:cs="Arial"/>
                          <w:color w:val="001D77"/>
                          <w:sz w:val="18"/>
                          <w:szCs w:val="30"/>
                          <w:shd w:val="clear" w:color="auto" w:fill="F0F0F0"/>
                          <w:lang w:val="en-GB"/>
                        </w:rPr>
                        <w:t>Strateg → Themes → Labour market</w:t>
                      </w:r>
                    </w:p>
                    <w:p w14:paraId="6A213CFF" w14:textId="77777777" w:rsidR="00AA0129" w:rsidRPr="00764DE1" w:rsidRDefault="00AA0129" w:rsidP="003138BE">
                      <w:pPr>
                        <w:rPr>
                          <w:rStyle w:val="Hipercze"/>
                          <w:rFonts w:cs="Arial"/>
                          <w:color w:val="001D77"/>
                          <w:sz w:val="18"/>
                          <w:szCs w:val="30"/>
                          <w:shd w:val="clear" w:color="auto" w:fill="F0F0F0"/>
                          <w:lang w:val="en-GB"/>
                        </w:rPr>
                      </w:pPr>
                      <w:r w:rsidRPr="00764DE1">
                        <w:rPr>
                          <w:rFonts w:cs="Arial"/>
                          <w:color w:val="001D77"/>
                          <w:sz w:val="18"/>
                          <w:szCs w:val="30"/>
                          <w:shd w:val="clear" w:color="auto" w:fill="F0F0F0"/>
                        </w:rPr>
                        <w:fldChar w:fldCharType="end"/>
                      </w:r>
                      <w:r w:rsidRPr="00764DE1">
                        <w:rPr>
                          <w:rStyle w:val="Hipercze"/>
                          <w:rFonts w:cs="Arial"/>
                          <w:color w:val="001D77"/>
                          <w:sz w:val="18"/>
                          <w:szCs w:val="30"/>
                          <w:shd w:val="clear" w:color="auto" w:fill="F0F0F0"/>
                          <w:lang w:val="en-GB"/>
                        </w:rPr>
                        <w:t>Local Data Bank → Labour market</w:t>
                      </w:r>
                    </w:p>
                    <w:p w14:paraId="182E0191" w14:textId="77777777" w:rsidR="00AA0129" w:rsidRPr="0079649E" w:rsidRDefault="0086309B" w:rsidP="003138BE">
                      <w:pPr>
                        <w:rPr>
                          <w:rStyle w:val="Hipercze"/>
                          <w:rFonts w:cs="Arial"/>
                          <w:color w:val="001D77"/>
                          <w:sz w:val="18"/>
                          <w:szCs w:val="30"/>
                          <w:shd w:val="clear" w:color="auto" w:fill="F0F0F0"/>
                          <w:lang w:val="en-GB"/>
                        </w:rPr>
                      </w:pPr>
                      <w:hyperlink r:id="rId39" w:history="1">
                        <w:r w:rsidR="00AA0129" w:rsidRPr="00764DE1">
                          <w:rPr>
                            <w:rStyle w:val="Hipercze"/>
                            <w:rFonts w:cs="Arial"/>
                            <w:color w:val="001D77"/>
                            <w:sz w:val="18"/>
                            <w:szCs w:val="30"/>
                            <w:shd w:val="clear" w:color="auto" w:fill="F0F0F0"/>
                            <w:lang w:val="en-GB"/>
                          </w:rPr>
                          <w:t>Statistics for the SDGs – global indicators</w:t>
                        </w:r>
                      </w:hyperlink>
                    </w:p>
                    <w:p w14:paraId="37FEE5FA" w14:textId="77777777" w:rsidR="00AA0129" w:rsidRPr="0079649E" w:rsidRDefault="00AA0129" w:rsidP="003138BE">
                      <w:pPr>
                        <w:rPr>
                          <w:b/>
                          <w:color w:val="000000"/>
                          <w:szCs w:val="24"/>
                          <w:lang w:val="en-GB"/>
                        </w:rPr>
                      </w:pPr>
                    </w:p>
                    <w:p w14:paraId="48C97A8A" w14:textId="77777777" w:rsidR="00AA0129" w:rsidRPr="0079649E" w:rsidRDefault="00AA0129" w:rsidP="003138BE">
                      <w:pPr>
                        <w:rPr>
                          <w:b/>
                          <w:color w:val="000000"/>
                          <w:szCs w:val="24"/>
                          <w:lang w:val="en-GB"/>
                        </w:rPr>
                      </w:pPr>
                      <w:r w:rsidRPr="0079649E">
                        <w:rPr>
                          <w:b/>
                          <w:color w:val="000000"/>
                          <w:szCs w:val="24"/>
                          <w:lang w:val="en-GB"/>
                        </w:rPr>
                        <w:t>Terms used in official statistics</w:t>
                      </w:r>
                    </w:p>
                    <w:p w14:paraId="746EEE59" w14:textId="77777777" w:rsidR="00AA0129" w:rsidRPr="00764DE1" w:rsidRDefault="0086309B" w:rsidP="003138BE">
                      <w:pPr>
                        <w:rPr>
                          <w:rStyle w:val="Hipercze"/>
                          <w:rFonts w:cs="Arial"/>
                          <w:color w:val="001D77"/>
                          <w:sz w:val="18"/>
                          <w:szCs w:val="30"/>
                          <w:shd w:val="clear" w:color="auto" w:fill="F0F0F0"/>
                          <w:lang w:val="en-GB"/>
                        </w:rPr>
                      </w:pPr>
                      <w:hyperlink r:id="rId40" w:history="1">
                        <w:r w:rsidR="00AA0129" w:rsidRPr="00764DE1">
                          <w:rPr>
                            <w:rStyle w:val="Hipercze"/>
                            <w:rFonts w:cs="Arial"/>
                            <w:color w:val="001D77"/>
                            <w:sz w:val="18"/>
                            <w:szCs w:val="30"/>
                            <w:shd w:val="clear" w:color="auto" w:fill="F0F0F0"/>
                            <w:lang w:val="en-GB"/>
                          </w:rPr>
                          <w:t>Demand for labour</w:t>
                        </w:r>
                      </w:hyperlink>
                      <w:r w:rsidR="00AA0129" w:rsidRPr="00764DE1">
                        <w:rPr>
                          <w:rStyle w:val="Hipercze"/>
                          <w:rFonts w:cs="Arial"/>
                          <w:color w:val="001D77"/>
                          <w:sz w:val="18"/>
                          <w:szCs w:val="30"/>
                          <w:shd w:val="clear" w:color="auto" w:fill="F0F0F0"/>
                          <w:lang w:val="en-GB"/>
                        </w:rPr>
                        <w:t xml:space="preserve"> </w:t>
                      </w:r>
                    </w:p>
                    <w:p w14:paraId="5EBAD3F3" w14:textId="77777777" w:rsidR="00AA0129" w:rsidRPr="00764DE1" w:rsidRDefault="0086309B" w:rsidP="003138BE">
                      <w:pPr>
                        <w:rPr>
                          <w:rStyle w:val="Hipercze"/>
                          <w:rFonts w:cs="Arial"/>
                          <w:color w:val="001D77"/>
                          <w:sz w:val="18"/>
                          <w:szCs w:val="30"/>
                          <w:shd w:val="clear" w:color="auto" w:fill="F0F0F0"/>
                          <w:lang w:val="en-GB"/>
                        </w:rPr>
                      </w:pPr>
                      <w:hyperlink r:id="rId41" w:history="1">
                        <w:r w:rsidR="00AA0129" w:rsidRPr="00764DE1">
                          <w:rPr>
                            <w:rStyle w:val="Hipercze"/>
                            <w:rFonts w:cs="Arial"/>
                            <w:color w:val="001D77"/>
                            <w:sz w:val="18"/>
                            <w:szCs w:val="30"/>
                            <w:shd w:val="clear" w:color="auto" w:fill="F0F0F0"/>
                            <w:lang w:val="en-GB"/>
                          </w:rPr>
                          <w:t>Vacancies</w:t>
                        </w:r>
                      </w:hyperlink>
                    </w:p>
                    <w:p w14:paraId="406208CA" w14:textId="77777777" w:rsidR="00AA0129" w:rsidRPr="00764DE1" w:rsidRDefault="0086309B" w:rsidP="003138BE">
                      <w:pPr>
                        <w:rPr>
                          <w:rStyle w:val="Hipercze"/>
                          <w:rFonts w:cs="Arial"/>
                          <w:color w:val="001D77"/>
                          <w:sz w:val="18"/>
                          <w:szCs w:val="30"/>
                          <w:shd w:val="clear" w:color="auto" w:fill="F0F0F0"/>
                          <w:lang w:val="en-GB"/>
                        </w:rPr>
                      </w:pPr>
                      <w:hyperlink r:id="rId42" w:history="1">
                        <w:r w:rsidR="00AA0129" w:rsidRPr="00764DE1">
                          <w:rPr>
                            <w:rStyle w:val="Hipercze"/>
                            <w:rFonts w:cs="Arial"/>
                            <w:color w:val="001D77"/>
                            <w:sz w:val="18"/>
                            <w:szCs w:val="30"/>
                            <w:shd w:val="clear" w:color="auto" w:fill="F0F0F0"/>
                            <w:lang w:val="en-GB"/>
                          </w:rPr>
                          <w:t>Newly created jobs</w:t>
                        </w:r>
                      </w:hyperlink>
                    </w:p>
                    <w:p w14:paraId="0BF7FC5C" w14:textId="77777777" w:rsidR="00AA0129" w:rsidRPr="00764DE1" w:rsidRDefault="0086309B" w:rsidP="003138BE">
                      <w:pPr>
                        <w:rPr>
                          <w:rStyle w:val="Hipercze"/>
                          <w:rFonts w:cs="Arial"/>
                          <w:color w:val="001D77"/>
                          <w:sz w:val="18"/>
                          <w:szCs w:val="30"/>
                          <w:shd w:val="clear" w:color="auto" w:fill="F0F0F0"/>
                          <w:lang w:val="en-GB"/>
                        </w:rPr>
                      </w:pPr>
                      <w:hyperlink r:id="rId43" w:history="1">
                        <w:r w:rsidR="00AA0129" w:rsidRPr="00764DE1">
                          <w:rPr>
                            <w:rStyle w:val="Hipercze"/>
                            <w:rFonts w:cs="Arial"/>
                            <w:color w:val="001D77"/>
                            <w:sz w:val="18"/>
                            <w:szCs w:val="30"/>
                            <w:shd w:val="clear" w:color="auto" w:fill="F0F0F0"/>
                            <w:lang w:val="en-GB"/>
                          </w:rPr>
                          <w:t xml:space="preserve">Liquidated jobs </w:t>
                        </w:r>
                      </w:hyperlink>
                    </w:p>
                    <w:p w14:paraId="43991A22" w14:textId="77777777" w:rsidR="00AA0129" w:rsidRPr="0079649E" w:rsidRDefault="00AA0129" w:rsidP="003138BE">
                      <w:pPr>
                        <w:rPr>
                          <w:b/>
                          <w:color w:val="001D77"/>
                          <w:szCs w:val="24"/>
                          <w:lang w:val="en-GB"/>
                        </w:rPr>
                      </w:pPr>
                    </w:p>
                    <w:p w14:paraId="638C537B" w14:textId="77777777" w:rsidR="00AA0129" w:rsidRPr="0079649E" w:rsidRDefault="00AA0129" w:rsidP="00896319">
                      <w:pPr>
                        <w:rPr>
                          <w:b/>
                          <w:color w:val="000000"/>
                          <w:szCs w:val="24"/>
                          <w:lang w:val="en-GB"/>
                        </w:rPr>
                      </w:pPr>
                    </w:p>
                  </w:txbxContent>
                </v:textbox>
                <w10:wrap type="square" anchorx="margin"/>
              </v:shape>
            </w:pict>
          </mc:Fallback>
        </mc:AlternateContent>
      </w:r>
    </w:p>
    <w:p w14:paraId="51DE28A5" w14:textId="5D8C42F8" w:rsidR="00896319" w:rsidRPr="00821E99" w:rsidRDefault="00896319" w:rsidP="00896319">
      <w:pPr>
        <w:spacing w:after="100" w:afterAutospacing="1"/>
        <w:rPr>
          <w:sz w:val="20"/>
          <w:lang w:val="en-US"/>
        </w:rPr>
      </w:pPr>
    </w:p>
    <w:sectPr w:rsidR="00896319" w:rsidRPr="00821E99" w:rsidSect="00896319">
      <w:headerReference w:type="default" r:id="rId44"/>
      <w:pgSz w:w="11906" w:h="16838" w:code="9"/>
      <w:pgMar w:top="720" w:right="3119" w:bottom="720" w:left="720"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8FEA5" w14:textId="77777777" w:rsidR="008331E2" w:rsidRDefault="008331E2" w:rsidP="000662E2">
      <w:pPr>
        <w:spacing w:after="0" w:line="240" w:lineRule="auto"/>
      </w:pPr>
      <w:r>
        <w:separator/>
      </w:r>
    </w:p>
  </w:endnote>
  <w:endnote w:type="continuationSeparator" w:id="0">
    <w:p w14:paraId="5296E80D" w14:textId="77777777" w:rsidR="008331E2" w:rsidRDefault="008331E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ACBF5" w14:textId="67E26CC2" w:rsidR="00AA0129" w:rsidRDefault="00AA0129" w:rsidP="00055100">
    <w:pPr>
      <w:pStyle w:val="Stopka"/>
      <w:jc w:val="center"/>
    </w:pPr>
    <w:r>
      <w:rPr>
        <w:noProof/>
      </w:rPr>
      <w:fldChar w:fldCharType="begin"/>
    </w:r>
    <w:r>
      <w:rPr>
        <w:noProof/>
      </w:rPr>
      <w:instrText>PAGE   \* MERGEFORMAT</w:instrText>
    </w:r>
    <w:r>
      <w:rPr>
        <w:noProof/>
      </w:rPr>
      <w:fldChar w:fldCharType="separate"/>
    </w:r>
    <w:r w:rsidR="00EB6B9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C3237" w14:textId="1639A92E" w:rsidR="00AA0129" w:rsidRDefault="00AA0129" w:rsidP="00055100">
    <w:pPr>
      <w:pStyle w:val="Stopka"/>
      <w:jc w:val="center"/>
    </w:pPr>
    <w:r>
      <w:rPr>
        <w:noProof/>
      </w:rPr>
      <w:fldChar w:fldCharType="begin"/>
    </w:r>
    <w:r>
      <w:rPr>
        <w:noProof/>
      </w:rPr>
      <w:instrText>PAGE   \* MERGEFORMAT</w:instrText>
    </w:r>
    <w:r>
      <w:rPr>
        <w:noProof/>
      </w:rPr>
      <w:fldChar w:fldCharType="separate"/>
    </w:r>
    <w:r w:rsidR="00EB6B9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A2A90" w14:textId="77777777" w:rsidR="008331E2" w:rsidRDefault="008331E2" w:rsidP="000662E2">
      <w:pPr>
        <w:spacing w:after="0" w:line="240" w:lineRule="auto"/>
      </w:pPr>
      <w:r>
        <w:separator/>
      </w:r>
    </w:p>
  </w:footnote>
  <w:footnote w:type="continuationSeparator" w:id="0">
    <w:p w14:paraId="37F48A61" w14:textId="77777777" w:rsidR="008331E2" w:rsidRDefault="008331E2" w:rsidP="000662E2">
      <w:pPr>
        <w:spacing w:after="0" w:line="240" w:lineRule="auto"/>
      </w:pPr>
      <w:r>
        <w:continuationSeparator/>
      </w:r>
    </w:p>
  </w:footnote>
  <w:footnote w:id="1">
    <w:p w14:paraId="01A3D5B8" w14:textId="293A7684" w:rsidR="00AA0129" w:rsidRPr="0079649E" w:rsidRDefault="00AA0129" w:rsidP="00AA0129">
      <w:pPr>
        <w:pStyle w:val="Tekstprzypisudolnego"/>
        <w:rPr>
          <w:rFonts w:ascii="Fira Sans" w:hAnsi="Fira Sans"/>
          <w:sz w:val="16"/>
          <w:szCs w:val="16"/>
          <w:lang w:val="en-GB"/>
        </w:rPr>
      </w:pPr>
      <w:r w:rsidRPr="008C4F99">
        <w:rPr>
          <w:rStyle w:val="Odwoanieprzypisudolnego"/>
          <w:rFonts w:ascii="Fira Sans" w:hAnsi="Fira Sans"/>
          <w:sz w:val="16"/>
          <w:szCs w:val="16"/>
        </w:rPr>
        <w:footnoteRef/>
      </w:r>
      <w:r w:rsidRPr="0079649E">
        <w:rPr>
          <w:rFonts w:ascii="Fira Sans" w:hAnsi="Fira Sans"/>
          <w:sz w:val="16"/>
          <w:szCs w:val="16"/>
          <w:lang w:val="en-GB"/>
        </w:rPr>
        <w:t xml:space="preserve"> </w:t>
      </w:r>
      <w:r w:rsidR="004456E1" w:rsidRPr="0079649E">
        <w:rPr>
          <w:rFonts w:ascii="Fira Sans" w:hAnsi="Fira Sans"/>
          <w:sz w:val="16"/>
          <w:szCs w:val="16"/>
          <w:lang w:val="en-GB"/>
        </w:rPr>
        <w:t>Classification of Occupations and Specialisations</w:t>
      </w:r>
      <w:r w:rsidR="00B404E7">
        <w:rPr>
          <w:rFonts w:ascii="Fira Sans" w:hAnsi="Fira Sans"/>
          <w:sz w:val="16"/>
          <w:szCs w:val="16"/>
          <w:lang w:val="en-GB"/>
        </w:rPr>
        <w:t xml:space="preserve"> (KZiS) – introduced by the R</w:t>
      </w:r>
      <w:r w:rsidR="00B96338" w:rsidRPr="0079649E">
        <w:rPr>
          <w:rFonts w:ascii="Fira Sans" w:hAnsi="Fira Sans"/>
          <w:sz w:val="16"/>
          <w:szCs w:val="16"/>
          <w:lang w:val="en-GB"/>
        </w:rPr>
        <w:t xml:space="preserve">egulation of the Minister of Labour and Social Policy of 7 August 2014 on the classification of </w:t>
      </w:r>
      <w:r w:rsidR="00B404E7">
        <w:rPr>
          <w:rFonts w:ascii="Fira Sans" w:hAnsi="Fira Sans"/>
          <w:sz w:val="16"/>
          <w:szCs w:val="16"/>
          <w:lang w:val="en-GB"/>
        </w:rPr>
        <w:t>occupations and specialisations</w:t>
      </w:r>
      <w:r w:rsidR="00B96338" w:rsidRPr="0079649E">
        <w:rPr>
          <w:rFonts w:ascii="Fira Sans" w:hAnsi="Fira Sans"/>
          <w:sz w:val="16"/>
          <w:szCs w:val="16"/>
          <w:lang w:val="en-GB"/>
        </w:rPr>
        <w:t xml:space="preserve"> for</w:t>
      </w:r>
      <w:r w:rsidR="00B404E7">
        <w:rPr>
          <w:rFonts w:ascii="Fira Sans" w:hAnsi="Fira Sans"/>
          <w:sz w:val="16"/>
          <w:szCs w:val="16"/>
          <w:lang w:val="en-GB"/>
        </w:rPr>
        <w:t xml:space="preserve"> the needs of the labour market</w:t>
      </w:r>
      <w:r w:rsidR="00B96338" w:rsidRPr="0079649E">
        <w:rPr>
          <w:rFonts w:ascii="Fira Sans" w:hAnsi="Fira Sans"/>
          <w:sz w:val="16"/>
          <w:szCs w:val="16"/>
          <w:lang w:val="en-GB"/>
        </w:rPr>
        <w:t xml:space="preserve"> and the scope of its applications</w:t>
      </w:r>
      <w:r w:rsidR="00B96338" w:rsidRPr="0079649E">
        <w:rPr>
          <w:rFonts w:ascii="Arial" w:hAnsi="Arial" w:cs="Arial"/>
          <w:color w:val="4D5156"/>
          <w:sz w:val="21"/>
          <w:szCs w:val="21"/>
          <w:shd w:val="clear" w:color="auto" w:fill="FFFFFF"/>
          <w:lang w:val="en-GB"/>
        </w:rPr>
        <w:t xml:space="preserve"> </w:t>
      </w:r>
      <w:r w:rsidR="00B96338" w:rsidRPr="0079649E">
        <w:rPr>
          <w:rFonts w:ascii="Fira Sans" w:hAnsi="Fira Sans"/>
          <w:sz w:val="16"/>
          <w:szCs w:val="16"/>
          <w:lang w:val="en-GB"/>
        </w:rPr>
        <w:t>(</w:t>
      </w:r>
      <w:r w:rsidR="00B96338" w:rsidRPr="0079649E">
        <w:rPr>
          <w:rFonts w:ascii="Fira Sans" w:hAnsi="Fira Sans"/>
          <w:i/>
          <w:sz w:val="16"/>
          <w:szCs w:val="16"/>
          <w:lang w:val="en-GB"/>
        </w:rPr>
        <w:t>Journal of Laws</w:t>
      </w:r>
      <w:r w:rsidR="00B96338" w:rsidRPr="0079649E">
        <w:rPr>
          <w:rFonts w:ascii="Fira Sans" w:hAnsi="Fira Sans"/>
          <w:sz w:val="16"/>
          <w:szCs w:val="16"/>
          <w:lang w:val="en-GB"/>
        </w:rPr>
        <w:t xml:space="preserve"> (</w:t>
      </w:r>
      <w:r w:rsidRPr="0079649E">
        <w:rPr>
          <w:rFonts w:ascii="Fira Sans" w:hAnsi="Fira Sans"/>
          <w:i/>
          <w:sz w:val="16"/>
          <w:szCs w:val="16"/>
          <w:lang w:val="en-GB"/>
        </w:rPr>
        <w:t>Dz. U</w:t>
      </w:r>
      <w:r w:rsidR="00B96338" w:rsidRPr="0079649E">
        <w:rPr>
          <w:rFonts w:ascii="Fira Sans" w:hAnsi="Fira Sans"/>
          <w:i/>
          <w:sz w:val="16"/>
          <w:szCs w:val="16"/>
          <w:lang w:val="en-GB"/>
        </w:rPr>
        <w:t>.)</w:t>
      </w:r>
      <w:r w:rsidR="00B96338" w:rsidRPr="0079649E">
        <w:rPr>
          <w:rFonts w:ascii="Fira Sans" w:hAnsi="Fira Sans"/>
          <w:sz w:val="16"/>
          <w:szCs w:val="16"/>
          <w:lang w:val="en-GB"/>
        </w:rPr>
        <w:t xml:space="preserve"> 2018, item</w:t>
      </w:r>
      <w:r w:rsidRPr="0079649E">
        <w:rPr>
          <w:rFonts w:ascii="Fira Sans" w:hAnsi="Fira Sans"/>
          <w:sz w:val="16"/>
          <w:szCs w:val="16"/>
          <w:lang w:val="en-GB"/>
        </w:rPr>
        <w:t xml:space="preserve"> 227).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B6DD" w14:textId="77777777" w:rsidR="00AA0129" w:rsidRDefault="00AA0129">
    <w:pPr>
      <w:pStyle w:val="Nagwek"/>
    </w:pPr>
    <w:r>
      <w:rPr>
        <w:noProof/>
        <w:lang w:eastAsia="pl-PL"/>
      </w:rPr>
      <mc:AlternateContent>
        <mc:Choice Requires="wps">
          <w:drawing>
            <wp:anchor distT="0" distB="0" distL="114300" distR="114300" simplePos="0" relativeHeight="251656192" behindDoc="1" locked="0" layoutInCell="1" allowOverlap="1" wp14:anchorId="061494A0" wp14:editId="5E966683">
              <wp:simplePos x="0" y="0"/>
              <wp:positionH relativeFrom="column">
                <wp:posOffset>5214620</wp:posOffset>
              </wp:positionH>
              <wp:positionV relativeFrom="paragraph">
                <wp:posOffset>-178435</wp:posOffset>
              </wp:positionV>
              <wp:extent cx="1874520" cy="22680295"/>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417A38" id="Prostokąt 24" o:spid="_x0000_s1026" style="position:absolute;margin-left:410.6pt;margin-top:-14.05pt;width:147.6pt;height:17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" fillcolor="#f2f2f2" stroked="f" strokeweight="1pt">
              <v:path arrowok="t"/>
            </v:rect>
          </w:pict>
        </mc:Fallback>
      </mc:AlternateContent>
    </w:r>
  </w:p>
  <w:p w14:paraId="0F95227E" w14:textId="77777777" w:rsidR="00AA0129" w:rsidRDefault="00AA01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0EB4" w14:textId="3A65767D" w:rsidR="00AA0129" w:rsidRDefault="00AA0129">
    <w:pPr>
      <w:pStyle w:val="Nagwek"/>
      <w:rPr>
        <w:noProof/>
        <w:lang w:eastAsia="pl-PL"/>
      </w:rPr>
    </w:pPr>
    <w:r>
      <w:rPr>
        <w:noProof/>
        <w:lang w:eastAsia="pl-PL"/>
      </w:rPr>
      <mc:AlternateContent>
        <mc:Choice Requires="wps">
          <w:drawing>
            <wp:anchor distT="0" distB="0" distL="114300" distR="114300" simplePos="0" relativeHeight="251657216" behindDoc="1" locked="0" layoutInCell="1" allowOverlap="1" wp14:anchorId="4AE785C2" wp14:editId="2F0338F9">
              <wp:simplePos x="0" y="0"/>
              <wp:positionH relativeFrom="column">
                <wp:posOffset>5219065</wp:posOffset>
              </wp:positionH>
              <wp:positionV relativeFrom="paragraph">
                <wp:posOffset>529590</wp:posOffset>
              </wp:positionV>
              <wp:extent cx="1887220" cy="22889845"/>
              <wp:effectExtent l="0" t="0" r="0" b="0"/>
              <wp:wrapTight wrapText="bothSides">
                <wp:wrapPolygon edited="0">
                  <wp:start x="0" y="0"/>
                  <wp:lineTo x="0" y="21590"/>
                  <wp:lineTo x="21367" y="21590"/>
                  <wp:lineTo x="21367" y="0"/>
                  <wp:lineTo x="0" y="0"/>
                </wp:wrapPolygon>
              </wp:wrapTight>
              <wp:docPr id="17"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2288984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43419D6" id="Prostokąt 10" o:spid="_x0000_s1026" style="position:absolute;margin-left:410.95pt;margin-top:41.7pt;width:148.6pt;height:18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" fillcolor="#f2f2f2" stroked="f" strokeweight="1pt">
              <v:path arrowok="t"/>
              <w10:wrap type="tight"/>
            </v:rect>
          </w:pict>
        </mc:Fallback>
      </mc:AlternateContent>
    </w:r>
    <w:r>
      <w:rPr>
        <w:noProof/>
        <w:lang w:eastAsia="pl-PL"/>
      </w:rPr>
      <mc:AlternateContent>
        <mc:Choice Requires="wps">
          <w:drawing>
            <wp:anchor distT="0" distB="0" distL="114300" distR="114300" simplePos="0" relativeHeight="251658240" behindDoc="0" locked="0" layoutInCell="1" allowOverlap="1" wp14:anchorId="29AD659A" wp14:editId="7C1F80CF">
              <wp:simplePos x="0" y="0"/>
              <wp:positionH relativeFrom="column">
                <wp:posOffset>5036820</wp:posOffset>
              </wp:positionH>
              <wp:positionV relativeFrom="paragraph">
                <wp:posOffset>198755</wp:posOffset>
              </wp:positionV>
              <wp:extent cx="2060575" cy="357505"/>
              <wp:effectExtent l="0" t="0" r="0" b="0"/>
              <wp:wrapNone/>
              <wp:docPr id="1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771A9B56" w14:textId="35ECDF67" w:rsidR="00AA0129" w:rsidRPr="003C6C8D" w:rsidRDefault="0079649E" w:rsidP="0079649E">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9AD659A" id="Schemat blokowy: opóźnienie 6" o:spid="_x0000_s1039" style="position:absolute;margin-left:396.6pt;margin-top:15.65pt;width:162.25pt;height:2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71A9B56" w14:textId="35ECDF67" w:rsidR="00AA0129" w:rsidRPr="003C6C8D" w:rsidRDefault="0079649E" w:rsidP="0079649E">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79649E">
      <w:rPr>
        <w:noProof/>
        <w:lang w:eastAsia="pl-PL"/>
      </w:rPr>
      <w:drawing>
        <wp:inline distT="0" distB="0" distL="0" distR="0" wp14:anchorId="617F74AC" wp14:editId="71ABCD76">
          <wp:extent cx="1955800" cy="744855"/>
          <wp:effectExtent l="0" t="0" r="0" b="0"/>
          <wp:docPr id="7" name="Obraz 7"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p>
  <w:p w14:paraId="1A4A1032" w14:textId="77777777" w:rsidR="00AA0129" w:rsidRDefault="00AA0129">
    <w:pPr>
      <w:pStyle w:val="Nagwek"/>
      <w:rPr>
        <w:noProof/>
        <w:lang w:eastAsia="pl-PL"/>
      </w:rPr>
    </w:pPr>
    <w:r>
      <w:rPr>
        <w:noProof/>
        <w:lang w:eastAsia="pl-PL"/>
      </w:rPr>
      <mc:AlternateContent>
        <mc:Choice Requires="wps">
          <w:drawing>
            <wp:anchor distT="45720" distB="45720" distL="114300" distR="114300" simplePos="0" relativeHeight="251659264" behindDoc="0" locked="0" layoutInCell="1" allowOverlap="1" wp14:anchorId="1B4BCC2A" wp14:editId="45E41FFA">
              <wp:simplePos x="0" y="0"/>
              <wp:positionH relativeFrom="column">
                <wp:posOffset>5219700</wp:posOffset>
              </wp:positionH>
              <wp:positionV relativeFrom="paragraph">
                <wp:posOffset>266065</wp:posOffset>
              </wp:positionV>
              <wp:extent cx="1432560" cy="33655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19226A3C" w14:textId="7603B0FC" w:rsidR="00AA0129" w:rsidRPr="008910B5" w:rsidRDefault="00AA0129" w:rsidP="00F37172">
                          <w:pPr>
                            <w:jc w:val="both"/>
                            <w:rPr>
                              <w:rFonts w:ascii="Fira Sans SemiBold" w:hAnsi="Fira Sans SemiBold"/>
                              <w:color w:val="002060"/>
                            </w:rPr>
                          </w:pPr>
                          <w:r w:rsidRPr="008910B5">
                            <w:rPr>
                              <w:rFonts w:ascii="Fira Sans SemiBold" w:hAnsi="Fira Sans SemiBold"/>
                              <w:color w:val="002060"/>
                            </w:rPr>
                            <w:t>10.</w:t>
                          </w:r>
                          <w:r>
                            <w:rPr>
                              <w:rFonts w:ascii="Fira Sans SemiBold" w:hAnsi="Fira Sans SemiBold"/>
                              <w:color w:val="002060"/>
                            </w:rPr>
                            <w:t>12</w:t>
                          </w:r>
                          <w:r w:rsidRPr="008910B5">
                            <w:rPr>
                              <w:rFonts w:ascii="Fira Sans SemiBold" w:hAnsi="Fira Sans SemiBold"/>
                              <w:color w:val="002060"/>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B4BCC2A" id="_x0000_t202" coordsize="21600,21600" o:spt="202" path="m,l,21600r21600,l21600,xe">
              <v:stroke joinstyle="miter"/>
              <v:path gradientshapeok="t" o:connecttype="rect"/>
            </v:shapetype>
            <v:shape id="_x0000_s1040" type="#_x0000_t202" style="position:absolute;margin-left:411pt;margin-top:20.9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PEQIAAP8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" filled="f" stroked="f">
              <v:textbox>
                <w:txbxContent>
                  <w:p w14:paraId="19226A3C" w14:textId="7603B0FC" w:rsidR="00AA0129" w:rsidRPr="008910B5" w:rsidRDefault="00AA0129" w:rsidP="00F37172">
                    <w:pPr>
                      <w:jc w:val="both"/>
                      <w:rPr>
                        <w:rFonts w:ascii="Fira Sans SemiBold" w:hAnsi="Fira Sans SemiBold"/>
                        <w:color w:val="002060"/>
                      </w:rPr>
                    </w:pPr>
                    <w:r w:rsidRPr="008910B5">
                      <w:rPr>
                        <w:rFonts w:ascii="Fira Sans SemiBold" w:hAnsi="Fira Sans SemiBold"/>
                        <w:color w:val="002060"/>
                      </w:rPr>
                      <w:t>10.</w:t>
                    </w:r>
                    <w:r>
                      <w:rPr>
                        <w:rFonts w:ascii="Fira Sans SemiBold" w:hAnsi="Fira Sans SemiBold"/>
                        <w:color w:val="002060"/>
                      </w:rPr>
                      <w:t>12</w:t>
                    </w:r>
                    <w:r w:rsidRPr="008910B5">
                      <w:rPr>
                        <w:rFonts w:ascii="Fira Sans SemiBold" w:hAnsi="Fira Sans SemiBold"/>
                        <w:color w:val="002060"/>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43CF3" w14:textId="77777777" w:rsidR="00AA0129" w:rsidRDefault="00AA0129">
    <w:pPr>
      <w:pStyle w:val="Nagwek"/>
    </w:pPr>
  </w:p>
  <w:p w14:paraId="1282F359" w14:textId="77777777" w:rsidR="00AA0129" w:rsidRDefault="00AA01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25pt;height:122.25pt;visibility:visible" o:bullet="t">
        <v:imagedata r:id="rId1" o:title=""/>
      </v:shape>
    </w:pict>
  </w:numPicBullet>
  <w:numPicBullet w:numPicBulletId="1">
    <w:pict>
      <v:shape id="_x0000_i1029" type="#_x0000_t75" style="width:122.25pt;height:122.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122E69"/>
    <w:multiLevelType w:val="hybridMultilevel"/>
    <w:tmpl w:val="60643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autoHyphenation/>
  <w:hyphenationZone w:val="425"/>
  <w:drawingGridHorizontalSpacing w:val="57"/>
  <w:drawingGridVerticalSpacing w:val="57"/>
  <w:characterSpacingControl w:val="doNotCompress"/>
  <w:hdrShapeDefaults>
    <o:shapedefaults v:ext="edit" spidmax="2049" style="mso-width-relative:margin;mso-height-relative:margin;v-text-anchor:middle" fillcolor="none [1300]" stroke="f">
      <v:fill color="none [1300]"/>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39D"/>
    <w:rsid w:val="000007C0"/>
    <w:rsid w:val="000008C3"/>
    <w:rsid w:val="00001305"/>
    <w:rsid w:val="0000175F"/>
    <w:rsid w:val="00001C04"/>
    <w:rsid w:val="00001C5B"/>
    <w:rsid w:val="00003437"/>
    <w:rsid w:val="00004088"/>
    <w:rsid w:val="000046D3"/>
    <w:rsid w:val="00004792"/>
    <w:rsid w:val="0000579F"/>
    <w:rsid w:val="000067CC"/>
    <w:rsid w:val="00006CCB"/>
    <w:rsid w:val="0000709F"/>
    <w:rsid w:val="000108B8"/>
    <w:rsid w:val="00010A6D"/>
    <w:rsid w:val="00011E94"/>
    <w:rsid w:val="00012CB4"/>
    <w:rsid w:val="00013155"/>
    <w:rsid w:val="00013C17"/>
    <w:rsid w:val="00014354"/>
    <w:rsid w:val="00014A52"/>
    <w:rsid w:val="000152F5"/>
    <w:rsid w:val="00015E98"/>
    <w:rsid w:val="00016877"/>
    <w:rsid w:val="00016F8D"/>
    <w:rsid w:val="00017126"/>
    <w:rsid w:val="00020839"/>
    <w:rsid w:val="000209D9"/>
    <w:rsid w:val="000219C0"/>
    <w:rsid w:val="00021C5F"/>
    <w:rsid w:val="000222A1"/>
    <w:rsid w:val="00023355"/>
    <w:rsid w:val="00023D74"/>
    <w:rsid w:val="0002571D"/>
    <w:rsid w:val="000261B9"/>
    <w:rsid w:val="00027559"/>
    <w:rsid w:val="00030A92"/>
    <w:rsid w:val="00031224"/>
    <w:rsid w:val="00033B44"/>
    <w:rsid w:val="00034895"/>
    <w:rsid w:val="00034950"/>
    <w:rsid w:val="000365E5"/>
    <w:rsid w:val="0003678C"/>
    <w:rsid w:val="00036CAE"/>
    <w:rsid w:val="000373F5"/>
    <w:rsid w:val="00040ECA"/>
    <w:rsid w:val="000418A7"/>
    <w:rsid w:val="00043617"/>
    <w:rsid w:val="000448AD"/>
    <w:rsid w:val="000452D9"/>
    <w:rsid w:val="0004582E"/>
    <w:rsid w:val="0004595D"/>
    <w:rsid w:val="00046139"/>
    <w:rsid w:val="00046638"/>
    <w:rsid w:val="000470AA"/>
    <w:rsid w:val="0004752A"/>
    <w:rsid w:val="000478E2"/>
    <w:rsid w:val="00047E5C"/>
    <w:rsid w:val="00050479"/>
    <w:rsid w:val="00050F4C"/>
    <w:rsid w:val="000524CE"/>
    <w:rsid w:val="00055100"/>
    <w:rsid w:val="000553C3"/>
    <w:rsid w:val="00055DAC"/>
    <w:rsid w:val="00056FAD"/>
    <w:rsid w:val="000577FF"/>
    <w:rsid w:val="00057A0F"/>
    <w:rsid w:val="00057C8B"/>
    <w:rsid w:val="00057CA1"/>
    <w:rsid w:val="000602A6"/>
    <w:rsid w:val="00061548"/>
    <w:rsid w:val="0006173B"/>
    <w:rsid w:val="00063B3D"/>
    <w:rsid w:val="00064B2F"/>
    <w:rsid w:val="000655D7"/>
    <w:rsid w:val="0006583E"/>
    <w:rsid w:val="000662E2"/>
    <w:rsid w:val="00066406"/>
    <w:rsid w:val="00066883"/>
    <w:rsid w:val="00067664"/>
    <w:rsid w:val="00070356"/>
    <w:rsid w:val="00070D42"/>
    <w:rsid w:val="0007120C"/>
    <w:rsid w:val="0007346A"/>
    <w:rsid w:val="00074146"/>
    <w:rsid w:val="00074DD8"/>
    <w:rsid w:val="000752D7"/>
    <w:rsid w:val="00076D66"/>
    <w:rsid w:val="000774A3"/>
    <w:rsid w:val="000806F7"/>
    <w:rsid w:val="00080C00"/>
    <w:rsid w:val="00080D2C"/>
    <w:rsid w:val="0008129E"/>
    <w:rsid w:val="00081311"/>
    <w:rsid w:val="00081AA0"/>
    <w:rsid w:val="0008215F"/>
    <w:rsid w:val="00083065"/>
    <w:rsid w:val="000830F5"/>
    <w:rsid w:val="00084529"/>
    <w:rsid w:val="00085164"/>
    <w:rsid w:val="0008522F"/>
    <w:rsid w:val="00085332"/>
    <w:rsid w:val="00085A1A"/>
    <w:rsid w:val="00085EF9"/>
    <w:rsid w:val="00086304"/>
    <w:rsid w:val="00086AA2"/>
    <w:rsid w:val="00086D81"/>
    <w:rsid w:val="0009005E"/>
    <w:rsid w:val="0009014E"/>
    <w:rsid w:val="0009020B"/>
    <w:rsid w:val="000930F3"/>
    <w:rsid w:val="0009338B"/>
    <w:rsid w:val="00094217"/>
    <w:rsid w:val="00095598"/>
    <w:rsid w:val="00095F19"/>
    <w:rsid w:val="000962E0"/>
    <w:rsid w:val="0009653F"/>
    <w:rsid w:val="00096E44"/>
    <w:rsid w:val="00096F70"/>
    <w:rsid w:val="0009701C"/>
    <w:rsid w:val="00097AD1"/>
    <w:rsid w:val="00097F3A"/>
    <w:rsid w:val="000A042B"/>
    <w:rsid w:val="000A0800"/>
    <w:rsid w:val="000A09C6"/>
    <w:rsid w:val="000A0C1B"/>
    <w:rsid w:val="000A1118"/>
    <w:rsid w:val="000A1E5E"/>
    <w:rsid w:val="000A280F"/>
    <w:rsid w:val="000A30F1"/>
    <w:rsid w:val="000A390E"/>
    <w:rsid w:val="000A41B2"/>
    <w:rsid w:val="000A47A4"/>
    <w:rsid w:val="000A5018"/>
    <w:rsid w:val="000A6DEA"/>
    <w:rsid w:val="000B0727"/>
    <w:rsid w:val="000B09F8"/>
    <w:rsid w:val="000B1979"/>
    <w:rsid w:val="000B250E"/>
    <w:rsid w:val="000B2D0D"/>
    <w:rsid w:val="000B49BD"/>
    <w:rsid w:val="000B5A27"/>
    <w:rsid w:val="000B624A"/>
    <w:rsid w:val="000B6511"/>
    <w:rsid w:val="000B65DC"/>
    <w:rsid w:val="000B7849"/>
    <w:rsid w:val="000C0964"/>
    <w:rsid w:val="000C0FA3"/>
    <w:rsid w:val="000C10CC"/>
    <w:rsid w:val="000C114B"/>
    <w:rsid w:val="000C135D"/>
    <w:rsid w:val="000C1601"/>
    <w:rsid w:val="000C2A75"/>
    <w:rsid w:val="000C2A95"/>
    <w:rsid w:val="000C40B9"/>
    <w:rsid w:val="000C4A20"/>
    <w:rsid w:val="000C5BEF"/>
    <w:rsid w:val="000C625D"/>
    <w:rsid w:val="000C6A66"/>
    <w:rsid w:val="000D03A8"/>
    <w:rsid w:val="000D08B5"/>
    <w:rsid w:val="000D0EA4"/>
    <w:rsid w:val="000D1C00"/>
    <w:rsid w:val="000D1D43"/>
    <w:rsid w:val="000D1EE8"/>
    <w:rsid w:val="000D2179"/>
    <w:rsid w:val="000D225C"/>
    <w:rsid w:val="000D2A5C"/>
    <w:rsid w:val="000D2C6D"/>
    <w:rsid w:val="000D33BD"/>
    <w:rsid w:val="000D46CC"/>
    <w:rsid w:val="000D60BE"/>
    <w:rsid w:val="000D68E2"/>
    <w:rsid w:val="000D6A2C"/>
    <w:rsid w:val="000D6A8D"/>
    <w:rsid w:val="000D7B23"/>
    <w:rsid w:val="000E026E"/>
    <w:rsid w:val="000E063B"/>
    <w:rsid w:val="000E0896"/>
    <w:rsid w:val="000E0918"/>
    <w:rsid w:val="000E13A6"/>
    <w:rsid w:val="000E1C72"/>
    <w:rsid w:val="000E1F61"/>
    <w:rsid w:val="000E203F"/>
    <w:rsid w:val="000E225A"/>
    <w:rsid w:val="000E2742"/>
    <w:rsid w:val="000E33D1"/>
    <w:rsid w:val="000E3BAF"/>
    <w:rsid w:val="000E3FF6"/>
    <w:rsid w:val="000E467C"/>
    <w:rsid w:val="000E4A4F"/>
    <w:rsid w:val="000E4BB9"/>
    <w:rsid w:val="000E4D75"/>
    <w:rsid w:val="000E6369"/>
    <w:rsid w:val="000E63BE"/>
    <w:rsid w:val="000E7C94"/>
    <w:rsid w:val="000E7F40"/>
    <w:rsid w:val="000F0131"/>
    <w:rsid w:val="000F0331"/>
    <w:rsid w:val="000F0869"/>
    <w:rsid w:val="000F0E98"/>
    <w:rsid w:val="000F12F9"/>
    <w:rsid w:val="000F188D"/>
    <w:rsid w:val="000F2146"/>
    <w:rsid w:val="000F3BBA"/>
    <w:rsid w:val="000F4924"/>
    <w:rsid w:val="000F4938"/>
    <w:rsid w:val="000F4F93"/>
    <w:rsid w:val="000F73A8"/>
    <w:rsid w:val="00100781"/>
    <w:rsid w:val="001011C3"/>
    <w:rsid w:val="00101C16"/>
    <w:rsid w:val="0010214A"/>
    <w:rsid w:val="0010233C"/>
    <w:rsid w:val="00102F5D"/>
    <w:rsid w:val="001032D8"/>
    <w:rsid w:val="00103390"/>
    <w:rsid w:val="00103A93"/>
    <w:rsid w:val="00103BC1"/>
    <w:rsid w:val="00103C4B"/>
    <w:rsid w:val="00103D81"/>
    <w:rsid w:val="001041FA"/>
    <w:rsid w:val="00104336"/>
    <w:rsid w:val="00104545"/>
    <w:rsid w:val="00104A65"/>
    <w:rsid w:val="00105557"/>
    <w:rsid w:val="00106B1C"/>
    <w:rsid w:val="0010704A"/>
    <w:rsid w:val="00107141"/>
    <w:rsid w:val="00107492"/>
    <w:rsid w:val="001077BA"/>
    <w:rsid w:val="00107D5B"/>
    <w:rsid w:val="00107E9C"/>
    <w:rsid w:val="00110D87"/>
    <w:rsid w:val="001114EE"/>
    <w:rsid w:val="00112D53"/>
    <w:rsid w:val="001141E1"/>
    <w:rsid w:val="00114DB9"/>
    <w:rsid w:val="00116087"/>
    <w:rsid w:val="00116153"/>
    <w:rsid w:val="00116429"/>
    <w:rsid w:val="00116C1A"/>
    <w:rsid w:val="00116C1E"/>
    <w:rsid w:val="00117253"/>
    <w:rsid w:val="001175DB"/>
    <w:rsid w:val="0011774C"/>
    <w:rsid w:val="00117B3C"/>
    <w:rsid w:val="00120018"/>
    <w:rsid w:val="001207E6"/>
    <w:rsid w:val="00120F29"/>
    <w:rsid w:val="00121F5A"/>
    <w:rsid w:val="00122A3F"/>
    <w:rsid w:val="00123680"/>
    <w:rsid w:val="001242CD"/>
    <w:rsid w:val="0012456B"/>
    <w:rsid w:val="001248FD"/>
    <w:rsid w:val="00124A4A"/>
    <w:rsid w:val="00124AAD"/>
    <w:rsid w:val="00124F2D"/>
    <w:rsid w:val="0012583A"/>
    <w:rsid w:val="00126146"/>
    <w:rsid w:val="001265AC"/>
    <w:rsid w:val="00130296"/>
    <w:rsid w:val="00130CFA"/>
    <w:rsid w:val="0013121C"/>
    <w:rsid w:val="00131B26"/>
    <w:rsid w:val="001322E3"/>
    <w:rsid w:val="00132336"/>
    <w:rsid w:val="001340F3"/>
    <w:rsid w:val="001365E2"/>
    <w:rsid w:val="00137585"/>
    <w:rsid w:val="001423B6"/>
    <w:rsid w:val="00142CF8"/>
    <w:rsid w:val="0014340C"/>
    <w:rsid w:val="00144169"/>
    <w:rsid w:val="00144786"/>
    <w:rsid w:val="001448A7"/>
    <w:rsid w:val="00145199"/>
    <w:rsid w:val="001453E5"/>
    <w:rsid w:val="00145A78"/>
    <w:rsid w:val="00146621"/>
    <w:rsid w:val="00146EBA"/>
    <w:rsid w:val="001517D7"/>
    <w:rsid w:val="00152273"/>
    <w:rsid w:val="0015278E"/>
    <w:rsid w:val="001536AD"/>
    <w:rsid w:val="001544A8"/>
    <w:rsid w:val="001548DC"/>
    <w:rsid w:val="00154C56"/>
    <w:rsid w:val="00154CBD"/>
    <w:rsid w:val="00155C73"/>
    <w:rsid w:val="00155DE7"/>
    <w:rsid w:val="00156B5A"/>
    <w:rsid w:val="00160538"/>
    <w:rsid w:val="00160BC0"/>
    <w:rsid w:val="001614FC"/>
    <w:rsid w:val="0016180C"/>
    <w:rsid w:val="00162325"/>
    <w:rsid w:val="00162428"/>
    <w:rsid w:val="00164E30"/>
    <w:rsid w:val="001654FF"/>
    <w:rsid w:val="00166A85"/>
    <w:rsid w:val="00166FF5"/>
    <w:rsid w:val="00167B44"/>
    <w:rsid w:val="00167E6B"/>
    <w:rsid w:val="00170462"/>
    <w:rsid w:val="00171113"/>
    <w:rsid w:val="0017146B"/>
    <w:rsid w:val="00171D2C"/>
    <w:rsid w:val="001739E9"/>
    <w:rsid w:val="00173B46"/>
    <w:rsid w:val="0017685B"/>
    <w:rsid w:val="00177020"/>
    <w:rsid w:val="0017736A"/>
    <w:rsid w:val="00177D7F"/>
    <w:rsid w:val="00180628"/>
    <w:rsid w:val="00181114"/>
    <w:rsid w:val="00181C9B"/>
    <w:rsid w:val="0018450A"/>
    <w:rsid w:val="00191D83"/>
    <w:rsid w:val="001924E2"/>
    <w:rsid w:val="00192644"/>
    <w:rsid w:val="00192EFD"/>
    <w:rsid w:val="00193964"/>
    <w:rsid w:val="00193F18"/>
    <w:rsid w:val="0019401C"/>
    <w:rsid w:val="00194CAB"/>
    <w:rsid w:val="001951DA"/>
    <w:rsid w:val="00195E86"/>
    <w:rsid w:val="001A0DC6"/>
    <w:rsid w:val="001A1019"/>
    <w:rsid w:val="001A1B60"/>
    <w:rsid w:val="001A1CD8"/>
    <w:rsid w:val="001A20DE"/>
    <w:rsid w:val="001A4545"/>
    <w:rsid w:val="001A4E0B"/>
    <w:rsid w:val="001A5363"/>
    <w:rsid w:val="001A583C"/>
    <w:rsid w:val="001A67A6"/>
    <w:rsid w:val="001A76C9"/>
    <w:rsid w:val="001A7D30"/>
    <w:rsid w:val="001B0FC8"/>
    <w:rsid w:val="001B143B"/>
    <w:rsid w:val="001B212F"/>
    <w:rsid w:val="001B33FE"/>
    <w:rsid w:val="001B3D34"/>
    <w:rsid w:val="001B4671"/>
    <w:rsid w:val="001B480D"/>
    <w:rsid w:val="001B545F"/>
    <w:rsid w:val="001B5789"/>
    <w:rsid w:val="001B5A69"/>
    <w:rsid w:val="001B64ED"/>
    <w:rsid w:val="001B69A3"/>
    <w:rsid w:val="001B7387"/>
    <w:rsid w:val="001C0068"/>
    <w:rsid w:val="001C0C2B"/>
    <w:rsid w:val="001C1C62"/>
    <w:rsid w:val="001C3157"/>
    <w:rsid w:val="001C3269"/>
    <w:rsid w:val="001C3908"/>
    <w:rsid w:val="001C4323"/>
    <w:rsid w:val="001C6F77"/>
    <w:rsid w:val="001C781B"/>
    <w:rsid w:val="001C7E1C"/>
    <w:rsid w:val="001D063F"/>
    <w:rsid w:val="001D0BF1"/>
    <w:rsid w:val="001D0E9A"/>
    <w:rsid w:val="001D11C9"/>
    <w:rsid w:val="001D161E"/>
    <w:rsid w:val="001D1DB4"/>
    <w:rsid w:val="001D1E44"/>
    <w:rsid w:val="001D23C7"/>
    <w:rsid w:val="001D296B"/>
    <w:rsid w:val="001D33F8"/>
    <w:rsid w:val="001D4169"/>
    <w:rsid w:val="001D4361"/>
    <w:rsid w:val="001D4667"/>
    <w:rsid w:val="001D4D4D"/>
    <w:rsid w:val="001D57C7"/>
    <w:rsid w:val="001D61CD"/>
    <w:rsid w:val="001D6574"/>
    <w:rsid w:val="001D7A1D"/>
    <w:rsid w:val="001E0552"/>
    <w:rsid w:val="001E1614"/>
    <w:rsid w:val="001E1D92"/>
    <w:rsid w:val="001E3261"/>
    <w:rsid w:val="001E3662"/>
    <w:rsid w:val="001E4425"/>
    <w:rsid w:val="001E51FB"/>
    <w:rsid w:val="001E531C"/>
    <w:rsid w:val="001E56BD"/>
    <w:rsid w:val="001E56DA"/>
    <w:rsid w:val="001E6445"/>
    <w:rsid w:val="001F0148"/>
    <w:rsid w:val="001F2CFD"/>
    <w:rsid w:val="001F2FB7"/>
    <w:rsid w:val="001F3173"/>
    <w:rsid w:val="001F3E57"/>
    <w:rsid w:val="001F4727"/>
    <w:rsid w:val="001F51C5"/>
    <w:rsid w:val="001F6879"/>
    <w:rsid w:val="001F7246"/>
    <w:rsid w:val="00200B49"/>
    <w:rsid w:val="00200ED3"/>
    <w:rsid w:val="002010D3"/>
    <w:rsid w:val="0020169C"/>
    <w:rsid w:val="0020176C"/>
    <w:rsid w:val="00201805"/>
    <w:rsid w:val="00206654"/>
    <w:rsid w:val="002066A1"/>
    <w:rsid w:val="002075A6"/>
    <w:rsid w:val="00207C51"/>
    <w:rsid w:val="00210349"/>
    <w:rsid w:val="00210B9A"/>
    <w:rsid w:val="00210BDB"/>
    <w:rsid w:val="00212686"/>
    <w:rsid w:val="0021291C"/>
    <w:rsid w:val="00213274"/>
    <w:rsid w:val="00213435"/>
    <w:rsid w:val="0021425D"/>
    <w:rsid w:val="00214AB7"/>
    <w:rsid w:val="00214BC0"/>
    <w:rsid w:val="002163FA"/>
    <w:rsid w:val="002171B2"/>
    <w:rsid w:val="00217211"/>
    <w:rsid w:val="002174B7"/>
    <w:rsid w:val="00217B05"/>
    <w:rsid w:val="00217EF4"/>
    <w:rsid w:val="00220852"/>
    <w:rsid w:val="00220A66"/>
    <w:rsid w:val="00220E9E"/>
    <w:rsid w:val="00222DDB"/>
    <w:rsid w:val="00222FC4"/>
    <w:rsid w:val="0022355E"/>
    <w:rsid w:val="00224759"/>
    <w:rsid w:val="0022553E"/>
    <w:rsid w:val="00225566"/>
    <w:rsid w:val="002256CA"/>
    <w:rsid w:val="00225DC7"/>
    <w:rsid w:val="00226AA7"/>
    <w:rsid w:val="00227183"/>
    <w:rsid w:val="00227BC3"/>
    <w:rsid w:val="00231E35"/>
    <w:rsid w:val="00231F65"/>
    <w:rsid w:val="00233D24"/>
    <w:rsid w:val="00237B2E"/>
    <w:rsid w:val="00237B50"/>
    <w:rsid w:val="00237F2B"/>
    <w:rsid w:val="00237F82"/>
    <w:rsid w:val="002411A4"/>
    <w:rsid w:val="00241BBD"/>
    <w:rsid w:val="00241EAC"/>
    <w:rsid w:val="00242F57"/>
    <w:rsid w:val="00243270"/>
    <w:rsid w:val="00244E2E"/>
    <w:rsid w:val="00246FB1"/>
    <w:rsid w:val="00247755"/>
    <w:rsid w:val="00247A07"/>
    <w:rsid w:val="002506B6"/>
    <w:rsid w:val="002523A0"/>
    <w:rsid w:val="00252779"/>
    <w:rsid w:val="002527C5"/>
    <w:rsid w:val="0025308A"/>
    <w:rsid w:val="002538C1"/>
    <w:rsid w:val="00255909"/>
    <w:rsid w:val="00255FCB"/>
    <w:rsid w:val="00256FC5"/>
    <w:rsid w:val="002574F9"/>
    <w:rsid w:val="002605D4"/>
    <w:rsid w:val="00260AB5"/>
    <w:rsid w:val="00260B59"/>
    <w:rsid w:val="002611F7"/>
    <w:rsid w:val="002621D4"/>
    <w:rsid w:val="002626CB"/>
    <w:rsid w:val="00264291"/>
    <w:rsid w:val="00264BF5"/>
    <w:rsid w:val="0026528C"/>
    <w:rsid w:val="00266563"/>
    <w:rsid w:val="0026719B"/>
    <w:rsid w:val="00270F29"/>
    <w:rsid w:val="00271696"/>
    <w:rsid w:val="002729CC"/>
    <w:rsid w:val="00272A20"/>
    <w:rsid w:val="002751E6"/>
    <w:rsid w:val="002767D7"/>
    <w:rsid w:val="00276811"/>
    <w:rsid w:val="00276C28"/>
    <w:rsid w:val="0027737D"/>
    <w:rsid w:val="00277490"/>
    <w:rsid w:val="00277D23"/>
    <w:rsid w:val="002800ED"/>
    <w:rsid w:val="0028172E"/>
    <w:rsid w:val="0028223C"/>
    <w:rsid w:val="00282699"/>
    <w:rsid w:val="00283B0B"/>
    <w:rsid w:val="00285903"/>
    <w:rsid w:val="00286830"/>
    <w:rsid w:val="00287274"/>
    <w:rsid w:val="00290F4A"/>
    <w:rsid w:val="002914DD"/>
    <w:rsid w:val="002926DF"/>
    <w:rsid w:val="0029340B"/>
    <w:rsid w:val="0029433C"/>
    <w:rsid w:val="002945DD"/>
    <w:rsid w:val="00294D9C"/>
    <w:rsid w:val="00296155"/>
    <w:rsid w:val="00296697"/>
    <w:rsid w:val="00296D18"/>
    <w:rsid w:val="00297CBB"/>
    <w:rsid w:val="002A159D"/>
    <w:rsid w:val="002A2777"/>
    <w:rsid w:val="002A2AE9"/>
    <w:rsid w:val="002A30DD"/>
    <w:rsid w:val="002A559A"/>
    <w:rsid w:val="002A7ED4"/>
    <w:rsid w:val="002A7FDA"/>
    <w:rsid w:val="002B0472"/>
    <w:rsid w:val="002B1414"/>
    <w:rsid w:val="002B161F"/>
    <w:rsid w:val="002B2440"/>
    <w:rsid w:val="002B2DA3"/>
    <w:rsid w:val="002B2F57"/>
    <w:rsid w:val="002B378E"/>
    <w:rsid w:val="002B4C23"/>
    <w:rsid w:val="002B4D7D"/>
    <w:rsid w:val="002B4FBE"/>
    <w:rsid w:val="002B55DF"/>
    <w:rsid w:val="002B56A6"/>
    <w:rsid w:val="002B6B12"/>
    <w:rsid w:val="002B71AF"/>
    <w:rsid w:val="002B7288"/>
    <w:rsid w:val="002C1AF0"/>
    <w:rsid w:val="002C2554"/>
    <w:rsid w:val="002C264C"/>
    <w:rsid w:val="002C2FAC"/>
    <w:rsid w:val="002C3683"/>
    <w:rsid w:val="002C384A"/>
    <w:rsid w:val="002C3872"/>
    <w:rsid w:val="002C4969"/>
    <w:rsid w:val="002C5CF0"/>
    <w:rsid w:val="002C6054"/>
    <w:rsid w:val="002C6979"/>
    <w:rsid w:val="002C775E"/>
    <w:rsid w:val="002D26E8"/>
    <w:rsid w:val="002D2754"/>
    <w:rsid w:val="002D5496"/>
    <w:rsid w:val="002D75DE"/>
    <w:rsid w:val="002D790E"/>
    <w:rsid w:val="002E077C"/>
    <w:rsid w:val="002E08CA"/>
    <w:rsid w:val="002E0DC7"/>
    <w:rsid w:val="002E1F4A"/>
    <w:rsid w:val="002E2D4E"/>
    <w:rsid w:val="002E3342"/>
    <w:rsid w:val="002E3FF6"/>
    <w:rsid w:val="002E42A2"/>
    <w:rsid w:val="002E533D"/>
    <w:rsid w:val="002E5B63"/>
    <w:rsid w:val="002E6140"/>
    <w:rsid w:val="002E663F"/>
    <w:rsid w:val="002E6985"/>
    <w:rsid w:val="002E7031"/>
    <w:rsid w:val="002E71B6"/>
    <w:rsid w:val="002E73BD"/>
    <w:rsid w:val="002F093C"/>
    <w:rsid w:val="002F0C2F"/>
    <w:rsid w:val="002F117B"/>
    <w:rsid w:val="002F1866"/>
    <w:rsid w:val="002F2EF8"/>
    <w:rsid w:val="002F315F"/>
    <w:rsid w:val="002F4742"/>
    <w:rsid w:val="002F6791"/>
    <w:rsid w:val="002F68A8"/>
    <w:rsid w:val="002F74BA"/>
    <w:rsid w:val="002F77A4"/>
    <w:rsid w:val="002F77C8"/>
    <w:rsid w:val="002F7B45"/>
    <w:rsid w:val="003003EF"/>
    <w:rsid w:val="0030201A"/>
    <w:rsid w:val="00302753"/>
    <w:rsid w:val="0030316D"/>
    <w:rsid w:val="00303BD1"/>
    <w:rsid w:val="003045FB"/>
    <w:rsid w:val="00304F22"/>
    <w:rsid w:val="0030567C"/>
    <w:rsid w:val="00306151"/>
    <w:rsid w:val="00306C7C"/>
    <w:rsid w:val="00306DDD"/>
    <w:rsid w:val="00306F19"/>
    <w:rsid w:val="00307E86"/>
    <w:rsid w:val="003100CD"/>
    <w:rsid w:val="003104BC"/>
    <w:rsid w:val="00312ADE"/>
    <w:rsid w:val="003138BE"/>
    <w:rsid w:val="00313A4D"/>
    <w:rsid w:val="0031464D"/>
    <w:rsid w:val="00314794"/>
    <w:rsid w:val="00316257"/>
    <w:rsid w:val="00316CE3"/>
    <w:rsid w:val="00316D63"/>
    <w:rsid w:val="00316FC1"/>
    <w:rsid w:val="00317593"/>
    <w:rsid w:val="00317FFA"/>
    <w:rsid w:val="003208CE"/>
    <w:rsid w:val="00320972"/>
    <w:rsid w:val="00320A09"/>
    <w:rsid w:val="003213BF"/>
    <w:rsid w:val="003213F8"/>
    <w:rsid w:val="00321BB4"/>
    <w:rsid w:val="00322EDD"/>
    <w:rsid w:val="0032344D"/>
    <w:rsid w:val="00323C97"/>
    <w:rsid w:val="00325376"/>
    <w:rsid w:val="00326869"/>
    <w:rsid w:val="003272D1"/>
    <w:rsid w:val="00327EE6"/>
    <w:rsid w:val="00330893"/>
    <w:rsid w:val="00330BDE"/>
    <w:rsid w:val="00331160"/>
    <w:rsid w:val="003314F0"/>
    <w:rsid w:val="00332320"/>
    <w:rsid w:val="00332C4E"/>
    <w:rsid w:val="0033352A"/>
    <w:rsid w:val="003368EC"/>
    <w:rsid w:val="00337404"/>
    <w:rsid w:val="00337CFE"/>
    <w:rsid w:val="00340353"/>
    <w:rsid w:val="00340AA7"/>
    <w:rsid w:val="003416B9"/>
    <w:rsid w:val="00342458"/>
    <w:rsid w:val="00342E23"/>
    <w:rsid w:val="0034321C"/>
    <w:rsid w:val="003435EB"/>
    <w:rsid w:val="00343D8E"/>
    <w:rsid w:val="003442B8"/>
    <w:rsid w:val="00346B6B"/>
    <w:rsid w:val="00347D72"/>
    <w:rsid w:val="00350417"/>
    <w:rsid w:val="003504C8"/>
    <w:rsid w:val="00351BDE"/>
    <w:rsid w:val="00351CB1"/>
    <w:rsid w:val="00351EB8"/>
    <w:rsid w:val="00352387"/>
    <w:rsid w:val="00352E16"/>
    <w:rsid w:val="00353C98"/>
    <w:rsid w:val="00354D9C"/>
    <w:rsid w:val="00355611"/>
    <w:rsid w:val="00355E7D"/>
    <w:rsid w:val="00356651"/>
    <w:rsid w:val="00357611"/>
    <w:rsid w:val="003579FF"/>
    <w:rsid w:val="003600C8"/>
    <w:rsid w:val="003602A6"/>
    <w:rsid w:val="003612E1"/>
    <w:rsid w:val="00361ABB"/>
    <w:rsid w:val="0036334A"/>
    <w:rsid w:val="00363C56"/>
    <w:rsid w:val="00364F77"/>
    <w:rsid w:val="00366A3B"/>
    <w:rsid w:val="00367237"/>
    <w:rsid w:val="0036724C"/>
    <w:rsid w:val="0037077F"/>
    <w:rsid w:val="00370A3A"/>
    <w:rsid w:val="00371059"/>
    <w:rsid w:val="00371D20"/>
    <w:rsid w:val="00372076"/>
    <w:rsid w:val="00372D40"/>
    <w:rsid w:val="00373453"/>
    <w:rsid w:val="00373882"/>
    <w:rsid w:val="003742DF"/>
    <w:rsid w:val="00374E0E"/>
    <w:rsid w:val="00375C03"/>
    <w:rsid w:val="00375CF2"/>
    <w:rsid w:val="003768E5"/>
    <w:rsid w:val="003770F4"/>
    <w:rsid w:val="00377DC2"/>
    <w:rsid w:val="00380542"/>
    <w:rsid w:val="0038066D"/>
    <w:rsid w:val="00381C9F"/>
    <w:rsid w:val="003824EC"/>
    <w:rsid w:val="00382590"/>
    <w:rsid w:val="00383476"/>
    <w:rsid w:val="003843DB"/>
    <w:rsid w:val="00384444"/>
    <w:rsid w:val="00385A9F"/>
    <w:rsid w:val="00386581"/>
    <w:rsid w:val="00386D45"/>
    <w:rsid w:val="00387D81"/>
    <w:rsid w:val="00387EA5"/>
    <w:rsid w:val="00390F9F"/>
    <w:rsid w:val="00392238"/>
    <w:rsid w:val="00393761"/>
    <w:rsid w:val="00393B24"/>
    <w:rsid w:val="00395C72"/>
    <w:rsid w:val="00395F08"/>
    <w:rsid w:val="00396A28"/>
    <w:rsid w:val="00396EAE"/>
    <w:rsid w:val="00397D18"/>
    <w:rsid w:val="003A0929"/>
    <w:rsid w:val="003A1B36"/>
    <w:rsid w:val="003A1C56"/>
    <w:rsid w:val="003A20C8"/>
    <w:rsid w:val="003A2750"/>
    <w:rsid w:val="003A3023"/>
    <w:rsid w:val="003A34BF"/>
    <w:rsid w:val="003A385C"/>
    <w:rsid w:val="003A4AB5"/>
    <w:rsid w:val="003A4B6D"/>
    <w:rsid w:val="003A5199"/>
    <w:rsid w:val="003A5281"/>
    <w:rsid w:val="003A5425"/>
    <w:rsid w:val="003A5C82"/>
    <w:rsid w:val="003A76FA"/>
    <w:rsid w:val="003A7E84"/>
    <w:rsid w:val="003B0382"/>
    <w:rsid w:val="003B08E9"/>
    <w:rsid w:val="003B0CA1"/>
    <w:rsid w:val="003B1454"/>
    <w:rsid w:val="003B37CC"/>
    <w:rsid w:val="003B37F0"/>
    <w:rsid w:val="003B4687"/>
    <w:rsid w:val="003B4C55"/>
    <w:rsid w:val="003B4E58"/>
    <w:rsid w:val="003B5E37"/>
    <w:rsid w:val="003B70EA"/>
    <w:rsid w:val="003B7F1E"/>
    <w:rsid w:val="003C02E7"/>
    <w:rsid w:val="003C051C"/>
    <w:rsid w:val="003C063E"/>
    <w:rsid w:val="003C2D2E"/>
    <w:rsid w:val="003C30BF"/>
    <w:rsid w:val="003C4963"/>
    <w:rsid w:val="003C59E0"/>
    <w:rsid w:val="003C633C"/>
    <w:rsid w:val="003C669E"/>
    <w:rsid w:val="003C6C8D"/>
    <w:rsid w:val="003D0DA7"/>
    <w:rsid w:val="003D1849"/>
    <w:rsid w:val="003D2FED"/>
    <w:rsid w:val="003D3320"/>
    <w:rsid w:val="003D465A"/>
    <w:rsid w:val="003D4E0B"/>
    <w:rsid w:val="003D4F95"/>
    <w:rsid w:val="003D55BE"/>
    <w:rsid w:val="003D5A87"/>
    <w:rsid w:val="003D5F42"/>
    <w:rsid w:val="003D60A9"/>
    <w:rsid w:val="003D663C"/>
    <w:rsid w:val="003D6798"/>
    <w:rsid w:val="003D6C55"/>
    <w:rsid w:val="003D72B6"/>
    <w:rsid w:val="003E02E6"/>
    <w:rsid w:val="003E2834"/>
    <w:rsid w:val="003E3577"/>
    <w:rsid w:val="003E5228"/>
    <w:rsid w:val="003E5366"/>
    <w:rsid w:val="003E72AF"/>
    <w:rsid w:val="003E77D0"/>
    <w:rsid w:val="003E7AE3"/>
    <w:rsid w:val="003E7CFD"/>
    <w:rsid w:val="003F0B35"/>
    <w:rsid w:val="003F0C73"/>
    <w:rsid w:val="003F0D05"/>
    <w:rsid w:val="003F2AC6"/>
    <w:rsid w:val="003F2EC0"/>
    <w:rsid w:val="003F352F"/>
    <w:rsid w:val="003F38EF"/>
    <w:rsid w:val="003F4C97"/>
    <w:rsid w:val="003F5188"/>
    <w:rsid w:val="003F552D"/>
    <w:rsid w:val="003F5EBD"/>
    <w:rsid w:val="003F7FE6"/>
    <w:rsid w:val="0040018E"/>
    <w:rsid w:val="00400193"/>
    <w:rsid w:val="00402D94"/>
    <w:rsid w:val="00403B94"/>
    <w:rsid w:val="00403BFA"/>
    <w:rsid w:val="00403C08"/>
    <w:rsid w:val="00404FB6"/>
    <w:rsid w:val="00406F16"/>
    <w:rsid w:val="00407D16"/>
    <w:rsid w:val="0041005F"/>
    <w:rsid w:val="00410378"/>
    <w:rsid w:val="00412039"/>
    <w:rsid w:val="004127C7"/>
    <w:rsid w:val="00412826"/>
    <w:rsid w:val="00412AD2"/>
    <w:rsid w:val="004130C3"/>
    <w:rsid w:val="00413765"/>
    <w:rsid w:val="004141BB"/>
    <w:rsid w:val="00414708"/>
    <w:rsid w:val="004163EC"/>
    <w:rsid w:val="00416EB0"/>
    <w:rsid w:val="004179C7"/>
    <w:rsid w:val="0042065F"/>
    <w:rsid w:val="00420A14"/>
    <w:rsid w:val="0042106B"/>
    <w:rsid w:val="00421145"/>
    <w:rsid w:val="004212E7"/>
    <w:rsid w:val="00421A20"/>
    <w:rsid w:val="0042209C"/>
    <w:rsid w:val="00422C85"/>
    <w:rsid w:val="004232DD"/>
    <w:rsid w:val="00423B8E"/>
    <w:rsid w:val="0042446D"/>
    <w:rsid w:val="0042459C"/>
    <w:rsid w:val="00424AA9"/>
    <w:rsid w:val="00425722"/>
    <w:rsid w:val="0042583F"/>
    <w:rsid w:val="00426031"/>
    <w:rsid w:val="004269A6"/>
    <w:rsid w:val="004278F7"/>
    <w:rsid w:val="00427BF8"/>
    <w:rsid w:val="00430651"/>
    <w:rsid w:val="00430BBD"/>
    <w:rsid w:val="004310E2"/>
    <w:rsid w:val="0043171E"/>
    <w:rsid w:val="00431C02"/>
    <w:rsid w:val="00431D38"/>
    <w:rsid w:val="00431E97"/>
    <w:rsid w:val="00432CB6"/>
    <w:rsid w:val="00433098"/>
    <w:rsid w:val="0043350A"/>
    <w:rsid w:val="004348C3"/>
    <w:rsid w:val="00435BB7"/>
    <w:rsid w:val="00435F41"/>
    <w:rsid w:val="00436AB0"/>
    <w:rsid w:val="00437395"/>
    <w:rsid w:val="00437869"/>
    <w:rsid w:val="004402DF"/>
    <w:rsid w:val="00440433"/>
    <w:rsid w:val="00441640"/>
    <w:rsid w:val="00441896"/>
    <w:rsid w:val="00442156"/>
    <w:rsid w:val="004427D4"/>
    <w:rsid w:val="00442858"/>
    <w:rsid w:val="00442B2F"/>
    <w:rsid w:val="00442D9E"/>
    <w:rsid w:val="00443C2D"/>
    <w:rsid w:val="00444430"/>
    <w:rsid w:val="00444599"/>
    <w:rsid w:val="004445C1"/>
    <w:rsid w:val="00444C1A"/>
    <w:rsid w:val="00444C2C"/>
    <w:rsid w:val="00445047"/>
    <w:rsid w:val="0044538E"/>
    <w:rsid w:val="004456E1"/>
    <w:rsid w:val="00446D76"/>
    <w:rsid w:val="00450597"/>
    <w:rsid w:val="0045096B"/>
    <w:rsid w:val="00451493"/>
    <w:rsid w:val="00451831"/>
    <w:rsid w:val="00452B51"/>
    <w:rsid w:val="004539AB"/>
    <w:rsid w:val="00453F30"/>
    <w:rsid w:val="0045406B"/>
    <w:rsid w:val="004542CD"/>
    <w:rsid w:val="00455087"/>
    <w:rsid w:val="00455F5A"/>
    <w:rsid w:val="004560FC"/>
    <w:rsid w:val="0045748E"/>
    <w:rsid w:val="004609A8"/>
    <w:rsid w:val="00460F7B"/>
    <w:rsid w:val="0046106C"/>
    <w:rsid w:val="0046181F"/>
    <w:rsid w:val="004624F0"/>
    <w:rsid w:val="00462EC0"/>
    <w:rsid w:val="0046328C"/>
    <w:rsid w:val="00463AD3"/>
    <w:rsid w:val="00463E39"/>
    <w:rsid w:val="004642FD"/>
    <w:rsid w:val="0046440D"/>
    <w:rsid w:val="004657FC"/>
    <w:rsid w:val="00466FDC"/>
    <w:rsid w:val="004703A3"/>
    <w:rsid w:val="00470591"/>
    <w:rsid w:val="00470D67"/>
    <w:rsid w:val="00472017"/>
    <w:rsid w:val="00472342"/>
    <w:rsid w:val="004729A0"/>
    <w:rsid w:val="00472B32"/>
    <w:rsid w:val="00472CF1"/>
    <w:rsid w:val="00472FD7"/>
    <w:rsid w:val="004730FA"/>
    <w:rsid w:val="004732E1"/>
    <w:rsid w:val="004733F6"/>
    <w:rsid w:val="00474492"/>
    <w:rsid w:val="00474E69"/>
    <w:rsid w:val="00474FD7"/>
    <w:rsid w:val="004756E4"/>
    <w:rsid w:val="004761B3"/>
    <w:rsid w:val="00476B06"/>
    <w:rsid w:val="00476DE7"/>
    <w:rsid w:val="004772D4"/>
    <w:rsid w:val="004776A1"/>
    <w:rsid w:val="0048019D"/>
    <w:rsid w:val="004811C4"/>
    <w:rsid w:val="004833EE"/>
    <w:rsid w:val="004840D0"/>
    <w:rsid w:val="004842B4"/>
    <w:rsid w:val="00484E5F"/>
    <w:rsid w:val="004858E8"/>
    <w:rsid w:val="00485EA3"/>
    <w:rsid w:val="004864B8"/>
    <w:rsid w:val="004871F9"/>
    <w:rsid w:val="00487600"/>
    <w:rsid w:val="00487F3E"/>
    <w:rsid w:val="004902E4"/>
    <w:rsid w:val="004905E0"/>
    <w:rsid w:val="00491EC9"/>
    <w:rsid w:val="00491EF6"/>
    <w:rsid w:val="00492B5F"/>
    <w:rsid w:val="00492F53"/>
    <w:rsid w:val="004947AD"/>
    <w:rsid w:val="00494DE9"/>
    <w:rsid w:val="00495B48"/>
    <w:rsid w:val="00495C6D"/>
    <w:rsid w:val="0049621B"/>
    <w:rsid w:val="00496648"/>
    <w:rsid w:val="00496AE7"/>
    <w:rsid w:val="00496F2C"/>
    <w:rsid w:val="00497A35"/>
    <w:rsid w:val="004A036A"/>
    <w:rsid w:val="004A195B"/>
    <w:rsid w:val="004A1A55"/>
    <w:rsid w:val="004A1E49"/>
    <w:rsid w:val="004A1ED0"/>
    <w:rsid w:val="004A1F5B"/>
    <w:rsid w:val="004A2422"/>
    <w:rsid w:val="004A2D20"/>
    <w:rsid w:val="004A30BF"/>
    <w:rsid w:val="004A3296"/>
    <w:rsid w:val="004A43CB"/>
    <w:rsid w:val="004A4688"/>
    <w:rsid w:val="004A4FDE"/>
    <w:rsid w:val="004A57A6"/>
    <w:rsid w:val="004A58C4"/>
    <w:rsid w:val="004A6E23"/>
    <w:rsid w:val="004A7EDF"/>
    <w:rsid w:val="004B04C3"/>
    <w:rsid w:val="004B25EF"/>
    <w:rsid w:val="004B4138"/>
    <w:rsid w:val="004B4CD2"/>
    <w:rsid w:val="004B4D50"/>
    <w:rsid w:val="004B79D2"/>
    <w:rsid w:val="004B7D4A"/>
    <w:rsid w:val="004C1895"/>
    <w:rsid w:val="004C2458"/>
    <w:rsid w:val="004C2E82"/>
    <w:rsid w:val="004C3B7B"/>
    <w:rsid w:val="004C4DD2"/>
    <w:rsid w:val="004C4FFE"/>
    <w:rsid w:val="004C6D40"/>
    <w:rsid w:val="004C772C"/>
    <w:rsid w:val="004D0F46"/>
    <w:rsid w:val="004D1344"/>
    <w:rsid w:val="004D1810"/>
    <w:rsid w:val="004D432B"/>
    <w:rsid w:val="004D4E3B"/>
    <w:rsid w:val="004D526B"/>
    <w:rsid w:val="004D5321"/>
    <w:rsid w:val="004D6005"/>
    <w:rsid w:val="004D666A"/>
    <w:rsid w:val="004D716C"/>
    <w:rsid w:val="004D79B1"/>
    <w:rsid w:val="004D7AED"/>
    <w:rsid w:val="004D7CBB"/>
    <w:rsid w:val="004D7FFC"/>
    <w:rsid w:val="004E0C48"/>
    <w:rsid w:val="004E0EAC"/>
    <w:rsid w:val="004E22D8"/>
    <w:rsid w:val="004E2986"/>
    <w:rsid w:val="004E2E4D"/>
    <w:rsid w:val="004E47AC"/>
    <w:rsid w:val="004E56E0"/>
    <w:rsid w:val="004E5D7A"/>
    <w:rsid w:val="004E72C7"/>
    <w:rsid w:val="004F0102"/>
    <w:rsid w:val="004F0C3C"/>
    <w:rsid w:val="004F2989"/>
    <w:rsid w:val="004F2C39"/>
    <w:rsid w:val="004F2C6C"/>
    <w:rsid w:val="004F3AC6"/>
    <w:rsid w:val="004F433E"/>
    <w:rsid w:val="004F56A9"/>
    <w:rsid w:val="004F6380"/>
    <w:rsid w:val="004F63FC"/>
    <w:rsid w:val="004F68AE"/>
    <w:rsid w:val="004F7B00"/>
    <w:rsid w:val="005002D9"/>
    <w:rsid w:val="00500434"/>
    <w:rsid w:val="005008FB"/>
    <w:rsid w:val="005019E4"/>
    <w:rsid w:val="00501AC8"/>
    <w:rsid w:val="005025BD"/>
    <w:rsid w:val="0050291B"/>
    <w:rsid w:val="00502E8B"/>
    <w:rsid w:val="00502ED3"/>
    <w:rsid w:val="005052BD"/>
    <w:rsid w:val="00505A92"/>
    <w:rsid w:val="00505AA4"/>
    <w:rsid w:val="00510037"/>
    <w:rsid w:val="005105AD"/>
    <w:rsid w:val="00510A94"/>
    <w:rsid w:val="00510B46"/>
    <w:rsid w:val="00511EB0"/>
    <w:rsid w:val="005123BD"/>
    <w:rsid w:val="00513522"/>
    <w:rsid w:val="00514A38"/>
    <w:rsid w:val="00515BC5"/>
    <w:rsid w:val="0051600E"/>
    <w:rsid w:val="00516853"/>
    <w:rsid w:val="005170F1"/>
    <w:rsid w:val="00517777"/>
    <w:rsid w:val="005203F1"/>
    <w:rsid w:val="005219D1"/>
    <w:rsid w:val="00521BC3"/>
    <w:rsid w:val="005228FD"/>
    <w:rsid w:val="00525A03"/>
    <w:rsid w:val="00526009"/>
    <w:rsid w:val="00526DD2"/>
    <w:rsid w:val="005270EC"/>
    <w:rsid w:val="00527271"/>
    <w:rsid w:val="0052731E"/>
    <w:rsid w:val="00527B49"/>
    <w:rsid w:val="00530B59"/>
    <w:rsid w:val="0053109A"/>
    <w:rsid w:val="00531170"/>
    <w:rsid w:val="0053137C"/>
    <w:rsid w:val="0053287F"/>
    <w:rsid w:val="00532E85"/>
    <w:rsid w:val="00533632"/>
    <w:rsid w:val="00534151"/>
    <w:rsid w:val="0053462F"/>
    <w:rsid w:val="005346CE"/>
    <w:rsid w:val="005347D8"/>
    <w:rsid w:val="0053526A"/>
    <w:rsid w:val="00535554"/>
    <w:rsid w:val="00535BB2"/>
    <w:rsid w:val="00535DD9"/>
    <w:rsid w:val="00535E37"/>
    <w:rsid w:val="005362CC"/>
    <w:rsid w:val="005363D0"/>
    <w:rsid w:val="00537940"/>
    <w:rsid w:val="005401C8"/>
    <w:rsid w:val="00540FA9"/>
    <w:rsid w:val="0054129A"/>
    <w:rsid w:val="00541B2C"/>
    <w:rsid w:val="0054251F"/>
    <w:rsid w:val="00544E50"/>
    <w:rsid w:val="00545F9C"/>
    <w:rsid w:val="00547D3C"/>
    <w:rsid w:val="00550618"/>
    <w:rsid w:val="00550EF3"/>
    <w:rsid w:val="00551EAA"/>
    <w:rsid w:val="0055200F"/>
    <w:rsid w:val="00552036"/>
    <w:rsid w:val="005520D8"/>
    <w:rsid w:val="00552697"/>
    <w:rsid w:val="00556684"/>
    <w:rsid w:val="005566E6"/>
    <w:rsid w:val="00556CF1"/>
    <w:rsid w:val="005570C6"/>
    <w:rsid w:val="005604D2"/>
    <w:rsid w:val="00560F68"/>
    <w:rsid w:val="005612AC"/>
    <w:rsid w:val="00561358"/>
    <w:rsid w:val="00561681"/>
    <w:rsid w:val="00561738"/>
    <w:rsid w:val="005621B3"/>
    <w:rsid w:val="005624DC"/>
    <w:rsid w:val="0056374E"/>
    <w:rsid w:val="00564D21"/>
    <w:rsid w:val="00565C96"/>
    <w:rsid w:val="00566442"/>
    <w:rsid w:val="00566AFF"/>
    <w:rsid w:val="00566C62"/>
    <w:rsid w:val="00570D5F"/>
    <w:rsid w:val="00571346"/>
    <w:rsid w:val="005715BF"/>
    <w:rsid w:val="00571664"/>
    <w:rsid w:val="00571F79"/>
    <w:rsid w:val="005726A3"/>
    <w:rsid w:val="005733C4"/>
    <w:rsid w:val="005736AE"/>
    <w:rsid w:val="00573930"/>
    <w:rsid w:val="005739B8"/>
    <w:rsid w:val="00575435"/>
    <w:rsid w:val="00575621"/>
    <w:rsid w:val="00575F58"/>
    <w:rsid w:val="005762A7"/>
    <w:rsid w:val="00576D59"/>
    <w:rsid w:val="005774A5"/>
    <w:rsid w:val="00577AE2"/>
    <w:rsid w:val="00580A11"/>
    <w:rsid w:val="005826E2"/>
    <w:rsid w:val="005829C1"/>
    <w:rsid w:val="0058370F"/>
    <w:rsid w:val="00583D5E"/>
    <w:rsid w:val="00584691"/>
    <w:rsid w:val="00584A15"/>
    <w:rsid w:val="005865CE"/>
    <w:rsid w:val="00586C51"/>
    <w:rsid w:val="00586D4F"/>
    <w:rsid w:val="005870BE"/>
    <w:rsid w:val="005878D8"/>
    <w:rsid w:val="005878F7"/>
    <w:rsid w:val="00587AF2"/>
    <w:rsid w:val="005916D7"/>
    <w:rsid w:val="00592551"/>
    <w:rsid w:val="0059279C"/>
    <w:rsid w:val="005927D7"/>
    <w:rsid w:val="00593105"/>
    <w:rsid w:val="00593F44"/>
    <w:rsid w:val="005941B7"/>
    <w:rsid w:val="005948F0"/>
    <w:rsid w:val="005961A2"/>
    <w:rsid w:val="00596380"/>
    <w:rsid w:val="005963D3"/>
    <w:rsid w:val="00596DA7"/>
    <w:rsid w:val="0059781E"/>
    <w:rsid w:val="005979C4"/>
    <w:rsid w:val="005A1148"/>
    <w:rsid w:val="005A15D5"/>
    <w:rsid w:val="005A1D38"/>
    <w:rsid w:val="005A25C9"/>
    <w:rsid w:val="005A3229"/>
    <w:rsid w:val="005A3AE7"/>
    <w:rsid w:val="005A3EFB"/>
    <w:rsid w:val="005A4670"/>
    <w:rsid w:val="005A4A84"/>
    <w:rsid w:val="005A5457"/>
    <w:rsid w:val="005A5463"/>
    <w:rsid w:val="005A61A5"/>
    <w:rsid w:val="005A61D5"/>
    <w:rsid w:val="005A627A"/>
    <w:rsid w:val="005A698C"/>
    <w:rsid w:val="005A7992"/>
    <w:rsid w:val="005B1008"/>
    <w:rsid w:val="005B1150"/>
    <w:rsid w:val="005B18E7"/>
    <w:rsid w:val="005B23AB"/>
    <w:rsid w:val="005B2E9B"/>
    <w:rsid w:val="005B3416"/>
    <w:rsid w:val="005B4FED"/>
    <w:rsid w:val="005B59D1"/>
    <w:rsid w:val="005B5DE1"/>
    <w:rsid w:val="005C1D3C"/>
    <w:rsid w:val="005C2129"/>
    <w:rsid w:val="005C2F50"/>
    <w:rsid w:val="005C3A70"/>
    <w:rsid w:val="005C477E"/>
    <w:rsid w:val="005C4895"/>
    <w:rsid w:val="005C4C59"/>
    <w:rsid w:val="005C4EB3"/>
    <w:rsid w:val="005C632C"/>
    <w:rsid w:val="005D122F"/>
    <w:rsid w:val="005D242A"/>
    <w:rsid w:val="005D2C0C"/>
    <w:rsid w:val="005D2C7C"/>
    <w:rsid w:val="005D35EE"/>
    <w:rsid w:val="005D4D88"/>
    <w:rsid w:val="005D5523"/>
    <w:rsid w:val="005D6714"/>
    <w:rsid w:val="005D67D4"/>
    <w:rsid w:val="005D736C"/>
    <w:rsid w:val="005D7EAB"/>
    <w:rsid w:val="005E022F"/>
    <w:rsid w:val="005E0799"/>
    <w:rsid w:val="005E1A67"/>
    <w:rsid w:val="005E2BC9"/>
    <w:rsid w:val="005E32E6"/>
    <w:rsid w:val="005E3B13"/>
    <w:rsid w:val="005E4A84"/>
    <w:rsid w:val="005E58AD"/>
    <w:rsid w:val="005E6BA7"/>
    <w:rsid w:val="005E6EFA"/>
    <w:rsid w:val="005E6FC0"/>
    <w:rsid w:val="005E7434"/>
    <w:rsid w:val="005F09B7"/>
    <w:rsid w:val="005F0D99"/>
    <w:rsid w:val="005F173B"/>
    <w:rsid w:val="005F2A93"/>
    <w:rsid w:val="005F3447"/>
    <w:rsid w:val="005F34AE"/>
    <w:rsid w:val="005F505B"/>
    <w:rsid w:val="005F5A80"/>
    <w:rsid w:val="005F5DC8"/>
    <w:rsid w:val="0060003D"/>
    <w:rsid w:val="00600EEA"/>
    <w:rsid w:val="00601EFE"/>
    <w:rsid w:val="00601F94"/>
    <w:rsid w:val="0060297F"/>
    <w:rsid w:val="00602985"/>
    <w:rsid w:val="0060375D"/>
    <w:rsid w:val="00603EBB"/>
    <w:rsid w:val="00604085"/>
    <w:rsid w:val="006044FF"/>
    <w:rsid w:val="006050BD"/>
    <w:rsid w:val="00605D4C"/>
    <w:rsid w:val="00606E84"/>
    <w:rsid w:val="00607032"/>
    <w:rsid w:val="00607037"/>
    <w:rsid w:val="00607CC5"/>
    <w:rsid w:val="00607F4C"/>
    <w:rsid w:val="00610175"/>
    <w:rsid w:val="006102E5"/>
    <w:rsid w:val="00610D4E"/>
    <w:rsid w:val="0061167F"/>
    <w:rsid w:val="00611E6B"/>
    <w:rsid w:val="00612085"/>
    <w:rsid w:val="006120D1"/>
    <w:rsid w:val="006127B0"/>
    <w:rsid w:val="006132ED"/>
    <w:rsid w:val="00613372"/>
    <w:rsid w:val="006138D3"/>
    <w:rsid w:val="00613A1F"/>
    <w:rsid w:val="0061431C"/>
    <w:rsid w:val="00614545"/>
    <w:rsid w:val="00614678"/>
    <w:rsid w:val="006162A3"/>
    <w:rsid w:val="006175D3"/>
    <w:rsid w:val="006202A0"/>
    <w:rsid w:val="00620FA1"/>
    <w:rsid w:val="006216AF"/>
    <w:rsid w:val="006218B9"/>
    <w:rsid w:val="00622635"/>
    <w:rsid w:val="006227E9"/>
    <w:rsid w:val="006232FA"/>
    <w:rsid w:val="006237FF"/>
    <w:rsid w:val="00624CBD"/>
    <w:rsid w:val="00625545"/>
    <w:rsid w:val="00625E0D"/>
    <w:rsid w:val="00630C5B"/>
    <w:rsid w:val="00630CCB"/>
    <w:rsid w:val="00630F4E"/>
    <w:rsid w:val="0063128F"/>
    <w:rsid w:val="00632141"/>
    <w:rsid w:val="006321FA"/>
    <w:rsid w:val="00632E50"/>
    <w:rsid w:val="00633014"/>
    <w:rsid w:val="0063437B"/>
    <w:rsid w:val="006346F6"/>
    <w:rsid w:val="00634C41"/>
    <w:rsid w:val="0063540E"/>
    <w:rsid w:val="00636698"/>
    <w:rsid w:val="006368E8"/>
    <w:rsid w:val="00636D52"/>
    <w:rsid w:val="00637485"/>
    <w:rsid w:val="00640325"/>
    <w:rsid w:val="00640E1B"/>
    <w:rsid w:val="006428E8"/>
    <w:rsid w:val="00642E91"/>
    <w:rsid w:val="0064303A"/>
    <w:rsid w:val="006430E4"/>
    <w:rsid w:val="00643AC3"/>
    <w:rsid w:val="00643B34"/>
    <w:rsid w:val="00644C35"/>
    <w:rsid w:val="00644D57"/>
    <w:rsid w:val="00644F53"/>
    <w:rsid w:val="0064537C"/>
    <w:rsid w:val="00646254"/>
    <w:rsid w:val="00646719"/>
    <w:rsid w:val="0065055C"/>
    <w:rsid w:val="006519FE"/>
    <w:rsid w:val="006529B2"/>
    <w:rsid w:val="006529D6"/>
    <w:rsid w:val="00652AD4"/>
    <w:rsid w:val="00652D7E"/>
    <w:rsid w:val="006538FF"/>
    <w:rsid w:val="00653F1A"/>
    <w:rsid w:val="00654731"/>
    <w:rsid w:val="00654A0C"/>
    <w:rsid w:val="0065526E"/>
    <w:rsid w:val="00655ABC"/>
    <w:rsid w:val="00656050"/>
    <w:rsid w:val="00657336"/>
    <w:rsid w:val="00657D52"/>
    <w:rsid w:val="00657EA2"/>
    <w:rsid w:val="00660ED9"/>
    <w:rsid w:val="00660F19"/>
    <w:rsid w:val="0066249A"/>
    <w:rsid w:val="0066296D"/>
    <w:rsid w:val="00664363"/>
    <w:rsid w:val="00664B74"/>
    <w:rsid w:val="0066525B"/>
    <w:rsid w:val="00666F54"/>
    <w:rsid w:val="006673CA"/>
    <w:rsid w:val="006674D4"/>
    <w:rsid w:val="00667540"/>
    <w:rsid w:val="00671749"/>
    <w:rsid w:val="006730C2"/>
    <w:rsid w:val="00673C26"/>
    <w:rsid w:val="00674BE8"/>
    <w:rsid w:val="006750FF"/>
    <w:rsid w:val="00677B99"/>
    <w:rsid w:val="00677E48"/>
    <w:rsid w:val="006812AF"/>
    <w:rsid w:val="006825A9"/>
    <w:rsid w:val="00683067"/>
    <w:rsid w:val="0068327D"/>
    <w:rsid w:val="00684338"/>
    <w:rsid w:val="0068469A"/>
    <w:rsid w:val="006851D8"/>
    <w:rsid w:val="00685F18"/>
    <w:rsid w:val="00687FB3"/>
    <w:rsid w:val="006907E5"/>
    <w:rsid w:val="00691DF9"/>
    <w:rsid w:val="0069204C"/>
    <w:rsid w:val="006929D0"/>
    <w:rsid w:val="0069335C"/>
    <w:rsid w:val="006938FF"/>
    <w:rsid w:val="00694AF0"/>
    <w:rsid w:val="00695E90"/>
    <w:rsid w:val="00697394"/>
    <w:rsid w:val="00697DE9"/>
    <w:rsid w:val="006A08DE"/>
    <w:rsid w:val="006A13FD"/>
    <w:rsid w:val="006A18F8"/>
    <w:rsid w:val="006A1FB6"/>
    <w:rsid w:val="006A3434"/>
    <w:rsid w:val="006A41AB"/>
    <w:rsid w:val="006A4493"/>
    <w:rsid w:val="006A4880"/>
    <w:rsid w:val="006A4951"/>
    <w:rsid w:val="006A59BD"/>
    <w:rsid w:val="006A5C07"/>
    <w:rsid w:val="006A5E10"/>
    <w:rsid w:val="006A5E28"/>
    <w:rsid w:val="006A6B12"/>
    <w:rsid w:val="006A7575"/>
    <w:rsid w:val="006B045A"/>
    <w:rsid w:val="006B0879"/>
    <w:rsid w:val="006B098C"/>
    <w:rsid w:val="006B0E9E"/>
    <w:rsid w:val="006B212E"/>
    <w:rsid w:val="006B39F2"/>
    <w:rsid w:val="006B4630"/>
    <w:rsid w:val="006B5AE4"/>
    <w:rsid w:val="006B6BCF"/>
    <w:rsid w:val="006B79CA"/>
    <w:rsid w:val="006C0E56"/>
    <w:rsid w:val="006C1F6E"/>
    <w:rsid w:val="006C1F73"/>
    <w:rsid w:val="006C1FD3"/>
    <w:rsid w:val="006C2326"/>
    <w:rsid w:val="006C2E07"/>
    <w:rsid w:val="006C3E88"/>
    <w:rsid w:val="006C4851"/>
    <w:rsid w:val="006C545B"/>
    <w:rsid w:val="006C5C3C"/>
    <w:rsid w:val="006C63A0"/>
    <w:rsid w:val="006D00FE"/>
    <w:rsid w:val="006D0BCF"/>
    <w:rsid w:val="006D0E52"/>
    <w:rsid w:val="006D147E"/>
    <w:rsid w:val="006D1B1E"/>
    <w:rsid w:val="006D1F73"/>
    <w:rsid w:val="006D39FB"/>
    <w:rsid w:val="006D4054"/>
    <w:rsid w:val="006D4326"/>
    <w:rsid w:val="006D447B"/>
    <w:rsid w:val="006D4B78"/>
    <w:rsid w:val="006D4F4C"/>
    <w:rsid w:val="006D6290"/>
    <w:rsid w:val="006D635A"/>
    <w:rsid w:val="006D6CF9"/>
    <w:rsid w:val="006D7EB7"/>
    <w:rsid w:val="006E02EC"/>
    <w:rsid w:val="006E042F"/>
    <w:rsid w:val="006E2246"/>
    <w:rsid w:val="006E397E"/>
    <w:rsid w:val="006E3B6F"/>
    <w:rsid w:val="006E40F1"/>
    <w:rsid w:val="006E4EE4"/>
    <w:rsid w:val="006E6311"/>
    <w:rsid w:val="006E7D96"/>
    <w:rsid w:val="006E7EDA"/>
    <w:rsid w:val="006F0FF2"/>
    <w:rsid w:val="006F2A9C"/>
    <w:rsid w:val="006F30DE"/>
    <w:rsid w:val="006F356C"/>
    <w:rsid w:val="006F57BB"/>
    <w:rsid w:val="006F5A94"/>
    <w:rsid w:val="006F5B46"/>
    <w:rsid w:val="006F5D99"/>
    <w:rsid w:val="006F61CF"/>
    <w:rsid w:val="006F680E"/>
    <w:rsid w:val="006F6E89"/>
    <w:rsid w:val="006F6EC9"/>
    <w:rsid w:val="00700742"/>
    <w:rsid w:val="00701780"/>
    <w:rsid w:val="0070197E"/>
    <w:rsid w:val="00702188"/>
    <w:rsid w:val="00703202"/>
    <w:rsid w:val="00704F54"/>
    <w:rsid w:val="00705497"/>
    <w:rsid w:val="00705F38"/>
    <w:rsid w:val="00706163"/>
    <w:rsid w:val="00707748"/>
    <w:rsid w:val="007077B9"/>
    <w:rsid w:val="00707DE2"/>
    <w:rsid w:val="00710425"/>
    <w:rsid w:val="00711045"/>
    <w:rsid w:val="00713118"/>
    <w:rsid w:val="00715393"/>
    <w:rsid w:val="00717F22"/>
    <w:rsid w:val="00720E14"/>
    <w:rsid w:val="00720FEE"/>
    <w:rsid w:val="00721159"/>
    <w:rsid w:val="007211B1"/>
    <w:rsid w:val="0072163D"/>
    <w:rsid w:val="00721A67"/>
    <w:rsid w:val="00721DCA"/>
    <w:rsid w:val="0072232B"/>
    <w:rsid w:val="00722726"/>
    <w:rsid w:val="007245A7"/>
    <w:rsid w:val="00724A4D"/>
    <w:rsid w:val="0072526C"/>
    <w:rsid w:val="00726B36"/>
    <w:rsid w:val="00726F28"/>
    <w:rsid w:val="00727803"/>
    <w:rsid w:val="00727C6F"/>
    <w:rsid w:val="007303FC"/>
    <w:rsid w:val="007309BC"/>
    <w:rsid w:val="00732133"/>
    <w:rsid w:val="00733117"/>
    <w:rsid w:val="00733AD2"/>
    <w:rsid w:val="00734D50"/>
    <w:rsid w:val="00736750"/>
    <w:rsid w:val="0073683D"/>
    <w:rsid w:val="007369A0"/>
    <w:rsid w:val="00740D98"/>
    <w:rsid w:val="007418C7"/>
    <w:rsid w:val="00742271"/>
    <w:rsid w:val="00743560"/>
    <w:rsid w:val="00743F0A"/>
    <w:rsid w:val="007442C1"/>
    <w:rsid w:val="00744383"/>
    <w:rsid w:val="00745682"/>
    <w:rsid w:val="00745CE4"/>
    <w:rsid w:val="00745D3F"/>
    <w:rsid w:val="00746187"/>
    <w:rsid w:val="0074654D"/>
    <w:rsid w:val="00746911"/>
    <w:rsid w:val="00747758"/>
    <w:rsid w:val="0075054C"/>
    <w:rsid w:val="00751311"/>
    <w:rsid w:val="00751972"/>
    <w:rsid w:val="00752493"/>
    <w:rsid w:val="00754082"/>
    <w:rsid w:val="007549EB"/>
    <w:rsid w:val="00754A7E"/>
    <w:rsid w:val="007557E2"/>
    <w:rsid w:val="00755AE6"/>
    <w:rsid w:val="0075634D"/>
    <w:rsid w:val="00756D00"/>
    <w:rsid w:val="00757011"/>
    <w:rsid w:val="00757096"/>
    <w:rsid w:val="00757BFE"/>
    <w:rsid w:val="00757FE5"/>
    <w:rsid w:val="00761A73"/>
    <w:rsid w:val="00761AE8"/>
    <w:rsid w:val="0076254F"/>
    <w:rsid w:val="0076262D"/>
    <w:rsid w:val="0076347C"/>
    <w:rsid w:val="007645D2"/>
    <w:rsid w:val="0076484A"/>
    <w:rsid w:val="00764DE1"/>
    <w:rsid w:val="00765636"/>
    <w:rsid w:val="00765CA8"/>
    <w:rsid w:val="00765EB7"/>
    <w:rsid w:val="00765F05"/>
    <w:rsid w:val="0076668C"/>
    <w:rsid w:val="007676DA"/>
    <w:rsid w:val="00770ACB"/>
    <w:rsid w:val="00770FCB"/>
    <w:rsid w:val="007717C5"/>
    <w:rsid w:val="007719BF"/>
    <w:rsid w:val="00771A09"/>
    <w:rsid w:val="00772266"/>
    <w:rsid w:val="00772EF3"/>
    <w:rsid w:val="00773B3F"/>
    <w:rsid w:val="00774325"/>
    <w:rsid w:val="00774E61"/>
    <w:rsid w:val="0077525B"/>
    <w:rsid w:val="00775829"/>
    <w:rsid w:val="00775E93"/>
    <w:rsid w:val="007764D3"/>
    <w:rsid w:val="00777015"/>
    <w:rsid w:val="00777B79"/>
    <w:rsid w:val="00780187"/>
    <w:rsid w:val="007801F5"/>
    <w:rsid w:val="00782B18"/>
    <w:rsid w:val="00783CA4"/>
    <w:rsid w:val="007840AD"/>
    <w:rsid w:val="007842FB"/>
    <w:rsid w:val="007845E2"/>
    <w:rsid w:val="007849B5"/>
    <w:rsid w:val="007849F5"/>
    <w:rsid w:val="00784F5E"/>
    <w:rsid w:val="00785D1A"/>
    <w:rsid w:val="00785F89"/>
    <w:rsid w:val="00786124"/>
    <w:rsid w:val="007869F8"/>
    <w:rsid w:val="00786ABB"/>
    <w:rsid w:val="007874E7"/>
    <w:rsid w:val="007875D4"/>
    <w:rsid w:val="00787649"/>
    <w:rsid w:val="007911E2"/>
    <w:rsid w:val="0079133D"/>
    <w:rsid w:val="00791383"/>
    <w:rsid w:val="0079182A"/>
    <w:rsid w:val="00791FB1"/>
    <w:rsid w:val="00793814"/>
    <w:rsid w:val="0079514B"/>
    <w:rsid w:val="0079649B"/>
    <w:rsid w:val="0079649E"/>
    <w:rsid w:val="00796733"/>
    <w:rsid w:val="0079712F"/>
    <w:rsid w:val="00797C25"/>
    <w:rsid w:val="007A0C01"/>
    <w:rsid w:val="007A1441"/>
    <w:rsid w:val="007A249D"/>
    <w:rsid w:val="007A2DC1"/>
    <w:rsid w:val="007A5042"/>
    <w:rsid w:val="007A6CF1"/>
    <w:rsid w:val="007A6ED0"/>
    <w:rsid w:val="007A7A78"/>
    <w:rsid w:val="007B16EE"/>
    <w:rsid w:val="007B2015"/>
    <w:rsid w:val="007B20E7"/>
    <w:rsid w:val="007B238C"/>
    <w:rsid w:val="007B26DC"/>
    <w:rsid w:val="007B2722"/>
    <w:rsid w:val="007B2DBB"/>
    <w:rsid w:val="007B6438"/>
    <w:rsid w:val="007B6DCD"/>
    <w:rsid w:val="007B745F"/>
    <w:rsid w:val="007C0B01"/>
    <w:rsid w:val="007C65A3"/>
    <w:rsid w:val="007C6E47"/>
    <w:rsid w:val="007C767A"/>
    <w:rsid w:val="007C77CB"/>
    <w:rsid w:val="007D0DCD"/>
    <w:rsid w:val="007D179C"/>
    <w:rsid w:val="007D2C4B"/>
    <w:rsid w:val="007D2DA6"/>
    <w:rsid w:val="007D3319"/>
    <w:rsid w:val="007D335D"/>
    <w:rsid w:val="007D39B6"/>
    <w:rsid w:val="007D39FA"/>
    <w:rsid w:val="007D3B33"/>
    <w:rsid w:val="007D4550"/>
    <w:rsid w:val="007D5E4B"/>
    <w:rsid w:val="007D6E4E"/>
    <w:rsid w:val="007D7421"/>
    <w:rsid w:val="007D77D5"/>
    <w:rsid w:val="007D7F7B"/>
    <w:rsid w:val="007E0067"/>
    <w:rsid w:val="007E2987"/>
    <w:rsid w:val="007E3314"/>
    <w:rsid w:val="007E35EA"/>
    <w:rsid w:val="007E369D"/>
    <w:rsid w:val="007E43D3"/>
    <w:rsid w:val="007E4B03"/>
    <w:rsid w:val="007E6C18"/>
    <w:rsid w:val="007E71B3"/>
    <w:rsid w:val="007E7EFB"/>
    <w:rsid w:val="007F00F7"/>
    <w:rsid w:val="007F04AB"/>
    <w:rsid w:val="007F0E19"/>
    <w:rsid w:val="007F0FE4"/>
    <w:rsid w:val="007F10F2"/>
    <w:rsid w:val="007F1C06"/>
    <w:rsid w:val="007F2352"/>
    <w:rsid w:val="007F324B"/>
    <w:rsid w:val="007F4A54"/>
    <w:rsid w:val="007F589E"/>
    <w:rsid w:val="007F5C8B"/>
    <w:rsid w:val="007F5F85"/>
    <w:rsid w:val="007F76AB"/>
    <w:rsid w:val="007F7D4E"/>
    <w:rsid w:val="008006DC"/>
    <w:rsid w:val="00800D5F"/>
    <w:rsid w:val="00801616"/>
    <w:rsid w:val="00801B07"/>
    <w:rsid w:val="008020DE"/>
    <w:rsid w:val="0080417D"/>
    <w:rsid w:val="0080477D"/>
    <w:rsid w:val="0080553C"/>
    <w:rsid w:val="0080575A"/>
    <w:rsid w:val="00805B46"/>
    <w:rsid w:val="00806A3A"/>
    <w:rsid w:val="00806B6F"/>
    <w:rsid w:val="00806FD2"/>
    <w:rsid w:val="00807502"/>
    <w:rsid w:val="00807D81"/>
    <w:rsid w:val="00811327"/>
    <w:rsid w:val="00812313"/>
    <w:rsid w:val="00812466"/>
    <w:rsid w:val="00812616"/>
    <w:rsid w:val="00813D7E"/>
    <w:rsid w:val="00813DC4"/>
    <w:rsid w:val="0081400D"/>
    <w:rsid w:val="00815520"/>
    <w:rsid w:val="00815967"/>
    <w:rsid w:val="00816AAA"/>
    <w:rsid w:val="00817052"/>
    <w:rsid w:val="0081785E"/>
    <w:rsid w:val="00817CCD"/>
    <w:rsid w:val="0082017B"/>
    <w:rsid w:val="0082126A"/>
    <w:rsid w:val="008212CA"/>
    <w:rsid w:val="00821E99"/>
    <w:rsid w:val="00821EA7"/>
    <w:rsid w:val="008220EF"/>
    <w:rsid w:val="00825DC2"/>
    <w:rsid w:val="00826E51"/>
    <w:rsid w:val="00827F37"/>
    <w:rsid w:val="008315CF"/>
    <w:rsid w:val="008331E2"/>
    <w:rsid w:val="008336FF"/>
    <w:rsid w:val="00833C85"/>
    <w:rsid w:val="00834468"/>
    <w:rsid w:val="00834AD3"/>
    <w:rsid w:val="008360B1"/>
    <w:rsid w:val="008361E5"/>
    <w:rsid w:val="008367C9"/>
    <w:rsid w:val="008371A1"/>
    <w:rsid w:val="00837495"/>
    <w:rsid w:val="0084141A"/>
    <w:rsid w:val="00841C4F"/>
    <w:rsid w:val="008425D2"/>
    <w:rsid w:val="00843795"/>
    <w:rsid w:val="008447FB"/>
    <w:rsid w:val="00844A9F"/>
    <w:rsid w:val="00844F2F"/>
    <w:rsid w:val="00845EB0"/>
    <w:rsid w:val="00845F82"/>
    <w:rsid w:val="00846142"/>
    <w:rsid w:val="00846FA3"/>
    <w:rsid w:val="008475CE"/>
    <w:rsid w:val="00847F0F"/>
    <w:rsid w:val="008509A5"/>
    <w:rsid w:val="00850A55"/>
    <w:rsid w:val="0085158C"/>
    <w:rsid w:val="00852448"/>
    <w:rsid w:val="008537BF"/>
    <w:rsid w:val="008538B4"/>
    <w:rsid w:val="008551AA"/>
    <w:rsid w:val="00855D77"/>
    <w:rsid w:val="00857530"/>
    <w:rsid w:val="008609E0"/>
    <w:rsid w:val="00861773"/>
    <w:rsid w:val="008619A9"/>
    <w:rsid w:val="0086228C"/>
    <w:rsid w:val="0086298D"/>
    <w:rsid w:val="0086309B"/>
    <w:rsid w:val="008643C0"/>
    <w:rsid w:val="00864C9F"/>
    <w:rsid w:val="0086504C"/>
    <w:rsid w:val="0086630C"/>
    <w:rsid w:val="0086747F"/>
    <w:rsid w:val="00867E6C"/>
    <w:rsid w:val="00872E73"/>
    <w:rsid w:val="00874263"/>
    <w:rsid w:val="00876DDE"/>
    <w:rsid w:val="0088061E"/>
    <w:rsid w:val="00880BD5"/>
    <w:rsid w:val="00880F52"/>
    <w:rsid w:val="00881BFB"/>
    <w:rsid w:val="00881CBB"/>
    <w:rsid w:val="0088258A"/>
    <w:rsid w:val="008825E4"/>
    <w:rsid w:val="00883A48"/>
    <w:rsid w:val="00883BFA"/>
    <w:rsid w:val="00883EFE"/>
    <w:rsid w:val="00885BB4"/>
    <w:rsid w:val="00886332"/>
    <w:rsid w:val="00890381"/>
    <w:rsid w:val="00890DBD"/>
    <w:rsid w:val="008910B5"/>
    <w:rsid w:val="00891460"/>
    <w:rsid w:val="00891B9E"/>
    <w:rsid w:val="00892124"/>
    <w:rsid w:val="00892EC2"/>
    <w:rsid w:val="00892F8F"/>
    <w:rsid w:val="008932D3"/>
    <w:rsid w:val="00894BE4"/>
    <w:rsid w:val="008958A8"/>
    <w:rsid w:val="00895DD0"/>
    <w:rsid w:val="00896319"/>
    <w:rsid w:val="00896486"/>
    <w:rsid w:val="008967C6"/>
    <w:rsid w:val="00897491"/>
    <w:rsid w:val="00897923"/>
    <w:rsid w:val="008A0D74"/>
    <w:rsid w:val="008A106B"/>
    <w:rsid w:val="008A221A"/>
    <w:rsid w:val="008A26D9"/>
    <w:rsid w:val="008A3C0A"/>
    <w:rsid w:val="008A3ED7"/>
    <w:rsid w:val="008A593E"/>
    <w:rsid w:val="008A598A"/>
    <w:rsid w:val="008A68F9"/>
    <w:rsid w:val="008A7334"/>
    <w:rsid w:val="008A7F37"/>
    <w:rsid w:val="008B0517"/>
    <w:rsid w:val="008B2079"/>
    <w:rsid w:val="008B293E"/>
    <w:rsid w:val="008B2AA1"/>
    <w:rsid w:val="008B2CD9"/>
    <w:rsid w:val="008B33BA"/>
    <w:rsid w:val="008B42AE"/>
    <w:rsid w:val="008B42EC"/>
    <w:rsid w:val="008B569F"/>
    <w:rsid w:val="008B56FC"/>
    <w:rsid w:val="008B5D9E"/>
    <w:rsid w:val="008B63B1"/>
    <w:rsid w:val="008B657F"/>
    <w:rsid w:val="008B66AA"/>
    <w:rsid w:val="008C0C29"/>
    <w:rsid w:val="008C0FD8"/>
    <w:rsid w:val="008C1198"/>
    <w:rsid w:val="008C24C0"/>
    <w:rsid w:val="008C2F34"/>
    <w:rsid w:val="008C3664"/>
    <w:rsid w:val="008C4877"/>
    <w:rsid w:val="008C489C"/>
    <w:rsid w:val="008C4C16"/>
    <w:rsid w:val="008C4F99"/>
    <w:rsid w:val="008C6BF3"/>
    <w:rsid w:val="008C77FB"/>
    <w:rsid w:val="008C7D5C"/>
    <w:rsid w:val="008D00C1"/>
    <w:rsid w:val="008D105E"/>
    <w:rsid w:val="008D1F04"/>
    <w:rsid w:val="008D291A"/>
    <w:rsid w:val="008D2DC0"/>
    <w:rsid w:val="008D3718"/>
    <w:rsid w:val="008D3E42"/>
    <w:rsid w:val="008D49B2"/>
    <w:rsid w:val="008D4ABA"/>
    <w:rsid w:val="008D5067"/>
    <w:rsid w:val="008D50D3"/>
    <w:rsid w:val="008D6577"/>
    <w:rsid w:val="008D7204"/>
    <w:rsid w:val="008E1075"/>
    <w:rsid w:val="008E1770"/>
    <w:rsid w:val="008E23A6"/>
    <w:rsid w:val="008E2764"/>
    <w:rsid w:val="008E3166"/>
    <w:rsid w:val="008E3C73"/>
    <w:rsid w:val="008E4CA0"/>
    <w:rsid w:val="008E5301"/>
    <w:rsid w:val="008E5817"/>
    <w:rsid w:val="008E5C44"/>
    <w:rsid w:val="008F05DC"/>
    <w:rsid w:val="008F2519"/>
    <w:rsid w:val="008F3638"/>
    <w:rsid w:val="008F3C0F"/>
    <w:rsid w:val="008F4105"/>
    <w:rsid w:val="008F5629"/>
    <w:rsid w:val="008F6BFF"/>
    <w:rsid w:val="008F6F31"/>
    <w:rsid w:val="008F7311"/>
    <w:rsid w:val="008F74DF"/>
    <w:rsid w:val="009006E7"/>
    <w:rsid w:val="00900DBD"/>
    <w:rsid w:val="00901025"/>
    <w:rsid w:val="00901163"/>
    <w:rsid w:val="00901F3A"/>
    <w:rsid w:val="00902145"/>
    <w:rsid w:val="00903E49"/>
    <w:rsid w:val="00907B40"/>
    <w:rsid w:val="0091025D"/>
    <w:rsid w:val="0091065E"/>
    <w:rsid w:val="009107B5"/>
    <w:rsid w:val="00910BBB"/>
    <w:rsid w:val="00910D7A"/>
    <w:rsid w:val="00910F71"/>
    <w:rsid w:val="009127BA"/>
    <w:rsid w:val="00912EFD"/>
    <w:rsid w:val="00912F00"/>
    <w:rsid w:val="00912FC7"/>
    <w:rsid w:val="00913228"/>
    <w:rsid w:val="00914AB8"/>
    <w:rsid w:val="00914BE1"/>
    <w:rsid w:val="009154E3"/>
    <w:rsid w:val="00916DF4"/>
    <w:rsid w:val="00917E3B"/>
    <w:rsid w:val="0092066F"/>
    <w:rsid w:val="0092085D"/>
    <w:rsid w:val="00920DD0"/>
    <w:rsid w:val="00920E95"/>
    <w:rsid w:val="00922409"/>
    <w:rsid w:val="009227A6"/>
    <w:rsid w:val="00922E5D"/>
    <w:rsid w:val="00923BFE"/>
    <w:rsid w:val="009249BE"/>
    <w:rsid w:val="00924D8C"/>
    <w:rsid w:val="009255D6"/>
    <w:rsid w:val="00926199"/>
    <w:rsid w:val="00927F3B"/>
    <w:rsid w:val="00930754"/>
    <w:rsid w:val="00931687"/>
    <w:rsid w:val="00931D22"/>
    <w:rsid w:val="0093275E"/>
    <w:rsid w:val="00932FB7"/>
    <w:rsid w:val="0093368A"/>
    <w:rsid w:val="009337E5"/>
    <w:rsid w:val="00933EC1"/>
    <w:rsid w:val="009351EA"/>
    <w:rsid w:val="0093521B"/>
    <w:rsid w:val="00935C7E"/>
    <w:rsid w:val="00936E36"/>
    <w:rsid w:val="00936F8C"/>
    <w:rsid w:val="009370B1"/>
    <w:rsid w:val="0094073B"/>
    <w:rsid w:val="009408CE"/>
    <w:rsid w:val="00940F29"/>
    <w:rsid w:val="00940FE5"/>
    <w:rsid w:val="009429D6"/>
    <w:rsid w:val="00943D8D"/>
    <w:rsid w:val="00944554"/>
    <w:rsid w:val="00944DB2"/>
    <w:rsid w:val="009464A1"/>
    <w:rsid w:val="009467BD"/>
    <w:rsid w:val="00947500"/>
    <w:rsid w:val="00950370"/>
    <w:rsid w:val="00951205"/>
    <w:rsid w:val="009515E6"/>
    <w:rsid w:val="00951C2D"/>
    <w:rsid w:val="00951CD0"/>
    <w:rsid w:val="00951D54"/>
    <w:rsid w:val="0095232A"/>
    <w:rsid w:val="009527B3"/>
    <w:rsid w:val="00952D37"/>
    <w:rsid w:val="009530DB"/>
    <w:rsid w:val="00953676"/>
    <w:rsid w:val="00953A80"/>
    <w:rsid w:val="00953E60"/>
    <w:rsid w:val="00954EA2"/>
    <w:rsid w:val="00954FF2"/>
    <w:rsid w:val="00957BB0"/>
    <w:rsid w:val="00960055"/>
    <w:rsid w:val="009605BC"/>
    <w:rsid w:val="00961B3F"/>
    <w:rsid w:val="00961C09"/>
    <w:rsid w:val="009626BA"/>
    <w:rsid w:val="00963EBE"/>
    <w:rsid w:val="00963EFA"/>
    <w:rsid w:val="00963F60"/>
    <w:rsid w:val="00964130"/>
    <w:rsid w:val="00964879"/>
    <w:rsid w:val="00964C41"/>
    <w:rsid w:val="00965117"/>
    <w:rsid w:val="009654F4"/>
    <w:rsid w:val="009668E9"/>
    <w:rsid w:val="00966E0D"/>
    <w:rsid w:val="009704F9"/>
    <w:rsid w:val="009705EE"/>
    <w:rsid w:val="00971215"/>
    <w:rsid w:val="00971603"/>
    <w:rsid w:val="0097192E"/>
    <w:rsid w:val="00971BA6"/>
    <w:rsid w:val="00972A6B"/>
    <w:rsid w:val="00972D39"/>
    <w:rsid w:val="00973A7A"/>
    <w:rsid w:val="00973F0D"/>
    <w:rsid w:val="00975A99"/>
    <w:rsid w:val="00975F91"/>
    <w:rsid w:val="00976B47"/>
    <w:rsid w:val="00976E09"/>
    <w:rsid w:val="0097743C"/>
    <w:rsid w:val="00977927"/>
    <w:rsid w:val="0098031C"/>
    <w:rsid w:val="0098135C"/>
    <w:rsid w:val="0098156A"/>
    <w:rsid w:val="0098180F"/>
    <w:rsid w:val="00981921"/>
    <w:rsid w:val="009841D8"/>
    <w:rsid w:val="0098480E"/>
    <w:rsid w:val="009849B0"/>
    <w:rsid w:val="00985495"/>
    <w:rsid w:val="0098614D"/>
    <w:rsid w:val="009872E1"/>
    <w:rsid w:val="00987783"/>
    <w:rsid w:val="00990B8A"/>
    <w:rsid w:val="00991BAC"/>
    <w:rsid w:val="00991FD2"/>
    <w:rsid w:val="0099370E"/>
    <w:rsid w:val="009937E6"/>
    <w:rsid w:val="00995182"/>
    <w:rsid w:val="00995CAC"/>
    <w:rsid w:val="00997452"/>
    <w:rsid w:val="0099778B"/>
    <w:rsid w:val="009A0155"/>
    <w:rsid w:val="009A09F8"/>
    <w:rsid w:val="009A129A"/>
    <w:rsid w:val="009A1938"/>
    <w:rsid w:val="009A1E3B"/>
    <w:rsid w:val="009A2C7B"/>
    <w:rsid w:val="009A405F"/>
    <w:rsid w:val="009A6EA0"/>
    <w:rsid w:val="009A6EAC"/>
    <w:rsid w:val="009A79FC"/>
    <w:rsid w:val="009A7BC8"/>
    <w:rsid w:val="009A7BD1"/>
    <w:rsid w:val="009A7FA5"/>
    <w:rsid w:val="009B02CE"/>
    <w:rsid w:val="009B104C"/>
    <w:rsid w:val="009B12A9"/>
    <w:rsid w:val="009B2454"/>
    <w:rsid w:val="009B25AB"/>
    <w:rsid w:val="009B45F8"/>
    <w:rsid w:val="009C03FB"/>
    <w:rsid w:val="009C1335"/>
    <w:rsid w:val="009C1738"/>
    <w:rsid w:val="009C1AB2"/>
    <w:rsid w:val="009C2168"/>
    <w:rsid w:val="009C27BE"/>
    <w:rsid w:val="009C2C55"/>
    <w:rsid w:val="009C37D5"/>
    <w:rsid w:val="009C4582"/>
    <w:rsid w:val="009C7251"/>
    <w:rsid w:val="009C73FC"/>
    <w:rsid w:val="009D056E"/>
    <w:rsid w:val="009D07AB"/>
    <w:rsid w:val="009D1087"/>
    <w:rsid w:val="009D128C"/>
    <w:rsid w:val="009D1BBE"/>
    <w:rsid w:val="009D3AF1"/>
    <w:rsid w:val="009D5BC1"/>
    <w:rsid w:val="009D5D11"/>
    <w:rsid w:val="009D5D5E"/>
    <w:rsid w:val="009D5F6E"/>
    <w:rsid w:val="009D6897"/>
    <w:rsid w:val="009D7E92"/>
    <w:rsid w:val="009E06D1"/>
    <w:rsid w:val="009E0F86"/>
    <w:rsid w:val="009E0FC4"/>
    <w:rsid w:val="009E163E"/>
    <w:rsid w:val="009E1994"/>
    <w:rsid w:val="009E1BAC"/>
    <w:rsid w:val="009E1DD7"/>
    <w:rsid w:val="009E2519"/>
    <w:rsid w:val="009E25B8"/>
    <w:rsid w:val="009E27BF"/>
    <w:rsid w:val="009E2B2E"/>
    <w:rsid w:val="009E2B3A"/>
    <w:rsid w:val="009E2E91"/>
    <w:rsid w:val="009E4CD5"/>
    <w:rsid w:val="009E4F4D"/>
    <w:rsid w:val="009E563F"/>
    <w:rsid w:val="009E58D3"/>
    <w:rsid w:val="009E6BDE"/>
    <w:rsid w:val="009E71FD"/>
    <w:rsid w:val="009E7961"/>
    <w:rsid w:val="009F32BE"/>
    <w:rsid w:val="009F3EF0"/>
    <w:rsid w:val="009F44A3"/>
    <w:rsid w:val="009F4CBE"/>
    <w:rsid w:val="009F5FCE"/>
    <w:rsid w:val="009F683E"/>
    <w:rsid w:val="009F6AFD"/>
    <w:rsid w:val="009F7678"/>
    <w:rsid w:val="009F7D1D"/>
    <w:rsid w:val="00A01B59"/>
    <w:rsid w:val="00A01E6A"/>
    <w:rsid w:val="00A02191"/>
    <w:rsid w:val="00A02583"/>
    <w:rsid w:val="00A02A49"/>
    <w:rsid w:val="00A04266"/>
    <w:rsid w:val="00A05126"/>
    <w:rsid w:val="00A05BF7"/>
    <w:rsid w:val="00A05FC3"/>
    <w:rsid w:val="00A0656F"/>
    <w:rsid w:val="00A10C10"/>
    <w:rsid w:val="00A10CE2"/>
    <w:rsid w:val="00A10D64"/>
    <w:rsid w:val="00A110B5"/>
    <w:rsid w:val="00A113AD"/>
    <w:rsid w:val="00A12370"/>
    <w:rsid w:val="00A12602"/>
    <w:rsid w:val="00A12A10"/>
    <w:rsid w:val="00A139F5"/>
    <w:rsid w:val="00A141EF"/>
    <w:rsid w:val="00A159B9"/>
    <w:rsid w:val="00A15E73"/>
    <w:rsid w:val="00A16CB0"/>
    <w:rsid w:val="00A170E2"/>
    <w:rsid w:val="00A17A60"/>
    <w:rsid w:val="00A17F4D"/>
    <w:rsid w:val="00A2001D"/>
    <w:rsid w:val="00A205E4"/>
    <w:rsid w:val="00A20B8D"/>
    <w:rsid w:val="00A20D78"/>
    <w:rsid w:val="00A23461"/>
    <w:rsid w:val="00A23C79"/>
    <w:rsid w:val="00A23D2D"/>
    <w:rsid w:val="00A241F9"/>
    <w:rsid w:val="00A25465"/>
    <w:rsid w:val="00A25959"/>
    <w:rsid w:val="00A260F7"/>
    <w:rsid w:val="00A27B94"/>
    <w:rsid w:val="00A30007"/>
    <w:rsid w:val="00A30FA0"/>
    <w:rsid w:val="00A31177"/>
    <w:rsid w:val="00A33647"/>
    <w:rsid w:val="00A34D7D"/>
    <w:rsid w:val="00A35273"/>
    <w:rsid w:val="00A35D75"/>
    <w:rsid w:val="00A3646E"/>
    <w:rsid w:val="00A365F4"/>
    <w:rsid w:val="00A40483"/>
    <w:rsid w:val="00A404D6"/>
    <w:rsid w:val="00A421C4"/>
    <w:rsid w:val="00A424C0"/>
    <w:rsid w:val="00A4292E"/>
    <w:rsid w:val="00A4294A"/>
    <w:rsid w:val="00A440C8"/>
    <w:rsid w:val="00A448F4"/>
    <w:rsid w:val="00A4689F"/>
    <w:rsid w:val="00A47105"/>
    <w:rsid w:val="00A47D80"/>
    <w:rsid w:val="00A5076E"/>
    <w:rsid w:val="00A51C40"/>
    <w:rsid w:val="00A52749"/>
    <w:rsid w:val="00A53132"/>
    <w:rsid w:val="00A5368C"/>
    <w:rsid w:val="00A53E73"/>
    <w:rsid w:val="00A54170"/>
    <w:rsid w:val="00A55752"/>
    <w:rsid w:val="00A563F2"/>
    <w:rsid w:val="00A56629"/>
    <w:rsid w:val="00A566E8"/>
    <w:rsid w:val="00A575F9"/>
    <w:rsid w:val="00A57C17"/>
    <w:rsid w:val="00A6078E"/>
    <w:rsid w:val="00A6135D"/>
    <w:rsid w:val="00A6431C"/>
    <w:rsid w:val="00A6492B"/>
    <w:rsid w:val="00A65131"/>
    <w:rsid w:val="00A6638F"/>
    <w:rsid w:val="00A67D38"/>
    <w:rsid w:val="00A70BAF"/>
    <w:rsid w:val="00A70FEA"/>
    <w:rsid w:val="00A712A8"/>
    <w:rsid w:val="00A726F7"/>
    <w:rsid w:val="00A732C4"/>
    <w:rsid w:val="00A74244"/>
    <w:rsid w:val="00A74B8E"/>
    <w:rsid w:val="00A754D5"/>
    <w:rsid w:val="00A76E58"/>
    <w:rsid w:val="00A770E2"/>
    <w:rsid w:val="00A77875"/>
    <w:rsid w:val="00A810F9"/>
    <w:rsid w:val="00A81887"/>
    <w:rsid w:val="00A81E72"/>
    <w:rsid w:val="00A83197"/>
    <w:rsid w:val="00A8340F"/>
    <w:rsid w:val="00A83D72"/>
    <w:rsid w:val="00A8587A"/>
    <w:rsid w:val="00A86ECC"/>
    <w:rsid w:val="00A86FCC"/>
    <w:rsid w:val="00A87375"/>
    <w:rsid w:val="00A90433"/>
    <w:rsid w:val="00A912DF"/>
    <w:rsid w:val="00A91596"/>
    <w:rsid w:val="00A915F0"/>
    <w:rsid w:val="00A920A9"/>
    <w:rsid w:val="00A927D5"/>
    <w:rsid w:val="00A92D29"/>
    <w:rsid w:val="00A93631"/>
    <w:rsid w:val="00A93B4F"/>
    <w:rsid w:val="00A93E50"/>
    <w:rsid w:val="00A9412D"/>
    <w:rsid w:val="00A94F99"/>
    <w:rsid w:val="00A951C2"/>
    <w:rsid w:val="00A95309"/>
    <w:rsid w:val="00A96DD8"/>
    <w:rsid w:val="00A96E1C"/>
    <w:rsid w:val="00A97055"/>
    <w:rsid w:val="00A975DF"/>
    <w:rsid w:val="00AA0129"/>
    <w:rsid w:val="00AA2772"/>
    <w:rsid w:val="00AA2AF8"/>
    <w:rsid w:val="00AA377B"/>
    <w:rsid w:val="00AA3E70"/>
    <w:rsid w:val="00AA456E"/>
    <w:rsid w:val="00AA53AD"/>
    <w:rsid w:val="00AA5EEE"/>
    <w:rsid w:val="00AA64B3"/>
    <w:rsid w:val="00AA710D"/>
    <w:rsid w:val="00AA7783"/>
    <w:rsid w:val="00AB04BB"/>
    <w:rsid w:val="00AB07E3"/>
    <w:rsid w:val="00AB1505"/>
    <w:rsid w:val="00AB2B16"/>
    <w:rsid w:val="00AB4853"/>
    <w:rsid w:val="00AB48BB"/>
    <w:rsid w:val="00AB49A9"/>
    <w:rsid w:val="00AB4EBB"/>
    <w:rsid w:val="00AB4F56"/>
    <w:rsid w:val="00AB4FDA"/>
    <w:rsid w:val="00AB54E6"/>
    <w:rsid w:val="00AB5ED0"/>
    <w:rsid w:val="00AB68B4"/>
    <w:rsid w:val="00AB6D25"/>
    <w:rsid w:val="00AB722E"/>
    <w:rsid w:val="00AB74BF"/>
    <w:rsid w:val="00AB7780"/>
    <w:rsid w:val="00AB783C"/>
    <w:rsid w:val="00AC125C"/>
    <w:rsid w:val="00AC14FD"/>
    <w:rsid w:val="00AC1DB6"/>
    <w:rsid w:val="00AC327F"/>
    <w:rsid w:val="00AC481E"/>
    <w:rsid w:val="00AC4E61"/>
    <w:rsid w:val="00AC6241"/>
    <w:rsid w:val="00AC6394"/>
    <w:rsid w:val="00AC6D4B"/>
    <w:rsid w:val="00AC7E2B"/>
    <w:rsid w:val="00AD0AD8"/>
    <w:rsid w:val="00AD0D85"/>
    <w:rsid w:val="00AD13B6"/>
    <w:rsid w:val="00AD1A8C"/>
    <w:rsid w:val="00AD2130"/>
    <w:rsid w:val="00AD2713"/>
    <w:rsid w:val="00AD3970"/>
    <w:rsid w:val="00AD526F"/>
    <w:rsid w:val="00AD5E78"/>
    <w:rsid w:val="00AD6AB1"/>
    <w:rsid w:val="00AD7788"/>
    <w:rsid w:val="00AD7EA5"/>
    <w:rsid w:val="00AD7F87"/>
    <w:rsid w:val="00AE0482"/>
    <w:rsid w:val="00AE1025"/>
    <w:rsid w:val="00AE120B"/>
    <w:rsid w:val="00AE1959"/>
    <w:rsid w:val="00AE1E29"/>
    <w:rsid w:val="00AE2D4B"/>
    <w:rsid w:val="00AE325A"/>
    <w:rsid w:val="00AE3C4E"/>
    <w:rsid w:val="00AE41AA"/>
    <w:rsid w:val="00AE43FF"/>
    <w:rsid w:val="00AE4DAE"/>
    <w:rsid w:val="00AE4F99"/>
    <w:rsid w:val="00AE6A3C"/>
    <w:rsid w:val="00AE739C"/>
    <w:rsid w:val="00AE765A"/>
    <w:rsid w:val="00AF1062"/>
    <w:rsid w:val="00AF17C8"/>
    <w:rsid w:val="00AF31D5"/>
    <w:rsid w:val="00AF331D"/>
    <w:rsid w:val="00AF45DC"/>
    <w:rsid w:val="00AF7099"/>
    <w:rsid w:val="00B009DC"/>
    <w:rsid w:val="00B00A0F"/>
    <w:rsid w:val="00B00AB8"/>
    <w:rsid w:val="00B0129F"/>
    <w:rsid w:val="00B025C7"/>
    <w:rsid w:val="00B0270F"/>
    <w:rsid w:val="00B02982"/>
    <w:rsid w:val="00B0383A"/>
    <w:rsid w:val="00B0401A"/>
    <w:rsid w:val="00B06255"/>
    <w:rsid w:val="00B0752C"/>
    <w:rsid w:val="00B079FE"/>
    <w:rsid w:val="00B10FAA"/>
    <w:rsid w:val="00B110D1"/>
    <w:rsid w:val="00B11310"/>
    <w:rsid w:val="00B11B36"/>
    <w:rsid w:val="00B146F1"/>
    <w:rsid w:val="00B14952"/>
    <w:rsid w:val="00B14AEC"/>
    <w:rsid w:val="00B14F41"/>
    <w:rsid w:val="00B16590"/>
    <w:rsid w:val="00B17A7E"/>
    <w:rsid w:val="00B20266"/>
    <w:rsid w:val="00B21110"/>
    <w:rsid w:val="00B211BD"/>
    <w:rsid w:val="00B2132E"/>
    <w:rsid w:val="00B21598"/>
    <w:rsid w:val="00B215B7"/>
    <w:rsid w:val="00B21D49"/>
    <w:rsid w:val="00B21EF4"/>
    <w:rsid w:val="00B21F94"/>
    <w:rsid w:val="00B220D7"/>
    <w:rsid w:val="00B22813"/>
    <w:rsid w:val="00B22A94"/>
    <w:rsid w:val="00B22DB1"/>
    <w:rsid w:val="00B237C7"/>
    <w:rsid w:val="00B24500"/>
    <w:rsid w:val="00B2475F"/>
    <w:rsid w:val="00B24778"/>
    <w:rsid w:val="00B248FB"/>
    <w:rsid w:val="00B24B48"/>
    <w:rsid w:val="00B253D4"/>
    <w:rsid w:val="00B26543"/>
    <w:rsid w:val="00B26FC1"/>
    <w:rsid w:val="00B272A5"/>
    <w:rsid w:val="00B277E4"/>
    <w:rsid w:val="00B27B6E"/>
    <w:rsid w:val="00B308E5"/>
    <w:rsid w:val="00B30999"/>
    <w:rsid w:val="00B31E5A"/>
    <w:rsid w:val="00B32B6C"/>
    <w:rsid w:val="00B32C73"/>
    <w:rsid w:val="00B32DF4"/>
    <w:rsid w:val="00B33D25"/>
    <w:rsid w:val="00B33E36"/>
    <w:rsid w:val="00B35557"/>
    <w:rsid w:val="00B3558D"/>
    <w:rsid w:val="00B35B1B"/>
    <w:rsid w:val="00B35FFB"/>
    <w:rsid w:val="00B364FE"/>
    <w:rsid w:val="00B3697B"/>
    <w:rsid w:val="00B40444"/>
    <w:rsid w:val="00B404E7"/>
    <w:rsid w:val="00B41DE5"/>
    <w:rsid w:val="00B4203E"/>
    <w:rsid w:val="00B426F3"/>
    <w:rsid w:val="00B428BF"/>
    <w:rsid w:val="00B42932"/>
    <w:rsid w:val="00B429A1"/>
    <w:rsid w:val="00B43078"/>
    <w:rsid w:val="00B44A50"/>
    <w:rsid w:val="00B44FF0"/>
    <w:rsid w:val="00B4544F"/>
    <w:rsid w:val="00B455E4"/>
    <w:rsid w:val="00B45ECA"/>
    <w:rsid w:val="00B46B29"/>
    <w:rsid w:val="00B46EEA"/>
    <w:rsid w:val="00B47EBC"/>
    <w:rsid w:val="00B50F5C"/>
    <w:rsid w:val="00B520C3"/>
    <w:rsid w:val="00B52643"/>
    <w:rsid w:val="00B528D6"/>
    <w:rsid w:val="00B52EBB"/>
    <w:rsid w:val="00B53739"/>
    <w:rsid w:val="00B54CB2"/>
    <w:rsid w:val="00B54F03"/>
    <w:rsid w:val="00B55198"/>
    <w:rsid w:val="00B55236"/>
    <w:rsid w:val="00B557B2"/>
    <w:rsid w:val="00B5761B"/>
    <w:rsid w:val="00B60641"/>
    <w:rsid w:val="00B606FD"/>
    <w:rsid w:val="00B60A14"/>
    <w:rsid w:val="00B6129D"/>
    <w:rsid w:val="00B613E7"/>
    <w:rsid w:val="00B61989"/>
    <w:rsid w:val="00B620B6"/>
    <w:rsid w:val="00B624F6"/>
    <w:rsid w:val="00B62D35"/>
    <w:rsid w:val="00B62EF4"/>
    <w:rsid w:val="00B63A9D"/>
    <w:rsid w:val="00B642C0"/>
    <w:rsid w:val="00B653AB"/>
    <w:rsid w:val="00B65A33"/>
    <w:rsid w:val="00B65F9E"/>
    <w:rsid w:val="00B66B19"/>
    <w:rsid w:val="00B66EEC"/>
    <w:rsid w:val="00B670D5"/>
    <w:rsid w:val="00B673B3"/>
    <w:rsid w:val="00B679E3"/>
    <w:rsid w:val="00B70819"/>
    <w:rsid w:val="00B726E2"/>
    <w:rsid w:val="00B72CD8"/>
    <w:rsid w:val="00B74060"/>
    <w:rsid w:val="00B7710D"/>
    <w:rsid w:val="00B77B53"/>
    <w:rsid w:val="00B81F8E"/>
    <w:rsid w:val="00B82259"/>
    <w:rsid w:val="00B822E4"/>
    <w:rsid w:val="00B8250E"/>
    <w:rsid w:val="00B828B9"/>
    <w:rsid w:val="00B82AF2"/>
    <w:rsid w:val="00B83442"/>
    <w:rsid w:val="00B83D3F"/>
    <w:rsid w:val="00B853C9"/>
    <w:rsid w:val="00B8543C"/>
    <w:rsid w:val="00B87204"/>
    <w:rsid w:val="00B914E9"/>
    <w:rsid w:val="00B92A68"/>
    <w:rsid w:val="00B931DB"/>
    <w:rsid w:val="00B940F1"/>
    <w:rsid w:val="00B9459A"/>
    <w:rsid w:val="00B94AB3"/>
    <w:rsid w:val="00B94DF6"/>
    <w:rsid w:val="00B94F0D"/>
    <w:rsid w:val="00B94FC5"/>
    <w:rsid w:val="00B956EE"/>
    <w:rsid w:val="00B96338"/>
    <w:rsid w:val="00B9706A"/>
    <w:rsid w:val="00B97C47"/>
    <w:rsid w:val="00BA0704"/>
    <w:rsid w:val="00BA0789"/>
    <w:rsid w:val="00BA2BA1"/>
    <w:rsid w:val="00BA3921"/>
    <w:rsid w:val="00BA4645"/>
    <w:rsid w:val="00BA4C2F"/>
    <w:rsid w:val="00BA5AD7"/>
    <w:rsid w:val="00BA5D36"/>
    <w:rsid w:val="00BA5E0E"/>
    <w:rsid w:val="00BA6198"/>
    <w:rsid w:val="00BA6A71"/>
    <w:rsid w:val="00BA6EFE"/>
    <w:rsid w:val="00BA77F5"/>
    <w:rsid w:val="00BA7C85"/>
    <w:rsid w:val="00BB1107"/>
    <w:rsid w:val="00BB1761"/>
    <w:rsid w:val="00BB1959"/>
    <w:rsid w:val="00BB1C19"/>
    <w:rsid w:val="00BB36B7"/>
    <w:rsid w:val="00BB36F6"/>
    <w:rsid w:val="00BB3C3E"/>
    <w:rsid w:val="00BB4D93"/>
    <w:rsid w:val="00BB4E2A"/>
    <w:rsid w:val="00BB4F09"/>
    <w:rsid w:val="00BB5355"/>
    <w:rsid w:val="00BB614A"/>
    <w:rsid w:val="00BB6316"/>
    <w:rsid w:val="00BB6532"/>
    <w:rsid w:val="00BB7F16"/>
    <w:rsid w:val="00BC05F9"/>
    <w:rsid w:val="00BC0EAA"/>
    <w:rsid w:val="00BC2085"/>
    <w:rsid w:val="00BC24B0"/>
    <w:rsid w:val="00BC2E9F"/>
    <w:rsid w:val="00BC3087"/>
    <w:rsid w:val="00BC39F5"/>
    <w:rsid w:val="00BC46D9"/>
    <w:rsid w:val="00BC4A37"/>
    <w:rsid w:val="00BC4D09"/>
    <w:rsid w:val="00BC7665"/>
    <w:rsid w:val="00BD06F4"/>
    <w:rsid w:val="00BD0892"/>
    <w:rsid w:val="00BD159E"/>
    <w:rsid w:val="00BD279E"/>
    <w:rsid w:val="00BD3035"/>
    <w:rsid w:val="00BD3531"/>
    <w:rsid w:val="00BD3F4A"/>
    <w:rsid w:val="00BD4544"/>
    <w:rsid w:val="00BD4E33"/>
    <w:rsid w:val="00BD574D"/>
    <w:rsid w:val="00BD6675"/>
    <w:rsid w:val="00BD6FBC"/>
    <w:rsid w:val="00BD7091"/>
    <w:rsid w:val="00BD7F83"/>
    <w:rsid w:val="00BE040E"/>
    <w:rsid w:val="00BE0B2B"/>
    <w:rsid w:val="00BE29D1"/>
    <w:rsid w:val="00BE4450"/>
    <w:rsid w:val="00BE50DB"/>
    <w:rsid w:val="00BE5637"/>
    <w:rsid w:val="00BE59C4"/>
    <w:rsid w:val="00BE6ADD"/>
    <w:rsid w:val="00BE6BA1"/>
    <w:rsid w:val="00BE75E6"/>
    <w:rsid w:val="00BE7FEB"/>
    <w:rsid w:val="00BF0F65"/>
    <w:rsid w:val="00BF0F7D"/>
    <w:rsid w:val="00BF1790"/>
    <w:rsid w:val="00BF3857"/>
    <w:rsid w:val="00BF3B03"/>
    <w:rsid w:val="00BF4223"/>
    <w:rsid w:val="00BF6117"/>
    <w:rsid w:val="00BF7F96"/>
    <w:rsid w:val="00C01C26"/>
    <w:rsid w:val="00C02BBF"/>
    <w:rsid w:val="00C030DE"/>
    <w:rsid w:val="00C03350"/>
    <w:rsid w:val="00C040A1"/>
    <w:rsid w:val="00C04D8E"/>
    <w:rsid w:val="00C06264"/>
    <w:rsid w:val="00C06888"/>
    <w:rsid w:val="00C06964"/>
    <w:rsid w:val="00C10905"/>
    <w:rsid w:val="00C10A7C"/>
    <w:rsid w:val="00C10B8C"/>
    <w:rsid w:val="00C10FD8"/>
    <w:rsid w:val="00C113E7"/>
    <w:rsid w:val="00C12B8A"/>
    <w:rsid w:val="00C13368"/>
    <w:rsid w:val="00C13661"/>
    <w:rsid w:val="00C13DEC"/>
    <w:rsid w:val="00C14FE8"/>
    <w:rsid w:val="00C152D9"/>
    <w:rsid w:val="00C15C7B"/>
    <w:rsid w:val="00C16BEC"/>
    <w:rsid w:val="00C16D9C"/>
    <w:rsid w:val="00C17A0A"/>
    <w:rsid w:val="00C20984"/>
    <w:rsid w:val="00C220E9"/>
    <w:rsid w:val="00C22105"/>
    <w:rsid w:val="00C222EC"/>
    <w:rsid w:val="00C2340C"/>
    <w:rsid w:val="00C23714"/>
    <w:rsid w:val="00C23BC6"/>
    <w:rsid w:val="00C244B6"/>
    <w:rsid w:val="00C24560"/>
    <w:rsid w:val="00C248FC"/>
    <w:rsid w:val="00C25C72"/>
    <w:rsid w:val="00C30293"/>
    <w:rsid w:val="00C30376"/>
    <w:rsid w:val="00C30674"/>
    <w:rsid w:val="00C309D7"/>
    <w:rsid w:val="00C31D78"/>
    <w:rsid w:val="00C320D4"/>
    <w:rsid w:val="00C326AE"/>
    <w:rsid w:val="00C32BDA"/>
    <w:rsid w:val="00C32E47"/>
    <w:rsid w:val="00C33D2C"/>
    <w:rsid w:val="00C33EB3"/>
    <w:rsid w:val="00C34032"/>
    <w:rsid w:val="00C34A7A"/>
    <w:rsid w:val="00C35E76"/>
    <w:rsid w:val="00C3600C"/>
    <w:rsid w:val="00C360ED"/>
    <w:rsid w:val="00C3702F"/>
    <w:rsid w:val="00C37298"/>
    <w:rsid w:val="00C402CC"/>
    <w:rsid w:val="00C40887"/>
    <w:rsid w:val="00C41AD0"/>
    <w:rsid w:val="00C41CFD"/>
    <w:rsid w:val="00C420F4"/>
    <w:rsid w:val="00C43AC8"/>
    <w:rsid w:val="00C44667"/>
    <w:rsid w:val="00C44A96"/>
    <w:rsid w:val="00C44CC4"/>
    <w:rsid w:val="00C45424"/>
    <w:rsid w:val="00C46F2A"/>
    <w:rsid w:val="00C471BE"/>
    <w:rsid w:val="00C529A1"/>
    <w:rsid w:val="00C52B58"/>
    <w:rsid w:val="00C52E37"/>
    <w:rsid w:val="00C54611"/>
    <w:rsid w:val="00C54CE9"/>
    <w:rsid w:val="00C54D8B"/>
    <w:rsid w:val="00C5586D"/>
    <w:rsid w:val="00C558CC"/>
    <w:rsid w:val="00C56302"/>
    <w:rsid w:val="00C56AFE"/>
    <w:rsid w:val="00C57929"/>
    <w:rsid w:val="00C60C49"/>
    <w:rsid w:val="00C6119F"/>
    <w:rsid w:val="00C617CE"/>
    <w:rsid w:val="00C6252C"/>
    <w:rsid w:val="00C62875"/>
    <w:rsid w:val="00C628AD"/>
    <w:rsid w:val="00C640EA"/>
    <w:rsid w:val="00C64A37"/>
    <w:rsid w:val="00C64AE8"/>
    <w:rsid w:val="00C6514D"/>
    <w:rsid w:val="00C65271"/>
    <w:rsid w:val="00C65353"/>
    <w:rsid w:val="00C65BFC"/>
    <w:rsid w:val="00C65EF0"/>
    <w:rsid w:val="00C66321"/>
    <w:rsid w:val="00C675B9"/>
    <w:rsid w:val="00C67980"/>
    <w:rsid w:val="00C70316"/>
    <w:rsid w:val="00C70E5C"/>
    <w:rsid w:val="00C7158E"/>
    <w:rsid w:val="00C72001"/>
    <w:rsid w:val="00C723F9"/>
    <w:rsid w:val="00C7250B"/>
    <w:rsid w:val="00C7346B"/>
    <w:rsid w:val="00C73F2A"/>
    <w:rsid w:val="00C74B0A"/>
    <w:rsid w:val="00C75ED0"/>
    <w:rsid w:val="00C76403"/>
    <w:rsid w:val="00C76726"/>
    <w:rsid w:val="00C77C0E"/>
    <w:rsid w:val="00C77E9D"/>
    <w:rsid w:val="00C80317"/>
    <w:rsid w:val="00C80B0D"/>
    <w:rsid w:val="00C8131A"/>
    <w:rsid w:val="00C824D7"/>
    <w:rsid w:val="00C82921"/>
    <w:rsid w:val="00C83267"/>
    <w:rsid w:val="00C83B94"/>
    <w:rsid w:val="00C84A56"/>
    <w:rsid w:val="00C85B6F"/>
    <w:rsid w:val="00C85EAB"/>
    <w:rsid w:val="00C861AE"/>
    <w:rsid w:val="00C86A5E"/>
    <w:rsid w:val="00C86AE4"/>
    <w:rsid w:val="00C87DFE"/>
    <w:rsid w:val="00C90426"/>
    <w:rsid w:val="00C91687"/>
    <w:rsid w:val="00C91D54"/>
    <w:rsid w:val="00C9239F"/>
    <w:rsid w:val="00C924A8"/>
    <w:rsid w:val="00C93522"/>
    <w:rsid w:val="00C93F6B"/>
    <w:rsid w:val="00C945FE"/>
    <w:rsid w:val="00C9476F"/>
    <w:rsid w:val="00C94F6A"/>
    <w:rsid w:val="00C95460"/>
    <w:rsid w:val="00C95866"/>
    <w:rsid w:val="00C95A32"/>
    <w:rsid w:val="00C965AA"/>
    <w:rsid w:val="00C96925"/>
    <w:rsid w:val="00C96FAA"/>
    <w:rsid w:val="00C97A04"/>
    <w:rsid w:val="00C97DCD"/>
    <w:rsid w:val="00CA01DC"/>
    <w:rsid w:val="00CA107B"/>
    <w:rsid w:val="00CA404E"/>
    <w:rsid w:val="00CA484D"/>
    <w:rsid w:val="00CA4BBD"/>
    <w:rsid w:val="00CA5F6C"/>
    <w:rsid w:val="00CA616F"/>
    <w:rsid w:val="00CA7304"/>
    <w:rsid w:val="00CA741B"/>
    <w:rsid w:val="00CA745A"/>
    <w:rsid w:val="00CB0714"/>
    <w:rsid w:val="00CB08B8"/>
    <w:rsid w:val="00CB2699"/>
    <w:rsid w:val="00CB2C49"/>
    <w:rsid w:val="00CB2D6C"/>
    <w:rsid w:val="00CB3513"/>
    <w:rsid w:val="00CB4AC5"/>
    <w:rsid w:val="00CB4F71"/>
    <w:rsid w:val="00CB61A1"/>
    <w:rsid w:val="00CB63BD"/>
    <w:rsid w:val="00CB704F"/>
    <w:rsid w:val="00CB7B41"/>
    <w:rsid w:val="00CC0564"/>
    <w:rsid w:val="00CC08B5"/>
    <w:rsid w:val="00CC1581"/>
    <w:rsid w:val="00CC1974"/>
    <w:rsid w:val="00CC1D3E"/>
    <w:rsid w:val="00CC2931"/>
    <w:rsid w:val="00CC4C5E"/>
    <w:rsid w:val="00CC5BB7"/>
    <w:rsid w:val="00CC639D"/>
    <w:rsid w:val="00CC64EA"/>
    <w:rsid w:val="00CC65EE"/>
    <w:rsid w:val="00CC739E"/>
    <w:rsid w:val="00CC783B"/>
    <w:rsid w:val="00CC7C84"/>
    <w:rsid w:val="00CD1400"/>
    <w:rsid w:val="00CD14EB"/>
    <w:rsid w:val="00CD34FC"/>
    <w:rsid w:val="00CD35C6"/>
    <w:rsid w:val="00CD3F99"/>
    <w:rsid w:val="00CD4ABD"/>
    <w:rsid w:val="00CD4FF4"/>
    <w:rsid w:val="00CD58B7"/>
    <w:rsid w:val="00CD5DF5"/>
    <w:rsid w:val="00CD6191"/>
    <w:rsid w:val="00CD6E74"/>
    <w:rsid w:val="00CD7EE0"/>
    <w:rsid w:val="00CE006F"/>
    <w:rsid w:val="00CE0A13"/>
    <w:rsid w:val="00CE0BA0"/>
    <w:rsid w:val="00CE11BF"/>
    <w:rsid w:val="00CE189C"/>
    <w:rsid w:val="00CE3921"/>
    <w:rsid w:val="00CE4DFB"/>
    <w:rsid w:val="00CE6C8A"/>
    <w:rsid w:val="00CE76F3"/>
    <w:rsid w:val="00CF0720"/>
    <w:rsid w:val="00CF13F0"/>
    <w:rsid w:val="00CF1A07"/>
    <w:rsid w:val="00CF2276"/>
    <w:rsid w:val="00CF23AC"/>
    <w:rsid w:val="00CF2604"/>
    <w:rsid w:val="00CF329F"/>
    <w:rsid w:val="00CF3324"/>
    <w:rsid w:val="00CF4099"/>
    <w:rsid w:val="00CF537D"/>
    <w:rsid w:val="00CF57C1"/>
    <w:rsid w:val="00CF6E5A"/>
    <w:rsid w:val="00D00111"/>
    <w:rsid w:val="00D00796"/>
    <w:rsid w:val="00D011CF"/>
    <w:rsid w:val="00D014B2"/>
    <w:rsid w:val="00D01761"/>
    <w:rsid w:val="00D019C5"/>
    <w:rsid w:val="00D02312"/>
    <w:rsid w:val="00D04601"/>
    <w:rsid w:val="00D056E0"/>
    <w:rsid w:val="00D06AB4"/>
    <w:rsid w:val="00D07691"/>
    <w:rsid w:val="00D07759"/>
    <w:rsid w:val="00D077AF"/>
    <w:rsid w:val="00D07EAD"/>
    <w:rsid w:val="00D10C67"/>
    <w:rsid w:val="00D11F96"/>
    <w:rsid w:val="00D133C9"/>
    <w:rsid w:val="00D13D1B"/>
    <w:rsid w:val="00D144C1"/>
    <w:rsid w:val="00D14F03"/>
    <w:rsid w:val="00D15F74"/>
    <w:rsid w:val="00D17922"/>
    <w:rsid w:val="00D17A05"/>
    <w:rsid w:val="00D22395"/>
    <w:rsid w:val="00D22D40"/>
    <w:rsid w:val="00D238CA"/>
    <w:rsid w:val="00D23D30"/>
    <w:rsid w:val="00D2471D"/>
    <w:rsid w:val="00D261A2"/>
    <w:rsid w:val="00D266F7"/>
    <w:rsid w:val="00D26EA4"/>
    <w:rsid w:val="00D26EC7"/>
    <w:rsid w:val="00D27391"/>
    <w:rsid w:val="00D329C8"/>
    <w:rsid w:val="00D32FF5"/>
    <w:rsid w:val="00D33296"/>
    <w:rsid w:val="00D33581"/>
    <w:rsid w:val="00D35BD1"/>
    <w:rsid w:val="00D36B02"/>
    <w:rsid w:val="00D37055"/>
    <w:rsid w:val="00D370E5"/>
    <w:rsid w:val="00D37201"/>
    <w:rsid w:val="00D37BD4"/>
    <w:rsid w:val="00D37C9A"/>
    <w:rsid w:val="00D4072F"/>
    <w:rsid w:val="00D40E3F"/>
    <w:rsid w:val="00D41D1F"/>
    <w:rsid w:val="00D44C84"/>
    <w:rsid w:val="00D45D0F"/>
    <w:rsid w:val="00D547EC"/>
    <w:rsid w:val="00D54A68"/>
    <w:rsid w:val="00D551CF"/>
    <w:rsid w:val="00D558DE"/>
    <w:rsid w:val="00D56646"/>
    <w:rsid w:val="00D60062"/>
    <w:rsid w:val="00D6045E"/>
    <w:rsid w:val="00D60E99"/>
    <w:rsid w:val="00D6156E"/>
    <w:rsid w:val="00D616D2"/>
    <w:rsid w:val="00D61F56"/>
    <w:rsid w:val="00D62271"/>
    <w:rsid w:val="00D622BA"/>
    <w:rsid w:val="00D633E6"/>
    <w:rsid w:val="00D63B5F"/>
    <w:rsid w:val="00D63F1A"/>
    <w:rsid w:val="00D64CDC"/>
    <w:rsid w:val="00D64F68"/>
    <w:rsid w:val="00D6548F"/>
    <w:rsid w:val="00D66065"/>
    <w:rsid w:val="00D6618F"/>
    <w:rsid w:val="00D6756A"/>
    <w:rsid w:val="00D676C8"/>
    <w:rsid w:val="00D70EF7"/>
    <w:rsid w:val="00D7139F"/>
    <w:rsid w:val="00D7282D"/>
    <w:rsid w:val="00D7351C"/>
    <w:rsid w:val="00D7421B"/>
    <w:rsid w:val="00D7465D"/>
    <w:rsid w:val="00D74FCB"/>
    <w:rsid w:val="00D75053"/>
    <w:rsid w:val="00D753EF"/>
    <w:rsid w:val="00D76183"/>
    <w:rsid w:val="00D81D5D"/>
    <w:rsid w:val="00D820AC"/>
    <w:rsid w:val="00D823F9"/>
    <w:rsid w:val="00D830A3"/>
    <w:rsid w:val="00D83372"/>
    <w:rsid w:val="00D8397C"/>
    <w:rsid w:val="00D83C5E"/>
    <w:rsid w:val="00D840F8"/>
    <w:rsid w:val="00D8452D"/>
    <w:rsid w:val="00D84D4A"/>
    <w:rsid w:val="00D8675E"/>
    <w:rsid w:val="00D87388"/>
    <w:rsid w:val="00D9003D"/>
    <w:rsid w:val="00D91115"/>
    <w:rsid w:val="00D913A2"/>
    <w:rsid w:val="00D92567"/>
    <w:rsid w:val="00D9346B"/>
    <w:rsid w:val="00D93BAB"/>
    <w:rsid w:val="00D942F4"/>
    <w:rsid w:val="00D94EED"/>
    <w:rsid w:val="00D96026"/>
    <w:rsid w:val="00D96DB7"/>
    <w:rsid w:val="00D96E0B"/>
    <w:rsid w:val="00D9707F"/>
    <w:rsid w:val="00D975E7"/>
    <w:rsid w:val="00DA0526"/>
    <w:rsid w:val="00DA0916"/>
    <w:rsid w:val="00DA117E"/>
    <w:rsid w:val="00DA228E"/>
    <w:rsid w:val="00DA3D38"/>
    <w:rsid w:val="00DA5857"/>
    <w:rsid w:val="00DA59A3"/>
    <w:rsid w:val="00DA714E"/>
    <w:rsid w:val="00DA76B8"/>
    <w:rsid w:val="00DA7C1C"/>
    <w:rsid w:val="00DB062E"/>
    <w:rsid w:val="00DB0670"/>
    <w:rsid w:val="00DB0D85"/>
    <w:rsid w:val="00DB0E73"/>
    <w:rsid w:val="00DB147A"/>
    <w:rsid w:val="00DB17C1"/>
    <w:rsid w:val="00DB19CD"/>
    <w:rsid w:val="00DB1B7A"/>
    <w:rsid w:val="00DB1E6B"/>
    <w:rsid w:val="00DB1EC2"/>
    <w:rsid w:val="00DB2616"/>
    <w:rsid w:val="00DB301A"/>
    <w:rsid w:val="00DB3CD6"/>
    <w:rsid w:val="00DB4C63"/>
    <w:rsid w:val="00DB5662"/>
    <w:rsid w:val="00DB5D87"/>
    <w:rsid w:val="00DB62A0"/>
    <w:rsid w:val="00DB68E4"/>
    <w:rsid w:val="00DB69E0"/>
    <w:rsid w:val="00DB6CB9"/>
    <w:rsid w:val="00DB73A1"/>
    <w:rsid w:val="00DB7541"/>
    <w:rsid w:val="00DC05C9"/>
    <w:rsid w:val="00DC0A20"/>
    <w:rsid w:val="00DC0D7D"/>
    <w:rsid w:val="00DC1C05"/>
    <w:rsid w:val="00DC3B97"/>
    <w:rsid w:val="00DC4313"/>
    <w:rsid w:val="00DC4B31"/>
    <w:rsid w:val="00DC6708"/>
    <w:rsid w:val="00DC79BB"/>
    <w:rsid w:val="00DD04C6"/>
    <w:rsid w:val="00DD1554"/>
    <w:rsid w:val="00DD23D5"/>
    <w:rsid w:val="00DD2F10"/>
    <w:rsid w:val="00DD3042"/>
    <w:rsid w:val="00DD32E8"/>
    <w:rsid w:val="00DD3790"/>
    <w:rsid w:val="00DD3FE3"/>
    <w:rsid w:val="00DD4C5C"/>
    <w:rsid w:val="00DD501B"/>
    <w:rsid w:val="00DD5419"/>
    <w:rsid w:val="00DD5AF1"/>
    <w:rsid w:val="00DD6AFE"/>
    <w:rsid w:val="00DD6EAE"/>
    <w:rsid w:val="00DE12C8"/>
    <w:rsid w:val="00DE1F74"/>
    <w:rsid w:val="00DE3257"/>
    <w:rsid w:val="00DE341C"/>
    <w:rsid w:val="00DE3627"/>
    <w:rsid w:val="00DE378D"/>
    <w:rsid w:val="00DE4C1A"/>
    <w:rsid w:val="00DE63DA"/>
    <w:rsid w:val="00DE6981"/>
    <w:rsid w:val="00DE6B29"/>
    <w:rsid w:val="00DE6C51"/>
    <w:rsid w:val="00DE7595"/>
    <w:rsid w:val="00DE78D5"/>
    <w:rsid w:val="00DF0A85"/>
    <w:rsid w:val="00DF1059"/>
    <w:rsid w:val="00DF197B"/>
    <w:rsid w:val="00DF28B5"/>
    <w:rsid w:val="00DF2BB9"/>
    <w:rsid w:val="00DF4CA5"/>
    <w:rsid w:val="00DF6540"/>
    <w:rsid w:val="00DF66E3"/>
    <w:rsid w:val="00E01056"/>
    <w:rsid w:val="00E01436"/>
    <w:rsid w:val="00E0182B"/>
    <w:rsid w:val="00E01B6C"/>
    <w:rsid w:val="00E0258D"/>
    <w:rsid w:val="00E02783"/>
    <w:rsid w:val="00E0284E"/>
    <w:rsid w:val="00E028A4"/>
    <w:rsid w:val="00E03D9B"/>
    <w:rsid w:val="00E045BD"/>
    <w:rsid w:val="00E04A31"/>
    <w:rsid w:val="00E05566"/>
    <w:rsid w:val="00E063D0"/>
    <w:rsid w:val="00E077E8"/>
    <w:rsid w:val="00E10C64"/>
    <w:rsid w:val="00E11459"/>
    <w:rsid w:val="00E11741"/>
    <w:rsid w:val="00E12358"/>
    <w:rsid w:val="00E12D4A"/>
    <w:rsid w:val="00E13389"/>
    <w:rsid w:val="00E13803"/>
    <w:rsid w:val="00E17B77"/>
    <w:rsid w:val="00E17E90"/>
    <w:rsid w:val="00E17F01"/>
    <w:rsid w:val="00E17FA7"/>
    <w:rsid w:val="00E2089F"/>
    <w:rsid w:val="00E20CFB"/>
    <w:rsid w:val="00E21672"/>
    <w:rsid w:val="00E21A58"/>
    <w:rsid w:val="00E21F3E"/>
    <w:rsid w:val="00E22F70"/>
    <w:rsid w:val="00E23337"/>
    <w:rsid w:val="00E24DF3"/>
    <w:rsid w:val="00E24F2B"/>
    <w:rsid w:val="00E259EA"/>
    <w:rsid w:val="00E2769D"/>
    <w:rsid w:val="00E27892"/>
    <w:rsid w:val="00E27A62"/>
    <w:rsid w:val="00E27ADA"/>
    <w:rsid w:val="00E30909"/>
    <w:rsid w:val="00E31608"/>
    <w:rsid w:val="00E32061"/>
    <w:rsid w:val="00E32275"/>
    <w:rsid w:val="00E33260"/>
    <w:rsid w:val="00E33659"/>
    <w:rsid w:val="00E33756"/>
    <w:rsid w:val="00E34344"/>
    <w:rsid w:val="00E3654D"/>
    <w:rsid w:val="00E3693D"/>
    <w:rsid w:val="00E3757F"/>
    <w:rsid w:val="00E37B45"/>
    <w:rsid w:val="00E42FF9"/>
    <w:rsid w:val="00E4307F"/>
    <w:rsid w:val="00E44E30"/>
    <w:rsid w:val="00E46348"/>
    <w:rsid w:val="00E469F6"/>
    <w:rsid w:val="00E46C40"/>
    <w:rsid w:val="00E46DA6"/>
    <w:rsid w:val="00E4714C"/>
    <w:rsid w:val="00E474B4"/>
    <w:rsid w:val="00E47E50"/>
    <w:rsid w:val="00E50F0A"/>
    <w:rsid w:val="00E51428"/>
    <w:rsid w:val="00E51AEB"/>
    <w:rsid w:val="00E5213A"/>
    <w:rsid w:val="00E522A7"/>
    <w:rsid w:val="00E52D57"/>
    <w:rsid w:val="00E53D07"/>
    <w:rsid w:val="00E54452"/>
    <w:rsid w:val="00E55262"/>
    <w:rsid w:val="00E5558C"/>
    <w:rsid w:val="00E56822"/>
    <w:rsid w:val="00E56D6C"/>
    <w:rsid w:val="00E57BA7"/>
    <w:rsid w:val="00E57CE1"/>
    <w:rsid w:val="00E609D2"/>
    <w:rsid w:val="00E60DCC"/>
    <w:rsid w:val="00E60E3F"/>
    <w:rsid w:val="00E61083"/>
    <w:rsid w:val="00E61554"/>
    <w:rsid w:val="00E615AB"/>
    <w:rsid w:val="00E63142"/>
    <w:rsid w:val="00E6323D"/>
    <w:rsid w:val="00E635A3"/>
    <w:rsid w:val="00E63607"/>
    <w:rsid w:val="00E6490E"/>
    <w:rsid w:val="00E65E03"/>
    <w:rsid w:val="00E664C5"/>
    <w:rsid w:val="00E671A2"/>
    <w:rsid w:val="00E708C6"/>
    <w:rsid w:val="00E71259"/>
    <w:rsid w:val="00E716F2"/>
    <w:rsid w:val="00E719F2"/>
    <w:rsid w:val="00E728CE"/>
    <w:rsid w:val="00E72D32"/>
    <w:rsid w:val="00E743F8"/>
    <w:rsid w:val="00E7524C"/>
    <w:rsid w:val="00E758A4"/>
    <w:rsid w:val="00E76C5F"/>
    <w:rsid w:val="00E76D26"/>
    <w:rsid w:val="00E77402"/>
    <w:rsid w:val="00E77FDF"/>
    <w:rsid w:val="00E801D3"/>
    <w:rsid w:val="00E830DA"/>
    <w:rsid w:val="00E834A7"/>
    <w:rsid w:val="00E848ED"/>
    <w:rsid w:val="00E84AB0"/>
    <w:rsid w:val="00E84D6C"/>
    <w:rsid w:val="00E8570F"/>
    <w:rsid w:val="00E869ED"/>
    <w:rsid w:val="00E87D59"/>
    <w:rsid w:val="00E914CF"/>
    <w:rsid w:val="00E92A28"/>
    <w:rsid w:val="00E93B35"/>
    <w:rsid w:val="00E940B9"/>
    <w:rsid w:val="00E940D6"/>
    <w:rsid w:val="00E94221"/>
    <w:rsid w:val="00E945FB"/>
    <w:rsid w:val="00E94D01"/>
    <w:rsid w:val="00E95D8D"/>
    <w:rsid w:val="00E95F63"/>
    <w:rsid w:val="00E9657B"/>
    <w:rsid w:val="00E97157"/>
    <w:rsid w:val="00EA01D9"/>
    <w:rsid w:val="00EA0285"/>
    <w:rsid w:val="00EA0A2A"/>
    <w:rsid w:val="00EA136A"/>
    <w:rsid w:val="00EA150C"/>
    <w:rsid w:val="00EA1B8A"/>
    <w:rsid w:val="00EA291C"/>
    <w:rsid w:val="00EA30B6"/>
    <w:rsid w:val="00EA3A86"/>
    <w:rsid w:val="00EA3D1F"/>
    <w:rsid w:val="00EA435C"/>
    <w:rsid w:val="00EA4E24"/>
    <w:rsid w:val="00EA4F41"/>
    <w:rsid w:val="00EA5614"/>
    <w:rsid w:val="00EA67C1"/>
    <w:rsid w:val="00EA7401"/>
    <w:rsid w:val="00EA7600"/>
    <w:rsid w:val="00EB1390"/>
    <w:rsid w:val="00EB23D0"/>
    <w:rsid w:val="00EB2ADF"/>
    <w:rsid w:val="00EB2C71"/>
    <w:rsid w:val="00EB3351"/>
    <w:rsid w:val="00EB34DD"/>
    <w:rsid w:val="00EB3CA7"/>
    <w:rsid w:val="00EB4340"/>
    <w:rsid w:val="00EB52F8"/>
    <w:rsid w:val="00EB556D"/>
    <w:rsid w:val="00EB5A15"/>
    <w:rsid w:val="00EB5A7D"/>
    <w:rsid w:val="00EB5DD1"/>
    <w:rsid w:val="00EB6170"/>
    <w:rsid w:val="00EB6B99"/>
    <w:rsid w:val="00EC174A"/>
    <w:rsid w:val="00EC3B54"/>
    <w:rsid w:val="00EC3DD7"/>
    <w:rsid w:val="00EC42CC"/>
    <w:rsid w:val="00EC43EC"/>
    <w:rsid w:val="00EC5497"/>
    <w:rsid w:val="00EC54F6"/>
    <w:rsid w:val="00EC602C"/>
    <w:rsid w:val="00EC6258"/>
    <w:rsid w:val="00EC70DC"/>
    <w:rsid w:val="00EC7169"/>
    <w:rsid w:val="00EC7E10"/>
    <w:rsid w:val="00ED0667"/>
    <w:rsid w:val="00ED071B"/>
    <w:rsid w:val="00ED078A"/>
    <w:rsid w:val="00ED0CBE"/>
    <w:rsid w:val="00ED28C6"/>
    <w:rsid w:val="00ED2E7C"/>
    <w:rsid w:val="00ED2EE3"/>
    <w:rsid w:val="00ED2F28"/>
    <w:rsid w:val="00ED3F4B"/>
    <w:rsid w:val="00ED4EF4"/>
    <w:rsid w:val="00ED55C0"/>
    <w:rsid w:val="00ED5ADB"/>
    <w:rsid w:val="00ED677B"/>
    <w:rsid w:val="00ED682B"/>
    <w:rsid w:val="00ED7C15"/>
    <w:rsid w:val="00EE1911"/>
    <w:rsid w:val="00EE24B7"/>
    <w:rsid w:val="00EE260E"/>
    <w:rsid w:val="00EE316E"/>
    <w:rsid w:val="00EE41D5"/>
    <w:rsid w:val="00EE452C"/>
    <w:rsid w:val="00EE5618"/>
    <w:rsid w:val="00EE5895"/>
    <w:rsid w:val="00EE6097"/>
    <w:rsid w:val="00EE759F"/>
    <w:rsid w:val="00EE798F"/>
    <w:rsid w:val="00EE79E9"/>
    <w:rsid w:val="00EF232A"/>
    <w:rsid w:val="00EF3EBE"/>
    <w:rsid w:val="00EF450A"/>
    <w:rsid w:val="00EF4646"/>
    <w:rsid w:val="00EF6EE8"/>
    <w:rsid w:val="00EF6EF9"/>
    <w:rsid w:val="00F00DCA"/>
    <w:rsid w:val="00F01657"/>
    <w:rsid w:val="00F0245B"/>
    <w:rsid w:val="00F037A4"/>
    <w:rsid w:val="00F04EA0"/>
    <w:rsid w:val="00F06658"/>
    <w:rsid w:val="00F06903"/>
    <w:rsid w:val="00F0795C"/>
    <w:rsid w:val="00F10D6E"/>
    <w:rsid w:val="00F10FA3"/>
    <w:rsid w:val="00F11FC5"/>
    <w:rsid w:val="00F122B0"/>
    <w:rsid w:val="00F1270C"/>
    <w:rsid w:val="00F13E45"/>
    <w:rsid w:val="00F143CB"/>
    <w:rsid w:val="00F147B5"/>
    <w:rsid w:val="00F14BB2"/>
    <w:rsid w:val="00F159D2"/>
    <w:rsid w:val="00F15FFB"/>
    <w:rsid w:val="00F168CF"/>
    <w:rsid w:val="00F21039"/>
    <w:rsid w:val="00F226D3"/>
    <w:rsid w:val="00F238F6"/>
    <w:rsid w:val="00F24805"/>
    <w:rsid w:val="00F24930"/>
    <w:rsid w:val="00F25031"/>
    <w:rsid w:val="00F25056"/>
    <w:rsid w:val="00F25FF9"/>
    <w:rsid w:val="00F26E83"/>
    <w:rsid w:val="00F276E1"/>
    <w:rsid w:val="00F27C8F"/>
    <w:rsid w:val="00F314C8"/>
    <w:rsid w:val="00F32749"/>
    <w:rsid w:val="00F34034"/>
    <w:rsid w:val="00F34409"/>
    <w:rsid w:val="00F344F0"/>
    <w:rsid w:val="00F34622"/>
    <w:rsid w:val="00F35098"/>
    <w:rsid w:val="00F351DC"/>
    <w:rsid w:val="00F356EA"/>
    <w:rsid w:val="00F35787"/>
    <w:rsid w:val="00F35A17"/>
    <w:rsid w:val="00F36054"/>
    <w:rsid w:val="00F36299"/>
    <w:rsid w:val="00F37172"/>
    <w:rsid w:val="00F40D84"/>
    <w:rsid w:val="00F41BB8"/>
    <w:rsid w:val="00F428CD"/>
    <w:rsid w:val="00F43C38"/>
    <w:rsid w:val="00F43CF0"/>
    <w:rsid w:val="00F44125"/>
    <w:rsid w:val="00F4477E"/>
    <w:rsid w:val="00F449CB"/>
    <w:rsid w:val="00F44AD9"/>
    <w:rsid w:val="00F45385"/>
    <w:rsid w:val="00F45390"/>
    <w:rsid w:val="00F45CB7"/>
    <w:rsid w:val="00F46CE6"/>
    <w:rsid w:val="00F47D68"/>
    <w:rsid w:val="00F47EDC"/>
    <w:rsid w:val="00F500EC"/>
    <w:rsid w:val="00F50147"/>
    <w:rsid w:val="00F50F6C"/>
    <w:rsid w:val="00F51590"/>
    <w:rsid w:val="00F51BBE"/>
    <w:rsid w:val="00F52787"/>
    <w:rsid w:val="00F52B59"/>
    <w:rsid w:val="00F53FAC"/>
    <w:rsid w:val="00F5411E"/>
    <w:rsid w:val="00F54F86"/>
    <w:rsid w:val="00F554CC"/>
    <w:rsid w:val="00F55867"/>
    <w:rsid w:val="00F57337"/>
    <w:rsid w:val="00F57DFD"/>
    <w:rsid w:val="00F60649"/>
    <w:rsid w:val="00F60E0B"/>
    <w:rsid w:val="00F616A7"/>
    <w:rsid w:val="00F61CB0"/>
    <w:rsid w:val="00F61D45"/>
    <w:rsid w:val="00F627F9"/>
    <w:rsid w:val="00F62B41"/>
    <w:rsid w:val="00F62F63"/>
    <w:rsid w:val="00F63172"/>
    <w:rsid w:val="00F6426A"/>
    <w:rsid w:val="00F64BE2"/>
    <w:rsid w:val="00F65D05"/>
    <w:rsid w:val="00F66054"/>
    <w:rsid w:val="00F661FE"/>
    <w:rsid w:val="00F66AE9"/>
    <w:rsid w:val="00F6700A"/>
    <w:rsid w:val="00F67D8F"/>
    <w:rsid w:val="00F70002"/>
    <w:rsid w:val="00F70B57"/>
    <w:rsid w:val="00F716F7"/>
    <w:rsid w:val="00F718E5"/>
    <w:rsid w:val="00F73045"/>
    <w:rsid w:val="00F74B12"/>
    <w:rsid w:val="00F76328"/>
    <w:rsid w:val="00F76E0F"/>
    <w:rsid w:val="00F7729F"/>
    <w:rsid w:val="00F7798D"/>
    <w:rsid w:val="00F80098"/>
    <w:rsid w:val="00F802BE"/>
    <w:rsid w:val="00F805F6"/>
    <w:rsid w:val="00F819B9"/>
    <w:rsid w:val="00F820E7"/>
    <w:rsid w:val="00F82B61"/>
    <w:rsid w:val="00F83024"/>
    <w:rsid w:val="00F83FE9"/>
    <w:rsid w:val="00F84516"/>
    <w:rsid w:val="00F846F7"/>
    <w:rsid w:val="00F84AF6"/>
    <w:rsid w:val="00F86024"/>
    <w:rsid w:val="00F8609B"/>
    <w:rsid w:val="00F8611A"/>
    <w:rsid w:val="00F862A8"/>
    <w:rsid w:val="00F864E4"/>
    <w:rsid w:val="00F86730"/>
    <w:rsid w:val="00F8684E"/>
    <w:rsid w:val="00F90B95"/>
    <w:rsid w:val="00F90CF4"/>
    <w:rsid w:val="00F92A46"/>
    <w:rsid w:val="00F92B4E"/>
    <w:rsid w:val="00F93814"/>
    <w:rsid w:val="00F9464E"/>
    <w:rsid w:val="00F94F0B"/>
    <w:rsid w:val="00F9639C"/>
    <w:rsid w:val="00F97065"/>
    <w:rsid w:val="00F97D72"/>
    <w:rsid w:val="00FA0D92"/>
    <w:rsid w:val="00FA15EA"/>
    <w:rsid w:val="00FA2DC9"/>
    <w:rsid w:val="00FA33FD"/>
    <w:rsid w:val="00FA46A1"/>
    <w:rsid w:val="00FA5128"/>
    <w:rsid w:val="00FA6250"/>
    <w:rsid w:val="00FB00C6"/>
    <w:rsid w:val="00FB0C25"/>
    <w:rsid w:val="00FB1509"/>
    <w:rsid w:val="00FB173D"/>
    <w:rsid w:val="00FB19D6"/>
    <w:rsid w:val="00FB2D31"/>
    <w:rsid w:val="00FB378E"/>
    <w:rsid w:val="00FB3E1F"/>
    <w:rsid w:val="00FB42D4"/>
    <w:rsid w:val="00FB5747"/>
    <w:rsid w:val="00FB58D7"/>
    <w:rsid w:val="00FB5906"/>
    <w:rsid w:val="00FB762F"/>
    <w:rsid w:val="00FB7631"/>
    <w:rsid w:val="00FB7A35"/>
    <w:rsid w:val="00FC0C8C"/>
    <w:rsid w:val="00FC1C7B"/>
    <w:rsid w:val="00FC2AED"/>
    <w:rsid w:val="00FC2C72"/>
    <w:rsid w:val="00FC413C"/>
    <w:rsid w:val="00FC4452"/>
    <w:rsid w:val="00FC48E4"/>
    <w:rsid w:val="00FC5245"/>
    <w:rsid w:val="00FC52FD"/>
    <w:rsid w:val="00FC5B45"/>
    <w:rsid w:val="00FC5BA8"/>
    <w:rsid w:val="00FC616E"/>
    <w:rsid w:val="00FC7E94"/>
    <w:rsid w:val="00FD1B1C"/>
    <w:rsid w:val="00FD1E4F"/>
    <w:rsid w:val="00FD2F06"/>
    <w:rsid w:val="00FD3276"/>
    <w:rsid w:val="00FD351A"/>
    <w:rsid w:val="00FD56C5"/>
    <w:rsid w:val="00FD5902"/>
    <w:rsid w:val="00FD5ACE"/>
    <w:rsid w:val="00FD5EA7"/>
    <w:rsid w:val="00FD61E2"/>
    <w:rsid w:val="00FD69A3"/>
    <w:rsid w:val="00FD79B8"/>
    <w:rsid w:val="00FE0341"/>
    <w:rsid w:val="00FE079C"/>
    <w:rsid w:val="00FE0872"/>
    <w:rsid w:val="00FE278A"/>
    <w:rsid w:val="00FE3804"/>
    <w:rsid w:val="00FE401F"/>
    <w:rsid w:val="00FE4355"/>
    <w:rsid w:val="00FE4E9E"/>
    <w:rsid w:val="00FE728C"/>
    <w:rsid w:val="00FE732A"/>
    <w:rsid w:val="00FE7991"/>
    <w:rsid w:val="00FF06E6"/>
    <w:rsid w:val="00FF27EA"/>
    <w:rsid w:val="00FF31D1"/>
    <w:rsid w:val="00FF361C"/>
    <w:rsid w:val="00FF4B5A"/>
    <w:rsid w:val="00FF502B"/>
    <w:rsid w:val="00FF5056"/>
    <w:rsid w:val="00FF562A"/>
    <w:rsid w:val="00FF577E"/>
    <w:rsid w:val="00FF5802"/>
    <w:rsid w:val="00FF5B2E"/>
    <w:rsid w:val="00FF763A"/>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none [1300]" stroke="f">
      <v:fill color="none [1300]"/>
      <v:stroke on="f"/>
    </o:shapedefaults>
    <o:shapelayout v:ext="edit">
      <o:idmap v:ext="edit" data="1"/>
    </o:shapelayout>
  </w:shapeDefaults>
  <w:decimalSymbol w:val=","/>
  <w:listSeparator w:val=";"/>
  <w14:docId w14:val="302AEF6B"/>
  <w15:docId w15:val="{0A35BE32-154E-412C-A347-711DCE85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rzypisukocowego">
    <w:name w:val="endnote text"/>
    <w:basedOn w:val="Normalny"/>
    <w:link w:val="TekstprzypisukocowegoZnak"/>
    <w:uiPriority w:val="99"/>
    <w:semiHidden/>
    <w:unhideWhenUsed/>
    <w:rsid w:val="00C85EAB"/>
    <w:pPr>
      <w:spacing w:before="0" w:after="0" w:line="240" w:lineRule="auto"/>
    </w:pPr>
    <w:rPr>
      <w:sz w:val="20"/>
      <w:szCs w:val="20"/>
    </w:rPr>
  </w:style>
  <w:style w:type="character" w:customStyle="1" w:styleId="TekstprzypisukocowegoZnak">
    <w:name w:val="Tekst przypisu końcowego Znak"/>
    <w:link w:val="Tekstprzypisukocowego"/>
    <w:uiPriority w:val="99"/>
    <w:semiHidden/>
    <w:rsid w:val="00C85EAB"/>
    <w:rPr>
      <w:rFonts w:ascii="Fira Sans" w:hAnsi="Fira Sans"/>
      <w:sz w:val="20"/>
      <w:szCs w:val="20"/>
    </w:rPr>
  </w:style>
  <w:style w:type="character" w:styleId="Odwoanieprzypisukocowego">
    <w:name w:val="endnote reference"/>
    <w:uiPriority w:val="99"/>
    <w:semiHidden/>
    <w:unhideWhenUsed/>
    <w:rsid w:val="00C85EAB"/>
    <w:rPr>
      <w:vertAlign w:val="superscript"/>
    </w:rPr>
  </w:style>
  <w:style w:type="character" w:styleId="Odwoaniedokomentarza">
    <w:name w:val="annotation reference"/>
    <w:uiPriority w:val="99"/>
    <w:semiHidden/>
    <w:unhideWhenUsed/>
    <w:rsid w:val="00222FC4"/>
    <w:rPr>
      <w:sz w:val="16"/>
      <w:szCs w:val="16"/>
    </w:rPr>
  </w:style>
  <w:style w:type="paragraph" w:styleId="Tekstkomentarza">
    <w:name w:val="annotation text"/>
    <w:basedOn w:val="Normalny"/>
    <w:link w:val="TekstkomentarzaZnak"/>
    <w:uiPriority w:val="99"/>
    <w:semiHidden/>
    <w:unhideWhenUsed/>
    <w:rsid w:val="00222FC4"/>
    <w:pPr>
      <w:spacing w:line="240" w:lineRule="auto"/>
    </w:pPr>
    <w:rPr>
      <w:sz w:val="20"/>
      <w:szCs w:val="20"/>
    </w:rPr>
  </w:style>
  <w:style w:type="character" w:customStyle="1" w:styleId="TekstkomentarzaZnak">
    <w:name w:val="Tekst komentarza Znak"/>
    <w:link w:val="Tekstkomentarza"/>
    <w:uiPriority w:val="99"/>
    <w:semiHidden/>
    <w:rsid w:val="00222FC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22FC4"/>
    <w:rPr>
      <w:b/>
      <w:bCs/>
    </w:rPr>
  </w:style>
  <w:style w:type="character" w:customStyle="1" w:styleId="TematkomentarzaZnak">
    <w:name w:val="Temat komentarza Znak"/>
    <w:link w:val="Tematkomentarza"/>
    <w:uiPriority w:val="99"/>
    <w:semiHidden/>
    <w:rsid w:val="00222FC4"/>
    <w:rPr>
      <w:rFonts w:ascii="Fira Sans" w:hAnsi="Fira Sans"/>
      <w:b/>
      <w:bCs/>
      <w:sz w:val="20"/>
      <w:szCs w:val="20"/>
    </w:rPr>
  </w:style>
  <w:style w:type="paragraph" w:customStyle="1" w:styleId="Default">
    <w:name w:val="Default"/>
    <w:rsid w:val="008E1770"/>
    <w:pPr>
      <w:autoSpaceDE w:val="0"/>
      <w:autoSpaceDN w:val="0"/>
      <w:adjustRightInd w:val="0"/>
    </w:pPr>
    <w:rPr>
      <w:rFonts w:ascii="Fira Sans" w:hAnsi="Fira Sans" w:cs="Fira Sans"/>
      <w:color w:val="000000"/>
      <w:sz w:val="24"/>
      <w:szCs w:val="24"/>
      <w:lang w:eastAsia="en-US"/>
    </w:rPr>
  </w:style>
  <w:style w:type="character" w:styleId="UyteHipercze">
    <w:name w:val="FollowedHyperlink"/>
    <w:uiPriority w:val="99"/>
    <w:semiHidden/>
    <w:unhideWhenUsed/>
    <w:rsid w:val="007869F8"/>
    <w:rPr>
      <w:color w:val="954F72"/>
      <w:u w:val="single"/>
    </w:rPr>
  </w:style>
  <w:style w:type="paragraph" w:styleId="NormalnyWeb">
    <w:name w:val="Normal (Web)"/>
    <w:basedOn w:val="Normalny"/>
    <w:uiPriority w:val="99"/>
    <w:semiHidden/>
    <w:unhideWhenUsed/>
    <w:rsid w:val="00E53D07"/>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C13368"/>
    <w:rPr>
      <w:rFonts w:ascii="Fira Sans" w:hAnsi="Fira Sans"/>
      <w:sz w:val="19"/>
      <w:szCs w:val="22"/>
      <w:lang w:eastAsia="en-US"/>
    </w:rPr>
  </w:style>
  <w:style w:type="table" w:customStyle="1" w:styleId="fira">
    <w:name w:val="fira"/>
    <w:basedOn w:val="Standardowy"/>
    <w:uiPriority w:val="99"/>
    <w:rsid w:val="00F50147"/>
    <w:rPr>
      <w:rFonts w:ascii="Fira Sans" w:hAnsi="Fira Sans"/>
      <w:sz w:val="16"/>
    </w:rPr>
    <w:tblPr/>
  </w:style>
  <w:style w:type="table" w:customStyle="1" w:styleId="Firasans">
    <w:name w:val="Fira sans"/>
    <w:basedOn w:val="Standardowy"/>
    <w:uiPriority w:val="99"/>
    <w:rsid w:val="00EC6258"/>
    <w:pPr>
      <w:spacing w:line="240" w:lineRule="exact"/>
    </w:pPr>
    <w:rPr>
      <w:rFonts w:ascii="Fira Sans" w:hAnsi="Fira Sans"/>
      <w:sz w:val="16"/>
    </w:rPr>
    <w:tblPr>
      <w:tblBorders>
        <w:bottom w:val="single" w:sz="4" w:space="0" w:color="001D77"/>
        <w:insideH w:val="single" w:sz="4" w:space="0" w:color="001D77"/>
        <w:insideV w:val="single" w:sz="4" w:space="0" w:color="001D77"/>
      </w:tblBorders>
    </w:tblPr>
  </w:style>
  <w:style w:type="character" w:styleId="Uwydatnienie">
    <w:name w:val="Emphasis"/>
    <w:basedOn w:val="Domylnaczcionkaakapitu"/>
    <w:uiPriority w:val="20"/>
    <w:qFormat/>
    <w:rsid w:val="00B963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7604">
      <w:bodyDiv w:val="1"/>
      <w:marLeft w:val="0"/>
      <w:marRight w:val="0"/>
      <w:marTop w:val="0"/>
      <w:marBottom w:val="0"/>
      <w:divBdr>
        <w:top w:val="none" w:sz="0" w:space="0" w:color="auto"/>
        <w:left w:val="none" w:sz="0" w:space="0" w:color="auto"/>
        <w:bottom w:val="none" w:sz="0" w:space="0" w:color="auto"/>
        <w:right w:val="none" w:sz="0" w:space="0" w:color="auto"/>
      </w:divBdr>
    </w:div>
    <w:div w:id="142237263">
      <w:bodyDiv w:val="1"/>
      <w:marLeft w:val="0"/>
      <w:marRight w:val="0"/>
      <w:marTop w:val="0"/>
      <w:marBottom w:val="0"/>
      <w:divBdr>
        <w:top w:val="none" w:sz="0" w:space="0" w:color="auto"/>
        <w:left w:val="none" w:sz="0" w:space="0" w:color="auto"/>
        <w:bottom w:val="none" w:sz="0" w:space="0" w:color="auto"/>
        <w:right w:val="none" w:sz="0" w:space="0" w:color="auto"/>
      </w:divBdr>
    </w:div>
    <w:div w:id="243805346">
      <w:bodyDiv w:val="1"/>
      <w:marLeft w:val="0"/>
      <w:marRight w:val="0"/>
      <w:marTop w:val="0"/>
      <w:marBottom w:val="0"/>
      <w:divBdr>
        <w:top w:val="none" w:sz="0" w:space="0" w:color="auto"/>
        <w:left w:val="none" w:sz="0" w:space="0" w:color="auto"/>
        <w:bottom w:val="none" w:sz="0" w:space="0" w:color="auto"/>
        <w:right w:val="none" w:sz="0" w:space="0" w:color="auto"/>
      </w:divBdr>
    </w:div>
    <w:div w:id="34151470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77412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73197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3918195">
      <w:bodyDiv w:val="1"/>
      <w:marLeft w:val="0"/>
      <w:marRight w:val="0"/>
      <w:marTop w:val="0"/>
      <w:marBottom w:val="0"/>
      <w:divBdr>
        <w:top w:val="none" w:sz="0" w:space="0" w:color="auto"/>
        <w:left w:val="none" w:sz="0" w:space="0" w:color="auto"/>
        <w:bottom w:val="none" w:sz="0" w:space="0" w:color="auto"/>
        <w:right w:val="none" w:sz="0" w:space="0" w:color="auto"/>
      </w:divBdr>
    </w:div>
    <w:div w:id="842663560">
      <w:bodyDiv w:val="1"/>
      <w:marLeft w:val="0"/>
      <w:marRight w:val="0"/>
      <w:marTop w:val="0"/>
      <w:marBottom w:val="0"/>
      <w:divBdr>
        <w:top w:val="none" w:sz="0" w:space="0" w:color="auto"/>
        <w:left w:val="none" w:sz="0" w:space="0" w:color="auto"/>
        <w:bottom w:val="none" w:sz="0" w:space="0" w:color="auto"/>
        <w:right w:val="none" w:sz="0" w:space="0" w:color="auto"/>
      </w:divBdr>
    </w:div>
    <w:div w:id="876552550">
      <w:bodyDiv w:val="1"/>
      <w:marLeft w:val="0"/>
      <w:marRight w:val="0"/>
      <w:marTop w:val="0"/>
      <w:marBottom w:val="0"/>
      <w:divBdr>
        <w:top w:val="none" w:sz="0" w:space="0" w:color="auto"/>
        <w:left w:val="none" w:sz="0" w:space="0" w:color="auto"/>
        <w:bottom w:val="none" w:sz="0" w:space="0" w:color="auto"/>
        <w:right w:val="none" w:sz="0" w:space="0" w:color="auto"/>
      </w:divBdr>
    </w:div>
    <w:div w:id="911240085">
      <w:bodyDiv w:val="1"/>
      <w:marLeft w:val="0"/>
      <w:marRight w:val="0"/>
      <w:marTop w:val="0"/>
      <w:marBottom w:val="0"/>
      <w:divBdr>
        <w:top w:val="none" w:sz="0" w:space="0" w:color="auto"/>
        <w:left w:val="none" w:sz="0" w:space="0" w:color="auto"/>
        <w:bottom w:val="none" w:sz="0" w:space="0" w:color="auto"/>
        <w:right w:val="none" w:sz="0" w:space="0" w:color="auto"/>
      </w:divBdr>
    </w:div>
    <w:div w:id="1054696213">
      <w:bodyDiv w:val="1"/>
      <w:marLeft w:val="0"/>
      <w:marRight w:val="0"/>
      <w:marTop w:val="0"/>
      <w:marBottom w:val="0"/>
      <w:divBdr>
        <w:top w:val="none" w:sz="0" w:space="0" w:color="auto"/>
        <w:left w:val="none" w:sz="0" w:space="0" w:color="auto"/>
        <w:bottom w:val="none" w:sz="0" w:space="0" w:color="auto"/>
        <w:right w:val="none" w:sz="0" w:space="0" w:color="auto"/>
      </w:divBdr>
    </w:div>
    <w:div w:id="123123009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27056514">
      <w:bodyDiv w:val="1"/>
      <w:marLeft w:val="0"/>
      <w:marRight w:val="0"/>
      <w:marTop w:val="0"/>
      <w:marBottom w:val="0"/>
      <w:divBdr>
        <w:top w:val="none" w:sz="0" w:space="0" w:color="auto"/>
        <w:left w:val="none" w:sz="0" w:space="0" w:color="auto"/>
        <w:bottom w:val="none" w:sz="0" w:space="0" w:color="auto"/>
        <w:right w:val="none" w:sz="0" w:space="0" w:color="auto"/>
      </w:divBdr>
    </w:div>
    <w:div w:id="1413549142">
      <w:bodyDiv w:val="1"/>
      <w:marLeft w:val="0"/>
      <w:marRight w:val="0"/>
      <w:marTop w:val="0"/>
      <w:marBottom w:val="0"/>
      <w:divBdr>
        <w:top w:val="none" w:sz="0" w:space="0" w:color="auto"/>
        <w:left w:val="none" w:sz="0" w:space="0" w:color="auto"/>
        <w:bottom w:val="none" w:sz="0" w:space="0" w:color="auto"/>
        <w:right w:val="none" w:sz="0" w:space="0" w:color="auto"/>
      </w:divBdr>
    </w:div>
    <w:div w:id="1602957593">
      <w:bodyDiv w:val="1"/>
      <w:marLeft w:val="0"/>
      <w:marRight w:val="0"/>
      <w:marTop w:val="0"/>
      <w:marBottom w:val="0"/>
      <w:divBdr>
        <w:top w:val="none" w:sz="0" w:space="0" w:color="auto"/>
        <w:left w:val="none" w:sz="0" w:space="0" w:color="auto"/>
        <w:bottom w:val="none" w:sz="0" w:space="0" w:color="auto"/>
        <w:right w:val="none" w:sz="0" w:space="0" w:color="auto"/>
      </w:divBdr>
    </w:div>
    <w:div w:id="1757556591">
      <w:bodyDiv w:val="1"/>
      <w:marLeft w:val="0"/>
      <w:marRight w:val="0"/>
      <w:marTop w:val="0"/>
      <w:marBottom w:val="0"/>
      <w:divBdr>
        <w:top w:val="none" w:sz="0" w:space="0" w:color="auto"/>
        <w:left w:val="none" w:sz="0" w:space="0" w:color="auto"/>
        <w:bottom w:val="none" w:sz="0" w:space="0" w:color="auto"/>
        <w:right w:val="none" w:sz="0" w:space="0" w:color="auto"/>
      </w:divBdr>
    </w:div>
    <w:div w:id="179177729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88852783">
      <w:bodyDiv w:val="1"/>
      <w:marLeft w:val="0"/>
      <w:marRight w:val="0"/>
      <w:marTop w:val="0"/>
      <w:marBottom w:val="0"/>
      <w:divBdr>
        <w:top w:val="none" w:sz="0" w:space="0" w:color="auto"/>
        <w:left w:val="none" w:sz="0" w:space="0" w:color="auto"/>
        <w:bottom w:val="none" w:sz="0" w:space="0" w:color="auto"/>
        <w:right w:val="none" w:sz="0" w:space="0" w:color="auto"/>
      </w:divBdr>
    </w:div>
    <w:div w:id="2078933786">
      <w:bodyDiv w:val="1"/>
      <w:marLeft w:val="0"/>
      <w:marRight w:val="0"/>
      <w:marTop w:val="0"/>
      <w:marBottom w:val="0"/>
      <w:divBdr>
        <w:top w:val="none" w:sz="0" w:space="0" w:color="auto"/>
        <w:left w:val="none" w:sz="0" w:space="0" w:color="auto"/>
        <w:bottom w:val="none" w:sz="0" w:space="0" w:color="auto"/>
        <w:right w:val="none" w:sz="0" w:space="0" w:color="auto"/>
      </w:divBdr>
    </w:div>
    <w:div w:id="21224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eader" Target="header2.xml"/><Relationship Id="rId26" Type="http://schemas.openxmlformats.org/officeDocument/2006/relationships/hyperlink" Target="http://stat.gov.pl/obszary-tematyczne/rynek-pracy/" TargetMode="External"/><Relationship Id="rId39" Type="http://schemas.openxmlformats.org/officeDocument/2006/relationships/hyperlink" Target="https://sdg.gov.pl/" TargetMode="External"/><Relationship Id="rId21" Type="http://schemas.openxmlformats.org/officeDocument/2006/relationships/image" Target="media/image7.png"/><Relationship Id="rId42" Type="http://schemas.openxmlformats.org/officeDocument/2006/relationships/hyperlink" Target="http://stat.gov.pl/metainformacje/slownik-pojec/pojecia-stosowane-w-statystyce-publicznej/3013,pojecie.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hyperlink" Target="https://stat.gov.pl/metainformacje/slownik-pojec/pojecia-stosowane-w-statystyce-publicznej/3011,pojecie.html" TargetMode="External"/><Relationship Id="rId41"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obszary-tematyczne/rynek-pracy/popyt-na-prace/popyt-na-prace-w-drugim-kwartale-2021-r-,2,42.html" TargetMode="External"/><Relationship Id="rId32" Type="http://schemas.openxmlformats.org/officeDocument/2006/relationships/hyperlink" Target="https://stat.gov.pl/metainformacje/slownik-pojec/pojecia-stosowane-w-statystyce-publicznej/3555,pojecie.html" TargetMode="External"/><Relationship Id="rId37" Type="http://schemas.openxmlformats.org/officeDocument/2006/relationships/hyperlink" Target="http://stat.gov.pl/obszary-tematyczne/rynek-pracy/" TargetMode="External"/><Relationship Id="rId40" Type="http://schemas.openxmlformats.org/officeDocument/2006/relationships/hyperlink" Target="https://stat.gov.pl/metainformacje/slownik-pojec/pojecia-stosowane-w-statystyce-publicznej/3011,pojecie.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c.europa.eu/eurostat/data/classifications" TargetMode="External"/><Relationship Id="rId23" Type="http://schemas.openxmlformats.org/officeDocument/2006/relationships/image" Target="media/image9.png"/><Relationship Id="rId28" Type="http://schemas.openxmlformats.org/officeDocument/2006/relationships/hyperlink" Target="https://sdg.gov.pl/" TargetMode="External"/><Relationship Id="rId36" Type="http://schemas.openxmlformats.org/officeDocument/2006/relationships/hyperlink" Target="https://stat.gov.pl/obszary-tematyczne/rynek-pracy/popyt-na-prace/wplyw-epidemii-covid-19-na-wybrane-elementy-rynku-pracy-w-polsce-w-drugim-kwartale-2021-r-,4,6.html" TargetMode="External"/><Relationship Id="rId10" Type="http://schemas.openxmlformats.org/officeDocument/2006/relationships/chart" Target="charts/chart1.xml"/><Relationship Id="rId19" Type="http://schemas.openxmlformats.org/officeDocument/2006/relationships/footer" Target="footer2.xml"/><Relationship Id="rId31" Type="http://schemas.openxmlformats.org/officeDocument/2006/relationships/hyperlink" Target="http://stat.gov.pl/metainformacje/slownik-pojec/pojecia-stosowane-w-statystyce-publicznej/3013,pojecie.html" TargetMode="External"/><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8.png"/><Relationship Id="rId27" Type="http://schemas.openxmlformats.org/officeDocument/2006/relationships/hyperlink" Target="http://swaid.stat.gov.pl/SitePagesDBW/RynekPracy.aspx" TargetMode="External"/><Relationship Id="rId30" Type="http://schemas.openxmlformats.org/officeDocument/2006/relationships/hyperlink" Target="http://stat.gov.pl/metainformacje/slownik-pojec/pojecia-stosowane-w-statystyce-publicznej/3012,pojecie.html" TargetMode="External"/><Relationship Id="rId35" Type="http://schemas.openxmlformats.org/officeDocument/2006/relationships/hyperlink" Target="https://stat.gov.pl/obszary-tematyczne/rynek-pracy/popyt-na-prace/popyt-na-prace-w-drugim-kwartale-2021-r-,2,42.html" TargetMode="External"/><Relationship Id="rId43" Type="http://schemas.openxmlformats.org/officeDocument/2006/relationships/hyperlink" Target="https://stat.gov.pl/metainformacje/slownik-pojec/pojecia-stosowane-w-statystyce-publicznej/3555,pojecie.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hyperlink" Target="https://stat.gov.pl/obszary-tematyczne/rynek-pracy/popyt-na-prace/wplyw-epidemii-covid-19-na-wybrane-elementy-rynku-pracy-w-polsce-w-drugim-kwartale-2021-r-,4,6.html" TargetMode="External"/><Relationship Id="rId38" Type="http://schemas.openxmlformats.org/officeDocument/2006/relationships/hyperlink" Target="http://swaid.stat.gov.pl/SitePagesDBW/RynekPracy.aspx" TargetMode="External"/><Relationship Id="rId46"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rzad_statystyczny\Sygnalne\Popyt_na_prace\2021_kraj\III_kwartal\popyt_na_prace_3kw2021_ANG_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rzad_statystyczny\Sygnalne\Popyt_na_prace\2021_kraj\III_kwartal\popyt_na_prace_3kw2021_ANG_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565E-2"/>
          <c:y val="9.891888888888889E-2"/>
          <c:w val="0.88605635491606582"/>
          <c:h val="0.62584000000000006"/>
        </c:manualLayout>
      </c:layout>
      <c:lineChart>
        <c:grouping val="standard"/>
        <c:varyColors val="0"/>
        <c:ser>
          <c:idx val="0"/>
          <c:order val="0"/>
          <c:tx>
            <c:strRef>
              <c:f>wyk1_ang_3kw_2021!$C$2</c:f>
              <c:strCache>
                <c:ptCount val="1"/>
                <c:pt idx="0">
                  <c:v>Newly created jobs</c:v>
                </c:pt>
              </c:strCache>
            </c:strRef>
          </c:tx>
          <c:spPr>
            <a:ln w="25400" cap="rnd">
              <a:solidFill>
                <a:srgbClr val="001D77"/>
              </a:solidFill>
              <a:round/>
            </a:ln>
            <a:effectLst/>
          </c:spPr>
          <c:marker>
            <c:symbol val="none"/>
          </c:marker>
          <c:cat>
            <c:multiLvlStrRef>
              <c:f>wyk1_ang_3kw_2021!$A$3:$B$41</c:f>
              <c:multiLvlStrCache>
                <c:ptCount val="39"/>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wyk1_ang_3kw_2021!$C$3:$C$41</c:f>
              <c:numCache>
                <c:formatCode>0.0</c:formatCode>
                <c:ptCount val="39"/>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pt idx="32">
                  <c:v>170.6</c:v>
                </c:pt>
                <c:pt idx="33">
                  <c:v>81.900000000000006</c:v>
                </c:pt>
                <c:pt idx="34" formatCode="General">
                  <c:v>126.4</c:v>
                </c:pt>
                <c:pt idx="35">
                  <c:v>91.5</c:v>
                </c:pt>
                <c:pt idx="36">
                  <c:v>191.7</c:v>
                </c:pt>
                <c:pt idx="37">
                  <c:v>145.80000000000001</c:v>
                </c:pt>
                <c:pt idx="38">
                  <c:v>132.6</c:v>
                </c:pt>
              </c:numCache>
            </c:numRef>
          </c:val>
          <c:smooth val="0"/>
          <c:extLst xmlns:c16r2="http://schemas.microsoft.com/office/drawing/2015/06/chart">
            <c:ext xmlns:c16="http://schemas.microsoft.com/office/drawing/2014/chart" uri="{C3380CC4-5D6E-409C-BE32-E72D297353CC}">
              <c16:uniqueId val="{00000000-762F-460A-825D-B4949A9BEBB5}"/>
            </c:ext>
          </c:extLst>
        </c:ser>
        <c:ser>
          <c:idx val="1"/>
          <c:order val="1"/>
          <c:tx>
            <c:strRef>
              <c:f>wyk1_ang_3kw_2021!$D$2</c:f>
              <c:strCache>
                <c:ptCount val="1"/>
                <c:pt idx="0">
                  <c:v>Liquidated jobs</c:v>
                </c:pt>
              </c:strCache>
            </c:strRef>
          </c:tx>
          <c:spPr>
            <a:ln w="25400" cap="rnd">
              <a:solidFill>
                <a:srgbClr val="C0C0C0"/>
              </a:solidFill>
              <a:round/>
            </a:ln>
            <a:effectLst/>
          </c:spPr>
          <c:marker>
            <c:symbol val="none"/>
          </c:marker>
          <c:cat>
            <c:multiLvlStrRef>
              <c:f>wyk1_ang_3kw_2021!$A$3:$B$41</c:f>
              <c:multiLvlStrCache>
                <c:ptCount val="39"/>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wyk1_ang_3kw_2021!$D$3:$D$41</c:f>
              <c:numCache>
                <c:formatCode>General</c:formatCode>
                <c:ptCount val="39"/>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pt idx="32">
                  <c:v>119.9</c:v>
                </c:pt>
                <c:pt idx="33">
                  <c:v>93.6</c:v>
                </c:pt>
                <c:pt idx="34">
                  <c:v>62.4</c:v>
                </c:pt>
                <c:pt idx="35">
                  <c:v>53.9</c:v>
                </c:pt>
                <c:pt idx="36">
                  <c:v>70.2</c:v>
                </c:pt>
                <c:pt idx="37">
                  <c:v>58.5</c:v>
                </c:pt>
                <c:pt idx="38">
                  <c:v>57.8</c:v>
                </c:pt>
              </c:numCache>
            </c:numRef>
          </c:val>
          <c:smooth val="0"/>
          <c:extLst xmlns:c16r2="http://schemas.microsoft.com/office/drawing/2015/06/chart">
            <c:ext xmlns:c16="http://schemas.microsoft.com/office/drawing/2014/chart" uri="{C3380CC4-5D6E-409C-BE32-E72D297353CC}">
              <c16:uniqueId val="{00000001-762F-460A-825D-B4949A9BEBB5}"/>
            </c:ext>
          </c:extLst>
        </c:ser>
        <c:dLbls>
          <c:showLegendKey val="0"/>
          <c:showVal val="0"/>
          <c:showCatName val="0"/>
          <c:showSerName val="0"/>
          <c:showPercent val="0"/>
          <c:showBubbleSize val="0"/>
        </c:dLbls>
        <c:smooth val="0"/>
        <c:axId val="1237228640"/>
        <c:axId val="1237223744"/>
      </c:lineChart>
      <c:catAx>
        <c:axId val="123722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37223744"/>
        <c:crosses val="autoZero"/>
        <c:auto val="1"/>
        <c:lblAlgn val="ctr"/>
        <c:lblOffset val="100"/>
        <c:noMultiLvlLbl val="0"/>
      </c:catAx>
      <c:valAx>
        <c:axId val="1237223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37228640"/>
        <c:crosses val="autoZero"/>
        <c:crossBetween val="between"/>
      </c:valAx>
      <c:spPr>
        <a:noFill/>
        <a:ln>
          <a:noFill/>
        </a:ln>
        <a:effectLst/>
      </c:spPr>
    </c:plotArea>
    <c:legend>
      <c:legendPos val="b"/>
      <c:layout>
        <c:manualLayout>
          <c:xMode val="edge"/>
          <c:yMode val="edge"/>
          <c:x val="0.10302458033573142"/>
          <c:y val="0.92707407407407405"/>
          <c:w val="0.79395083932853838"/>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582"/>
          <c:h val="0.6352474074074087"/>
        </c:manualLayout>
      </c:layout>
      <c:lineChart>
        <c:grouping val="standard"/>
        <c:varyColors val="0"/>
        <c:ser>
          <c:idx val="0"/>
          <c:order val="0"/>
          <c:spPr>
            <a:ln w="25400" cap="rnd">
              <a:solidFill>
                <a:srgbClr val="001D77"/>
              </a:solidFill>
              <a:round/>
            </a:ln>
            <a:effectLst/>
          </c:spPr>
          <c:marker>
            <c:symbol val="none"/>
          </c:marker>
          <c:cat>
            <c:multiLvlStrRef>
              <c:f>wyk5_new_ang_2kw!$A$4:$B$42</c:f>
              <c:multiLvlStrCache>
                <c:ptCount val="39"/>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wyk5_new_ang_2kw!$C$4:$C$42</c:f>
              <c:numCache>
                <c:formatCode>General</c:formatCode>
                <c:ptCount val="39"/>
                <c:pt idx="0">
                  <c:v>0.49</c:v>
                </c:pt>
                <c:pt idx="1">
                  <c:v>0.48</c:v>
                </c:pt>
                <c:pt idx="2">
                  <c:v>0.41</c:v>
                </c:pt>
                <c:pt idx="3">
                  <c:v>0.34</c:v>
                </c:pt>
                <c:pt idx="4">
                  <c:v>0.41</c:v>
                </c:pt>
                <c:pt idx="5">
                  <c:v>0.41</c:v>
                </c:pt>
                <c:pt idx="6">
                  <c:v>0.42</c:v>
                </c:pt>
                <c:pt idx="7">
                  <c:v>0.37</c:v>
                </c:pt>
                <c:pt idx="8">
                  <c:v>0.48</c:v>
                </c:pt>
                <c:pt idx="9">
                  <c:v>0.51</c:v>
                </c:pt>
                <c:pt idx="10">
                  <c:v>0.53</c:v>
                </c:pt>
                <c:pt idx="11">
                  <c:v>0.48</c:v>
                </c:pt>
                <c:pt idx="12">
                  <c:v>0.63</c:v>
                </c:pt>
                <c:pt idx="13">
                  <c:v>0.64</c:v>
                </c:pt>
                <c:pt idx="14">
                  <c:v>0.63</c:v>
                </c:pt>
                <c:pt idx="15">
                  <c:v>0.55000000000000004</c:v>
                </c:pt>
                <c:pt idx="16">
                  <c:v>0.76</c:v>
                </c:pt>
                <c:pt idx="17" formatCode="0.00">
                  <c:v>0.8</c:v>
                </c:pt>
                <c:pt idx="18">
                  <c:v>0.81</c:v>
                </c:pt>
                <c:pt idx="19">
                  <c:v>0.66</c:v>
                </c:pt>
                <c:pt idx="20">
                  <c:v>0.96</c:v>
                </c:pt>
                <c:pt idx="21">
                  <c:v>0.98</c:v>
                </c:pt>
                <c:pt idx="22">
                  <c:v>1.06</c:v>
                </c:pt>
                <c:pt idx="23">
                  <c:v>0.96</c:v>
                </c:pt>
                <c:pt idx="24">
                  <c:v>1.17</c:v>
                </c:pt>
                <c:pt idx="25">
                  <c:v>1.27</c:v>
                </c:pt>
                <c:pt idx="26">
                  <c:v>1.21</c:v>
                </c:pt>
                <c:pt idx="27">
                  <c:v>1.07</c:v>
                </c:pt>
                <c:pt idx="28">
                  <c:v>1.08</c:v>
                </c:pt>
                <c:pt idx="29">
                  <c:v>1.1299999999999999</c:v>
                </c:pt>
                <c:pt idx="30">
                  <c:v>1.1200000000000001</c:v>
                </c:pt>
                <c:pt idx="31">
                  <c:v>0.95</c:v>
                </c:pt>
                <c:pt idx="32">
                  <c:v>0.61</c:v>
                </c:pt>
                <c:pt idx="33">
                  <c:v>0.66</c:v>
                </c:pt>
                <c:pt idx="34">
                  <c:v>0.72</c:v>
                </c:pt>
                <c:pt idx="35">
                  <c:v>0.69</c:v>
                </c:pt>
                <c:pt idx="36" formatCode="0.00">
                  <c:v>0.9</c:v>
                </c:pt>
                <c:pt idx="37">
                  <c:v>1.1599999999999999</c:v>
                </c:pt>
                <c:pt idx="38">
                  <c:v>1.25</c:v>
                </c:pt>
              </c:numCache>
            </c:numRef>
          </c:val>
          <c:smooth val="0"/>
          <c:extLst xmlns:c16r2="http://schemas.microsoft.com/office/drawing/2015/06/chart">
            <c:ext xmlns:c16="http://schemas.microsoft.com/office/drawing/2014/chart" uri="{C3380CC4-5D6E-409C-BE32-E72D297353CC}">
              <c16:uniqueId val="{00000000-156D-472F-858D-FFA2836EE996}"/>
            </c:ext>
          </c:extLst>
        </c:ser>
        <c:dLbls>
          <c:showLegendKey val="0"/>
          <c:showVal val="0"/>
          <c:showCatName val="0"/>
          <c:showSerName val="0"/>
          <c:showPercent val="0"/>
          <c:showBubbleSize val="0"/>
        </c:dLbls>
        <c:smooth val="0"/>
        <c:axId val="1237224288"/>
        <c:axId val="1237229184"/>
      </c:lineChart>
      <c:catAx>
        <c:axId val="1237224288"/>
        <c:scaling>
          <c:orientation val="minMax"/>
        </c:scaling>
        <c:delete val="0"/>
        <c:axPos val="b"/>
        <c:title>
          <c:tx>
            <c:rich>
              <a:bodyPr/>
              <a:lstStyle/>
              <a:p>
                <a:pPr>
                  <a:defRPr/>
                </a:pPr>
                <a:r>
                  <a:rPr lang="pl-PL" b="0" i="0" baseline="0"/>
                  <a:t>%</a:t>
                </a:r>
              </a:p>
            </c:rich>
          </c:tx>
          <c:layout>
            <c:manualLayout>
              <c:xMode val="edge"/>
              <c:yMode val="edge"/>
              <c:x val="4.2869104716227013E-2"/>
              <c:y val="1.7666296296296305E-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37229184"/>
        <c:crosses val="autoZero"/>
        <c:auto val="1"/>
        <c:lblAlgn val="ctr"/>
        <c:lblOffset val="100"/>
        <c:noMultiLvlLbl val="0"/>
      </c:catAx>
      <c:valAx>
        <c:axId val="12372291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37224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0.03668</cdr:x>
      <cdr:y>0.0251</cdr:y>
    </cdr:from>
    <cdr:to>
      <cdr:x>0.1519</cdr:x>
      <cdr:y>0.08309</cdr:y>
    </cdr:to>
    <cdr:sp macro="" textlink="">
      <cdr:nvSpPr>
        <cdr:cNvPr id="2" name="pole tekstowe 1"/>
        <cdr:cNvSpPr txBox="1"/>
      </cdr:nvSpPr>
      <cdr:spPr>
        <a:xfrm xmlns:a="http://schemas.openxmlformats.org/drawingml/2006/main">
          <a:off x="183439" y="67268"/>
          <a:ext cx="576246" cy="155433"/>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rPr>
            <a:t>thousands</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Odbiorcy2 xmlns="8C029B3F-2CC4-4A59-AF0D-A90575FA3373" xsi:nil="true"/>
    <Osoba xmlns="8C029B3F-2CC4-4A59-AF0D-A90575FA3373">STAT\GORKAM</Osoba>
    <NazwaPliku xmlns="8C029B3F-2CC4-4A59-AF0D-A90575FA3373">News releses_The demand for labour_in_third quarter 2021.docx.docx</NazwaPliku>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B5FA-5502-4AFE-832B-C55A5D931C47}">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F8286029-4F1D-4685-9B3C-5E70C38FF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5FD05-A242-4EA8-9C47-71C955E8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1847</Words>
  <Characters>11082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12904</CharactersWithSpaces>
  <SharedDoc>false</SharedDoc>
  <HLinks>
    <vt:vector size="60" baseType="variant">
      <vt:variant>
        <vt:i4>3997761</vt:i4>
      </vt:variant>
      <vt:variant>
        <vt:i4>3</vt:i4>
      </vt:variant>
      <vt:variant>
        <vt:i4>0</vt:i4>
      </vt:variant>
      <vt:variant>
        <vt:i4>5</vt:i4>
      </vt:variant>
      <vt:variant>
        <vt:lpwstr>mailto:obslugaprasowa@stat.gov.pl</vt:lpwstr>
      </vt:variant>
      <vt:variant>
        <vt:lpwstr/>
      </vt:variant>
      <vt:variant>
        <vt:i4>262227</vt:i4>
      </vt:variant>
      <vt:variant>
        <vt:i4>0</vt:i4>
      </vt:variant>
      <vt:variant>
        <vt:i4>0</vt:i4>
      </vt:variant>
      <vt:variant>
        <vt:i4>5</vt:i4>
      </vt:variant>
      <vt:variant>
        <vt:lpwstr>http://stat.gov.pl/Klasyfikacje/</vt:lpwstr>
      </vt:variant>
      <vt:variant>
        <vt:lpwstr/>
      </vt:variant>
      <vt:variant>
        <vt:i4>7209065</vt:i4>
      </vt:variant>
      <vt:variant>
        <vt:i4>27</vt:i4>
      </vt:variant>
      <vt:variant>
        <vt:i4>0</vt:i4>
      </vt:variant>
      <vt:variant>
        <vt:i4>5</vt:i4>
      </vt:variant>
      <vt:variant>
        <vt:lpwstr>http://stat.gov.pl/metainformacje/slownik-pojec/pojecia-stosowane-w-statystyce-publicznej/3013,pojecie.html</vt:lpwstr>
      </vt:variant>
      <vt:variant>
        <vt:lpwstr/>
      </vt:variant>
      <vt:variant>
        <vt:i4>7274601</vt:i4>
      </vt:variant>
      <vt:variant>
        <vt:i4>24</vt:i4>
      </vt:variant>
      <vt:variant>
        <vt:i4>0</vt:i4>
      </vt:variant>
      <vt:variant>
        <vt:i4>5</vt:i4>
      </vt:variant>
      <vt:variant>
        <vt:lpwstr>http://stat.gov.pl/metainformacje/slownik-pojec/pojecia-stosowane-w-statystyce-publicznej/3012,pojecie.html</vt:lpwstr>
      </vt:variant>
      <vt:variant>
        <vt:lpwstr/>
      </vt:variant>
      <vt:variant>
        <vt:i4>1900551</vt:i4>
      </vt:variant>
      <vt:variant>
        <vt:i4>21</vt:i4>
      </vt:variant>
      <vt:variant>
        <vt:i4>0</vt:i4>
      </vt:variant>
      <vt:variant>
        <vt:i4>5</vt:i4>
      </vt:variant>
      <vt:variant>
        <vt:lpwstr>https://stat.gov.pl/metainformacje/slownik-pojec/pojecia-stosowane-w-statystyce-publicznej/3011,pojecie.html</vt:lpwstr>
      </vt:variant>
      <vt:variant>
        <vt:lpwstr/>
      </vt:variant>
      <vt:variant>
        <vt:i4>2162722</vt:i4>
      </vt:variant>
      <vt:variant>
        <vt:i4>18</vt:i4>
      </vt:variant>
      <vt:variant>
        <vt:i4>0</vt:i4>
      </vt:variant>
      <vt:variant>
        <vt:i4>5</vt:i4>
      </vt:variant>
      <vt:variant>
        <vt:lpwstr>https://bdl.stat.gov.pl/BDL/dane/podgrup/temat</vt:lpwstr>
      </vt:variant>
      <vt:variant>
        <vt:lpwstr/>
      </vt:variant>
      <vt:variant>
        <vt:i4>2621494</vt:i4>
      </vt:variant>
      <vt:variant>
        <vt:i4>15</vt:i4>
      </vt:variant>
      <vt:variant>
        <vt:i4>0</vt:i4>
      </vt:variant>
      <vt:variant>
        <vt:i4>5</vt:i4>
      </vt:variant>
      <vt:variant>
        <vt:lpwstr>http://strateg.stat.gov.pl/</vt:lpwstr>
      </vt:variant>
      <vt:variant>
        <vt:lpwstr/>
      </vt:variant>
      <vt:variant>
        <vt:i4>458839</vt:i4>
      </vt:variant>
      <vt:variant>
        <vt:i4>12</vt:i4>
      </vt:variant>
      <vt:variant>
        <vt:i4>0</vt:i4>
      </vt:variant>
      <vt:variant>
        <vt:i4>5</vt:i4>
      </vt:variant>
      <vt:variant>
        <vt:lpwstr>http://swaid.stat.gov.pl/SitePagesDBW/RynekPracy.aspx</vt:lpwstr>
      </vt:variant>
      <vt:variant>
        <vt:lpwstr/>
      </vt:variant>
      <vt:variant>
        <vt:i4>8257661</vt:i4>
      </vt:variant>
      <vt:variant>
        <vt:i4>9</vt:i4>
      </vt:variant>
      <vt:variant>
        <vt:i4>0</vt:i4>
      </vt:variant>
      <vt:variant>
        <vt:i4>5</vt:i4>
      </vt:variant>
      <vt:variant>
        <vt:lpwstr>http://stat.gov.pl/obszary-tematyczne/rynek-pracy/</vt:lpwstr>
      </vt:variant>
      <vt:variant>
        <vt:lpwstr/>
      </vt:variant>
      <vt:variant>
        <vt:i4>6160451</vt:i4>
      </vt:variant>
      <vt:variant>
        <vt:i4>6</vt:i4>
      </vt:variant>
      <vt:variant>
        <vt:i4>0</vt:i4>
      </vt:variant>
      <vt:variant>
        <vt:i4>5</vt:i4>
      </vt:variant>
      <vt:variant>
        <vt:lpwstr>http://stat.gov.pl/obszary-tematyczne/rynek-pracy/popyt-na-prace/popyt-na-prace-w-2017-roku,1,13.html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 in the third quarter of 2021</dc:title>
  <dc:subject/>
  <cp:keywords/>
  <dc:description/>
  <cp:lastModifiedBy>Putkowska Beata</cp:lastModifiedBy>
  <cp:revision>3</cp:revision>
  <cp:lastPrinted>2021-12-07T13:38:00Z</cp:lastPrinted>
  <dcterms:created xsi:type="dcterms:W3CDTF">2021-12-09T06:27:00Z</dcterms:created>
  <dcterms:modified xsi:type="dcterms:W3CDTF">2021-12-10T06:31:00Z</dcterms:modified>
</cp:coreProperties>
</file>