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13.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14.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16.xml" ContentType="application/vnd.openxmlformats-officedocument.themeOverride+xml"/>
  <Override PartName="/word/drawings/drawing16.xml" ContentType="application/vnd.openxmlformats-officedocument.drawingml.chartshapes+xml"/>
  <Override PartName="/word/charts/chart17.xml" ContentType="application/vnd.openxmlformats-officedocument.drawingml.chart+xml"/>
  <Override PartName="/word/theme/themeOverride17.xml" ContentType="application/vnd.openxmlformats-officedocument.themeOverride+xml"/>
  <Override PartName="/word/drawings/drawing17.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drawings/drawing18.xml" ContentType="application/vnd.openxmlformats-officedocument.drawingml.chartshapes+xml"/>
  <Override PartName="/word/charts/chart19.xml" ContentType="application/vnd.openxmlformats-officedocument.drawingml.chart+xml"/>
  <Override PartName="/word/theme/themeOverride19.xml" ContentType="application/vnd.openxmlformats-officedocument.themeOverride+xml"/>
  <Override PartName="/word/drawings/drawing19.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4DB2" w14:textId="77777777" w:rsidR="003A25B8" w:rsidRDefault="003A25B8" w:rsidP="00764D9C">
      <w:pPr>
        <w:pStyle w:val="tytuinformacji"/>
        <w:rPr>
          <w:shd w:val="clear" w:color="auto" w:fill="FFFFFF"/>
        </w:rPr>
      </w:pPr>
      <w:bookmarkStart w:id="0" w:name="_Hlk71794721"/>
      <w:bookmarkEnd w:id="0"/>
    </w:p>
    <w:p w14:paraId="7EE94DB3" w14:textId="77777777" w:rsidR="003A25B8" w:rsidRPr="00127FCF" w:rsidRDefault="003A25B8" w:rsidP="00764D9C">
      <w:pPr>
        <w:pStyle w:val="tytuinformacji"/>
        <w:rPr>
          <w:sz w:val="18"/>
          <w:szCs w:val="18"/>
          <w:shd w:val="clear" w:color="auto" w:fill="FFFFFF"/>
        </w:rPr>
      </w:pPr>
    </w:p>
    <w:p w14:paraId="7EE94DB4" w14:textId="77777777" w:rsidR="00AB520C" w:rsidRPr="003A25B8" w:rsidRDefault="00AB520C" w:rsidP="00764D9C">
      <w:pPr>
        <w:pStyle w:val="tytuinformacji"/>
        <w:rPr>
          <w:shd w:val="clear" w:color="auto" w:fill="FFFFFF"/>
          <w:lang w:val="en-GB"/>
        </w:rPr>
      </w:pPr>
      <w:r w:rsidRPr="003A25B8">
        <w:rPr>
          <w:shd w:val="clear" w:color="auto" w:fill="FFFFFF"/>
          <w:lang w:val="en-GB"/>
        </w:rPr>
        <w:t>The situation of households in 20</w:t>
      </w:r>
      <w:r w:rsidR="00EC7A9B">
        <w:rPr>
          <w:shd w:val="clear" w:color="auto" w:fill="FFFFFF"/>
          <w:lang w:val="en-GB"/>
        </w:rPr>
        <w:t>20</w:t>
      </w:r>
      <w:r w:rsidRPr="003A25B8">
        <w:rPr>
          <w:shd w:val="clear" w:color="auto" w:fill="FFFFFF"/>
          <w:lang w:val="en-GB"/>
        </w:rPr>
        <w:t xml:space="preserve"> on the bas</w:t>
      </w:r>
      <w:r w:rsidR="00EC7A9B">
        <w:rPr>
          <w:shd w:val="clear" w:color="auto" w:fill="FFFFFF"/>
          <w:lang w:val="en-GB"/>
        </w:rPr>
        <w:t>is</w:t>
      </w:r>
      <w:r w:rsidRPr="003A25B8">
        <w:rPr>
          <w:shd w:val="clear" w:color="auto" w:fill="FFFFFF"/>
          <w:lang w:val="en-GB"/>
        </w:rPr>
        <w:t xml:space="preserve"> of result</w:t>
      </w:r>
      <w:r w:rsidR="00EC7A9B">
        <w:rPr>
          <w:shd w:val="clear" w:color="auto" w:fill="FFFFFF"/>
          <w:lang w:val="en-GB"/>
        </w:rPr>
        <w:t>s</w:t>
      </w:r>
      <w:r w:rsidRPr="003A25B8">
        <w:rPr>
          <w:shd w:val="clear" w:color="auto" w:fill="FFFFFF"/>
          <w:lang w:val="en-GB"/>
        </w:rPr>
        <w:t xml:space="preserve"> of </w:t>
      </w:r>
      <w:r w:rsidR="00EC7A9B">
        <w:rPr>
          <w:shd w:val="clear" w:color="auto" w:fill="FFFFFF"/>
          <w:lang w:val="en-GB"/>
        </w:rPr>
        <w:t xml:space="preserve">the </w:t>
      </w:r>
      <w:r w:rsidRPr="003A25B8">
        <w:rPr>
          <w:shd w:val="clear" w:color="auto" w:fill="FFFFFF"/>
          <w:lang w:val="en-GB"/>
        </w:rPr>
        <w:t>Household Budget Survey</w:t>
      </w:r>
    </w:p>
    <w:p w14:paraId="7EE94DB5" w14:textId="77777777" w:rsidR="00764D9C" w:rsidRPr="003A25B8" w:rsidRDefault="0080273B" w:rsidP="00764D9C">
      <w:pPr>
        <w:pStyle w:val="tytuinformacji"/>
        <w:rPr>
          <w:i/>
          <w:shd w:val="clear" w:color="auto" w:fill="FFFFFF"/>
          <w:lang w:val="en-GB"/>
        </w:rPr>
      </w:pPr>
      <w:r>
        <w:rPr>
          <w:i/>
          <w:noProof/>
          <w:lang w:eastAsia="pl-PL"/>
        </w:rPr>
        <mc:AlternateContent>
          <mc:Choice Requires="wps">
            <w:drawing>
              <wp:anchor distT="45720" distB="45720" distL="114300" distR="114300" simplePos="0" relativeHeight="251798528" behindDoc="1" locked="0" layoutInCell="1" allowOverlap="1" wp14:anchorId="7EE94F90" wp14:editId="7EE94F91">
                <wp:simplePos x="0" y="0"/>
                <wp:positionH relativeFrom="column">
                  <wp:posOffset>5219700</wp:posOffset>
                </wp:positionH>
                <wp:positionV relativeFrom="paragraph">
                  <wp:posOffset>332740</wp:posOffset>
                </wp:positionV>
                <wp:extent cx="1725295" cy="2819400"/>
                <wp:effectExtent l="0" t="0" r="0" b="0"/>
                <wp:wrapTight wrapText="bothSides">
                  <wp:wrapPolygon edited="0">
                    <wp:start x="715" y="0"/>
                    <wp:lineTo x="715" y="21454"/>
                    <wp:lineTo x="20749" y="21454"/>
                    <wp:lineTo x="20749" y="0"/>
                    <wp:lineTo x="715" y="0"/>
                  </wp:wrapPolygon>
                </wp:wrapTight>
                <wp:docPr id="227" name="Pole tekstowe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819400"/>
                        </a:xfrm>
                        <a:prstGeom prst="rect">
                          <a:avLst/>
                        </a:prstGeom>
                        <a:noFill/>
                        <a:ln w="9525">
                          <a:noFill/>
                          <a:miter lim="800000"/>
                          <a:headEnd/>
                          <a:tailEnd/>
                        </a:ln>
                      </wps:spPr>
                      <wps:txbx>
                        <w:txbxContent>
                          <w:p w14:paraId="7EE95008" w14:textId="77777777" w:rsidR="0024032F" w:rsidRPr="00E375BC" w:rsidRDefault="0024032F" w:rsidP="00764D9C">
                            <w:pPr>
                              <w:pStyle w:val="tekstzboku"/>
                              <w:rPr>
                                <w:lang w:val="en-GB"/>
                              </w:rPr>
                            </w:pPr>
                            <w:r w:rsidRPr="004968D1">
                              <w:rPr>
                                <w:lang w:val="en-GB"/>
                              </w:rPr>
                              <w:t xml:space="preserve">In 2020, the income situation of households </w:t>
                            </w:r>
                            <w:r>
                              <w:rPr>
                                <w:lang w:val="en-GB"/>
                              </w:rPr>
                              <w:t xml:space="preserve">slightly </w:t>
                            </w:r>
                            <w:r w:rsidRPr="004968D1">
                              <w:rPr>
                                <w:lang w:val="en-GB"/>
                              </w:rPr>
                              <w:t xml:space="preserve">improved, </w:t>
                            </w:r>
                            <w:r>
                              <w:rPr>
                                <w:lang w:val="en-GB"/>
                              </w:rPr>
                              <w:t>however,</w:t>
                            </w:r>
                            <w:r w:rsidRPr="004968D1">
                              <w:rPr>
                                <w:lang w:val="en-GB"/>
                              </w:rPr>
                              <w:t xml:space="preserve"> the dynamics of changes was lower than in the previous year</w:t>
                            </w:r>
                          </w:p>
                          <w:p w14:paraId="7EE95009" w14:textId="77777777" w:rsidR="0024032F" w:rsidRDefault="0024032F" w:rsidP="00764D9C">
                            <w:pPr>
                              <w:pStyle w:val="tekstzboku"/>
                              <w:rPr>
                                <w:lang w:val="en-GB"/>
                              </w:rPr>
                            </w:pPr>
                          </w:p>
                          <w:p w14:paraId="7EE9500A" w14:textId="77777777" w:rsidR="0024032F" w:rsidRPr="00E375BC" w:rsidRDefault="0024032F" w:rsidP="00764D9C">
                            <w:pPr>
                              <w:pStyle w:val="tekstzboku"/>
                              <w:rPr>
                                <w:lang w:val="en-GB"/>
                              </w:rPr>
                            </w:pPr>
                            <w:r w:rsidRPr="00907638">
                              <w:rPr>
                                <w:lang w:val="en-GB"/>
                              </w:rPr>
                              <w:t xml:space="preserve">The structure and level of </w:t>
                            </w:r>
                            <w:r>
                              <w:rPr>
                                <w:lang w:val="en-GB"/>
                              </w:rPr>
                              <w:t>expenditure</w:t>
                            </w:r>
                            <w:r w:rsidRPr="00907638">
                              <w:rPr>
                                <w:lang w:val="en-GB"/>
                              </w:rPr>
                              <w:t xml:space="preserve"> changed </w:t>
                            </w:r>
                            <w:r>
                              <w:rPr>
                                <w:lang w:val="en-GB"/>
                              </w:rPr>
                              <w:t>as a result</w:t>
                            </w:r>
                            <w:r w:rsidRPr="00907638">
                              <w:rPr>
                                <w:lang w:val="en-GB"/>
                              </w:rPr>
                              <w:t xml:space="preserve"> of the COVID-19 pandemic and the related restrictions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94F90" id="_x0000_t202" coordsize="21600,21600" o:spt="202" path="m,l,21600r21600,l21600,xe">
                <v:stroke joinstyle="miter"/>
                <v:path gradientshapeok="t" o:connecttype="rect"/>
              </v:shapetype>
              <v:shape id="Pole tekstowe 227" o:spid="_x0000_s1026" type="#_x0000_t202" style="position:absolute;margin-left:411pt;margin-top:26.2pt;width:135.85pt;height:222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" filled="f" stroked="f">
                <v:textbox>
                  <w:txbxContent>
                    <w:p w14:paraId="7EE95008" w14:textId="77777777" w:rsidR="0024032F" w:rsidRPr="00E375BC" w:rsidRDefault="0024032F" w:rsidP="00764D9C">
                      <w:pPr>
                        <w:pStyle w:val="tekstzboku"/>
                        <w:rPr>
                          <w:lang w:val="en-GB"/>
                        </w:rPr>
                      </w:pPr>
                      <w:r w:rsidRPr="004968D1">
                        <w:rPr>
                          <w:lang w:val="en-GB"/>
                        </w:rPr>
                        <w:t xml:space="preserve">In 2020, the income situation of households </w:t>
                      </w:r>
                      <w:r>
                        <w:rPr>
                          <w:lang w:val="en-GB"/>
                        </w:rPr>
                        <w:t xml:space="preserve">slightly </w:t>
                      </w:r>
                      <w:r w:rsidRPr="004968D1">
                        <w:rPr>
                          <w:lang w:val="en-GB"/>
                        </w:rPr>
                        <w:t xml:space="preserve">improved, </w:t>
                      </w:r>
                      <w:r>
                        <w:rPr>
                          <w:lang w:val="en-GB"/>
                        </w:rPr>
                        <w:t>however,</w:t>
                      </w:r>
                      <w:r w:rsidRPr="004968D1">
                        <w:rPr>
                          <w:lang w:val="en-GB"/>
                        </w:rPr>
                        <w:t xml:space="preserve"> the dynamics of changes was lower than in the previous year</w:t>
                      </w:r>
                    </w:p>
                    <w:p w14:paraId="7EE95009" w14:textId="77777777" w:rsidR="0024032F" w:rsidRDefault="0024032F" w:rsidP="00764D9C">
                      <w:pPr>
                        <w:pStyle w:val="tekstzboku"/>
                        <w:rPr>
                          <w:lang w:val="en-GB"/>
                        </w:rPr>
                      </w:pPr>
                    </w:p>
                    <w:p w14:paraId="7EE9500A" w14:textId="77777777" w:rsidR="0024032F" w:rsidRPr="00E375BC" w:rsidRDefault="0024032F" w:rsidP="00764D9C">
                      <w:pPr>
                        <w:pStyle w:val="tekstzboku"/>
                        <w:rPr>
                          <w:lang w:val="en-GB"/>
                        </w:rPr>
                      </w:pPr>
                      <w:r w:rsidRPr="00907638">
                        <w:rPr>
                          <w:lang w:val="en-GB"/>
                        </w:rPr>
                        <w:t xml:space="preserve">The structure and level of </w:t>
                      </w:r>
                      <w:r>
                        <w:rPr>
                          <w:lang w:val="en-GB"/>
                        </w:rPr>
                        <w:t>expenditure</w:t>
                      </w:r>
                      <w:r w:rsidRPr="00907638">
                        <w:rPr>
                          <w:lang w:val="en-GB"/>
                        </w:rPr>
                        <w:t xml:space="preserve"> changed </w:t>
                      </w:r>
                      <w:r>
                        <w:rPr>
                          <w:lang w:val="en-GB"/>
                        </w:rPr>
                        <w:t>as a result</w:t>
                      </w:r>
                      <w:r w:rsidRPr="00907638">
                        <w:rPr>
                          <w:lang w:val="en-GB"/>
                        </w:rPr>
                        <w:t xml:space="preserve"> of the COVID-19 pandemic and the related restrictions</w:t>
                      </w:r>
                    </w:p>
                  </w:txbxContent>
                </v:textbox>
                <w10:wrap type="tight"/>
              </v:shape>
            </w:pict>
          </mc:Fallback>
        </mc:AlternateContent>
      </w:r>
    </w:p>
    <w:p w14:paraId="7EE94DB6" w14:textId="77777777" w:rsidR="00764D9C" w:rsidRDefault="0080273B" w:rsidP="00D43603">
      <w:pPr>
        <w:pStyle w:val="LID"/>
        <w:rPr>
          <w:lang w:val="en-GB"/>
        </w:rPr>
      </w:pPr>
      <w:r>
        <mc:AlternateContent>
          <mc:Choice Requires="wps">
            <w:drawing>
              <wp:anchor distT="45720" distB="45720" distL="114300" distR="114300" simplePos="0" relativeHeight="251799552" behindDoc="0" locked="0" layoutInCell="1" allowOverlap="1" wp14:anchorId="7EE94F92" wp14:editId="7EE94F93">
                <wp:simplePos x="0" y="0"/>
                <wp:positionH relativeFrom="margin">
                  <wp:align>left</wp:align>
                </wp:positionH>
                <wp:positionV relativeFrom="paragraph">
                  <wp:posOffset>80645</wp:posOffset>
                </wp:positionV>
                <wp:extent cx="1828800" cy="1669415"/>
                <wp:effectExtent l="0" t="0" r="0" b="0"/>
                <wp:wrapSquare wrapText="bothSides"/>
                <wp:docPr id="226" name="Pole tekstowe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69415"/>
                        </a:xfrm>
                        <a:prstGeom prst="rect">
                          <a:avLst/>
                        </a:prstGeom>
                        <a:solidFill>
                          <a:srgbClr val="001D77"/>
                        </a:solidFill>
                        <a:ln w="9525">
                          <a:noFill/>
                          <a:miter lim="800000"/>
                          <a:headEnd/>
                          <a:tailEnd/>
                        </a:ln>
                      </wps:spPr>
                      <wps:txbx>
                        <w:txbxContent>
                          <w:p w14:paraId="7EE9500B" w14:textId="77777777" w:rsidR="0024032F" w:rsidRPr="007E2F9C" w:rsidRDefault="0024032F" w:rsidP="00764D9C">
                            <w:pPr>
                              <w:spacing w:after="0" w:line="240" w:lineRule="auto"/>
                              <w:rPr>
                                <w:rFonts w:ascii="Fira Sans SemiBold" w:hAnsi="Fira Sans SemiBold"/>
                                <w:color w:val="FFFFFF"/>
                                <w:sz w:val="72"/>
                                <w:lang w:val="en-GB"/>
                              </w:rPr>
                            </w:pPr>
                            <w:r>
                              <w:rPr>
                                <w:rFonts w:ascii="Fira Sans Light" w:hAnsi="Fira Sans Light"/>
                                <w:b/>
                                <w:i/>
                                <w:noProof/>
                                <w:color w:val="001D77"/>
                                <w:sz w:val="22"/>
                                <w:lang w:eastAsia="pl-PL"/>
                              </w:rPr>
                              <w:drawing>
                                <wp:inline distT="0" distB="0" distL="0" distR="0" wp14:anchorId="7EE9503E" wp14:editId="7EE9503F">
                                  <wp:extent cx="342900" cy="3429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E2F9C">
                              <w:rPr>
                                <w:i/>
                                <w:noProof/>
                                <w:color w:val="001D77"/>
                                <w:lang w:val="en-GB" w:eastAsia="pl-PL"/>
                              </w:rPr>
                              <w:t xml:space="preserve"> </w:t>
                            </w:r>
                            <w:r>
                              <w:rPr>
                                <w:rFonts w:ascii="Fira Sans SemiBold" w:hAnsi="Fira Sans SemiBold"/>
                                <w:color w:val="FFFFFF"/>
                                <w:sz w:val="72"/>
                                <w:lang w:val="en-GB"/>
                              </w:rPr>
                              <w:t>2.</w:t>
                            </w:r>
                            <w:r w:rsidRPr="007E2F9C">
                              <w:rPr>
                                <w:rFonts w:ascii="Fira Sans SemiBold" w:hAnsi="Fira Sans SemiBold"/>
                                <w:color w:val="FFFFFF"/>
                                <w:sz w:val="72"/>
                                <w:lang w:val="en-GB"/>
                              </w:rPr>
                              <w:t>0%</w:t>
                            </w:r>
                          </w:p>
                          <w:p w14:paraId="7EE9500C" w14:textId="77777777" w:rsidR="0024032F" w:rsidRPr="00DB4ED6" w:rsidRDefault="0024032F" w:rsidP="00764D9C">
                            <w:pPr>
                              <w:pStyle w:val="tekstnaniebieskimtle"/>
                              <w:rPr>
                                <w:color w:val="FFFFFF"/>
                                <w:sz w:val="18"/>
                                <w:szCs w:val="20"/>
                                <w:lang w:val="en-GB"/>
                              </w:rPr>
                            </w:pPr>
                            <w:r w:rsidRPr="00DB4ED6">
                              <w:rPr>
                                <w:lang w:val="en-GB"/>
                              </w:rPr>
                              <w:t>The increase of the average monthly a</w:t>
                            </w:r>
                            <w:r>
                              <w:rPr>
                                <w:lang w:val="en-GB"/>
                              </w:rPr>
                              <w:t xml:space="preserve">vailable income per capita in </w:t>
                            </w:r>
                            <w:r w:rsidRPr="00DB4ED6">
                              <w:rPr>
                                <w:lang w:val="en-GB"/>
                              </w:rPr>
                              <w:t>households</w:t>
                            </w:r>
                            <w:r>
                              <w:rPr>
                                <w:lang w:val="en-GB"/>
                              </w:rPr>
                              <w:t xml:space="preserve"> in 2020 – in real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92" id="Pole tekstowe 226" o:spid="_x0000_s1027" type="#_x0000_t202" style="position:absolute;margin-left:0;margin-top:6.35pt;width:2in;height:131.45pt;z-index:251799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" fillcolor="#001d77" stroked="f">
                <v:textbox>
                  <w:txbxContent>
                    <w:p w14:paraId="7EE9500B" w14:textId="77777777" w:rsidR="0024032F" w:rsidRPr="007E2F9C" w:rsidRDefault="0024032F" w:rsidP="00764D9C">
                      <w:pPr>
                        <w:spacing w:after="0" w:line="240" w:lineRule="auto"/>
                        <w:rPr>
                          <w:rFonts w:ascii="Fira Sans SemiBold" w:hAnsi="Fira Sans SemiBold"/>
                          <w:color w:val="FFFFFF"/>
                          <w:sz w:val="72"/>
                          <w:lang w:val="en-GB"/>
                        </w:rPr>
                      </w:pPr>
                      <w:r>
                        <w:rPr>
                          <w:rFonts w:ascii="Fira Sans Light" w:hAnsi="Fira Sans Light"/>
                          <w:b/>
                          <w:i/>
                          <w:noProof/>
                          <w:color w:val="001D77"/>
                          <w:sz w:val="22"/>
                          <w:lang w:eastAsia="pl-PL"/>
                        </w:rPr>
                        <w:drawing>
                          <wp:inline distT="0" distB="0" distL="0" distR="0" wp14:anchorId="7EE9503E" wp14:editId="7EE9503F">
                            <wp:extent cx="342900" cy="3429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7E2F9C">
                        <w:rPr>
                          <w:i/>
                          <w:noProof/>
                          <w:color w:val="001D77"/>
                          <w:lang w:val="en-GB" w:eastAsia="pl-PL"/>
                        </w:rPr>
                        <w:t xml:space="preserve"> </w:t>
                      </w:r>
                      <w:r>
                        <w:rPr>
                          <w:rFonts w:ascii="Fira Sans SemiBold" w:hAnsi="Fira Sans SemiBold"/>
                          <w:color w:val="FFFFFF"/>
                          <w:sz w:val="72"/>
                          <w:lang w:val="en-GB"/>
                        </w:rPr>
                        <w:t>2.</w:t>
                      </w:r>
                      <w:r w:rsidRPr="007E2F9C">
                        <w:rPr>
                          <w:rFonts w:ascii="Fira Sans SemiBold" w:hAnsi="Fira Sans SemiBold"/>
                          <w:color w:val="FFFFFF"/>
                          <w:sz w:val="72"/>
                          <w:lang w:val="en-GB"/>
                        </w:rPr>
                        <w:t>0%</w:t>
                      </w:r>
                    </w:p>
                    <w:p w14:paraId="7EE9500C" w14:textId="77777777" w:rsidR="0024032F" w:rsidRPr="00DB4ED6" w:rsidRDefault="0024032F" w:rsidP="00764D9C">
                      <w:pPr>
                        <w:pStyle w:val="tekstnaniebieskimtle"/>
                        <w:rPr>
                          <w:color w:val="FFFFFF"/>
                          <w:sz w:val="18"/>
                          <w:szCs w:val="20"/>
                          <w:lang w:val="en-GB"/>
                        </w:rPr>
                      </w:pPr>
                      <w:r w:rsidRPr="00DB4ED6">
                        <w:rPr>
                          <w:lang w:val="en-GB"/>
                        </w:rPr>
                        <w:t>The increase of the average monthly a</w:t>
                      </w:r>
                      <w:r>
                        <w:rPr>
                          <w:lang w:val="en-GB"/>
                        </w:rPr>
                        <w:t xml:space="preserve">vailable income per capita in </w:t>
                      </w:r>
                      <w:r w:rsidRPr="00DB4ED6">
                        <w:rPr>
                          <w:lang w:val="en-GB"/>
                        </w:rPr>
                        <w:t>households</w:t>
                      </w:r>
                      <w:r>
                        <w:rPr>
                          <w:lang w:val="en-GB"/>
                        </w:rPr>
                        <w:t xml:space="preserve"> in 2020 – in real terms</w:t>
                      </w:r>
                    </w:p>
                  </w:txbxContent>
                </v:textbox>
                <w10:wrap type="square" anchorx="margin"/>
              </v:shape>
            </w:pict>
          </mc:Fallback>
        </mc:AlternateContent>
      </w:r>
      <w:r w:rsidR="00B26E28" w:rsidRPr="001075EA">
        <w:rPr>
          <w:lang w:val="en-GB"/>
        </w:rPr>
        <w:t>In 20</w:t>
      </w:r>
      <w:r w:rsidR="00EC7A9B">
        <w:rPr>
          <w:lang w:val="en-GB"/>
        </w:rPr>
        <w:t>20</w:t>
      </w:r>
      <w:r w:rsidR="00035A6C">
        <w:rPr>
          <w:lang w:val="en-GB"/>
        </w:rPr>
        <w:t xml:space="preserve">, </w:t>
      </w:r>
      <w:r w:rsidR="009A40BA">
        <w:rPr>
          <w:lang w:val="en-GB"/>
        </w:rPr>
        <w:t>the financial</w:t>
      </w:r>
      <w:r w:rsidR="00035A6C">
        <w:rPr>
          <w:lang w:val="en-GB"/>
        </w:rPr>
        <w:t xml:space="preserve"> situation of households </w:t>
      </w:r>
      <w:r w:rsidR="009A40BA">
        <w:rPr>
          <w:lang w:val="en-GB"/>
        </w:rPr>
        <w:t>slightly improved despite</w:t>
      </w:r>
      <w:r w:rsidR="00035A6C">
        <w:rPr>
          <w:lang w:val="en-GB"/>
        </w:rPr>
        <w:t xml:space="preserve"> </w:t>
      </w:r>
      <w:r w:rsidR="005416A7">
        <w:rPr>
          <w:lang w:val="en-GB"/>
        </w:rPr>
        <w:t>the</w:t>
      </w:r>
      <w:r w:rsidR="00035A6C">
        <w:rPr>
          <w:lang w:val="en-GB"/>
        </w:rPr>
        <w:t xml:space="preserve"> COVID-19 pandem</w:t>
      </w:r>
      <w:r w:rsidR="00D43603">
        <w:rPr>
          <w:lang w:val="en-GB"/>
        </w:rPr>
        <w:t>ic</w:t>
      </w:r>
      <w:r w:rsidR="00D43603">
        <w:rPr>
          <w:rStyle w:val="Odwoanieprzypisudolnego"/>
          <w:rFonts w:cs="Arial"/>
          <w:lang w:val="en-GB"/>
        </w:rPr>
        <w:footnoteReference w:id="1"/>
      </w:r>
      <w:r w:rsidR="00035A6C">
        <w:rPr>
          <w:lang w:val="en-GB"/>
        </w:rPr>
        <w:t xml:space="preserve">, </w:t>
      </w:r>
      <w:r w:rsidR="009A40BA" w:rsidRPr="009A40BA">
        <w:rPr>
          <w:lang w:val="en-GB"/>
        </w:rPr>
        <w:t>which had a</w:t>
      </w:r>
      <w:r w:rsidR="000B61D1">
        <w:rPr>
          <w:lang w:val="en-GB"/>
        </w:rPr>
        <w:t> </w:t>
      </w:r>
      <w:r w:rsidR="009A40BA" w:rsidRPr="009A40BA">
        <w:rPr>
          <w:lang w:val="en-GB"/>
        </w:rPr>
        <w:t>significant impact on the level and structure of expenditure</w:t>
      </w:r>
      <w:r w:rsidR="009A40BA">
        <w:rPr>
          <w:lang w:val="en-GB"/>
        </w:rPr>
        <w:t xml:space="preserve"> in particular</w:t>
      </w:r>
      <w:r w:rsidR="00035A6C">
        <w:rPr>
          <w:lang w:val="en-GB"/>
        </w:rPr>
        <w:t xml:space="preserve">. </w:t>
      </w:r>
      <w:r w:rsidR="006D0A0D" w:rsidRPr="005C7565">
        <w:rPr>
          <w:lang w:val="en-GB"/>
        </w:rPr>
        <w:t>Hous</w:t>
      </w:r>
      <w:r w:rsidR="00B26E28" w:rsidRPr="005C7565">
        <w:rPr>
          <w:lang w:val="en-GB"/>
        </w:rPr>
        <w:t>eholds reached higher income</w:t>
      </w:r>
      <w:r w:rsidR="004968D1">
        <w:rPr>
          <w:lang w:val="en-GB"/>
        </w:rPr>
        <w:t>, but in</w:t>
      </w:r>
      <w:r w:rsidR="00B26E28" w:rsidRPr="005C7565">
        <w:rPr>
          <w:lang w:val="en-GB"/>
        </w:rPr>
        <w:t xml:space="preserve"> comparison with </w:t>
      </w:r>
      <w:r w:rsidR="004968D1">
        <w:rPr>
          <w:lang w:val="en-GB"/>
        </w:rPr>
        <w:t>previous year</w:t>
      </w:r>
      <w:r w:rsidR="00B26E28" w:rsidRPr="005C7565">
        <w:rPr>
          <w:lang w:val="en-GB"/>
        </w:rPr>
        <w:t xml:space="preserve"> spent </w:t>
      </w:r>
      <w:r w:rsidR="0024032F">
        <w:rPr>
          <w:lang w:val="en-GB"/>
        </w:rPr>
        <w:t>notic</w:t>
      </w:r>
      <w:r w:rsidR="002C087F">
        <w:rPr>
          <w:lang w:val="en-GB"/>
        </w:rPr>
        <w:t>eably</w:t>
      </w:r>
      <w:r w:rsidR="00B26E28" w:rsidRPr="005C7565">
        <w:rPr>
          <w:lang w:val="en-GB"/>
        </w:rPr>
        <w:t xml:space="preserve"> </w:t>
      </w:r>
      <w:r w:rsidR="004968D1">
        <w:rPr>
          <w:lang w:val="en-GB"/>
        </w:rPr>
        <w:t>less</w:t>
      </w:r>
      <w:r w:rsidR="00B26E28" w:rsidRPr="005C7565">
        <w:rPr>
          <w:lang w:val="en-GB"/>
        </w:rPr>
        <w:t xml:space="preserve">. </w:t>
      </w:r>
      <w:r w:rsidR="009A40BA">
        <w:rPr>
          <w:lang w:val="en-GB"/>
        </w:rPr>
        <w:t>Expenditure</w:t>
      </w:r>
      <w:r w:rsidR="009A40BA" w:rsidRPr="009A40BA">
        <w:rPr>
          <w:lang w:val="en-GB"/>
        </w:rPr>
        <w:t xml:space="preserve"> changed in response to the dynamics and constraints of the pandemic.</w:t>
      </w:r>
      <w:r w:rsidR="00B26E28" w:rsidRPr="005C7565">
        <w:rPr>
          <w:lang w:val="en-GB"/>
        </w:rPr>
        <w:t xml:space="preserve">The </w:t>
      </w:r>
      <w:r w:rsidR="002C087F">
        <w:rPr>
          <w:lang w:val="en-GB"/>
        </w:rPr>
        <w:t xml:space="preserve">level of </w:t>
      </w:r>
      <w:r w:rsidR="00B26E28" w:rsidRPr="005C7565">
        <w:rPr>
          <w:lang w:val="en-GB"/>
        </w:rPr>
        <w:t>average monthly available income per capita in 20</w:t>
      </w:r>
      <w:r w:rsidR="004968D1">
        <w:rPr>
          <w:lang w:val="en-GB"/>
        </w:rPr>
        <w:t>20</w:t>
      </w:r>
      <w:r w:rsidR="00B26E28" w:rsidRPr="005C7565">
        <w:rPr>
          <w:lang w:val="en-GB"/>
        </w:rPr>
        <w:t xml:space="preserve"> rounded up to 1 PLN, amounted to PLN 1</w:t>
      </w:r>
      <w:r w:rsidR="004968D1">
        <w:rPr>
          <w:lang w:val="en-GB"/>
        </w:rPr>
        <w:t>9</w:t>
      </w:r>
      <w:r w:rsidR="00B26E28" w:rsidRPr="005C7565">
        <w:rPr>
          <w:lang w:val="en-GB"/>
        </w:rPr>
        <w:t xml:space="preserve">19 </w:t>
      </w:r>
      <w:r w:rsidR="0099545C" w:rsidRPr="005C7565">
        <w:rPr>
          <w:lang w:val="en-GB"/>
        </w:rPr>
        <w:t>and in real terms it was higher</w:t>
      </w:r>
      <w:r w:rsidR="009A40BA">
        <w:rPr>
          <w:lang w:val="en-GB"/>
        </w:rPr>
        <w:t xml:space="preserve"> by 2</w:t>
      </w:r>
      <w:r w:rsidR="009A40BA" w:rsidRPr="005C7565">
        <w:rPr>
          <w:lang w:val="en-GB"/>
        </w:rPr>
        <w:t xml:space="preserve">.0% </w:t>
      </w:r>
      <w:r w:rsidR="009A40BA">
        <w:rPr>
          <w:lang w:val="en-GB"/>
        </w:rPr>
        <w:t>(by 5</w:t>
      </w:r>
      <w:r w:rsidR="00BB1E25">
        <w:rPr>
          <w:lang w:val="en-GB"/>
        </w:rPr>
        <w:t>.</w:t>
      </w:r>
      <w:r w:rsidR="009A40BA">
        <w:rPr>
          <w:lang w:val="en-GB"/>
        </w:rPr>
        <w:t xml:space="preserve">4% in nominal terms) </w:t>
      </w:r>
      <w:r w:rsidR="0099545C" w:rsidRPr="005C7565">
        <w:rPr>
          <w:lang w:val="en-GB"/>
        </w:rPr>
        <w:t>than the income in 201</w:t>
      </w:r>
      <w:r w:rsidR="004968D1">
        <w:rPr>
          <w:lang w:val="en-GB"/>
        </w:rPr>
        <w:t>9</w:t>
      </w:r>
      <w:r w:rsidR="0099545C" w:rsidRPr="005C7565">
        <w:rPr>
          <w:lang w:val="en-GB"/>
        </w:rPr>
        <w:t xml:space="preserve">. </w:t>
      </w:r>
      <w:r w:rsidR="002C087F">
        <w:rPr>
          <w:lang w:val="en-GB"/>
        </w:rPr>
        <w:t xml:space="preserve">Thereby </w:t>
      </w:r>
      <w:r w:rsidR="002C087F" w:rsidRPr="002C087F">
        <w:rPr>
          <w:lang w:val="en-GB"/>
        </w:rPr>
        <w:t xml:space="preserve">the upward trend in </w:t>
      </w:r>
      <w:r w:rsidR="00475671">
        <w:rPr>
          <w:lang w:val="en-GB"/>
        </w:rPr>
        <w:t>available</w:t>
      </w:r>
      <w:r w:rsidR="002C087F" w:rsidRPr="002C087F">
        <w:rPr>
          <w:lang w:val="en-GB"/>
        </w:rPr>
        <w:t xml:space="preserve"> income was maintained, but its dynamics slowed down.</w:t>
      </w:r>
      <w:r w:rsidR="002C087F">
        <w:rPr>
          <w:lang w:val="en-GB"/>
        </w:rPr>
        <w:t xml:space="preserve"> </w:t>
      </w:r>
      <w:r w:rsidR="0099545C" w:rsidRPr="005C7565">
        <w:rPr>
          <w:lang w:val="en-GB"/>
        </w:rPr>
        <w:t>The average monthly expenditure per capita in households in 20</w:t>
      </w:r>
      <w:r w:rsidR="004968D1">
        <w:rPr>
          <w:lang w:val="en-GB"/>
        </w:rPr>
        <w:t>20</w:t>
      </w:r>
      <w:r w:rsidR="0099545C" w:rsidRPr="005C7565">
        <w:rPr>
          <w:lang w:val="en-GB"/>
        </w:rPr>
        <w:t xml:space="preserve"> amounted to PLN 12</w:t>
      </w:r>
      <w:r w:rsidR="004968D1">
        <w:rPr>
          <w:lang w:val="en-GB"/>
        </w:rPr>
        <w:t>10</w:t>
      </w:r>
      <w:r w:rsidR="0099545C" w:rsidRPr="005C7565">
        <w:rPr>
          <w:lang w:val="en-GB"/>
        </w:rPr>
        <w:t xml:space="preserve"> and in real terms it was </w:t>
      </w:r>
      <w:r w:rsidR="009A40BA">
        <w:rPr>
          <w:lang w:val="en-GB"/>
        </w:rPr>
        <w:t>lower</w:t>
      </w:r>
      <w:r w:rsidR="009A40BA" w:rsidRPr="005C7565">
        <w:rPr>
          <w:lang w:val="en-GB"/>
        </w:rPr>
        <w:t xml:space="preserve"> </w:t>
      </w:r>
      <w:r w:rsidR="009A40BA">
        <w:rPr>
          <w:lang w:val="en-GB"/>
        </w:rPr>
        <w:t xml:space="preserve">by </w:t>
      </w:r>
      <w:r w:rsidR="004968D1">
        <w:rPr>
          <w:lang w:val="en-GB"/>
        </w:rPr>
        <w:t>6.5</w:t>
      </w:r>
      <w:r w:rsidR="0099545C" w:rsidRPr="005C7565">
        <w:rPr>
          <w:lang w:val="en-GB"/>
        </w:rPr>
        <w:t xml:space="preserve">% </w:t>
      </w:r>
      <w:r w:rsidR="009A40BA">
        <w:rPr>
          <w:lang w:val="en-GB"/>
        </w:rPr>
        <w:t>(by 3</w:t>
      </w:r>
      <w:r w:rsidR="00BB1E25">
        <w:rPr>
          <w:lang w:val="en-GB"/>
        </w:rPr>
        <w:t>.</w:t>
      </w:r>
      <w:r w:rsidR="009A40BA">
        <w:rPr>
          <w:lang w:val="en-GB"/>
        </w:rPr>
        <w:t xml:space="preserve">4% in nominal terms) </w:t>
      </w:r>
      <w:r w:rsidR="0081537D" w:rsidRPr="005C7565">
        <w:rPr>
          <w:lang w:val="en-GB"/>
        </w:rPr>
        <w:t xml:space="preserve">than </w:t>
      </w:r>
      <w:r w:rsidR="002C087F">
        <w:rPr>
          <w:lang w:val="en-GB"/>
        </w:rPr>
        <w:t xml:space="preserve">expenditure </w:t>
      </w:r>
      <w:r w:rsidR="0081537D" w:rsidRPr="005C7565">
        <w:rPr>
          <w:lang w:val="en-GB"/>
        </w:rPr>
        <w:t>in 201</w:t>
      </w:r>
      <w:r w:rsidR="004968D1">
        <w:rPr>
          <w:lang w:val="en-GB"/>
        </w:rPr>
        <w:t>9</w:t>
      </w:r>
      <w:r w:rsidR="0081537D" w:rsidRPr="005C7565">
        <w:rPr>
          <w:lang w:val="en-GB"/>
        </w:rPr>
        <w:t>. Expenditure</w:t>
      </w:r>
      <w:r w:rsidR="0099545C" w:rsidRPr="005C7565">
        <w:rPr>
          <w:lang w:val="en-GB"/>
        </w:rPr>
        <w:t xml:space="preserve"> on consumer goods and services amounted t</w:t>
      </w:r>
      <w:r w:rsidR="006D0A0D" w:rsidRPr="005C7565">
        <w:rPr>
          <w:lang w:val="en-GB"/>
        </w:rPr>
        <w:t xml:space="preserve">o PLN </w:t>
      </w:r>
      <w:r w:rsidR="004968D1">
        <w:rPr>
          <w:lang w:val="en-GB"/>
        </w:rPr>
        <w:t>1165</w:t>
      </w:r>
      <w:r w:rsidR="006D0A0D" w:rsidRPr="005C7565">
        <w:rPr>
          <w:lang w:val="en-GB"/>
        </w:rPr>
        <w:t xml:space="preserve"> and </w:t>
      </w:r>
      <w:r w:rsidR="002C087F" w:rsidRPr="001075EA">
        <w:rPr>
          <w:lang w:val="en-GB"/>
        </w:rPr>
        <w:t>in real terms</w:t>
      </w:r>
      <w:r w:rsidR="002C087F" w:rsidRPr="005C7565">
        <w:rPr>
          <w:lang w:val="en-GB"/>
        </w:rPr>
        <w:t xml:space="preserve"> </w:t>
      </w:r>
      <w:r w:rsidR="00941240">
        <w:rPr>
          <w:lang w:val="en-GB"/>
        </w:rPr>
        <w:t xml:space="preserve">it </w:t>
      </w:r>
      <w:r w:rsidR="002C087F" w:rsidRPr="001075EA">
        <w:rPr>
          <w:lang w:val="en-GB"/>
        </w:rPr>
        <w:t xml:space="preserve">was </w:t>
      </w:r>
      <w:r w:rsidR="00941240">
        <w:rPr>
          <w:lang w:val="en-GB"/>
        </w:rPr>
        <w:t>lower</w:t>
      </w:r>
      <w:r w:rsidR="00941240" w:rsidRPr="005C7565">
        <w:rPr>
          <w:lang w:val="en-GB"/>
        </w:rPr>
        <w:t xml:space="preserve"> </w:t>
      </w:r>
      <w:r w:rsidR="00201763">
        <w:rPr>
          <w:lang w:val="en-GB"/>
        </w:rPr>
        <w:t xml:space="preserve">by </w:t>
      </w:r>
      <w:r w:rsidR="002C087F">
        <w:rPr>
          <w:lang w:val="en-GB"/>
        </w:rPr>
        <w:t>6.2</w:t>
      </w:r>
      <w:r w:rsidR="002C087F" w:rsidRPr="001075EA">
        <w:rPr>
          <w:lang w:val="en-GB"/>
        </w:rPr>
        <w:t xml:space="preserve">% </w:t>
      </w:r>
      <w:r w:rsidR="00AC0BBF">
        <w:rPr>
          <w:lang w:val="en-GB"/>
        </w:rPr>
        <w:t xml:space="preserve">(by 3.0% in nominal terms) </w:t>
      </w:r>
      <w:r w:rsidR="006D0A0D" w:rsidRPr="005C7565">
        <w:rPr>
          <w:lang w:val="en-GB"/>
        </w:rPr>
        <w:t>in comparis</w:t>
      </w:r>
      <w:r w:rsidR="00E31FA7" w:rsidRPr="005C7565">
        <w:rPr>
          <w:lang w:val="en-GB"/>
        </w:rPr>
        <w:t>on</w:t>
      </w:r>
      <w:r w:rsidR="00E31FA7" w:rsidRPr="00E629C6">
        <w:rPr>
          <w:lang w:val="en-GB"/>
        </w:rPr>
        <w:t xml:space="preserve"> wit</w:t>
      </w:r>
      <w:r w:rsidR="00E31FA7" w:rsidRPr="001075EA">
        <w:rPr>
          <w:lang w:val="en-GB"/>
        </w:rPr>
        <w:t>h</w:t>
      </w:r>
      <w:r w:rsidR="0099545C" w:rsidRPr="001075EA">
        <w:rPr>
          <w:lang w:val="en-GB"/>
        </w:rPr>
        <w:t xml:space="preserve"> 201</w:t>
      </w:r>
      <w:r w:rsidR="004968D1">
        <w:rPr>
          <w:lang w:val="en-GB"/>
        </w:rPr>
        <w:t>9</w:t>
      </w:r>
      <w:r w:rsidR="0099545C" w:rsidRPr="001075EA">
        <w:rPr>
          <w:lang w:val="en-GB"/>
        </w:rPr>
        <w:t>.</w:t>
      </w:r>
      <w:r w:rsidR="00764D9C" w:rsidRPr="00F27CAF">
        <w:rPr>
          <w:rStyle w:val="Odwoanieprzypisudolnego"/>
          <w:color w:val="FFFFFF" w:themeColor="background1"/>
          <w:shd w:val="clear" w:color="auto" w:fill="FFFFFF"/>
        </w:rPr>
        <w:footnoteReference w:id="2"/>
      </w:r>
      <w:r w:rsidR="002C087F" w:rsidRPr="002C087F">
        <w:rPr>
          <w:lang w:val="en-GB"/>
        </w:rPr>
        <w:t xml:space="preserve">At the same time, expenditure on food and </w:t>
      </w:r>
      <w:r w:rsidR="00D43603" w:rsidRPr="00886200">
        <w:rPr>
          <w:lang w:val="en-GB"/>
        </w:rPr>
        <w:t>non-</w:t>
      </w:r>
      <w:r w:rsidR="002C087F" w:rsidRPr="002C087F">
        <w:rPr>
          <w:lang w:val="en-GB"/>
        </w:rPr>
        <w:t xml:space="preserve">alcoholic beverages, as well as </w:t>
      </w:r>
      <w:r w:rsidR="00D43603" w:rsidRPr="00D43603">
        <w:rPr>
          <w:lang w:val="en-GB"/>
        </w:rPr>
        <w:t>housing, water, electricity,</w:t>
      </w:r>
      <w:r w:rsidR="00D43603">
        <w:rPr>
          <w:lang w:val="en-GB"/>
        </w:rPr>
        <w:t xml:space="preserve"> </w:t>
      </w:r>
      <w:r w:rsidR="00D43603" w:rsidRPr="00D43603">
        <w:rPr>
          <w:lang w:val="en-GB"/>
        </w:rPr>
        <w:t xml:space="preserve">gas and other fuels </w:t>
      </w:r>
      <w:r w:rsidR="002C087F" w:rsidRPr="002C087F">
        <w:rPr>
          <w:lang w:val="en-GB"/>
        </w:rPr>
        <w:t xml:space="preserve">(which have the highest share in the expenditure structure) increased </w:t>
      </w:r>
      <w:r w:rsidR="00D43603">
        <w:rPr>
          <w:lang w:val="en-GB"/>
        </w:rPr>
        <w:t xml:space="preserve">in </w:t>
      </w:r>
      <w:r w:rsidR="00C1087A">
        <w:rPr>
          <w:lang w:val="en-GB"/>
        </w:rPr>
        <w:t>relation to</w:t>
      </w:r>
      <w:r w:rsidR="002C087F" w:rsidRPr="002C087F">
        <w:rPr>
          <w:lang w:val="en-GB"/>
        </w:rPr>
        <w:t xml:space="preserve"> 2019.</w:t>
      </w:r>
      <w:r w:rsidR="00907638">
        <w:rPr>
          <w:lang w:val="en-GB"/>
        </w:rPr>
        <w:t xml:space="preserve"> </w:t>
      </w:r>
      <w:r w:rsidR="00907638" w:rsidRPr="00907638">
        <w:rPr>
          <w:lang w:val="en-GB"/>
        </w:rPr>
        <w:t xml:space="preserve">These changes were conditioned by the changing dynamics of the COVID-19 pandemic and related </w:t>
      </w:r>
      <w:r w:rsidR="00907638">
        <w:rPr>
          <w:lang w:val="en-GB"/>
        </w:rPr>
        <w:t>restrictions</w:t>
      </w:r>
      <w:r w:rsidR="00907638" w:rsidRPr="00907638">
        <w:rPr>
          <w:lang w:val="en-GB"/>
        </w:rPr>
        <w:t>.</w:t>
      </w:r>
    </w:p>
    <w:p w14:paraId="7EE94DB7" w14:textId="77777777" w:rsidR="00907638" w:rsidRPr="00281DF7" w:rsidRDefault="00907638" w:rsidP="00D43603">
      <w:pPr>
        <w:pStyle w:val="LID"/>
        <w:rPr>
          <w:b w:val="0"/>
          <w:lang w:val="en-GB"/>
        </w:rPr>
      </w:pPr>
    </w:p>
    <w:p w14:paraId="7EE94DB8" w14:textId="77777777" w:rsidR="00764D9C" w:rsidRPr="003B33FE" w:rsidRDefault="0080273B" w:rsidP="00764D9C">
      <w:pPr>
        <w:spacing w:line="240" w:lineRule="auto"/>
        <w:rPr>
          <w:i/>
          <w:lang w:eastAsia="pl-PL"/>
        </w:rPr>
      </w:pPr>
      <w:r>
        <w:rPr>
          <w:i/>
          <w:noProof/>
          <w:lang w:eastAsia="pl-PL"/>
        </w:rPr>
        <mc:AlternateContent>
          <mc:Choice Requires="wps">
            <w:drawing>
              <wp:anchor distT="45720" distB="45720" distL="114300" distR="114300" simplePos="0" relativeHeight="251810816" behindDoc="1" locked="0" layoutInCell="1" allowOverlap="1" wp14:anchorId="7EE94F94" wp14:editId="7EE94F95">
                <wp:simplePos x="0" y="0"/>
                <wp:positionH relativeFrom="column">
                  <wp:posOffset>5227955</wp:posOffset>
                </wp:positionH>
                <wp:positionV relativeFrom="paragraph">
                  <wp:posOffset>1319530</wp:posOffset>
                </wp:positionV>
                <wp:extent cx="1769110" cy="820420"/>
                <wp:effectExtent l="0" t="0" r="0" b="0"/>
                <wp:wrapTight wrapText="bothSides">
                  <wp:wrapPolygon edited="0">
                    <wp:start x="698" y="0"/>
                    <wp:lineTo x="698" y="21065"/>
                    <wp:lineTo x="20701" y="21065"/>
                    <wp:lineTo x="20701" y="0"/>
                    <wp:lineTo x="698" y="0"/>
                  </wp:wrapPolygon>
                </wp:wrapTight>
                <wp:docPr id="224" name="Pole tekstowe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820420"/>
                        </a:xfrm>
                        <a:prstGeom prst="rect">
                          <a:avLst/>
                        </a:prstGeom>
                        <a:noFill/>
                        <a:ln w="9525">
                          <a:noFill/>
                          <a:miter lim="800000"/>
                          <a:headEnd/>
                          <a:tailEnd/>
                        </a:ln>
                      </wps:spPr>
                      <wps:txbx>
                        <w:txbxContent>
                          <w:p w14:paraId="7EE9500D" w14:textId="77777777" w:rsidR="0024032F" w:rsidRPr="00C97392" w:rsidRDefault="0024032F" w:rsidP="00764D9C">
                            <w:pPr>
                              <w:pStyle w:val="tekstzboku"/>
                              <w:rPr>
                                <w:lang w:val="en-GB"/>
                              </w:rPr>
                            </w:pPr>
                            <w:r w:rsidRPr="00C4527D">
                              <w:rPr>
                                <w:lang w:val="en-GB"/>
                              </w:rPr>
                              <w:t>In the years 2004</w:t>
                            </w:r>
                            <w:r w:rsidRPr="0024032F">
                              <w:rPr>
                                <w:lang w:val="en-GB"/>
                              </w:rPr>
                              <w:t>–</w:t>
                            </w:r>
                            <w:r w:rsidRPr="00C4527D">
                              <w:rPr>
                                <w:lang w:val="en-GB"/>
                              </w:rPr>
                              <w:t>2020</w:t>
                            </w:r>
                            <w:r>
                              <w:rPr>
                                <w:lang w:val="en-GB"/>
                              </w:rPr>
                              <w:t>,</w:t>
                            </w:r>
                            <w:r w:rsidRPr="00C4527D">
                              <w:rPr>
                                <w:lang w:val="en-GB"/>
                              </w:rPr>
                              <w:t xml:space="preserve"> the financial situation of households was </w:t>
                            </w:r>
                            <w:r>
                              <w:rPr>
                                <w:lang w:val="en-GB"/>
                              </w:rPr>
                              <w:t>systematically</w:t>
                            </w:r>
                            <w:r w:rsidRPr="00C4527D">
                              <w:rPr>
                                <w:lang w:val="en-GB"/>
                              </w:rPr>
                              <w:t xml:space="preserve"> improving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94" id="Pole tekstowe 224" o:spid="_x0000_s1028" type="#_x0000_t202" style="position:absolute;margin-left:411.65pt;margin-top:103.9pt;width:139.3pt;height:64.6pt;z-index:-25150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" filled="f" stroked="f">
                <v:textbox>
                  <w:txbxContent>
                    <w:p w14:paraId="7EE9500D" w14:textId="77777777" w:rsidR="0024032F" w:rsidRPr="00C97392" w:rsidRDefault="0024032F" w:rsidP="00764D9C">
                      <w:pPr>
                        <w:pStyle w:val="tekstzboku"/>
                        <w:rPr>
                          <w:lang w:val="en-GB"/>
                        </w:rPr>
                      </w:pPr>
                      <w:r w:rsidRPr="00C4527D">
                        <w:rPr>
                          <w:lang w:val="en-GB"/>
                        </w:rPr>
                        <w:t>In the years 2004</w:t>
                      </w:r>
                      <w:r w:rsidRPr="0024032F">
                        <w:rPr>
                          <w:lang w:val="en-GB"/>
                        </w:rPr>
                        <w:t>–</w:t>
                      </w:r>
                      <w:r w:rsidRPr="00C4527D">
                        <w:rPr>
                          <w:lang w:val="en-GB"/>
                        </w:rPr>
                        <w:t>2020</w:t>
                      </w:r>
                      <w:r>
                        <w:rPr>
                          <w:lang w:val="en-GB"/>
                        </w:rPr>
                        <w:t>,</w:t>
                      </w:r>
                      <w:r w:rsidRPr="00C4527D">
                        <w:rPr>
                          <w:lang w:val="en-GB"/>
                        </w:rPr>
                        <w:t xml:space="preserve"> the financial situation of households was </w:t>
                      </w:r>
                      <w:r>
                        <w:rPr>
                          <w:lang w:val="en-GB"/>
                        </w:rPr>
                        <w:t>systematically</w:t>
                      </w:r>
                      <w:r w:rsidRPr="00C4527D">
                        <w:rPr>
                          <w:lang w:val="en-GB"/>
                        </w:rPr>
                        <w:t xml:space="preserve"> improving </w:t>
                      </w:r>
                    </w:p>
                  </w:txbxContent>
                </v:textbox>
                <w10:wrap type="tight"/>
              </v:shape>
            </w:pict>
          </mc:Fallback>
        </mc:AlternateContent>
      </w:r>
      <w:r w:rsidR="001467C3">
        <w:rPr>
          <w:noProof/>
          <w:lang w:eastAsia="pl-PL"/>
        </w:rPr>
        <w:drawing>
          <wp:inline distT="0" distB="0" distL="0" distR="0" wp14:anchorId="7EE94F96" wp14:editId="7EE94F97">
            <wp:extent cx="5122545" cy="2962910"/>
            <wp:effectExtent l="0" t="0" r="1905" b="8890"/>
            <wp:docPr id="2" name="Wykres 2">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E94DB9" w14:textId="77777777" w:rsidR="00764D9C" w:rsidRPr="005C4DE6" w:rsidRDefault="00764D9C" w:rsidP="00764D9C">
      <w:pPr>
        <w:jc w:val="both"/>
        <w:rPr>
          <w:i/>
          <w:shd w:val="clear" w:color="auto" w:fill="FFFFFF"/>
          <w:lang w:val="en-GB"/>
        </w:rPr>
      </w:pPr>
    </w:p>
    <w:p w14:paraId="7EE94DBA" w14:textId="77777777" w:rsidR="00764D9C" w:rsidRPr="00E8284F" w:rsidRDefault="0080273B" w:rsidP="00764D9C">
      <w:pPr>
        <w:spacing w:before="240" w:line="240" w:lineRule="auto"/>
        <w:rPr>
          <w:lang w:val="en-GB"/>
        </w:rPr>
      </w:pPr>
      <w:r>
        <w:rPr>
          <w:noProof/>
          <w:lang w:eastAsia="pl-PL"/>
        </w:rPr>
        <w:lastRenderedPageBreak/>
        <mc:AlternateContent>
          <mc:Choice Requires="wps">
            <w:drawing>
              <wp:anchor distT="45720" distB="45720" distL="114300" distR="114300" simplePos="0" relativeHeight="251800576" behindDoc="1" locked="0" layoutInCell="1" allowOverlap="1" wp14:anchorId="7EE94F98" wp14:editId="7EE94F99">
                <wp:simplePos x="0" y="0"/>
                <wp:positionH relativeFrom="column">
                  <wp:posOffset>5210175</wp:posOffset>
                </wp:positionH>
                <wp:positionV relativeFrom="paragraph">
                  <wp:posOffset>104775</wp:posOffset>
                </wp:positionV>
                <wp:extent cx="1725295" cy="1102360"/>
                <wp:effectExtent l="0" t="0" r="0" b="2540"/>
                <wp:wrapTight wrapText="bothSides">
                  <wp:wrapPolygon edited="0">
                    <wp:start x="715" y="0"/>
                    <wp:lineTo x="715" y="21276"/>
                    <wp:lineTo x="20749" y="21276"/>
                    <wp:lineTo x="20749" y="0"/>
                    <wp:lineTo x="715" y="0"/>
                  </wp:wrapPolygon>
                </wp:wrapTight>
                <wp:docPr id="223" name="Pole tekstowe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02360"/>
                        </a:xfrm>
                        <a:prstGeom prst="rect">
                          <a:avLst/>
                        </a:prstGeom>
                        <a:noFill/>
                        <a:ln w="9525">
                          <a:noFill/>
                          <a:miter lim="800000"/>
                          <a:headEnd/>
                          <a:tailEnd/>
                        </a:ln>
                      </wps:spPr>
                      <wps:txbx>
                        <w:txbxContent>
                          <w:p w14:paraId="7EE9500E" w14:textId="77777777" w:rsidR="0024032F" w:rsidRPr="00A13CB9" w:rsidRDefault="0024032F" w:rsidP="00764D9C">
                            <w:pPr>
                              <w:spacing w:after="0"/>
                              <w:rPr>
                                <w:rFonts w:eastAsia="Times New Roman"/>
                                <w:bCs/>
                                <w:color w:val="001D77"/>
                                <w:sz w:val="18"/>
                                <w:szCs w:val="18"/>
                                <w:lang w:val="en-GB" w:eastAsia="pl-PL"/>
                              </w:rPr>
                            </w:pPr>
                            <w:r w:rsidRPr="00A13CB9">
                              <w:rPr>
                                <w:rFonts w:eastAsia="Times New Roman"/>
                                <w:bCs/>
                                <w:color w:val="001D77"/>
                                <w:sz w:val="18"/>
                                <w:szCs w:val="18"/>
                                <w:lang w:val="en-GB" w:eastAsia="pl-PL"/>
                              </w:rPr>
                              <w:t xml:space="preserve">Households of </w:t>
                            </w:r>
                            <w:r>
                              <w:rPr>
                                <w:rFonts w:eastAsia="Times New Roman"/>
                                <w:bCs/>
                                <w:color w:val="001D77"/>
                                <w:sz w:val="18"/>
                                <w:szCs w:val="18"/>
                                <w:lang w:val="en-GB" w:eastAsia="pl-PL"/>
                              </w:rPr>
                              <w:t xml:space="preserve">the </w:t>
                            </w:r>
                            <w:r w:rsidRPr="00A13CB9">
                              <w:rPr>
                                <w:rFonts w:eastAsia="Times New Roman"/>
                                <w:bCs/>
                                <w:color w:val="001D77"/>
                                <w:sz w:val="18"/>
                                <w:szCs w:val="18"/>
                                <w:lang w:val="en-GB" w:eastAsia="pl-PL"/>
                              </w:rPr>
                              <w:t>self-employed outside farming had the highes</w:t>
                            </w:r>
                            <w:r>
                              <w:rPr>
                                <w:rFonts w:eastAsia="Times New Roman"/>
                                <w:bCs/>
                                <w:color w:val="001D77"/>
                                <w:sz w:val="18"/>
                                <w:szCs w:val="18"/>
                                <w:lang w:val="en-GB" w:eastAsia="pl-PL"/>
                              </w:rPr>
                              <w:t>t</w:t>
                            </w:r>
                            <w:r w:rsidRPr="00A13CB9">
                              <w:rPr>
                                <w:rFonts w:eastAsia="Times New Roman"/>
                                <w:bCs/>
                                <w:color w:val="001D77"/>
                                <w:sz w:val="18"/>
                                <w:szCs w:val="18"/>
                                <w:lang w:val="en-GB" w:eastAsia="pl-PL"/>
                              </w:rPr>
                              <w:t xml:space="preserve"> </w:t>
                            </w:r>
                            <w:r>
                              <w:rPr>
                                <w:rFonts w:eastAsia="Times New Roman"/>
                                <w:bCs/>
                                <w:color w:val="001D77"/>
                                <w:sz w:val="18"/>
                                <w:szCs w:val="18"/>
                                <w:lang w:val="en-GB" w:eastAsia="pl-PL"/>
                              </w:rPr>
                              <w:t xml:space="preserve">average </w:t>
                            </w:r>
                            <w:r w:rsidRPr="00A13CB9">
                              <w:rPr>
                                <w:rFonts w:eastAsia="Times New Roman"/>
                                <w:bCs/>
                                <w:color w:val="001D77"/>
                                <w:sz w:val="18"/>
                                <w:szCs w:val="18"/>
                                <w:lang w:val="en-GB" w:eastAsia="pl-PL"/>
                              </w:rPr>
                              <w:t>available monthly in</w:t>
                            </w:r>
                            <w:r>
                              <w:rPr>
                                <w:rFonts w:eastAsia="Times New Roman"/>
                                <w:bCs/>
                                <w:color w:val="001D77"/>
                                <w:sz w:val="18"/>
                                <w:szCs w:val="18"/>
                                <w:lang w:val="en-GB" w:eastAsia="pl-PL"/>
                              </w:rPr>
                              <w:t>come (PLN 2238) and expenditure</w:t>
                            </w:r>
                            <w:r w:rsidRPr="00A13CB9">
                              <w:rPr>
                                <w:rFonts w:eastAsia="Times New Roman"/>
                                <w:bCs/>
                                <w:color w:val="001D77"/>
                                <w:sz w:val="18"/>
                                <w:szCs w:val="18"/>
                                <w:lang w:val="en-GB" w:eastAsia="pl-PL"/>
                              </w:rPr>
                              <w:t xml:space="preserve"> (PLN </w:t>
                            </w:r>
                            <w:r>
                              <w:rPr>
                                <w:rFonts w:eastAsia="Times New Roman"/>
                                <w:bCs/>
                                <w:color w:val="001D77"/>
                                <w:sz w:val="18"/>
                                <w:szCs w:val="18"/>
                                <w:lang w:val="en-GB" w:eastAsia="pl-PL"/>
                              </w:rPr>
                              <w:t>1412</w:t>
                            </w:r>
                            <w:r w:rsidRPr="00A13CB9">
                              <w:rPr>
                                <w:rFonts w:eastAsia="Times New Roman"/>
                                <w:bCs/>
                                <w:color w:val="001D77"/>
                                <w:sz w:val="18"/>
                                <w:szCs w:val="18"/>
                                <w:lang w:val="en-GB" w:eastAsia="pl-PL"/>
                              </w:rPr>
                              <w:t>) per capita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98" id="Pole tekstowe 223" o:spid="_x0000_s1029" type="#_x0000_t202" style="position:absolute;margin-left:410.25pt;margin-top:8.25pt;width:135.85pt;height:86.8pt;z-index:-251515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" filled="f" stroked="f">
                <v:textbox>
                  <w:txbxContent>
                    <w:p w14:paraId="7EE9500E" w14:textId="77777777" w:rsidR="0024032F" w:rsidRPr="00A13CB9" w:rsidRDefault="0024032F" w:rsidP="00764D9C">
                      <w:pPr>
                        <w:spacing w:after="0"/>
                        <w:rPr>
                          <w:rFonts w:eastAsia="Times New Roman"/>
                          <w:bCs/>
                          <w:color w:val="001D77"/>
                          <w:sz w:val="18"/>
                          <w:szCs w:val="18"/>
                          <w:lang w:val="en-GB" w:eastAsia="pl-PL"/>
                        </w:rPr>
                      </w:pPr>
                      <w:r w:rsidRPr="00A13CB9">
                        <w:rPr>
                          <w:rFonts w:eastAsia="Times New Roman"/>
                          <w:bCs/>
                          <w:color w:val="001D77"/>
                          <w:sz w:val="18"/>
                          <w:szCs w:val="18"/>
                          <w:lang w:val="en-GB" w:eastAsia="pl-PL"/>
                        </w:rPr>
                        <w:t xml:space="preserve">Households of </w:t>
                      </w:r>
                      <w:r>
                        <w:rPr>
                          <w:rFonts w:eastAsia="Times New Roman"/>
                          <w:bCs/>
                          <w:color w:val="001D77"/>
                          <w:sz w:val="18"/>
                          <w:szCs w:val="18"/>
                          <w:lang w:val="en-GB" w:eastAsia="pl-PL"/>
                        </w:rPr>
                        <w:t xml:space="preserve">the </w:t>
                      </w:r>
                      <w:r w:rsidRPr="00A13CB9">
                        <w:rPr>
                          <w:rFonts w:eastAsia="Times New Roman"/>
                          <w:bCs/>
                          <w:color w:val="001D77"/>
                          <w:sz w:val="18"/>
                          <w:szCs w:val="18"/>
                          <w:lang w:val="en-GB" w:eastAsia="pl-PL"/>
                        </w:rPr>
                        <w:t>self-employed outside farming had the highes</w:t>
                      </w:r>
                      <w:r>
                        <w:rPr>
                          <w:rFonts w:eastAsia="Times New Roman"/>
                          <w:bCs/>
                          <w:color w:val="001D77"/>
                          <w:sz w:val="18"/>
                          <w:szCs w:val="18"/>
                          <w:lang w:val="en-GB" w:eastAsia="pl-PL"/>
                        </w:rPr>
                        <w:t>t</w:t>
                      </w:r>
                      <w:r w:rsidRPr="00A13CB9">
                        <w:rPr>
                          <w:rFonts w:eastAsia="Times New Roman"/>
                          <w:bCs/>
                          <w:color w:val="001D77"/>
                          <w:sz w:val="18"/>
                          <w:szCs w:val="18"/>
                          <w:lang w:val="en-GB" w:eastAsia="pl-PL"/>
                        </w:rPr>
                        <w:t xml:space="preserve"> </w:t>
                      </w:r>
                      <w:r>
                        <w:rPr>
                          <w:rFonts w:eastAsia="Times New Roman"/>
                          <w:bCs/>
                          <w:color w:val="001D77"/>
                          <w:sz w:val="18"/>
                          <w:szCs w:val="18"/>
                          <w:lang w:val="en-GB" w:eastAsia="pl-PL"/>
                        </w:rPr>
                        <w:t xml:space="preserve">average </w:t>
                      </w:r>
                      <w:r w:rsidRPr="00A13CB9">
                        <w:rPr>
                          <w:rFonts w:eastAsia="Times New Roman"/>
                          <w:bCs/>
                          <w:color w:val="001D77"/>
                          <w:sz w:val="18"/>
                          <w:szCs w:val="18"/>
                          <w:lang w:val="en-GB" w:eastAsia="pl-PL"/>
                        </w:rPr>
                        <w:t>available monthly in</w:t>
                      </w:r>
                      <w:r>
                        <w:rPr>
                          <w:rFonts w:eastAsia="Times New Roman"/>
                          <w:bCs/>
                          <w:color w:val="001D77"/>
                          <w:sz w:val="18"/>
                          <w:szCs w:val="18"/>
                          <w:lang w:val="en-GB" w:eastAsia="pl-PL"/>
                        </w:rPr>
                        <w:t>come (PLN 2238) and expenditure</w:t>
                      </w:r>
                      <w:r w:rsidRPr="00A13CB9">
                        <w:rPr>
                          <w:rFonts w:eastAsia="Times New Roman"/>
                          <w:bCs/>
                          <w:color w:val="001D77"/>
                          <w:sz w:val="18"/>
                          <w:szCs w:val="18"/>
                          <w:lang w:val="en-GB" w:eastAsia="pl-PL"/>
                        </w:rPr>
                        <w:t xml:space="preserve"> (PLN </w:t>
                      </w:r>
                      <w:r>
                        <w:rPr>
                          <w:rFonts w:eastAsia="Times New Roman"/>
                          <w:bCs/>
                          <w:color w:val="001D77"/>
                          <w:sz w:val="18"/>
                          <w:szCs w:val="18"/>
                          <w:lang w:val="en-GB" w:eastAsia="pl-PL"/>
                        </w:rPr>
                        <w:t>1412</w:t>
                      </w:r>
                      <w:r w:rsidRPr="00A13CB9">
                        <w:rPr>
                          <w:rFonts w:eastAsia="Times New Roman"/>
                          <w:bCs/>
                          <w:color w:val="001D77"/>
                          <w:sz w:val="18"/>
                          <w:szCs w:val="18"/>
                          <w:lang w:val="en-GB" w:eastAsia="pl-PL"/>
                        </w:rPr>
                        <w:t>) per capita</w:t>
                      </w:r>
                    </w:p>
                  </w:txbxContent>
                </v:textbox>
                <w10:wrap type="tight"/>
              </v:shape>
            </w:pict>
          </mc:Fallback>
        </mc:AlternateContent>
      </w:r>
      <w:r w:rsidR="00EE7914" w:rsidRPr="00E8284F">
        <w:rPr>
          <w:rFonts w:ascii="Fira Sans SemiBold" w:eastAsia="Times New Roman" w:hAnsi="Fira Sans SemiBold"/>
          <w:bCs/>
          <w:color w:val="001D77"/>
          <w:szCs w:val="24"/>
          <w:lang w:val="en-GB" w:eastAsia="pl-PL"/>
        </w:rPr>
        <w:t>Income and expenditure</w:t>
      </w:r>
    </w:p>
    <w:p w14:paraId="7EE94DBB" w14:textId="77777777" w:rsidR="009A70D0" w:rsidRDefault="009A70D0" w:rsidP="00764D9C">
      <w:pPr>
        <w:rPr>
          <w:spacing w:val="-2"/>
          <w:shd w:val="clear" w:color="auto" w:fill="FFFFFF"/>
          <w:lang w:val="en-GB"/>
        </w:rPr>
      </w:pPr>
      <w:r w:rsidRPr="009A70D0">
        <w:rPr>
          <w:spacing w:val="-2"/>
          <w:shd w:val="clear" w:color="auto" w:fill="FFFFFF"/>
          <w:lang w:val="en-GB"/>
        </w:rPr>
        <w:t xml:space="preserve">In 2020, there was still a relatively large </w:t>
      </w:r>
      <w:r w:rsidR="00D913A1">
        <w:rPr>
          <w:spacing w:val="-2"/>
          <w:shd w:val="clear" w:color="auto" w:fill="FFFFFF"/>
          <w:lang w:val="en-GB"/>
        </w:rPr>
        <w:t>diversity</w:t>
      </w:r>
      <w:r w:rsidRPr="009A70D0">
        <w:rPr>
          <w:spacing w:val="-2"/>
          <w:shd w:val="clear" w:color="auto" w:fill="FFFFFF"/>
          <w:lang w:val="en-GB"/>
        </w:rPr>
        <w:t xml:space="preserve"> in average monthly income and expenditure between various socio-economic groups of households.</w:t>
      </w:r>
      <w:r>
        <w:rPr>
          <w:spacing w:val="-2"/>
          <w:shd w:val="clear" w:color="auto" w:fill="FFFFFF"/>
          <w:lang w:val="en-GB"/>
        </w:rPr>
        <w:t xml:space="preserve"> Similarly to</w:t>
      </w:r>
      <w:r w:rsidRPr="009A70D0">
        <w:rPr>
          <w:spacing w:val="-2"/>
          <w:shd w:val="clear" w:color="auto" w:fill="FFFFFF"/>
          <w:lang w:val="en-GB"/>
        </w:rPr>
        <w:t xml:space="preserve"> the previous years, the highest average monthly </w:t>
      </w:r>
      <w:r w:rsidR="001B509A">
        <w:rPr>
          <w:spacing w:val="-2"/>
          <w:shd w:val="clear" w:color="auto" w:fill="FFFFFF"/>
          <w:lang w:val="en-GB"/>
        </w:rPr>
        <w:t>available</w:t>
      </w:r>
      <w:r w:rsidRPr="009A70D0">
        <w:rPr>
          <w:spacing w:val="-2"/>
          <w:shd w:val="clear" w:color="auto" w:fill="FFFFFF"/>
          <w:lang w:val="en-GB"/>
        </w:rPr>
        <w:t xml:space="preserve"> income per capita in households (PLN 2238) and average monthly </w:t>
      </w:r>
      <w:r w:rsidR="002D696A" w:rsidRPr="006416F7">
        <w:rPr>
          <w:rFonts w:cs="Arial"/>
          <w:szCs w:val="19"/>
          <w:lang w:val="en-GB"/>
        </w:rPr>
        <w:t>expenditure</w:t>
      </w:r>
      <w:r w:rsidRPr="009A70D0">
        <w:rPr>
          <w:spacing w:val="-2"/>
          <w:shd w:val="clear" w:color="auto" w:fill="FFFFFF"/>
          <w:lang w:val="en-GB"/>
        </w:rPr>
        <w:t xml:space="preserve"> per capita </w:t>
      </w:r>
      <w:r w:rsidR="002D696A" w:rsidRPr="009A70D0">
        <w:rPr>
          <w:spacing w:val="-2"/>
          <w:shd w:val="clear" w:color="auto" w:fill="FFFFFF"/>
          <w:lang w:val="en-GB"/>
        </w:rPr>
        <w:t>(PLN 1412)</w:t>
      </w:r>
      <w:r w:rsidR="002D696A">
        <w:rPr>
          <w:spacing w:val="-2"/>
          <w:shd w:val="clear" w:color="auto" w:fill="FFFFFF"/>
          <w:lang w:val="en-GB"/>
        </w:rPr>
        <w:t xml:space="preserve"> </w:t>
      </w:r>
      <w:r w:rsidRPr="009A70D0">
        <w:rPr>
          <w:spacing w:val="-2"/>
          <w:shd w:val="clear" w:color="auto" w:fill="FFFFFF"/>
          <w:lang w:val="en-GB"/>
        </w:rPr>
        <w:t xml:space="preserve">were recorded in households of </w:t>
      </w:r>
      <w:r w:rsidR="002D696A">
        <w:rPr>
          <w:spacing w:val="-2"/>
          <w:shd w:val="clear" w:color="auto" w:fill="FFFFFF"/>
          <w:lang w:val="en-GB"/>
        </w:rPr>
        <w:t xml:space="preserve">the </w:t>
      </w:r>
      <w:r w:rsidRPr="009A70D0">
        <w:rPr>
          <w:spacing w:val="-2"/>
          <w:shd w:val="clear" w:color="auto" w:fill="FFFFFF"/>
          <w:lang w:val="en-GB"/>
        </w:rPr>
        <w:t>self-employed outside farm</w:t>
      </w:r>
      <w:r w:rsidR="002D696A">
        <w:rPr>
          <w:spacing w:val="-2"/>
          <w:shd w:val="clear" w:color="auto" w:fill="FFFFFF"/>
          <w:lang w:val="en-GB"/>
        </w:rPr>
        <w:t>ing</w:t>
      </w:r>
      <w:r w:rsidRPr="009A70D0">
        <w:rPr>
          <w:spacing w:val="-2"/>
          <w:shd w:val="clear" w:color="auto" w:fill="FFFFFF"/>
          <w:lang w:val="en-GB"/>
        </w:rPr>
        <w:t xml:space="preserve">. In this group of households </w:t>
      </w:r>
      <w:r w:rsidR="002D696A">
        <w:rPr>
          <w:spacing w:val="-2"/>
          <w:shd w:val="clear" w:color="auto" w:fill="FFFFFF"/>
          <w:lang w:val="en-GB"/>
        </w:rPr>
        <w:t>–</w:t>
      </w:r>
      <w:r w:rsidRPr="009A70D0">
        <w:rPr>
          <w:spacing w:val="-2"/>
          <w:shd w:val="clear" w:color="auto" w:fill="FFFFFF"/>
          <w:lang w:val="en-GB"/>
        </w:rPr>
        <w:t xml:space="preserve"> </w:t>
      </w:r>
      <w:r w:rsidR="002D696A">
        <w:rPr>
          <w:spacing w:val="-2"/>
          <w:shd w:val="clear" w:color="auto" w:fill="FFFFFF"/>
          <w:lang w:val="en-GB"/>
        </w:rPr>
        <w:t xml:space="preserve">in </w:t>
      </w:r>
      <w:r w:rsidRPr="009A70D0">
        <w:rPr>
          <w:spacing w:val="-2"/>
          <w:shd w:val="clear" w:color="auto" w:fill="FFFFFF"/>
          <w:lang w:val="en-GB"/>
        </w:rPr>
        <w:t>compar</w:t>
      </w:r>
      <w:r w:rsidR="002D696A">
        <w:rPr>
          <w:spacing w:val="-2"/>
          <w:shd w:val="clear" w:color="auto" w:fill="FFFFFF"/>
          <w:lang w:val="en-GB"/>
        </w:rPr>
        <w:t>ison with</w:t>
      </w:r>
      <w:r w:rsidRPr="009A70D0">
        <w:rPr>
          <w:spacing w:val="-2"/>
          <w:shd w:val="clear" w:color="auto" w:fill="FFFFFF"/>
          <w:lang w:val="en-GB"/>
        </w:rPr>
        <w:t xml:space="preserve"> the average for </w:t>
      </w:r>
      <w:r w:rsidR="002D696A">
        <w:rPr>
          <w:spacing w:val="-2"/>
          <w:shd w:val="clear" w:color="auto" w:fill="FFFFFF"/>
          <w:lang w:val="en-GB"/>
        </w:rPr>
        <w:t>the total of</w:t>
      </w:r>
      <w:r w:rsidRPr="009A70D0">
        <w:rPr>
          <w:spacing w:val="-2"/>
          <w:shd w:val="clear" w:color="auto" w:fill="FFFFFF"/>
          <w:lang w:val="en-GB"/>
        </w:rPr>
        <w:t xml:space="preserve"> households in Poland - both income and expenditure were higher by 16.6% and 16.8% respectively (in 2019</w:t>
      </w:r>
      <w:r w:rsidR="002D696A">
        <w:rPr>
          <w:spacing w:val="-2"/>
          <w:shd w:val="clear" w:color="auto" w:fill="FFFFFF"/>
          <w:lang w:val="en-GB"/>
        </w:rPr>
        <w:t>,</w:t>
      </w:r>
      <w:r w:rsidRPr="009A70D0">
        <w:rPr>
          <w:spacing w:val="-2"/>
          <w:shd w:val="clear" w:color="auto" w:fill="FFFFFF"/>
          <w:lang w:val="en-GB"/>
        </w:rPr>
        <w:t xml:space="preserve"> by 19.5% and 17.6%</w:t>
      </w:r>
      <w:r w:rsidR="002D696A">
        <w:rPr>
          <w:spacing w:val="-2"/>
          <w:shd w:val="clear" w:color="auto" w:fill="FFFFFF"/>
          <w:lang w:val="en-GB"/>
        </w:rPr>
        <w:t xml:space="preserve"> </w:t>
      </w:r>
      <w:r w:rsidR="002D696A" w:rsidRPr="009A70D0">
        <w:rPr>
          <w:spacing w:val="-2"/>
          <w:shd w:val="clear" w:color="auto" w:fill="FFFFFF"/>
          <w:lang w:val="en-GB"/>
        </w:rPr>
        <w:t>respectively</w:t>
      </w:r>
      <w:r w:rsidRPr="009A70D0">
        <w:rPr>
          <w:spacing w:val="-2"/>
          <w:shd w:val="clear" w:color="auto" w:fill="FFFFFF"/>
          <w:lang w:val="en-GB"/>
        </w:rPr>
        <w:t>).</w:t>
      </w:r>
    </w:p>
    <w:p w14:paraId="7EE94DBC" w14:textId="77777777" w:rsidR="00F95ACA" w:rsidRDefault="00F95ACA" w:rsidP="00764D9C">
      <w:pPr>
        <w:rPr>
          <w:rFonts w:cs="Arial"/>
          <w:szCs w:val="19"/>
          <w:lang w:val="en-GB"/>
        </w:rPr>
      </w:pPr>
      <w:r w:rsidRPr="006416F7">
        <w:rPr>
          <w:rFonts w:cs="Arial"/>
          <w:szCs w:val="19"/>
          <w:lang w:val="en-GB"/>
        </w:rPr>
        <w:t xml:space="preserve">Households of pensioners </w:t>
      </w:r>
      <w:r w:rsidR="00D61771">
        <w:rPr>
          <w:rFonts w:cs="Arial"/>
          <w:szCs w:val="19"/>
          <w:lang w:val="en-GB"/>
        </w:rPr>
        <w:t>had</w:t>
      </w:r>
      <w:r w:rsidRPr="006416F7">
        <w:rPr>
          <w:rFonts w:cs="Arial"/>
          <w:szCs w:val="19"/>
          <w:lang w:val="en-GB"/>
        </w:rPr>
        <w:t xml:space="preserve"> the lowest </w:t>
      </w:r>
      <w:r w:rsidR="00D61771">
        <w:rPr>
          <w:rFonts w:cs="Arial"/>
          <w:szCs w:val="19"/>
          <w:lang w:val="en-GB"/>
        </w:rPr>
        <w:t xml:space="preserve">average </w:t>
      </w:r>
      <w:r w:rsidR="00AB6AD5">
        <w:rPr>
          <w:rFonts w:cs="Arial"/>
          <w:szCs w:val="19"/>
          <w:lang w:val="en-GB"/>
        </w:rPr>
        <w:t xml:space="preserve">monthly </w:t>
      </w:r>
      <w:r w:rsidRPr="006416F7">
        <w:rPr>
          <w:rFonts w:cs="Arial"/>
          <w:szCs w:val="19"/>
          <w:lang w:val="en-GB"/>
        </w:rPr>
        <w:t>available income per capita</w:t>
      </w:r>
      <w:r w:rsidR="00D61771">
        <w:rPr>
          <w:rFonts w:cs="Arial"/>
          <w:szCs w:val="19"/>
          <w:lang w:val="en-GB"/>
        </w:rPr>
        <w:t xml:space="preserve"> in 2020. Their average income per capita amounted to</w:t>
      </w:r>
      <w:r w:rsidRPr="006416F7">
        <w:rPr>
          <w:rFonts w:cs="Arial"/>
          <w:szCs w:val="19"/>
          <w:lang w:val="en-GB"/>
        </w:rPr>
        <w:t xml:space="preserve"> (PLN </w:t>
      </w:r>
      <w:r w:rsidR="00C9332A">
        <w:rPr>
          <w:rFonts w:cs="Arial"/>
          <w:szCs w:val="19"/>
          <w:lang w:val="en-GB"/>
        </w:rPr>
        <w:t>1522</w:t>
      </w:r>
      <w:r w:rsidRPr="006416F7">
        <w:rPr>
          <w:rFonts w:cs="Arial"/>
          <w:szCs w:val="19"/>
          <w:lang w:val="en-GB"/>
        </w:rPr>
        <w:t xml:space="preserve">), which was by </w:t>
      </w:r>
      <w:r w:rsidR="000723AD">
        <w:rPr>
          <w:rFonts w:cs="Arial"/>
          <w:szCs w:val="19"/>
          <w:lang w:val="en-GB"/>
        </w:rPr>
        <w:t>20</w:t>
      </w:r>
      <w:r>
        <w:rPr>
          <w:rFonts w:cs="Arial"/>
          <w:szCs w:val="19"/>
          <w:lang w:val="en-GB"/>
        </w:rPr>
        <w:t>.7</w:t>
      </w:r>
      <w:r w:rsidRPr="006416F7">
        <w:rPr>
          <w:rFonts w:cs="Arial"/>
          <w:szCs w:val="19"/>
          <w:lang w:val="en-GB"/>
        </w:rPr>
        <w:t xml:space="preserve">% lower than </w:t>
      </w:r>
      <w:r w:rsidR="00D913A1" w:rsidRPr="006416F7">
        <w:rPr>
          <w:rFonts w:cs="Arial"/>
          <w:szCs w:val="19"/>
          <w:lang w:val="en-GB"/>
        </w:rPr>
        <w:t xml:space="preserve">average </w:t>
      </w:r>
      <w:r w:rsidR="00D913A1">
        <w:rPr>
          <w:rFonts w:cs="Arial"/>
          <w:szCs w:val="19"/>
          <w:lang w:val="en-GB"/>
        </w:rPr>
        <w:t>for</w:t>
      </w:r>
      <w:r w:rsidRPr="006416F7">
        <w:rPr>
          <w:rFonts w:cs="Arial"/>
          <w:szCs w:val="19"/>
          <w:lang w:val="en-GB"/>
        </w:rPr>
        <w:t xml:space="preserve"> households</w:t>
      </w:r>
      <w:r w:rsidR="00D913A1">
        <w:rPr>
          <w:rFonts w:cs="Arial"/>
          <w:szCs w:val="19"/>
          <w:lang w:val="en-GB"/>
        </w:rPr>
        <w:t xml:space="preserve"> in</w:t>
      </w:r>
      <w:r w:rsidRPr="006416F7">
        <w:rPr>
          <w:rFonts w:cs="Arial"/>
          <w:szCs w:val="19"/>
          <w:lang w:val="en-GB"/>
        </w:rPr>
        <w:t xml:space="preserve"> </w:t>
      </w:r>
      <w:r w:rsidR="00D913A1" w:rsidRPr="006416F7">
        <w:rPr>
          <w:rFonts w:cs="Arial"/>
          <w:szCs w:val="19"/>
          <w:lang w:val="en-GB"/>
        </w:rPr>
        <w:t xml:space="preserve">total </w:t>
      </w:r>
      <w:r w:rsidRPr="006416F7">
        <w:rPr>
          <w:rFonts w:cs="Arial"/>
          <w:szCs w:val="19"/>
          <w:lang w:val="en-GB"/>
        </w:rPr>
        <w:t xml:space="preserve">(in </w:t>
      </w:r>
      <w:r>
        <w:rPr>
          <w:rFonts w:cs="Arial"/>
          <w:szCs w:val="19"/>
          <w:lang w:val="en-GB"/>
        </w:rPr>
        <w:t>201</w:t>
      </w:r>
      <w:r w:rsidR="000723AD">
        <w:rPr>
          <w:rFonts w:cs="Arial"/>
          <w:szCs w:val="19"/>
          <w:lang w:val="en-GB"/>
        </w:rPr>
        <w:t>9</w:t>
      </w:r>
      <w:r w:rsidRPr="006416F7">
        <w:rPr>
          <w:rFonts w:cs="Arial"/>
          <w:szCs w:val="19"/>
          <w:lang w:val="en-GB"/>
        </w:rPr>
        <w:t xml:space="preserve"> – by </w:t>
      </w:r>
      <w:r w:rsidR="000723AD">
        <w:rPr>
          <w:rFonts w:cs="Arial"/>
          <w:szCs w:val="19"/>
          <w:lang w:val="en-GB"/>
        </w:rPr>
        <w:t>17.7</w:t>
      </w:r>
      <w:r w:rsidRPr="006416F7">
        <w:rPr>
          <w:rFonts w:cs="Arial"/>
          <w:szCs w:val="19"/>
          <w:lang w:val="en-GB"/>
        </w:rPr>
        <w:t xml:space="preserve">%). The lowest </w:t>
      </w:r>
      <w:r w:rsidR="000723AD">
        <w:rPr>
          <w:rFonts w:cs="Arial"/>
          <w:szCs w:val="19"/>
          <w:lang w:val="en-GB"/>
        </w:rPr>
        <w:t xml:space="preserve">average </w:t>
      </w:r>
      <w:r w:rsidRPr="006416F7">
        <w:rPr>
          <w:rFonts w:cs="Arial"/>
          <w:szCs w:val="19"/>
          <w:lang w:val="en-GB"/>
        </w:rPr>
        <w:t xml:space="preserve">expenditure was </w:t>
      </w:r>
      <w:r w:rsidR="000723AD">
        <w:rPr>
          <w:rFonts w:cs="Arial"/>
          <w:szCs w:val="19"/>
          <w:lang w:val="en-GB"/>
        </w:rPr>
        <w:t>noted</w:t>
      </w:r>
      <w:r w:rsidRPr="006416F7">
        <w:rPr>
          <w:rFonts w:cs="Arial"/>
          <w:szCs w:val="19"/>
          <w:lang w:val="en-GB"/>
        </w:rPr>
        <w:t xml:space="preserve"> in the households of farmers (PLN </w:t>
      </w:r>
      <w:r w:rsidR="000723AD">
        <w:rPr>
          <w:rFonts w:cs="Arial"/>
          <w:szCs w:val="19"/>
          <w:lang w:val="en-GB"/>
        </w:rPr>
        <w:t>840</w:t>
      </w:r>
      <w:r w:rsidRPr="006416F7">
        <w:rPr>
          <w:rFonts w:cs="Arial"/>
          <w:szCs w:val="19"/>
          <w:lang w:val="en-GB"/>
        </w:rPr>
        <w:t xml:space="preserve">) </w:t>
      </w:r>
      <w:r w:rsidR="000723AD">
        <w:rPr>
          <w:rFonts w:cs="Arial"/>
          <w:szCs w:val="19"/>
          <w:lang w:val="en-GB"/>
        </w:rPr>
        <w:t>and it was</w:t>
      </w:r>
      <w:r w:rsidRPr="006416F7">
        <w:rPr>
          <w:rFonts w:cs="Arial"/>
          <w:szCs w:val="19"/>
          <w:lang w:val="en-GB"/>
        </w:rPr>
        <w:t xml:space="preserve"> by </w:t>
      </w:r>
      <w:r w:rsidR="000723AD">
        <w:rPr>
          <w:rFonts w:cs="Arial"/>
          <w:szCs w:val="19"/>
          <w:lang w:val="en-GB"/>
        </w:rPr>
        <w:t>30.6</w:t>
      </w:r>
      <w:r w:rsidRPr="006416F7">
        <w:rPr>
          <w:rFonts w:cs="Arial"/>
          <w:szCs w:val="19"/>
          <w:lang w:val="en-GB"/>
        </w:rPr>
        <w:t xml:space="preserve">% lower than </w:t>
      </w:r>
      <w:r w:rsidR="00D913A1" w:rsidRPr="006416F7">
        <w:rPr>
          <w:rFonts w:cs="Arial"/>
          <w:szCs w:val="19"/>
          <w:lang w:val="en-GB"/>
        </w:rPr>
        <w:t xml:space="preserve">average </w:t>
      </w:r>
      <w:r w:rsidR="00D913A1">
        <w:rPr>
          <w:rFonts w:cs="Arial"/>
          <w:szCs w:val="19"/>
          <w:lang w:val="en-GB"/>
        </w:rPr>
        <w:t xml:space="preserve">for </w:t>
      </w:r>
      <w:r w:rsidRPr="006416F7">
        <w:rPr>
          <w:rFonts w:cs="Arial"/>
          <w:szCs w:val="19"/>
          <w:lang w:val="en-GB"/>
        </w:rPr>
        <w:t>household</w:t>
      </w:r>
      <w:r w:rsidR="00D913A1">
        <w:rPr>
          <w:rFonts w:cs="Arial"/>
          <w:szCs w:val="19"/>
          <w:lang w:val="en-GB"/>
        </w:rPr>
        <w:t>s in</w:t>
      </w:r>
      <w:r w:rsidRPr="006416F7">
        <w:rPr>
          <w:rFonts w:cs="Arial"/>
          <w:szCs w:val="19"/>
          <w:lang w:val="en-GB"/>
        </w:rPr>
        <w:t xml:space="preserve"> </w:t>
      </w:r>
      <w:r w:rsidR="00D913A1" w:rsidRPr="006416F7">
        <w:rPr>
          <w:rFonts w:cs="Arial"/>
          <w:szCs w:val="19"/>
          <w:lang w:val="en-GB"/>
        </w:rPr>
        <w:t xml:space="preserve">total </w:t>
      </w:r>
      <w:r w:rsidRPr="006416F7">
        <w:rPr>
          <w:rFonts w:cs="Arial"/>
          <w:szCs w:val="19"/>
          <w:lang w:val="en-GB"/>
        </w:rPr>
        <w:t>(in </w:t>
      </w:r>
      <w:r w:rsidR="002439CD">
        <w:rPr>
          <w:rFonts w:cs="Arial"/>
          <w:szCs w:val="19"/>
          <w:lang w:val="en-GB"/>
        </w:rPr>
        <w:t>201</w:t>
      </w:r>
      <w:r w:rsidR="000723AD">
        <w:rPr>
          <w:rFonts w:cs="Arial"/>
          <w:szCs w:val="19"/>
          <w:lang w:val="en-GB"/>
        </w:rPr>
        <w:t>9</w:t>
      </w:r>
      <w:r w:rsidRPr="006416F7">
        <w:rPr>
          <w:rFonts w:cs="Arial"/>
          <w:szCs w:val="19"/>
          <w:lang w:val="en-GB"/>
        </w:rPr>
        <w:t xml:space="preserve"> – lower by </w:t>
      </w:r>
      <w:r w:rsidR="002439CD">
        <w:rPr>
          <w:rFonts w:cs="Arial"/>
          <w:szCs w:val="19"/>
          <w:lang w:val="en-GB"/>
        </w:rPr>
        <w:t>2</w:t>
      </w:r>
      <w:r w:rsidR="000723AD">
        <w:rPr>
          <w:rFonts w:cs="Arial"/>
          <w:szCs w:val="19"/>
          <w:lang w:val="en-GB"/>
        </w:rPr>
        <w:t>7</w:t>
      </w:r>
      <w:r w:rsidR="002439CD">
        <w:rPr>
          <w:rFonts w:cs="Arial"/>
          <w:szCs w:val="19"/>
          <w:lang w:val="en-GB"/>
        </w:rPr>
        <w:t>.</w:t>
      </w:r>
      <w:r w:rsidR="000723AD">
        <w:rPr>
          <w:rFonts w:cs="Arial"/>
          <w:szCs w:val="19"/>
          <w:lang w:val="en-GB"/>
        </w:rPr>
        <w:t>0</w:t>
      </w:r>
      <w:r w:rsidRPr="006416F7">
        <w:rPr>
          <w:rFonts w:cs="Arial"/>
          <w:szCs w:val="19"/>
          <w:lang w:val="en-GB"/>
        </w:rPr>
        <w:t>%).</w:t>
      </w:r>
    </w:p>
    <w:p w14:paraId="7EE94DBD" w14:textId="77777777" w:rsidR="00C85FC0" w:rsidRDefault="00C85FC0" w:rsidP="00764D9C">
      <w:pPr>
        <w:rPr>
          <w:rFonts w:cs="Arial"/>
          <w:szCs w:val="19"/>
          <w:lang w:val="en-GB"/>
        </w:rPr>
      </w:pPr>
    </w:p>
    <w:p w14:paraId="7EE94DBE" w14:textId="77777777" w:rsidR="00764D9C" w:rsidRPr="007E6A56" w:rsidRDefault="0080273B" w:rsidP="00764D9C">
      <w:pPr>
        <w:spacing w:line="240" w:lineRule="auto"/>
        <w:jc w:val="both"/>
        <w:rPr>
          <w:b/>
          <w:i/>
          <w:spacing w:val="-2"/>
          <w:sz w:val="18"/>
          <w:shd w:val="clear" w:color="auto" w:fill="FFFFFF"/>
          <w:lang w:val="en-GB"/>
        </w:rPr>
      </w:pPr>
      <w:r>
        <w:rPr>
          <w:i/>
          <w:noProof/>
          <w:lang w:eastAsia="pl-PL"/>
        </w:rPr>
        <mc:AlternateContent>
          <mc:Choice Requires="wps">
            <w:drawing>
              <wp:anchor distT="45720" distB="45720" distL="114300" distR="114300" simplePos="0" relativeHeight="251811840" behindDoc="1" locked="0" layoutInCell="1" allowOverlap="1" wp14:anchorId="7EE94F9A" wp14:editId="7EE94F9B">
                <wp:simplePos x="0" y="0"/>
                <wp:positionH relativeFrom="column">
                  <wp:posOffset>5210175</wp:posOffset>
                </wp:positionH>
                <wp:positionV relativeFrom="paragraph">
                  <wp:posOffset>1207770</wp:posOffset>
                </wp:positionV>
                <wp:extent cx="1725295" cy="1187450"/>
                <wp:effectExtent l="0" t="0" r="0" b="0"/>
                <wp:wrapTight wrapText="bothSides">
                  <wp:wrapPolygon edited="0">
                    <wp:start x="715" y="0"/>
                    <wp:lineTo x="715" y="21138"/>
                    <wp:lineTo x="20749" y="21138"/>
                    <wp:lineTo x="20749" y="0"/>
                    <wp:lineTo x="715" y="0"/>
                  </wp:wrapPolygon>
                </wp:wrapTight>
                <wp:docPr id="222" name="Pole tekstowe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87450"/>
                        </a:xfrm>
                        <a:prstGeom prst="rect">
                          <a:avLst/>
                        </a:prstGeom>
                        <a:noFill/>
                        <a:ln w="9525">
                          <a:noFill/>
                          <a:miter lim="800000"/>
                          <a:headEnd/>
                          <a:tailEnd/>
                        </a:ln>
                      </wps:spPr>
                      <wps:txbx>
                        <w:txbxContent>
                          <w:p w14:paraId="7EE9500F" w14:textId="77777777" w:rsidR="0024032F" w:rsidRPr="004A5CF4" w:rsidRDefault="0024032F" w:rsidP="00764D9C">
                            <w:pPr>
                              <w:pStyle w:val="tekstzboku"/>
                              <w:rPr>
                                <w:lang w:val="en-GB"/>
                              </w:rPr>
                            </w:pPr>
                            <w:r w:rsidRPr="004A5CF4">
                              <w:rPr>
                                <w:lang w:val="en-GB"/>
                              </w:rPr>
                              <w:t xml:space="preserve">The highest share of expenditure in available income was observed </w:t>
                            </w:r>
                            <w:r>
                              <w:rPr>
                                <w:lang w:val="en-GB"/>
                              </w:rPr>
                              <w:t>in households of pensioners and the lowest in households of farmers</w:t>
                            </w:r>
                          </w:p>
                          <w:p w14:paraId="7EE95010" w14:textId="77777777" w:rsidR="0024032F" w:rsidRPr="004A5CF4" w:rsidRDefault="0024032F" w:rsidP="00764D9C">
                            <w:pPr>
                              <w:spacing w:after="0"/>
                              <w:rPr>
                                <w:rFonts w:eastAsia="Times New Roman"/>
                                <w:bCs/>
                                <w:i/>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9A" id="Pole tekstowe 222" o:spid="_x0000_s1030" type="#_x0000_t202" style="position:absolute;left:0;text-align:left;margin-left:410.25pt;margin-top:95.1pt;width:135.85pt;height:93.5pt;z-index:-25150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" filled="f" stroked="f">
                <v:textbox>
                  <w:txbxContent>
                    <w:p w14:paraId="7EE9500F" w14:textId="77777777" w:rsidR="0024032F" w:rsidRPr="004A5CF4" w:rsidRDefault="0024032F" w:rsidP="00764D9C">
                      <w:pPr>
                        <w:pStyle w:val="tekstzboku"/>
                        <w:rPr>
                          <w:lang w:val="en-GB"/>
                        </w:rPr>
                      </w:pPr>
                      <w:r w:rsidRPr="004A5CF4">
                        <w:rPr>
                          <w:lang w:val="en-GB"/>
                        </w:rPr>
                        <w:t xml:space="preserve">The highest share of expenditure in available income was observed </w:t>
                      </w:r>
                      <w:r>
                        <w:rPr>
                          <w:lang w:val="en-GB"/>
                        </w:rPr>
                        <w:t>in households of pensioners and the lowest in households of farmers</w:t>
                      </w:r>
                    </w:p>
                    <w:p w14:paraId="7EE95010" w14:textId="77777777" w:rsidR="0024032F" w:rsidRPr="004A5CF4" w:rsidRDefault="0024032F" w:rsidP="00764D9C">
                      <w:pPr>
                        <w:spacing w:after="0"/>
                        <w:rPr>
                          <w:rFonts w:eastAsia="Times New Roman"/>
                          <w:bCs/>
                          <w:i/>
                          <w:color w:val="001D77"/>
                          <w:sz w:val="18"/>
                          <w:szCs w:val="18"/>
                          <w:lang w:val="en-GB" w:eastAsia="pl-PL"/>
                        </w:rPr>
                      </w:pPr>
                    </w:p>
                  </w:txbxContent>
                </v:textbox>
                <w10:wrap type="tight"/>
              </v:shape>
            </w:pict>
          </mc:Fallback>
        </mc:AlternateContent>
      </w:r>
      <w:r w:rsidR="001467C3">
        <w:rPr>
          <w:noProof/>
          <w:lang w:eastAsia="pl-PL"/>
        </w:rPr>
        <w:drawing>
          <wp:inline distT="0" distB="0" distL="0" distR="0" wp14:anchorId="7EE94F9C" wp14:editId="7EE94F9D">
            <wp:extent cx="5120640" cy="3014345"/>
            <wp:effectExtent l="0" t="0" r="3810" b="0"/>
            <wp:docPr id="6" name="Wykres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E94DBF" w14:textId="77777777" w:rsidR="00764D9C" w:rsidRPr="007E6A56" w:rsidRDefault="00764D9C" w:rsidP="00764D9C">
      <w:pPr>
        <w:jc w:val="both"/>
        <w:rPr>
          <w:shd w:val="clear" w:color="auto" w:fill="FFFFFF"/>
          <w:lang w:val="en-GB"/>
        </w:rPr>
      </w:pPr>
    </w:p>
    <w:p w14:paraId="7EE94DC0" w14:textId="77777777" w:rsidR="00002ADC" w:rsidRPr="00002ADC" w:rsidRDefault="00002ADC" w:rsidP="00764D9C">
      <w:pPr>
        <w:rPr>
          <w:spacing w:val="-2"/>
          <w:shd w:val="clear" w:color="auto" w:fill="FFFFFF"/>
          <w:lang w:val="en-GB"/>
        </w:rPr>
      </w:pPr>
      <w:r w:rsidRPr="00002ADC">
        <w:rPr>
          <w:spacing w:val="-2"/>
          <w:shd w:val="clear" w:color="auto" w:fill="FFFFFF"/>
          <w:lang w:val="en-GB"/>
        </w:rPr>
        <w:t>The difference between average availab</w:t>
      </w:r>
      <w:r>
        <w:rPr>
          <w:spacing w:val="-2"/>
          <w:shd w:val="clear" w:color="auto" w:fill="FFFFFF"/>
          <w:lang w:val="en-GB"/>
        </w:rPr>
        <w:t>le income and expenditure among</w:t>
      </w:r>
      <w:r w:rsidRPr="00002ADC">
        <w:rPr>
          <w:spacing w:val="-2"/>
          <w:shd w:val="clear" w:color="auto" w:fill="FFFFFF"/>
          <w:lang w:val="en-GB"/>
        </w:rPr>
        <w:t xml:space="preserve"> socio-economic groups in relation to the national average</w:t>
      </w:r>
      <w:r w:rsidR="000723AD">
        <w:rPr>
          <w:spacing w:val="-2"/>
          <w:shd w:val="clear" w:color="auto" w:fill="FFFFFF"/>
          <w:lang w:val="en-GB"/>
        </w:rPr>
        <w:t xml:space="preserve"> </w:t>
      </w:r>
      <w:r w:rsidR="000723AD" w:rsidRPr="00002ADC">
        <w:rPr>
          <w:spacing w:val="-2"/>
          <w:shd w:val="clear" w:color="auto" w:fill="FFFFFF"/>
          <w:lang w:val="en-GB"/>
        </w:rPr>
        <w:t>in</w:t>
      </w:r>
      <w:r w:rsidR="00B730D5">
        <w:rPr>
          <w:spacing w:val="-2"/>
          <w:shd w:val="clear" w:color="auto" w:fill="FFFFFF"/>
          <w:lang w:val="en-GB"/>
        </w:rPr>
        <w:t xml:space="preserve"> the</w:t>
      </w:r>
      <w:r w:rsidR="000723AD" w:rsidRPr="00002ADC">
        <w:rPr>
          <w:spacing w:val="-2"/>
          <w:shd w:val="clear" w:color="auto" w:fill="FFFFFF"/>
          <w:lang w:val="en-GB"/>
        </w:rPr>
        <w:t xml:space="preserve"> case of inco</w:t>
      </w:r>
      <w:r w:rsidR="000723AD">
        <w:rPr>
          <w:spacing w:val="-2"/>
          <w:shd w:val="clear" w:color="auto" w:fill="FFFFFF"/>
          <w:lang w:val="en-GB"/>
        </w:rPr>
        <w:t xml:space="preserve">me </w:t>
      </w:r>
      <w:r w:rsidR="000723AD" w:rsidRPr="000723AD">
        <w:rPr>
          <w:spacing w:val="-2"/>
          <w:shd w:val="clear" w:color="auto" w:fill="FFFFFF"/>
          <w:lang w:val="en-GB"/>
        </w:rPr>
        <w:t>remained at a level similar to 2019</w:t>
      </w:r>
      <w:r w:rsidRPr="00002ADC">
        <w:rPr>
          <w:spacing w:val="-2"/>
          <w:shd w:val="clear" w:color="auto" w:fill="FFFFFF"/>
          <w:lang w:val="en-GB"/>
        </w:rPr>
        <w:t xml:space="preserve"> </w:t>
      </w:r>
      <w:r w:rsidR="000723AD">
        <w:rPr>
          <w:spacing w:val="-2"/>
          <w:shd w:val="clear" w:color="auto" w:fill="FFFFFF"/>
          <w:lang w:val="en-GB"/>
        </w:rPr>
        <w:t xml:space="preserve">and </w:t>
      </w:r>
      <w:r w:rsidR="00C85FC0">
        <w:rPr>
          <w:spacing w:val="-2"/>
          <w:shd w:val="clear" w:color="auto" w:fill="FFFFFF"/>
          <w:lang w:val="en-GB"/>
        </w:rPr>
        <w:t>it was</w:t>
      </w:r>
      <w:r w:rsidR="004A5CF4">
        <w:rPr>
          <w:spacing w:val="-2"/>
          <w:shd w:val="clear" w:color="auto" w:fill="FFFFFF"/>
          <w:lang w:val="en-GB"/>
        </w:rPr>
        <w:t xml:space="preserve"> 37.</w:t>
      </w:r>
      <w:r w:rsidR="000723AD">
        <w:rPr>
          <w:spacing w:val="-2"/>
          <w:shd w:val="clear" w:color="auto" w:fill="FFFFFF"/>
          <w:lang w:val="en-GB"/>
        </w:rPr>
        <w:t>3</w:t>
      </w:r>
      <w:r w:rsidR="004A5CF4">
        <w:rPr>
          <w:spacing w:val="-2"/>
          <w:shd w:val="clear" w:color="auto" w:fill="FFFFFF"/>
          <w:lang w:val="en-GB"/>
        </w:rPr>
        <w:t xml:space="preserve"> percentage points (</w:t>
      </w:r>
      <w:r w:rsidRPr="00002ADC">
        <w:rPr>
          <w:spacing w:val="-2"/>
          <w:shd w:val="clear" w:color="auto" w:fill="FFFFFF"/>
          <w:lang w:val="en-GB"/>
        </w:rPr>
        <w:t>in</w:t>
      </w:r>
      <w:r w:rsidR="000723AD">
        <w:rPr>
          <w:spacing w:val="-2"/>
          <w:shd w:val="clear" w:color="auto" w:fill="FFFFFF"/>
          <w:lang w:val="en-GB"/>
        </w:rPr>
        <w:t xml:space="preserve"> 2019 – 37.2 percentage points</w:t>
      </w:r>
      <w:r w:rsidR="000B04B8">
        <w:rPr>
          <w:spacing w:val="-2"/>
          <w:shd w:val="clear" w:color="auto" w:fill="FFFFFF"/>
          <w:lang w:val="en-GB"/>
        </w:rPr>
        <w:t>), while for expenditure</w:t>
      </w:r>
      <w:r>
        <w:rPr>
          <w:spacing w:val="-2"/>
          <w:shd w:val="clear" w:color="auto" w:fill="FFFFFF"/>
          <w:lang w:val="en-GB"/>
        </w:rPr>
        <w:t xml:space="preserve"> </w:t>
      </w:r>
      <w:r w:rsidR="000723AD">
        <w:rPr>
          <w:spacing w:val="-2"/>
          <w:shd w:val="clear" w:color="auto" w:fill="FFFFFF"/>
          <w:lang w:val="en-GB"/>
        </w:rPr>
        <w:t>it</w:t>
      </w:r>
      <w:r>
        <w:rPr>
          <w:spacing w:val="-2"/>
          <w:shd w:val="clear" w:color="auto" w:fill="FFFFFF"/>
          <w:lang w:val="en-GB"/>
        </w:rPr>
        <w:t xml:space="preserve"> amounted to 4</w:t>
      </w:r>
      <w:r w:rsidR="000723AD">
        <w:rPr>
          <w:spacing w:val="-2"/>
          <w:shd w:val="clear" w:color="auto" w:fill="FFFFFF"/>
          <w:lang w:val="en-GB"/>
        </w:rPr>
        <w:t>7</w:t>
      </w:r>
      <w:r>
        <w:rPr>
          <w:spacing w:val="-2"/>
          <w:shd w:val="clear" w:color="auto" w:fill="FFFFFF"/>
          <w:lang w:val="en-GB"/>
        </w:rPr>
        <w:t>.</w:t>
      </w:r>
      <w:r w:rsidR="000723AD">
        <w:rPr>
          <w:spacing w:val="-2"/>
          <w:shd w:val="clear" w:color="auto" w:fill="FFFFFF"/>
          <w:lang w:val="en-GB"/>
        </w:rPr>
        <w:t>4</w:t>
      </w:r>
      <w:r>
        <w:rPr>
          <w:spacing w:val="-2"/>
          <w:shd w:val="clear" w:color="auto" w:fill="FFFFFF"/>
          <w:lang w:val="en-GB"/>
        </w:rPr>
        <w:t xml:space="preserve"> percentage points (increase by </w:t>
      </w:r>
      <w:r w:rsidR="000723AD">
        <w:rPr>
          <w:spacing w:val="-2"/>
          <w:shd w:val="clear" w:color="auto" w:fill="FFFFFF"/>
          <w:lang w:val="en-GB"/>
        </w:rPr>
        <w:t>2.8</w:t>
      </w:r>
      <w:r>
        <w:rPr>
          <w:spacing w:val="-2"/>
          <w:shd w:val="clear" w:color="auto" w:fill="FFFFFF"/>
          <w:lang w:val="en-GB"/>
        </w:rPr>
        <w:t xml:space="preserve"> percentage points).</w:t>
      </w:r>
    </w:p>
    <w:p w14:paraId="7EE94DC1" w14:textId="77777777" w:rsidR="00BB1E25" w:rsidRDefault="000723AD" w:rsidP="00764D9C">
      <w:pPr>
        <w:rPr>
          <w:rStyle w:val="Uwydatnienie"/>
          <w:rFonts w:cs="Arial"/>
          <w:b w:val="0"/>
          <w:spacing w:val="-2"/>
          <w:szCs w:val="19"/>
          <w:lang w:val="en-GB"/>
        </w:rPr>
      </w:pPr>
      <w:r>
        <w:rPr>
          <w:rFonts w:cs="Arial"/>
          <w:spacing w:val="-2"/>
          <w:szCs w:val="19"/>
          <w:lang w:val="en-GB"/>
        </w:rPr>
        <w:t>As in previous years, t</w:t>
      </w:r>
      <w:r w:rsidR="007E6A56" w:rsidRPr="006416F7">
        <w:rPr>
          <w:rFonts w:cs="Arial"/>
          <w:spacing w:val="-2"/>
          <w:szCs w:val="19"/>
          <w:lang w:val="en-GB"/>
        </w:rPr>
        <w:t>he highest share of expenditure in income (</w:t>
      </w:r>
      <w:r>
        <w:rPr>
          <w:rFonts w:cs="Arial"/>
          <w:spacing w:val="-2"/>
          <w:szCs w:val="19"/>
          <w:lang w:val="en-GB"/>
        </w:rPr>
        <w:t>78.8</w:t>
      </w:r>
      <w:r w:rsidR="007E6A56" w:rsidRPr="006416F7">
        <w:rPr>
          <w:rFonts w:cs="Arial"/>
          <w:spacing w:val="-2"/>
          <w:szCs w:val="19"/>
          <w:lang w:val="en-GB"/>
        </w:rPr>
        <w:t xml:space="preserve">%) and the lowest amount of average monthly excess of </w:t>
      </w:r>
      <w:r w:rsidR="00907638">
        <w:rPr>
          <w:rFonts w:cs="Arial"/>
          <w:spacing w:val="-2"/>
          <w:szCs w:val="19"/>
          <w:lang w:val="en-GB"/>
        </w:rPr>
        <w:t xml:space="preserve">available </w:t>
      </w:r>
      <w:r w:rsidR="007E6A56" w:rsidRPr="006416F7">
        <w:rPr>
          <w:rFonts w:cs="Arial"/>
          <w:spacing w:val="-2"/>
          <w:szCs w:val="19"/>
          <w:lang w:val="en-GB"/>
        </w:rPr>
        <w:t>income over</w:t>
      </w:r>
      <w:r w:rsidR="00907638">
        <w:rPr>
          <w:rFonts w:cs="Arial"/>
          <w:spacing w:val="-2"/>
          <w:szCs w:val="19"/>
          <w:lang w:val="en-GB"/>
        </w:rPr>
        <w:t xml:space="preserve"> </w:t>
      </w:r>
      <w:r w:rsidR="007E6A56" w:rsidRPr="006416F7">
        <w:rPr>
          <w:rFonts w:cs="Arial"/>
          <w:spacing w:val="-2"/>
          <w:szCs w:val="19"/>
          <w:lang w:val="en-GB"/>
        </w:rPr>
        <w:t>expenditure (PLN</w:t>
      </w:r>
      <w:r w:rsidR="007E6A56">
        <w:rPr>
          <w:rFonts w:cs="Arial"/>
          <w:spacing w:val="-2"/>
          <w:szCs w:val="19"/>
          <w:lang w:val="en-GB"/>
        </w:rPr>
        <w:t xml:space="preserve"> </w:t>
      </w:r>
      <w:r>
        <w:rPr>
          <w:rFonts w:cs="Arial"/>
          <w:spacing w:val="-2"/>
          <w:szCs w:val="19"/>
          <w:lang w:val="en-GB"/>
        </w:rPr>
        <w:t>322</w:t>
      </w:r>
      <w:r w:rsidR="007E6A56" w:rsidRPr="006416F7">
        <w:rPr>
          <w:rFonts w:cs="Arial"/>
          <w:spacing w:val="-2"/>
          <w:szCs w:val="19"/>
          <w:lang w:val="en-GB"/>
        </w:rPr>
        <w:t>) was recorded in the households of pensioners. The lowest sha</w:t>
      </w:r>
      <w:r w:rsidR="007E6A56">
        <w:rPr>
          <w:rFonts w:cs="Arial"/>
          <w:spacing w:val="-2"/>
          <w:szCs w:val="19"/>
          <w:lang w:val="en-GB"/>
        </w:rPr>
        <w:t>re of expenditure in income (</w:t>
      </w:r>
      <w:r>
        <w:rPr>
          <w:rFonts w:cs="Arial"/>
          <w:spacing w:val="-2"/>
          <w:szCs w:val="19"/>
          <w:lang w:val="en-GB"/>
        </w:rPr>
        <w:t>45.3</w:t>
      </w:r>
      <w:r w:rsidR="007E6A56" w:rsidRPr="006416F7">
        <w:rPr>
          <w:rFonts w:cs="Arial"/>
          <w:spacing w:val="-2"/>
          <w:szCs w:val="19"/>
          <w:lang w:val="en-GB"/>
        </w:rPr>
        <w:t xml:space="preserve">%) and the highest average </w:t>
      </w:r>
      <w:r w:rsidR="007E6A56" w:rsidRPr="007E6A56">
        <w:rPr>
          <w:rStyle w:val="st"/>
          <w:rFonts w:cs="Arial"/>
          <w:spacing w:val="-2"/>
          <w:szCs w:val="19"/>
          <w:lang w:val="en-GB"/>
        </w:rPr>
        <w:t xml:space="preserve">excess of </w:t>
      </w:r>
      <w:r w:rsidR="007E6A56" w:rsidRPr="007E6A56">
        <w:rPr>
          <w:rStyle w:val="Uwydatnienie"/>
          <w:rFonts w:cs="Arial"/>
          <w:b w:val="0"/>
          <w:spacing w:val="-2"/>
          <w:szCs w:val="19"/>
          <w:lang w:val="en-GB"/>
        </w:rPr>
        <w:t>income over expenditure</w:t>
      </w:r>
      <w:r w:rsidR="007E6A56">
        <w:rPr>
          <w:rStyle w:val="Uwydatnienie"/>
          <w:rFonts w:cs="Arial"/>
          <w:b w:val="0"/>
          <w:spacing w:val="-2"/>
          <w:szCs w:val="19"/>
          <w:lang w:val="en-GB"/>
        </w:rPr>
        <w:t xml:space="preserve"> (PLN </w:t>
      </w:r>
      <w:r w:rsidR="00AB6AD5">
        <w:rPr>
          <w:rStyle w:val="Uwydatnienie"/>
          <w:rFonts w:cs="Arial"/>
          <w:b w:val="0"/>
          <w:spacing w:val="-2"/>
          <w:szCs w:val="19"/>
          <w:lang w:val="en-GB"/>
        </w:rPr>
        <w:t>1014</w:t>
      </w:r>
      <w:r w:rsidR="007E6A56" w:rsidRPr="007E6A56">
        <w:rPr>
          <w:rStyle w:val="Uwydatnienie"/>
          <w:rFonts w:cs="Arial"/>
          <w:b w:val="0"/>
          <w:spacing w:val="-2"/>
          <w:szCs w:val="19"/>
          <w:lang w:val="en-GB"/>
        </w:rPr>
        <w:t>) was observed in the households of farmers.</w:t>
      </w:r>
      <w:r w:rsidR="007E6A56">
        <w:rPr>
          <w:rStyle w:val="Uwydatnienie"/>
          <w:rFonts w:cs="Arial"/>
          <w:b w:val="0"/>
          <w:spacing w:val="-2"/>
          <w:szCs w:val="19"/>
          <w:lang w:val="en-GB"/>
        </w:rPr>
        <w:t xml:space="preserve"> </w:t>
      </w:r>
    </w:p>
    <w:p w14:paraId="7EE94DC2" w14:textId="77777777" w:rsidR="007E6A56" w:rsidRPr="007E6A56" w:rsidRDefault="00B06F47" w:rsidP="00764D9C">
      <w:pPr>
        <w:rPr>
          <w:spacing w:val="-2"/>
          <w:shd w:val="clear" w:color="auto" w:fill="FFFFFF"/>
          <w:lang w:val="en-GB"/>
        </w:rPr>
      </w:pPr>
      <w:r>
        <w:rPr>
          <w:noProof/>
          <w:spacing w:val="2"/>
          <w:lang w:eastAsia="pl-PL"/>
        </w:rPr>
        <mc:AlternateContent>
          <mc:Choice Requires="wps">
            <w:drawing>
              <wp:anchor distT="45720" distB="45720" distL="114300" distR="114300" simplePos="0" relativeHeight="251836416" behindDoc="1" locked="0" layoutInCell="1" allowOverlap="1" wp14:anchorId="7EE94F9E" wp14:editId="7EE94F9F">
                <wp:simplePos x="0" y="0"/>
                <wp:positionH relativeFrom="column">
                  <wp:posOffset>5181600</wp:posOffset>
                </wp:positionH>
                <wp:positionV relativeFrom="paragraph">
                  <wp:posOffset>248920</wp:posOffset>
                </wp:positionV>
                <wp:extent cx="1781175" cy="831850"/>
                <wp:effectExtent l="0" t="0" r="0" b="0"/>
                <wp:wrapTight wrapText="bothSides">
                  <wp:wrapPolygon edited="0">
                    <wp:start x="693" y="0"/>
                    <wp:lineTo x="693" y="21270"/>
                    <wp:lineTo x="20791" y="21270"/>
                    <wp:lineTo x="20791" y="0"/>
                    <wp:lineTo x="693" y="0"/>
                  </wp:wrapPolygon>
                </wp:wrapTight>
                <wp:docPr id="221" name="Pole tekstow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31850"/>
                        </a:xfrm>
                        <a:prstGeom prst="rect">
                          <a:avLst/>
                        </a:prstGeom>
                        <a:noFill/>
                        <a:ln w="9525">
                          <a:noFill/>
                          <a:miter lim="800000"/>
                          <a:headEnd/>
                          <a:tailEnd/>
                        </a:ln>
                      </wps:spPr>
                      <wps:txbx>
                        <w:txbxContent>
                          <w:p w14:paraId="7EE95011" w14:textId="77777777" w:rsidR="0024032F" w:rsidRPr="003D5DAF" w:rsidRDefault="0024032F" w:rsidP="00AB6AD5">
                            <w:pPr>
                              <w:pStyle w:val="tekstzboku"/>
                              <w:rPr>
                                <w:lang w:val="en-GB"/>
                              </w:rPr>
                            </w:pPr>
                            <w:r>
                              <w:rPr>
                                <w:lang w:val="en-GB"/>
                              </w:rPr>
                              <w:t>In relation to 2019 t</w:t>
                            </w:r>
                            <w:r w:rsidRPr="003D5DAF">
                              <w:rPr>
                                <w:lang w:val="en-GB"/>
                              </w:rPr>
                              <w:t xml:space="preserve">he income situation in </w:t>
                            </w:r>
                            <w:r>
                              <w:rPr>
                                <w:lang w:val="en-GB"/>
                              </w:rPr>
                              <w:t xml:space="preserve">the group of </w:t>
                            </w:r>
                            <w:r w:rsidRPr="003D5DAF">
                              <w:rPr>
                                <w:lang w:val="en-GB"/>
                              </w:rPr>
                              <w:t xml:space="preserve">households of farmers improved </w:t>
                            </w:r>
                          </w:p>
                          <w:p w14:paraId="7EE95012" w14:textId="77777777" w:rsidR="0024032F" w:rsidRPr="003D5DAF" w:rsidRDefault="0024032F" w:rsidP="00AB6AD5">
                            <w:pPr>
                              <w:spacing w:after="0"/>
                              <w:rPr>
                                <w:rFonts w:eastAsia="Times New Roman"/>
                                <w:bCs/>
                                <w:i/>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9E" id="Pole tekstowe 221" o:spid="_x0000_s1031" type="#_x0000_t202" style="position:absolute;margin-left:408pt;margin-top:19.6pt;width:140.25pt;height:65.5pt;z-index:-251480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" filled="f" stroked="f">
                <v:textbox>
                  <w:txbxContent>
                    <w:p w14:paraId="7EE95011" w14:textId="77777777" w:rsidR="0024032F" w:rsidRPr="003D5DAF" w:rsidRDefault="0024032F" w:rsidP="00AB6AD5">
                      <w:pPr>
                        <w:pStyle w:val="tekstzboku"/>
                        <w:rPr>
                          <w:lang w:val="en-GB"/>
                        </w:rPr>
                      </w:pPr>
                      <w:r>
                        <w:rPr>
                          <w:lang w:val="en-GB"/>
                        </w:rPr>
                        <w:t>In relation to 2019 t</w:t>
                      </w:r>
                      <w:r w:rsidRPr="003D5DAF">
                        <w:rPr>
                          <w:lang w:val="en-GB"/>
                        </w:rPr>
                        <w:t xml:space="preserve">he income situation in </w:t>
                      </w:r>
                      <w:r>
                        <w:rPr>
                          <w:lang w:val="en-GB"/>
                        </w:rPr>
                        <w:t xml:space="preserve">the group of </w:t>
                      </w:r>
                      <w:r w:rsidRPr="003D5DAF">
                        <w:rPr>
                          <w:lang w:val="en-GB"/>
                        </w:rPr>
                        <w:t xml:space="preserve">households of farmers improved </w:t>
                      </w:r>
                    </w:p>
                    <w:p w14:paraId="7EE95012" w14:textId="77777777" w:rsidR="0024032F" w:rsidRPr="003D5DAF" w:rsidRDefault="0024032F" w:rsidP="00AB6AD5">
                      <w:pPr>
                        <w:spacing w:after="0"/>
                        <w:rPr>
                          <w:rFonts w:eastAsia="Times New Roman"/>
                          <w:bCs/>
                          <w:i/>
                          <w:color w:val="001D77"/>
                          <w:sz w:val="18"/>
                          <w:szCs w:val="18"/>
                          <w:lang w:val="en-GB" w:eastAsia="pl-PL"/>
                        </w:rPr>
                      </w:pPr>
                    </w:p>
                  </w:txbxContent>
                </v:textbox>
                <w10:wrap type="tight"/>
              </v:shape>
            </w:pict>
          </mc:Fallback>
        </mc:AlternateContent>
      </w:r>
      <w:r w:rsidR="00AB6AD5">
        <w:rPr>
          <w:rStyle w:val="Uwydatnienie"/>
          <w:rFonts w:cs="Arial"/>
          <w:b w:val="0"/>
          <w:spacing w:val="-2"/>
          <w:szCs w:val="19"/>
          <w:lang w:val="en-GB"/>
        </w:rPr>
        <w:t>In comparison with the previous year t</w:t>
      </w:r>
      <w:r w:rsidR="00952D21">
        <w:rPr>
          <w:rStyle w:val="Uwydatnienie"/>
          <w:rFonts w:cs="Arial"/>
          <w:b w:val="0"/>
          <w:spacing w:val="-2"/>
          <w:szCs w:val="19"/>
          <w:lang w:val="en-GB"/>
        </w:rPr>
        <w:t xml:space="preserve">he share of expenditure in income </w:t>
      </w:r>
      <w:r w:rsidR="00AB6AD5">
        <w:rPr>
          <w:rStyle w:val="Uwydatnienie"/>
          <w:rFonts w:cs="Arial"/>
          <w:b w:val="0"/>
          <w:spacing w:val="-2"/>
          <w:szCs w:val="19"/>
          <w:lang w:val="en-GB"/>
        </w:rPr>
        <w:t xml:space="preserve">for total households </w:t>
      </w:r>
      <w:r w:rsidR="00952D21">
        <w:rPr>
          <w:rStyle w:val="Uwydatnienie"/>
          <w:rFonts w:cs="Arial"/>
          <w:b w:val="0"/>
          <w:spacing w:val="-2"/>
          <w:szCs w:val="19"/>
          <w:lang w:val="en-GB"/>
        </w:rPr>
        <w:t xml:space="preserve">decreased by </w:t>
      </w:r>
      <w:r w:rsidR="00AB6AD5">
        <w:rPr>
          <w:rStyle w:val="Uwydatnienie"/>
          <w:rFonts w:cs="Arial"/>
          <w:b w:val="0"/>
          <w:spacing w:val="-2"/>
          <w:szCs w:val="19"/>
          <w:lang w:val="en-GB"/>
        </w:rPr>
        <w:t>5.8</w:t>
      </w:r>
      <w:r w:rsidR="00952D21">
        <w:rPr>
          <w:rStyle w:val="Uwydatnienie"/>
          <w:rFonts w:cs="Arial"/>
          <w:b w:val="0"/>
          <w:spacing w:val="-2"/>
          <w:szCs w:val="19"/>
          <w:lang w:val="en-GB"/>
        </w:rPr>
        <w:t xml:space="preserve"> percentage points</w:t>
      </w:r>
      <w:r w:rsidR="00907638">
        <w:rPr>
          <w:rStyle w:val="Uwydatnienie"/>
          <w:rFonts w:cs="Arial"/>
          <w:b w:val="0"/>
          <w:spacing w:val="-2"/>
          <w:szCs w:val="19"/>
          <w:lang w:val="en-GB"/>
        </w:rPr>
        <w:t xml:space="preserve"> to 63,0%</w:t>
      </w:r>
      <w:r w:rsidR="00952D21">
        <w:rPr>
          <w:rStyle w:val="Uwydatnienie"/>
          <w:rFonts w:cs="Arial"/>
          <w:b w:val="0"/>
          <w:spacing w:val="-2"/>
          <w:szCs w:val="19"/>
          <w:lang w:val="en-GB"/>
        </w:rPr>
        <w:t xml:space="preserve"> (in 201</w:t>
      </w:r>
      <w:r w:rsidR="00AB6AD5">
        <w:rPr>
          <w:rStyle w:val="Uwydatnienie"/>
          <w:rFonts w:cs="Arial"/>
          <w:b w:val="0"/>
          <w:spacing w:val="-2"/>
          <w:szCs w:val="19"/>
          <w:lang w:val="en-GB"/>
        </w:rPr>
        <w:t>9</w:t>
      </w:r>
      <w:r w:rsidR="00952D21">
        <w:rPr>
          <w:rStyle w:val="Uwydatnienie"/>
          <w:rFonts w:cs="Arial"/>
          <w:b w:val="0"/>
          <w:spacing w:val="-2"/>
          <w:szCs w:val="19"/>
          <w:lang w:val="en-GB"/>
        </w:rPr>
        <w:t xml:space="preserve"> by </w:t>
      </w:r>
      <w:r w:rsidR="00AB6AD5">
        <w:rPr>
          <w:rStyle w:val="Uwydatnienie"/>
          <w:rFonts w:cs="Arial"/>
          <w:b w:val="0"/>
          <w:spacing w:val="-2"/>
          <w:szCs w:val="19"/>
          <w:lang w:val="en-GB"/>
        </w:rPr>
        <w:t>1.3</w:t>
      </w:r>
      <w:r w:rsidR="00952D21">
        <w:rPr>
          <w:rStyle w:val="Uwydatnienie"/>
          <w:rFonts w:cs="Arial"/>
          <w:b w:val="0"/>
          <w:spacing w:val="-2"/>
          <w:szCs w:val="19"/>
          <w:lang w:val="en-GB"/>
        </w:rPr>
        <w:t xml:space="preserve"> percentage points).</w:t>
      </w:r>
    </w:p>
    <w:p w14:paraId="7EE94DC3" w14:textId="77777777" w:rsidR="00AB6AD5" w:rsidRPr="00AD1C4D" w:rsidRDefault="00AB6AD5" w:rsidP="00AB6AD5">
      <w:pPr>
        <w:rPr>
          <w:spacing w:val="2"/>
          <w:szCs w:val="19"/>
          <w:shd w:val="clear" w:color="auto" w:fill="FFFFFF"/>
          <w:lang w:val="en-GB"/>
        </w:rPr>
      </w:pPr>
      <w:r w:rsidRPr="00AD1C4D">
        <w:rPr>
          <w:rFonts w:cs="Arial"/>
          <w:bCs/>
          <w:spacing w:val="2"/>
          <w:szCs w:val="19"/>
          <w:lang w:val="en-GB"/>
        </w:rPr>
        <w:t>In 20</w:t>
      </w:r>
      <w:r>
        <w:rPr>
          <w:rFonts w:cs="Arial"/>
          <w:bCs/>
          <w:spacing w:val="2"/>
          <w:szCs w:val="19"/>
          <w:lang w:val="en-GB"/>
        </w:rPr>
        <w:t>20, there was a growth in</w:t>
      </w:r>
      <w:r w:rsidRPr="00AD1C4D">
        <w:rPr>
          <w:rFonts w:cs="Arial"/>
          <w:bCs/>
          <w:spacing w:val="2"/>
          <w:szCs w:val="19"/>
          <w:lang w:val="en-GB"/>
        </w:rPr>
        <w:t xml:space="preserve"> </w:t>
      </w:r>
      <w:r>
        <w:rPr>
          <w:rFonts w:cs="Arial"/>
          <w:bCs/>
          <w:spacing w:val="2"/>
          <w:szCs w:val="19"/>
          <w:lang w:val="en-GB"/>
        </w:rPr>
        <w:t xml:space="preserve">average monthly </w:t>
      </w:r>
      <w:r w:rsidRPr="00AD1C4D">
        <w:rPr>
          <w:rFonts w:cs="Arial"/>
          <w:bCs/>
          <w:spacing w:val="2"/>
          <w:szCs w:val="19"/>
          <w:lang w:val="en-GB"/>
        </w:rPr>
        <w:t xml:space="preserve">available income </w:t>
      </w:r>
      <w:r w:rsidR="00325F88">
        <w:rPr>
          <w:rFonts w:cs="Arial"/>
          <w:bCs/>
          <w:spacing w:val="2"/>
          <w:szCs w:val="19"/>
          <w:lang w:val="en-GB"/>
        </w:rPr>
        <w:t xml:space="preserve">per capita </w:t>
      </w:r>
      <w:r w:rsidR="00C85FC0">
        <w:rPr>
          <w:rFonts w:cs="Arial"/>
          <w:bCs/>
          <w:spacing w:val="2"/>
          <w:szCs w:val="19"/>
          <w:lang w:val="en-GB"/>
        </w:rPr>
        <w:t xml:space="preserve">in real terms </w:t>
      </w:r>
      <w:r w:rsidR="00325F88">
        <w:rPr>
          <w:rFonts w:cs="Arial"/>
          <w:bCs/>
          <w:spacing w:val="2"/>
          <w:szCs w:val="19"/>
          <w:lang w:val="en-GB"/>
        </w:rPr>
        <w:t xml:space="preserve">in total – </w:t>
      </w:r>
      <w:r w:rsidRPr="00AD1C4D">
        <w:rPr>
          <w:rFonts w:cs="Arial"/>
          <w:bCs/>
          <w:spacing w:val="2"/>
          <w:szCs w:val="19"/>
          <w:lang w:val="en-GB"/>
        </w:rPr>
        <w:t xml:space="preserve">by </w:t>
      </w:r>
      <w:r>
        <w:rPr>
          <w:rFonts w:cs="Arial"/>
          <w:bCs/>
          <w:spacing w:val="2"/>
          <w:szCs w:val="19"/>
          <w:lang w:val="en-GB"/>
        </w:rPr>
        <w:t>2</w:t>
      </w:r>
      <w:r w:rsidRPr="00AD1C4D">
        <w:rPr>
          <w:rFonts w:cs="Arial"/>
          <w:bCs/>
          <w:spacing w:val="2"/>
          <w:szCs w:val="19"/>
          <w:lang w:val="en-GB"/>
        </w:rPr>
        <w:t>.0% (in 201</w:t>
      </w:r>
      <w:r>
        <w:rPr>
          <w:rFonts w:cs="Arial"/>
          <w:bCs/>
          <w:spacing w:val="2"/>
          <w:szCs w:val="19"/>
          <w:lang w:val="en-GB"/>
        </w:rPr>
        <w:t>9</w:t>
      </w:r>
      <w:r w:rsidRPr="00AD1C4D">
        <w:rPr>
          <w:rFonts w:cs="Arial"/>
          <w:bCs/>
          <w:spacing w:val="2"/>
          <w:szCs w:val="19"/>
          <w:lang w:val="en-GB"/>
        </w:rPr>
        <w:t xml:space="preserve"> – by </w:t>
      </w:r>
      <w:r>
        <w:rPr>
          <w:rFonts w:cs="Arial"/>
          <w:bCs/>
          <w:spacing w:val="2"/>
          <w:szCs w:val="19"/>
          <w:lang w:val="en-GB"/>
        </w:rPr>
        <w:t>5.0</w:t>
      </w:r>
      <w:r w:rsidRPr="00AD1C4D">
        <w:rPr>
          <w:rFonts w:cs="Arial"/>
          <w:bCs/>
          <w:spacing w:val="2"/>
          <w:szCs w:val="19"/>
          <w:lang w:val="en-GB"/>
        </w:rPr>
        <w:t>%).</w:t>
      </w:r>
      <w:r w:rsidRPr="00AD1C4D">
        <w:rPr>
          <w:rFonts w:cs="Arial"/>
          <w:spacing w:val="2"/>
          <w:szCs w:val="19"/>
          <w:lang w:val="en-GB"/>
        </w:rPr>
        <w:t xml:space="preserve"> </w:t>
      </w:r>
      <w:r w:rsidRPr="00AD1C4D">
        <w:rPr>
          <w:rFonts w:cs="Arial"/>
          <w:bCs/>
          <w:spacing w:val="2"/>
          <w:szCs w:val="19"/>
          <w:lang w:val="en-GB"/>
        </w:rPr>
        <w:t xml:space="preserve">This was observed in </w:t>
      </w:r>
      <w:r w:rsidR="00325F88">
        <w:rPr>
          <w:rFonts w:cs="Arial"/>
          <w:bCs/>
          <w:spacing w:val="2"/>
          <w:szCs w:val="19"/>
          <w:lang w:val="en-GB"/>
        </w:rPr>
        <w:t>most</w:t>
      </w:r>
      <w:r w:rsidRPr="00AD1C4D">
        <w:rPr>
          <w:rFonts w:cs="Arial"/>
          <w:bCs/>
          <w:spacing w:val="2"/>
          <w:szCs w:val="19"/>
          <w:lang w:val="en-GB"/>
        </w:rPr>
        <w:t xml:space="preserve"> socio-economic groups of households</w:t>
      </w:r>
      <w:r w:rsidR="00325F88">
        <w:rPr>
          <w:rFonts w:cs="Arial"/>
          <w:bCs/>
          <w:spacing w:val="2"/>
          <w:szCs w:val="19"/>
          <w:lang w:val="en-GB"/>
        </w:rPr>
        <w:t xml:space="preserve">, except </w:t>
      </w:r>
      <w:r w:rsidR="00325F88" w:rsidRPr="009A70D0">
        <w:rPr>
          <w:spacing w:val="-2"/>
          <w:shd w:val="clear" w:color="auto" w:fill="FFFFFF"/>
          <w:lang w:val="en-GB"/>
        </w:rPr>
        <w:t xml:space="preserve">households of </w:t>
      </w:r>
      <w:r w:rsidR="00325F88">
        <w:rPr>
          <w:spacing w:val="-2"/>
          <w:shd w:val="clear" w:color="auto" w:fill="FFFFFF"/>
          <w:lang w:val="en-GB"/>
        </w:rPr>
        <w:t xml:space="preserve">the </w:t>
      </w:r>
      <w:r w:rsidR="00325F88" w:rsidRPr="009A70D0">
        <w:rPr>
          <w:spacing w:val="-2"/>
          <w:shd w:val="clear" w:color="auto" w:fill="FFFFFF"/>
          <w:lang w:val="en-GB"/>
        </w:rPr>
        <w:t>self-employed outside farm</w:t>
      </w:r>
      <w:r w:rsidR="00325F88">
        <w:rPr>
          <w:spacing w:val="-2"/>
          <w:shd w:val="clear" w:color="auto" w:fill="FFFFFF"/>
          <w:lang w:val="en-GB"/>
        </w:rPr>
        <w:t>ing, where income in real terms remained at a similar level (decrease by 0.1%) and households of pensioners (decrease by 2.6%).</w:t>
      </w:r>
      <w:r w:rsidRPr="00AD1C4D">
        <w:rPr>
          <w:rFonts w:cs="Arial"/>
          <w:bCs/>
          <w:spacing w:val="2"/>
          <w:szCs w:val="19"/>
          <w:lang w:val="en-GB"/>
        </w:rPr>
        <w:t xml:space="preserve"> The highest real increase </w:t>
      </w:r>
      <w:r w:rsidR="00325F88">
        <w:rPr>
          <w:rFonts w:cs="Arial"/>
          <w:bCs/>
          <w:spacing w:val="2"/>
          <w:szCs w:val="19"/>
          <w:lang w:val="en-GB"/>
        </w:rPr>
        <w:t>in</w:t>
      </w:r>
      <w:r w:rsidRPr="00AD1C4D">
        <w:rPr>
          <w:rFonts w:cs="Arial"/>
          <w:bCs/>
          <w:spacing w:val="2"/>
          <w:szCs w:val="19"/>
          <w:lang w:val="en-GB"/>
        </w:rPr>
        <w:t xml:space="preserve"> income was recorded in households of farmers </w:t>
      </w:r>
      <w:r w:rsidR="00325F88">
        <w:rPr>
          <w:rFonts w:cs="Arial"/>
          <w:bCs/>
          <w:spacing w:val="2"/>
          <w:szCs w:val="19"/>
          <w:lang w:val="en-GB"/>
        </w:rPr>
        <w:t>(</w:t>
      </w:r>
      <w:r w:rsidRPr="00AD1C4D">
        <w:rPr>
          <w:rFonts w:cs="Arial"/>
          <w:bCs/>
          <w:spacing w:val="2"/>
          <w:szCs w:val="19"/>
          <w:lang w:val="en-GB"/>
        </w:rPr>
        <w:t xml:space="preserve">by </w:t>
      </w:r>
      <w:r w:rsidR="00325F88">
        <w:rPr>
          <w:rFonts w:cs="Arial"/>
          <w:bCs/>
          <w:spacing w:val="2"/>
          <w:szCs w:val="19"/>
          <w:lang w:val="en-GB"/>
        </w:rPr>
        <w:t>7.7</w:t>
      </w:r>
      <w:r w:rsidRPr="00AD1C4D">
        <w:rPr>
          <w:rFonts w:cs="Arial"/>
          <w:bCs/>
          <w:spacing w:val="2"/>
          <w:szCs w:val="19"/>
          <w:lang w:val="en-GB"/>
        </w:rPr>
        <w:t>%</w:t>
      </w:r>
      <w:r w:rsidR="00325F88">
        <w:rPr>
          <w:rFonts w:cs="Arial"/>
          <w:bCs/>
          <w:spacing w:val="2"/>
          <w:szCs w:val="19"/>
          <w:lang w:val="en-GB"/>
        </w:rPr>
        <w:t>) and the lowest in the group of retirees (by 0.2%)</w:t>
      </w:r>
      <w:r w:rsidRPr="00AD1C4D">
        <w:rPr>
          <w:rFonts w:cs="Arial"/>
          <w:bCs/>
          <w:spacing w:val="2"/>
          <w:szCs w:val="19"/>
          <w:lang w:val="en-GB"/>
        </w:rPr>
        <w:t>.</w:t>
      </w:r>
    </w:p>
    <w:p w14:paraId="7EE94DC4" w14:textId="77777777" w:rsidR="00764D9C" w:rsidRPr="007E6A56" w:rsidRDefault="00764D9C" w:rsidP="00764D9C">
      <w:pPr>
        <w:rPr>
          <w:i/>
          <w:shd w:val="clear" w:color="auto" w:fill="FFFFFF"/>
          <w:lang w:val="en-GB"/>
        </w:rPr>
      </w:pPr>
    </w:p>
    <w:p w14:paraId="7EE94DC5" w14:textId="77777777" w:rsidR="00764D9C" w:rsidRPr="003B33FE" w:rsidRDefault="001467C3" w:rsidP="00764D9C">
      <w:pPr>
        <w:spacing w:line="240" w:lineRule="auto"/>
        <w:jc w:val="both"/>
        <w:rPr>
          <w:i/>
          <w:shd w:val="clear" w:color="auto" w:fill="FFFFFF"/>
        </w:rPr>
      </w:pPr>
      <w:r>
        <w:rPr>
          <w:noProof/>
          <w:lang w:eastAsia="pl-PL"/>
        </w:rPr>
        <w:lastRenderedPageBreak/>
        <w:drawing>
          <wp:inline distT="0" distB="0" distL="0" distR="0" wp14:anchorId="7EE94FA0" wp14:editId="7EE94FA1">
            <wp:extent cx="5122545" cy="3024000"/>
            <wp:effectExtent l="0" t="0" r="1905" b="5080"/>
            <wp:docPr id="11" name="Wykres 1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E94DC6" w14:textId="77777777" w:rsidR="004700B5" w:rsidRDefault="004700B5" w:rsidP="00764D9C">
      <w:pPr>
        <w:rPr>
          <w:szCs w:val="19"/>
          <w:shd w:val="clear" w:color="auto" w:fill="FFFFFF"/>
          <w:lang w:val="en-GB"/>
        </w:rPr>
      </w:pPr>
    </w:p>
    <w:p w14:paraId="7EE94DC7" w14:textId="77777777" w:rsidR="005135D9" w:rsidRPr="005135D9" w:rsidRDefault="005135D9" w:rsidP="00764D9C">
      <w:pPr>
        <w:rPr>
          <w:szCs w:val="19"/>
          <w:shd w:val="clear" w:color="auto" w:fill="FFFFFF"/>
          <w:lang w:val="en-GB"/>
        </w:rPr>
      </w:pPr>
      <w:r w:rsidRPr="002440AA">
        <w:rPr>
          <w:szCs w:val="19"/>
          <w:shd w:val="clear" w:color="auto" w:fill="FFFFFF"/>
          <w:lang w:val="en-GB"/>
        </w:rPr>
        <w:t xml:space="preserve">A </w:t>
      </w:r>
      <w:r w:rsidR="002440AA" w:rsidRPr="002440AA">
        <w:rPr>
          <w:szCs w:val="19"/>
          <w:shd w:val="clear" w:color="auto" w:fill="FFFFFF"/>
          <w:lang w:val="en-GB"/>
        </w:rPr>
        <w:t xml:space="preserve">real </w:t>
      </w:r>
      <w:r w:rsidRPr="002440AA">
        <w:rPr>
          <w:szCs w:val="19"/>
          <w:shd w:val="clear" w:color="auto" w:fill="FFFFFF"/>
          <w:lang w:val="en-GB"/>
        </w:rPr>
        <w:t xml:space="preserve">growth </w:t>
      </w:r>
      <w:r w:rsidR="00FC061C">
        <w:rPr>
          <w:szCs w:val="19"/>
          <w:shd w:val="clear" w:color="auto" w:fill="FFFFFF"/>
          <w:lang w:val="en-GB"/>
        </w:rPr>
        <w:t>in</w:t>
      </w:r>
      <w:r w:rsidRPr="002440AA">
        <w:rPr>
          <w:szCs w:val="19"/>
          <w:shd w:val="clear" w:color="auto" w:fill="FFFFFF"/>
          <w:lang w:val="en-GB"/>
        </w:rPr>
        <w:t xml:space="preserve"> available income in households of farmers was </w:t>
      </w:r>
      <w:r w:rsidR="00FC061C">
        <w:rPr>
          <w:szCs w:val="19"/>
          <w:shd w:val="clear" w:color="auto" w:fill="FFFFFF"/>
          <w:lang w:val="en-GB"/>
        </w:rPr>
        <w:t>mainly influenced</w:t>
      </w:r>
      <w:r w:rsidRPr="002440AA">
        <w:rPr>
          <w:szCs w:val="19"/>
          <w:shd w:val="clear" w:color="auto" w:fill="FFFFFF"/>
          <w:lang w:val="en-GB"/>
        </w:rPr>
        <w:t xml:space="preserve"> by a real </w:t>
      </w:r>
      <w:r w:rsidR="00FC061C">
        <w:rPr>
          <w:szCs w:val="19"/>
          <w:shd w:val="clear" w:color="auto" w:fill="FFFFFF"/>
          <w:lang w:val="en-GB"/>
        </w:rPr>
        <w:t>increase</w:t>
      </w:r>
      <w:r w:rsidRPr="002440AA">
        <w:rPr>
          <w:szCs w:val="19"/>
          <w:shd w:val="clear" w:color="auto" w:fill="FFFFFF"/>
          <w:lang w:val="en-GB"/>
        </w:rPr>
        <w:t xml:space="preserve"> </w:t>
      </w:r>
      <w:r w:rsidR="00FC061C">
        <w:rPr>
          <w:szCs w:val="19"/>
          <w:shd w:val="clear" w:color="auto" w:fill="FFFFFF"/>
          <w:lang w:val="en-GB"/>
        </w:rPr>
        <w:t>in</w:t>
      </w:r>
      <w:r w:rsidRPr="002440AA">
        <w:rPr>
          <w:szCs w:val="19"/>
          <w:shd w:val="clear" w:color="auto" w:fill="FFFFFF"/>
          <w:lang w:val="en-GB"/>
        </w:rPr>
        <w:t xml:space="preserve"> income from private farm</w:t>
      </w:r>
      <w:r w:rsidR="00FC061C">
        <w:rPr>
          <w:szCs w:val="19"/>
          <w:shd w:val="clear" w:color="auto" w:fill="FFFFFF"/>
          <w:lang w:val="en-GB"/>
        </w:rPr>
        <w:t xml:space="preserve"> in relation to 2019</w:t>
      </w:r>
      <w:r w:rsidRPr="002440AA">
        <w:rPr>
          <w:szCs w:val="19"/>
          <w:shd w:val="clear" w:color="auto" w:fill="FFFFFF"/>
          <w:lang w:val="en-GB"/>
        </w:rPr>
        <w:t xml:space="preserve"> (by </w:t>
      </w:r>
      <w:r w:rsidR="00FC061C">
        <w:rPr>
          <w:szCs w:val="19"/>
          <w:shd w:val="clear" w:color="auto" w:fill="FFFFFF"/>
          <w:lang w:val="en-GB"/>
        </w:rPr>
        <w:t>1</w:t>
      </w:r>
      <w:r w:rsidR="000169CC">
        <w:rPr>
          <w:szCs w:val="19"/>
          <w:shd w:val="clear" w:color="auto" w:fill="FFFFFF"/>
          <w:lang w:val="en-GB"/>
        </w:rPr>
        <w:t>2.</w:t>
      </w:r>
      <w:r w:rsidR="00FC061C">
        <w:rPr>
          <w:szCs w:val="19"/>
          <w:shd w:val="clear" w:color="auto" w:fill="FFFFFF"/>
          <w:lang w:val="en-GB"/>
        </w:rPr>
        <w:t>0</w:t>
      </w:r>
      <w:r w:rsidRPr="002440AA">
        <w:rPr>
          <w:szCs w:val="19"/>
          <w:shd w:val="clear" w:color="auto" w:fill="FFFFFF"/>
          <w:lang w:val="en-GB"/>
        </w:rPr>
        <w:t>%</w:t>
      </w:r>
      <w:r w:rsidR="00FC061C">
        <w:rPr>
          <w:szCs w:val="19"/>
          <w:shd w:val="clear" w:color="auto" w:fill="FFFFFF"/>
          <w:lang w:val="en-GB"/>
        </w:rPr>
        <w:t>)</w:t>
      </w:r>
      <w:r w:rsidR="00FC061C">
        <w:rPr>
          <w:rStyle w:val="Odwoanieprzypisudolnego"/>
          <w:rFonts w:cs="Arial"/>
          <w:szCs w:val="19"/>
          <w:lang w:val="en-GB"/>
        </w:rPr>
        <w:footnoteReference w:id="3"/>
      </w:r>
      <w:r w:rsidR="00FC061C">
        <w:rPr>
          <w:szCs w:val="19"/>
          <w:shd w:val="clear" w:color="auto" w:fill="FFFFFF"/>
          <w:lang w:val="en-GB"/>
        </w:rPr>
        <w:t xml:space="preserve"> and to lesser extent from social benefits (by 2.7%), </w:t>
      </w:r>
      <w:r w:rsidR="00273093">
        <w:rPr>
          <w:szCs w:val="19"/>
          <w:shd w:val="clear" w:color="auto" w:fill="FFFFFF"/>
          <w:lang w:val="en-GB"/>
        </w:rPr>
        <w:t xml:space="preserve">and </w:t>
      </w:r>
      <w:r w:rsidR="00FC061C">
        <w:rPr>
          <w:szCs w:val="19"/>
          <w:shd w:val="clear" w:color="auto" w:fill="FFFFFF"/>
          <w:lang w:val="en-GB"/>
        </w:rPr>
        <w:t xml:space="preserve">at the same time </w:t>
      </w:r>
      <w:r w:rsidR="00273093">
        <w:rPr>
          <w:szCs w:val="19"/>
          <w:shd w:val="clear" w:color="auto" w:fill="FFFFFF"/>
          <w:lang w:val="en-GB"/>
        </w:rPr>
        <w:t xml:space="preserve">with </w:t>
      </w:r>
      <w:r w:rsidR="003F29C1">
        <w:rPr>
          <w:szCs w:val="19"/>
          <w:shd w:val="clear" w:color="auto" w:fill="FFFFFF"/>
          <w:lang w:val="en-GB"/>
        </w:rPr>
        <w:t xml:space="preserve">a </w:t>
      </w:r>
      <w:r w:rsidR="00FC061C">
        <w:rPr>
          <w:szCs w:val="19"/>
          <w:shd w:val="clear" w:color="auto" w:fill="FFFFFF"/>
          <w:lang w:val="en-GB"/>
        </w:rPr>
        <w:t xml:space="preserve">decrease in current </w:t>
      </w:r>
      <w:r w:rsidR="003F29C1">
        <w:rPr>
          <w:szCs w:val="19"/>
          <w:shd w:val="clear" w:color="auto" w:fill="FFFFFF"/>
          <w:lang w:val="en-GB"/>
        </w:rPr>
        <w:t>outlays</w:t>
      </w:r>
      <w:r w:rsidR="00FC061C">
        <w:rPr>
          <w:szCs w:val="19"/>
          <w:shd w:val="clear" w:color="auto" w:fill="FFFFFF"/>
          <w:lang w:val="en-GB"/>
        </w:rPr>
        <w:t xml:space="preserve"> </w:t>
      </w:r>
      <w:r w:rsidR="00114295">
        <w:rPr>
          <w:szCs w:val="19"/>
          <w:shd w:val="clear" w:color="auto" w:fill="FFFFFF"/>
          <w:lang w:val="en-GB"/>
        </w:rPr>
        <w:t>on</w:t>
      </w:r>
      <w:r w:rsidR="003F29C1">
        <w:rPr>
          <w:szCs w:val="19"/>
          <w:shd w:val="clear" w:color="auto" w:fill="FFFFFF"/>
          <w:lang w:val="en-GB"/>
        </w:rPr>
        <w:t xml:space="preserve"> a</w:t>
      </w:r>
      <w:r w:rsidR="00FC061C">
        <w:rPr>
          <w:szCs w:val="19"/>
          <w:shd w:val="clear" w:color="auto" w:fill="FFFFFF"/>
          <w:lang w:val="en-GB"/>
        </w:rPr>
        <w:t xml:space="preserve"> farm (by 9.4%)</w:t>
      </w:r>
      <w:r w:rsidRPr="002440AA">
        <w:rPr>
          <w:szCs w:val="19"/>
          <w:shd w:val="clear" w:color="auto" w:fill="FFFFFF"/>
          <w:lang w:val="en-GB"/>
        </w:rPr>
        <w:t>.</w:t>
      </w:r>
    </w:p>
    <w:p w14:paraId="7EE94DC8" w14:textId="77777777" w:rsidR="00AB1889" w:rsidRDefault="00AB1889" w:rsidP="00764D9C">
      <w:pPr>
        <w:rPr>
          <w:rFonts w:cs="Arial"/>
          <w:szCs w:val="19"/>
          <w:lang w:val="en-GB"/>
        </w:rPr>
      </w:pPr>
      <w:r w:rsidRPr="006416F7">
        <w:rPr>
          <w:rFonts w:cs="Arial"/>
          <w:szCs w:val="19"/>
          <w:lang w:val="en-GB"/>
        </w:rPr>
        <w:t>The highest share of income from the mai</w:t>
      </w:r>
      <w:r w:rsidRPr="00690E21">
        <w:rPr>
          <w:rFonts w:cs="Arial"/>
          <w:szCs w:val="19"/>
          <w:lang w:val="en-GB"/>
        </w:rPr>
        <w:t xml:space="preserve">n </w:t>
      </w:r>
      <w:r w:rsidR="00690E21" w:rsidRPr="00690E21">
        <w:rPr>
          <w:rFonts w:cs="Arial"/>
          <w:szCs w:val="19"/>
          <w:lang w:val="en-GB"/>
        </w:rPr>
        <w:t>source of income</w:t>
      </w:r>
      <w:r w:rsidRPr="006416F7">
        <w:rPr>
          <w:rFonts w:cs="Arial"/>
          <w:szCs w:val="19"/>
          <w:lang w:val="en-GB"/>
        </w:rPr>
        <w:t xml:space="preserve"> occurred in the households of retire</w:t>
      </w:r>
      <w:r w:rsidR="00C85FC0">
        <w:rPr>
          <w:rFonts w:cs="Arial"/>
          <w:szCs w:val="19"/>
          <w:lang w:val="en-GB"/>
        </w:rPr>
        <w:t>e</w:t>
      </w:r>
      <w:r w:rsidRPr="006416F7">
        <w:rPr>
          <w:rFonts w:cs="Arial"/>
          <w:szCs w:val="19"/>
          <w:lang w:val="en-GB"/>
        </w:rPr>
        <w:t>s</w:t>
      </w:r>
      <w:r>
        <w:rPr>
          <w:rFonts w:cs="Arial"/>
          <w:szCs w:val="19"/>
          <w:lang w:val="en-GB"/>
        </w:rPr>
        <w:t xml:space="preserve"> (8</w:t>
      </w:r>
      <w:r w:rsidR="003F29C1">
        <w:rPr>
          <w:rFonts w:cs="Arial"/>
          <w:szCs w:val="19"/>
          <w:lang w:val="en-GB"/>
        </w:rPr>
        <w:t>4</w:t>
      </w:r>
      <w:r>
        <w:rPr>
          <w:rFonts w:cs="Arial"/>
          <w:szCs w:val="19"/>
          <w:lang w:val="en-GB"/>
        </w:rPr>
        <w:t>.</w:t>
      </w:r>
      <w:r w:rsidR="003F29C1">
        <w:rPr>
          <w:rFonts w:cs="Arial"/>
          <w:szCs w:val="19"/>
          <w:lang w:val="en-GB"/>
        </w:rPr>
        <w:t>5</w:t>
      </w:r>
      <w:r w:rsidRPr="006416F7">
        <w:rPr>
          <w:rFonts w:cs="Arial"/>
          <w:szCs w:val="19"/>
          <w:lang w:val="en-GB"/>
        </w:rPr>
        <w:t xml:space="preserve">%) and the lowest in the households of </w:t>
      </w:r>
      <w:r w:rsidR="003F29C1">
        <w:rPr>
          <w:rFonts w:cs="Arial"/>
          <w:szCs w:val="19"/>
          <w:lang w:val="en-GB"/>
        </w:rPr>
        <w:t>self-employed</w:t>
      </w:r>
      <w:r w:rsidRPr="006416F7">
        <w:rPr>
          <w:rFonts w:cs="Arial"/>
          <w:szCs w:val="19"/>
          <w:lang w:val="en-GB"/>
        </w:rPr>
        <w:t xml:space="preserve"> (</w:t>
      </w:r>
      <w:r>
        <w:rPr>
          <w:rFonts w:cs="Arial"/>
          <w:szCs w:val="19"/>
          <w:lang w:val="en-GB"/>
        </w:rPr>
        <w:t>6</w:t>
      </w:r>
      <w:r w:rsidR="003F29C1">
        <w:rPr>
          <w:rFonts w:cs="Arial"/>
          <w:szCs w:val="19"/>
          <w:lang w:val="en-GB"/>
        </w:rPr>
        <w:t>8</w:t>
      </w:r>
      <w:r>
        <w:rPr>
          <w:rFonts w:cs="Arial"/>
          <w:szCs w:val="19"/>
          <w:lang w:val="en-GB"/>
        </w:rPr>
        <w:t>.</w:t>
      </w:r>
      <w:r w:rsidR="003F29C1">
        <w:rPr>
          <w:rFonts w:cs="Arial"/>
          <w:szCs w:val="19"/>
          <w:lang w:val="en-GB"/>
        </w:rPr>
        <w:t>1</w:t>
      </w:r>
      <w:r w:rsidRPr="006416F7">
        <w:rPr>
          <w:rFonts w:cs="Arial"/>
          <w:szCs w:val="19"/>
          <w:lang w:val="en-GB"/>
        </w:rPr>
        <w:t>%).</w:t>
      </w:r>
    </w:p>
    <w:p w14:paraId="7EE94DC9" w14:textId="77777777" w:rsidR="00FC061C" w:rsidRPr="00DC0779" w:rsidRDefault="00FC061C" w:rsidP="00FC061C">
      <w:pPr>
        <w:spacing w:before="0"/>
        <w:rPr>
          <w:spacing w:val="-2"/>
          <w:szCs w:val="19"/>
          <w:shd w:val="clear" w:color="auto" w:fill="FFFFFF"/>
          <w:lang w:val="en-GB"/>
        </w:rPr>
      </w:pPr>
      <w:r w:rsidRPr="006416F7">
        <w:rPr>
          <w:rFonts w:cs="Arial"/>
          <w:szCs w:val="19"/>
          <w:lang w:val="en-GB"/>
        </w:rPr>
        <w:t xml:space="preserve">In </w:t>
      </w:r>
      <w:r>
        <w:rPr>
          <w:rFonts w:cs="Arial"/>
          <w:szCs w:val="19"/>
          <w:lang w:val="en-GB"/>
        </w:rPr>
        <w:t xml:space="preserve">comparison </w:t>
      </w:r>
      <w:r w:rsidR="003F29C1">
        <w:rPr>
          <w:rFonts w:cs="Arial"/>
          <w:szCs w:val="19"/>
          <w:lang w:val="en-GB"/>
        </w:rPr>
        <w:t>with</w:t>
      </w:r>
      <w:r>
        <w:rPr>
          <w:rFonts w:cs="Arial"/>
          <w:szCs w:val="19"/>
          <w:lang w:val="en-GB"/>
        </w:rPr>
        <w:t xml:space="preserve"> 201</w:t>
      </w:r>
      <w:r w:rsidR="003F29C1">
        <w:rPr>
          <w:rFonts w:cs="Arial"/>
          <w:szCs w:val="19"/>
          <w:lang w:val="en-GB"/>
        </w:rPr>
        <w:t>9</w:t>
      </w:r>
      <w:r w:rsidRPr="006416F7">
        <w:rPr>
          <w:rFonts w:cs="Arial"/>
          <w:szCs w:val="19"/>
          <w:lang w:val="en-GB"/>
        </w:rPr>
        <w:t xml:space="preserve">, differences in the structure of the average monthly available income per capita in households ranged from </w:t>
      </w:r>
      <w:r>
        <w:rPr>
          <w:rFonts w:cs="Arial"/>
          <w:szCs w:val="19"/>
          <w:lang w:val="en-GB"/>
        </w:rPr>
        <w:t>-</w:t>
      </w:r>
      <w:r w:rsidR="003F29C1">
        <w:rPr>
          <w:rFonts w:cs="Arial"/>
          <w:szCs w:val="19"/>
          <w:lang w:val="en-GB"/>
        </w:rPr>
        <w:t>1.3</w:t>
      </w:r>
      <w:r w:rsidRPr="006416F7">
        <w:rPr>
          <w:rFonts w:cs="Arial"/>
          <w:szCs w:val="19"/>
          <w:lang w:val="en-GB"/>
        </w:rPr>
        <w:t xml:space="preserve"> percentage point</w:t>
      </w:r>
      <w:r>
        <w:rPr>
          <w:rFonts w:cs="Arial"/>
          <w:szCs w:val="19"/>
          <w:lang w:val="en-GB"/>
        </w:rPr>
        <w:t>s</w:t>
      </w:r>
      <w:r w:rsidRPr="006416F7">
        <w:rPr>
          <w:rFonts w:cs="Arial"/>
          <w:szCs w:val="19"/>
          <w:lang w:val="en-GB"/>
        </w:rPr>
        <w:t xml:space="preserve"> </w:t>
      </w:r>
      <w:r w:rsidR="003D6A3A">
        <w:rPr>
          <w:rFonts w:cs="Arial"/>
          <w:szCs w:val="19"/>
          <w:lang w:val="en-GB"/>
        </w:rPr>
        <w:t xml:space="preserve">in </w:t>
      </w:r>
      <w:r w:rsidR="00B730D5">
        <w:rPr>
          <w:rFonts w:cs="Arial"/>
          <w:szCs w:val="19"/>
          <w:lang w:val="en-GB"/>
        </w:rPr>
        <w:t xml:space="preserve">the </w:t>
      </w:r>
      <w:r w:rsidR="003D6A3A">
        <w:rPr>
          <w:rFonts w:cs="Arial"/>
          <w:szCs w:val="19"/>
          <w:lang w:val="en-GB"/>
        </w:rPr>
        <w:t>case of</w:t>
      </w:r>
      <w:r w:rsidRPr="006416F7">
        <w:rPr>
          <w:rFonts w:cs="Arial"/>
          <w:szCs w:val="19"/>
          <w:lang w:val="en-GB"/>
        </w:rPr>
        <w:t xml:space="preserve"> </w:t>
      </w:r>
      <w:r w:rsidR="003F29C1">
        <w:rPr>
          <w:rFonts w:cs="Arial"/>
          <w:szCs w:val="19"/>
          <w:lang w:val="en-GB"/>
        </w:rPr>
        <w:t xml:space="preserve">other </w:t>
      </w:r>
      <w:r>
        <w:rPr>
          <w:rFonts w:cs="Arial"/>
          <w:szCs w:val="19"/>
          <w:lang w:val="en-GB"/>
        </w:rPr>
        <w:t xml:space="preserve">income to </w:t>
      </w:r>
      <w:r w:rsidR="003F29C1">
        <w:rPr>
          <w:rFonts w:cs="Arial"/>
          <w:szCs w:val="19"/>
          <w:lang w:val="en-GB"/>
        </w:rPr>
        <w:t>+1.2</w:t>
      </w:r>
      <w:r w:rsidRPr="006416F7">
        <w:rPr>
          <w:rFonts w:cs="Arial"/>
          <w:szCs w:val="19"/>
          <w:lang w:val="en-GB"/>
        </w:rPr>
        <w:t xml:space="preserve"> percentage point</w:t>
      </w:r>
      <w:r>
        <w:rPr>
          <w:rFonts w:cs="Arial"/>
          <w:szCs w:val="19"/>
          <w:lang w:val="en-GB"/>
        </w:rPr>
        <w:t>s</w:t>
      </w:r>
      <w:r w:rsidRPr="006416F7">
        <w:rPr>
          <w:rFonts w:cs="Arial"/>
          <w:szCs w:val="19"/>
          <w:lang w:val="en-GB"/>
        </w:rPr>
        <w:t xml:space="preserve"> for income from </w:t>
      </w:r>
      <w:r w:rsidR="003F29C1">
        <w:rPr>
          <w:rFonts w:cs="Arial"/>
          <w:szCs w:val="19"/>
          <w:lang w:val="en-GB"/>
        </w:rPr>
        <w:t>hired work</w:t>
      </w:r>
      <w:r w:rsidRPr="006416F7">
        <w:rPr>
          <w:rFonts w:cs="Arial"/>
          <w:szCs w:val="19"/>
          <w:lang w:val="en-GB"/>
        </w:rPr>
        <w:t>.</w:t>
      </w:r>
    </w:p>
    <w:p w14:paraId="7EE94DCA" w14:textId="77777777" w:rsidR="00764D9C" w:rsidRPr="00AB1889" w:rsidRDefault="00764D9C" w:rsidP="00764D9C">
      <w:pPr>
        <w:jc w:val="both"/>
        <w:rPr>
          <w:i/>
          <w:spacing w:val="-2"/>
          <w:szCs w:val="19"/>
          <w:shd w:val="clear" w:color="auto" w:fill="FFFFFF"/>
          <w:lang w:val="en-GB"/>
        </w:rPr>
      </w:pPr>
    </w:p>
    <w:p w14:paraId="7EE94DCB" w14:textId="77777777" w:rsidR="00764D9C" w:rsidRPr="003B33FE" w:rsidRDefault="001467C3" w:rsidP="00764D9C">
      <w:pPr>
        <w:spacing w:line="240" w:lineRule="auto"/>
        <w:rPr>
          <w:b/>
          <w:i/>
          <w:spacing w:val="-2"/>
          <w:sz w:val="18"/>
          <w:shd w:val="clear" w:color="auto" w:fill="FFFFFF"/>
        </w:rPr>
      </w:pPr>
      <w:r>
        <w:rPr>
          <w:noProof/>
          <w:lang w:eastAsia="pl-PL"/>
        </w:rPr>
        <w:drawing>
          <wp:inline distT="0" distB="0" distL="0" distR="0" wp14:anchorId="7EE94FA2" wp14:editId="7EE94FA3">
            <wp:extent cx="5120640" cy="3420000"/>
            <wp:effectExtent l="0" t="0" r="3810" b="9525"/>
            <wp:docPr id="12" name="Wykres 12">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E94DCC" w14:textId="77777777" w:rsidR="001446F6" w:rsidRPr="001446F6" w:rsidRDefault="001446F6" w:rsidP="001446F6">
      <w:pPr>
        <w:spacing w:before="0"/>
        <w:rPr>
          <w:spacing w:val="-2"/>
          <w:szCs w:val="19"/>
          <w:shd w:val="clear" w:color="auto" w:fill="FFFFFF"/>
          <w:lang w:val="en-GB"/>
        </w:rPr>
      </w:pPr>
      <w:r w:rsidRPr="001446F6">
        <w:rPr>
          <w:spacing w:val="-2"/>
          <w:szCs w:val="19"/>
          <w:shd w:val="clear" w:color="auto" w:fill="FFFFFF"/>
          <w:lang w:val="en-GB"/>
        </w:rPr>
        <w:lastRenderedPageBreak/>
        <w:t>In 2020, as a result of the COVID-19 pandemic</w:t>
      </w:r>
      <w:r w:rsidR="00A57435">
        <w:rPr>
          <w:spacing w:val="-2"/>
          <w:szCs w:val="19"/>
          <w:shd w:val="clear" w:color="auto" w:fill="FFFFFF"/>
          <w:lang w:val="en-GB"/>
        </w:rPr>
        <w:t xml:space="preserve"> and its diverse dynamics</w:t>
      </w:r>
      <w:r w:rsidRPr="001446F6">
        <w:rPr>
          <w:spacing w:val="-2"/>
          <w:szCs w:val="19"/>
          <w:shd w:val="clear" w:color="auto" w:fill="FFFFFF"/>
          <w:lang w:val="en-GB"/>
        </w:rPr>
        <w:t>, there were both periods of tightening and loosening of</w:t>
      </w:r>
      <w:r w:rsidR="00AC0BBF">
        <w:rPr>
          <w:spacing w:val="-2"/>
          <w:szCs w:val="19"/>
          <w:shd w:val="clear" w:color="auto" w:fill="FFFFFF"/>
          <w:lang w:val="en-GB"/>
        </w:rPr>
        <w:t xml:space="preserve"> sanitary</w:t>
      </w:r>
      <w:r w:rsidRPr="001446F6">
        <w:rPr>
          <w:spacing w:val="-2"/>
          <w:szCs w:val="19"/>
          <w:shd w:val="clear" w:color="auto" w:fill="FFFFFF"/>
          <w:lang w:val="en-GB"/>
        </w:rPr>
        <w:t xml:space="preserve"> restrictions, and thus in individual quarters of this year compared to the corresponding quarters of the previous year, there were noticeable changes in the structure of the average monthly </w:t>
      </w:r>
      <w:r w:rsidR="00242EB6">
        <w:rPr>
          <w:spacing w:val="-2"/>
          <w:szCs w:val="19"/>
          <w:shd w:val="clear" w:color="auto" w:fill="FFFFFF"/>
          <w:lang w:val="en-GB"/>
        </w:rPr>
        <w:t>available</w:t>
      </w:r>
      <w:r w:rsidRPr="001446F6">
        <w:rPr>
          <w:spacing w:val="-2"/>
          <w:szCs w:val="19"/>
          <w:shd w:val="clear" w:color="auto" w:fill="FFFFFF"/>
          <w:lang w:val="en-GB"/>
        </w:rPr>
        <w:t xml:space="preserve"> income per </w:t>
      </w:r>
      <w:r w:rsidR="00242EB6">
        <w:rPr>
          <w:spacing w:val="-2"/>
          <w:szCs w:val="19"/>
          <w:shd w:val="clear" w:color="auto" w:fill="FFFFFF"/>
          <w:lang w:val="en-GB"/>
        </w:rPr>
        <w:t>capita</w:t>
      </w:r>
      <w:r w:rsidRPr="001446F6">
        <w:rPr>
          <w:spacing w:val="-2"/>
          <w:szCs w:val="19"/>
          <w:shd w:val="clear" w:color="auto" w:fill="FFFFFF"/>
          <w:lang w:val="en-GB"/>
        </w:rPr>
        <w:t xml:space="preserve"> in households. The largest differences occurred in </w:t>
      </w:r>
      <w:r w:rsidR="00B730D5">
        <w:rPr>
          <w:spacing w:val="-2"/>
          <w:szCs w:val="19"/>
          <w:shd w:val="clear" w:color="auto" w:fill="FFFFFF"/>
          <w:lang w:val="en-GB"/>
        </w:rPr>
        <w:t xml:space="preserve">the </w:t>
      </w:r>
      <w:r w:rsidRPr="001446F6">
        <w:rPr>
          <w:spacing w:val="-2"/>
          <w:szCs w:val="19"/>
          <w:shd w:val="clear" w:color="auto" w:fill="FFFFFF"/>
          <w:lang w:val="en-GB"/>
        </w:rPr>
        <w:t xml:space="preserve">case of </w:t>
      </w:r>
      <w:r w:rsidR="00242EB6">
        <w:rPr>
          <w:spacing w:val="-2"/>
          <w:szCs w:val="19"/>
          <w:shd w:val="clear" w:color="auto" w:fill="FFFFFF"/>
          <w:lang w:val="en-GB"/>
        </w:rPr>
        <w:t>income from hired work</w:t>
      </w:r>
      <w:r w:rsidRPr="001446F6">
        <w:rPr>
          <w:spacing w:val="-2"/>
          <w:szCs w:val="19"/>
          <w:shd w:val="clear" w:color="auto" w:fill="FFFFFF"/>
          <w:lang w:val="en-GB"/>
        </w:rPr>
        <w:t xml:space="preserve">, for which in the first quarter was </w:t>
      </w:r>
      <w:r w:rsidR="009863A2">
        <w:rPr>
          <w:spacing w:val="-2"/>
          <w:szCs w:val="19"/>
          <w:shd w:val="clear" w:color="auto" w:fill="FFFFFF"/>
          <w:lang w:val="en-GB"/>
        </w:rPr>
        <w:t xml:space="preserve">recorded </w:t>
      </w:r>
      <w:r w:rsidRPr="001446F6">
        <w:rPr>
          <w:spacing w:val="-2"/>
          <w:szCs w:val="19"/>
          <w:shd w:val="clear" w:color="auto" w:fill="FFFFFF"/>
          <w:lang w:val="en-GB"/>
        </w:rPr>
        <w:t xml:space="preserve">a decrease in the share in the structure of total income (by 1.0 percentage point </w:t>
      </w:r>
      <w:r w:rsidR="009863A2">
        <w:rPr>
          <w:spacing w:val="-2"/>
          <w:szCs w:val="19"/>
          <w:shd w:val="clear" w:color="auto" w:fill="FFFFFF"/>
          <w:lang w:val="en-GB"/>
        </w:rPr>
        <w:t xml:space="preserve">in </w:t>
      </w:r>
      <w:r w:rsidRPr="001446F6">
        <w:rPr>
          <w:spacing w:val="-2"/>
          <w:szCs w:val="19"/>
          <w:shd w:val="clear" w:color="auto" w:fill="FFFFFF"/>
          <w:lang w:val="en-GB"/>
        </w:rPr>
        <w:t>compar</w:t>
      </w:r>
      <w:r w:rsidR="009863A2">
        <w:rPr>
          <w:spacing w:val="-2"/>
          <w:szCs w:val="19"/>
          <w:shd w:val="clear" w:color="auto" w:fill="FFFFFF"/>
          <w:lang w:val="en-GB"/>
        </w:rPr>
        <w:t>ison</w:t>
      </w:r>
      <w:r w:rsidRPr="001446F6">
        <w:rPr>
          <w:spacing w:val="-2"/>
          <w:szCs w:val="19"/>
          <w:shd w:val="clear" w:color="auto" w:fill="FFFFFF"/>
          <w:lang w:val="en-GB"/>
        </w:rPr>
        <w:t xml:space="preserve"> </w:t>
      </w:r>
      <w:r w:rsidR="009863A2">
        <w:rPr>
          <w:spacing w:val="-2"/>
          <w:szCs w:val="19"/>
          <w:shd w:val="clear" w:color="auto" w:fill="FFFFFF"/>
          <w:lang w:val="en-GB"/>
        </w:rPr>
        <w:t>with</w:t>
      </w:r>
      <w:r w:rsidRPr="001446F6">
        <w:rPr>
          <w:spacing w:val="-2"/>
          <w:szCs w:val="19"/>
          <w:shd w:val="clear" w:color="auto" w:fill="FFFFFF"/>
          <w:lang w:val="en-GB"/>
        </w:rPr>
        <w:t xml:space="preserve"> the same period of 2019), and </w:t>
      </w:r>
      <w:r w:rsidR="00273093">
        <w:rPr>
          <w:spacing w:val="-2"/>
          <w:szCs w:val="19"/>
          <w:shd w:val="clear" w:color="auto" w:fill="FFFFFF"/>
          <w:lang w:val="en-GB"/>
        </w:rPr>
        <w:t>beginning with</w:t>
      </w:r>
      <w:r w:rsidRPr="001446F6">
        <w:rPr>
          <w:spacing w:val="-2"/>
          <w:szCs w:val="19"/>
          <w:shd w:val="clear" w:color="auto" w:fill="FFFFFF"/>
          <w:lang w:val="en-GB"/>
        </w:rPr>
        <w:t xml:space="preserve"> the second quarter </w:t>
      </w:r>
      <w:r w:rsidR="009863A2">
        <w:rPr>
          <w:spacing w:val="-2"/>
          <w:szCs w:val="19"/>
          <w:shd w:val="clear" w:color="auto" w:fill="FFFFFF"/>
          <w:lang w:val="en-GB"/>
        </w:rPr>
        <w:t xml:space="preserve">there </w:t>
      </w:r>
      <w:r w:rsidR="00CD749A">
        <w:rPr>
          <w:spacing w:val="-2"/>
          <w:szCs w:val="19"/>
          <w:shd w:val="clear" w:color="auto" w:fill="FFFFFF"/>
          <w:lang w:val="en-GB"/>
        </w:rPr>
        <w:t>was</w:t>
      </w:r>
      <w:r w:rsidR="009863A2">
        <w:rPr>
          <w:spacing w:val="-2"/>
          <w:szCs w:val="19"/>
          <w:shd w:val="clear" w:color="auto" w:fill="FFFFFF"/>
          <w:lang w:val="en-GB"/>
        </w:rPr>
        <w:t xml:space="preserve"> observed </w:t>
      </w:r>
      <w:r w:rsidRPr="001446F6">
        <w:rPr>
          <w:spacing w:val="-2"/>
          <w:szCs w:val="19"/>
          <w:shd w:val="clear" w:color="auto" w:fill="FFFFFF"/>
          <w:lang w:val="en-GB"/>
        </w:rPr>
        <w:t xml:space="preserve">a systematic increase (from 1.2 percentage points in the second quarter to 2.8 percentage points in the fourth quarter). In the first and second quarter of 2020, a significant increase in the share of income from other social benefits in total income was recorded (by 1.7 and 2.0 percentage points compared </w:t>
      </w:r>
      <w:r w:rsidR="009863A2">
        <w:rPr>
          <w:spacing w:val="-2"/>
          <w:szCs w:val="19"/>
          <w:shd w:val="clear" w:color="auto" w:fill="FFFFFF"/>
          <w:lang w:val="en-GB"/>
        </w:rPr>
        <w:t>with</w:t>
      </w:r>
      <w:r w:rsidRPr="001446F6">
        <w:rPr>
          <w:spacing w:val="-2"/>
          <w:szCs w:val="19"/>
          <w:shd w:val="clear" w:color="auto" w:fill="FFFFFF"/>
          <w:lang w:val="en-GB"/>
        </w:rPr>
        <w:t xml:space="preserve"> the corresponding quarters of 2019), but in the following quarters these differences decreased.</w:t>
      </w:r>
      <w:r w:rsidR="006255CD">
        <w:rPr>
          <w:rStyle w:val="Odwoanieprzypisudolnego"/>
          <w:rFonts w:cs="Arial"/>
          <w:szCs w:val="19"/>
          <w:lang w:val="en-GB"/>
        </w:rPr>
        <w:footnoteReference w:id="4"/>
      </w:r>
      <w:r w:rsidRPr="001446F6">
        <w:rPr>
          <w:spacing w:val="-2"/>
          <w:szCs w:val="19"/>
          <w:shd w:val="clear" w:color="auto" w:fill="FFFFFF"/>
          <w:lang w:val="en-GB"/>
        </w:rPr>
        <w:t xml:space="preserve"> A </w:t>
      </w:r>
      <w:r w:rsidR="006255CD" w:rsidRPr="001446F6">
        <w:rPr>
          <w:spacing w:val="-2"/>
          <w:szCs w:val="19"/>
          <w:shd w:val="clear" w:color="auto" w:fill="FFFFFF"/>
          <w:lang w:val="en-GB"/>
        </w:rPr>
        <w:t>decline</w:t>
      </w:r>
      <w:r w:rsidRPr="001446F6">
        <w:rPr>
          <w:spacing w:val="-2"/>
          <w:szCs w:val="19"/>
          <w:shd w:val="clear" w:color="auto" w:fill="FFFFFF"/>
          <w:lang w:val="en-GB"/>
        </w:rPr>
        <w:t xml:space="preserve"> in the share in total income in all quarters compared </w:t>
      </w:r>
      <w:r w:rsidR="006255CD">
        <w:rPr>
          <w:spacing w:val="-2"/>
          <w:szCs w:val="19"/>
          <w:shd w:val="clear" w:color="auto" w:fill="FFFFFF"/>
          <w:lang w:val="en-GB"/>
        </w:rPr>
        <w:t>with</w:t>
      </w:r>
      <w:r w:rsidRPr="001446F6">
        <w:rPr>
          <w:spacing w:val="-2"/>
          <w:szCs w:val="19"/>
          <w:shd w:val="clear" w:color="auto" w:fill="FFFFFF"/>
          <w:lang w:val="en-GB"/>
        </w:rPr>
        <w:t xml:space="preserve"> the previous year was observed in income from social security benefits (the </w:t>
      </w:r>
      <w:r w:rsidR="006255CD">
        <w:rPr>
          <w:spacing w:val="-2"/>
          <w:szCs w:val="19"/>
          <w:shd w:val="clear" w:color="auto" w:fill="FFFFFF"/>
          <w:lang w:val="en-GB"/>
        </w:rPr>
        <w:t>largest</w:t>
      </w:r>
      <w:r w:rsidRPr="001446F6">
        <w:rPr>
          <w:spacing w:val="-2"/>
          <w:szCs w:val="19"/>
          <w:shd w:val="clear" w:color="auto" w:fill="FFFFFF"/>
          <w:lang w:val="en-GB"/>
        </w:rPr>
        <w:t xml:space="preserve"> decrease in the second quarter </w:t>
      </w:r>
      <w:r w:rsidR="002138DD">
        <w:rPr>
          <w:spacing w:val="-2"/>
          <w:szCs w:val="19"/>
          <w:shd w:val="clear" w:color="auto" w:fill="FFFFFF"/>
          <w:lang w:val="en-GB"/>
        </w:rPr>
        <w:t>–</w:t>
      </w:r>
      <w:r w:rsidRPr="001446F6">
        <w:rPr>
          <w:spacing w:val="-2"/>
          <w:szCs w:val="19"/>
          <w:shd w:val="clear" w:color="auto" w:fill="FFFFFF"/>
          <w:lang w:val="en-GB"/>
        </w:rPr>
        <w:t xml:space="preserve"> by 2.0 percentage points) and other income (the </w:t>
      </w:r>
      <w:r w:rsidR="002138DD">
        <w:rPr>
          <w:spacing w:val="-2"/>
          <w:szCs w:val="19"/>
          <w:shd w:val="clear" w:color="auto" w:fill="FFFFFF"/>
          <w:lang w:val="en-GB"/>
        </w:rPr>
        <w:t>largest</w:t>
      </w:r>
      <w:r w:rsidRPr="001446F6">
        <w:rPr>
          <w:spacing w:val="-2"/>
          <w:szCs w:val="19"/>
          <w:shd w:val="clear" w:color="auto" w:fill="FFFFFF"/>
          <w:lang w:val="en-GB"/>
        </w:rPr>
        <w:t xml:space="preserve"> decrease in the fourth quarter </w:t>
      </w:r>
      <w:r w:rsidR="00273093">
        <w:rPr>
          <w:spacing w:val="-2"/>
          <w:szCs w:val="19"/>
          <w:shd w:val="clear" w:color="auto" w:fill="FFFFFF"/>
          <w:lang w:val="en-GB"/>
        </w:rPr>
        <w:t>–</w:t>
      </w:r>
      <w:r w:rsidRPr="001446F6">
        <w:rPr>
          <w:spacing w:val="-2"/>
          <w:szCs w:val="19"/>
          <w:shd w:val="clear" w:color="auto" w:fill="FFFFFF"/>
          <w:lang w:val="en-GB"/>
        </w:rPr>
        <w:t xml:space="preserve"> by 2.3 percentage points).</w:t>
      </w:r>
    </w:p>
    <w:p w14:paraId="7EE94DCD" w14:textId="77777777" w:rsidR="001446F6" w:rsidRPr="001446F6" w:rsidRDefault="001446F6" w:rsidP="001446F6">
      <w:pPr>
        <w:spacing w:before="0" w:after="160" w:line="256" w:lineRule="auto"/>
        <w:rPr>
          <w:spacing w:val="-2"/>
          <w:szCs w:val="19"/>
          <w:shd w:val="clear" w:color="auto" w:fill="FFFFFF"/>
          <w:lang w:val="en-GB"/>
        </w:rPr>
      </w:pPr>
    </w:p>
    <w:p w14:paraId="7EE94DCE" w14:textId="77777777" w:rsidR="001446F6" w:rsidRPr="009441E7" w:rsidRDefault="001446F6" w:rsidP="00B06F47">
      <w:pPr>
        <w:spacing w:after="240"/>
        <w:ind w:left="709" w:hanging="709"/>
        <w:rPr>
          <w:rFonts w:ascii="Fira Sans SemiBold" w:hAnsi="Fira Sans SemiBold"/>
          <w:sz w:val="18"/>
          <w:shd w:val="clear" w:color="auto" w:fill="FFFFFF"/>
          <w:lang w:val="en-GB"/>
        </w:rPr>
      </w:pPr>
      <w:r w:rsidRPr="009441E7">
        <w:rPr>
          <w:rFonts w:ascii="Fira Sans SemiBold" w:hAnsi="Fira Sans SemiBold"/>
          <w:sz w:val="18"/>
          <w:shd w:val="clear" w:color="auto" w:fill="FFFFFF"/>
          <w:lang w:val="en-GB"/>
        </w:rPr>
        <w:t>Tabl</w:t>
      </w:r>
      <w:r w:rsidR="002138DD" w:rsidRPr="009441E7">
        <w:rPr>
          <w:rFonts w:ascii="Fira Sans SemiBold" w:hAnsi="Fira Sans SemiBold"/>
          <w:sz w:val="18"/>
          <w:shd w:val="clear" w:color="auto" w:fill="FFFFFF"/>
          <w:lang w:val="en-GB"/>
        </w:rPr>
        <w:t>e</w:t>
      </w:r>
      <w:r w:rsidRPr="009441E7">
        <w:rPr>
          <w:rFonts w:ascii="Fira Sans SemiBold" w:hAnsi="Fira Sans SemiBold"/>
          <w:sz w:val="18"/>
          <w:shd w:val="clear" w:color="auto" w:fill="FFFFFF"/>
          <w:lang w:val="en-GB"/>
        </w:rPr>
        <w:t xml:space="preserve"> 1</w:t>
      </w:r>
      <w:r w:rsidRPr="009441E7">
        <w:rPr>
          <w:rFonts w:ascii="Fira Sans SemiBold" w:hAnsi="Fira Sans SemiBold"/>
          <w:sz w:val="18"/>
          <w:shd w:val="clear" w:color="auto" w:fill="FFFFFF"/>
          <w:lang w:val="en-US"/>
        </w:rPr>
        <w:t xml:space="preserve">. </w:t>
      </w:r>
      <w:r w:rsidR="002138DD" w:rsidRPr="009441E7">
        <w:rPr>
          <w:rFonts w:ascii="Fira Sans SemiBold" w:hAnsi="Fira Sans SemiBold"/>
          <w:sz w:val="18"/>
          <w:shd w:val="clear" w:color="auto" w:fill="FFFFFF"/>
          <w:lang w:val="en-US"/>
        </w:rPr>
        <w:t xml:space="preserve">Structure of average monthly available income per capita in households by quarters </w:t>
      </w:r>
    </w:p>
    <w:tbl>
      <w:tblPr>
        <w:tblStyle w:val="Siatkatabelijasna2"/>
        <w:tblW w:w="7938" w:type="dxa"/>
        <w:jc w:val="center"/>
        <w:tblInd w:w="0"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Layout w:type="fixed"/>
        <w:tblCellMar>
          <w:top w:w="57" w:type="dxa"/>
          <w:bottom w:w="57" w:type="dxa"/>
        </w:tblCellMar>
        <w:tblLook w:val="04A0" w:firstRow="1" w:lastRow="0" w:firstColumn="1" w:lastColumn="0" w:noHBand="0" w:noVBand="1"/>
      </w:tblPr>
      <w:tblGrid>
        <w:gridCol w:w="2268"/>
        <w:gridCol w:w="567"/>
        <w:gridCol w:w="567"/>
        <w:gridCol w:w="567"/>
        <w:gridCol w:w="567"/>
        <w:gridCol w:w="567"/>
        <w:gridCol w:w="567"/>
        <w:gridCol w:w="567"/>
        <w:gridCol w:w="567"/>
        <w:gridCol w:w="567"/>
        <w:gridCol w:w="567"/>
      </w:tblGrid>
      <w:tr w:rsidR="000C1245" w:rsidRPr="002138DD" w14:paraId="7EE94DD5" w14:textId="77777777" w:rsidTr="00BA07C5">
        <w:trPr>
          <w:trHeight w:val="57"/>
          <w:jc w:val="center"/>
        </w:trPr>
        <w:tc>
          <w:tcPr>
            <w:tcW w:w="2268" w:type="dxa"/>
            <w:vMerge w:val="restart"/>
            <w:tcBorders>
              <w:top w:val="nil"/>
              <w:left w:val="nil"/>
              <w:bottom w:val="single" w:sz="12" w:space="0" w:color="001D77"/>
              <w:right w:val="single" w:sz="4" w:space="0" w:color="001D77"/>
            </w:tcBorders>
            <w:vAlign w:val="center"/>
            <w:hideMark/>
          </w:tcPr>
          <w:p w14:paraId="7EE94DCF" w14:textId="77777777" w:rsidR="000C1245" w:rsidRPr="002138DD" w:rsidRDefault="000C1245" w:rsidP="000C1245">
            <w:pPr>
              <w:pStyle w:val="tekstnaniebieskimtle"/>
              <w:spacing w:line="240" w:lineRule="exact"/>
              <w:jc w:val="center"/>
              <w:rPr>
                <w:b/>
                <w:bCs/>
                <w:sz w:val="16"/>
                <w:szCs w:val="16"/>
                <w:lang w:val="en-GB"/>
              </w:rPr>
            </w:pPr>
            <w:r>
              <w:rPr>
                <w:sz w:val="16"/>
                <w:szCs w:val="16"/>
                <w:lang w:val="en-GB"/>
              </w:rPr>
              <w:t>SPECIFICATION</w:t>
            </w:r>
          </w:p>
        </w:tc>
        <w:tc>
          <w:tcPr>
            <w:tcW w:w="1134" w:type="dxa"/>
            <w:gridSpan w:val="2"/>
            <w:tcBorders>
              <w:top w:val="nil"/>
              <w:left w:val="single" w:sz="4" w:space="0" w:color="001D77"/>
              <w:bottom w:val="single" w:sz="4" w:space="0" w:color="001D77"/>
              <w:right w:val="single" w:sz="4" w:space="0" w:color="001D77"/>
            </w:tcBorders>
            <w:vAlign w:val="center"/>
          </w:tcPr>
          <w:p w14:paraId="7EE94DD0" w14:textId="77777777" w:rsidR="000C1245" w:rsidRPr="002138DD" w:rsidRDefault="000C1245" w:rsidP="000C1245">
            <w:pPr>
              <w:pStyle w:val="Nagwek3"/>
              <w:spacing w:before="0"/>
              <w:jc w:val="center"/>
              <w:outlineLvl w:val="2"/>
              <w:rPr>
                <w:rFonts w:ascii="Fira Sans" w:hAnsi="Fira Sans"/>
                <w:color w:val="000000" w:themeColor="text1"/>
                <w:sz w:val="16"/>
                <w:szCs w:val="16"/>
                <w:lang w:val="en-GB"/>
              </w:rPr>
            </w:pPr>
            <w:r>
              <w:rPr>
                <w:rFonts w:ascii="Fira Sans" w:hAnsi="Fira Sans"/>
                <w:color w:val="000000" w:themeColor="text1"/>
                <w:sz w:val="16"/>
                <w:szCs w:val="16"/>
                <w:lang w:val="en-GB"/>
              </w:rPr>
              <w:t>Total</w:t>
            </w:r>
          </w:p>
        </w:tc>
        <w:tc>
          <w:tcPr>
            <w:tcW w:w="1134" w:type="dxa"/>
            <w:gridSpan w:val="2"/>
            <w:tcBorders>
              <w:top w:val="nil"/>
              <w:left w:val="single" w:sz="4" w:space="0" w:color="001D77"/>
              <w:bottom w:val="single" w:sz="4" w:space="0" w:color="001D77"/>
              <w:right w:val="single" w:sz="4" w:space="0" w:color="001D77"/>
            </w:tcBorders>
            <w:vAlign w:val="center"/>
            <w:hideMark/>
          </w:tcPr>
          <w:p w14:paraId="7EE94DD1" w14:textId="77777777" w:rsidR="000C1245" w:rsidRPr="002138DD" w:rsidRDefault="000C1245" w:rsidP="000C124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the 1st quarter</w:t>
            </w:r>
          </w:p>
        </w:tc>
        <w:tc>
          <w:tcPr>
            <w:tcW w:w="1134" w:type="dxa"/>
            <w:gridSpan w:val="2"/>
            <w:tcBorders>
              <w:top w:val="nil"/>
              <w:left w:val="single" w:sz="4" w:space="0" w:color="001D77"/>
              <w:bottom w:val="single" w:sz="4" w:space="0" w:color="001D77"/>
              <w:right w:val="single" w:sz="4" w:space="0" w:color="001D77"/>
            </w:tcBorders>
            <w:vAlign w:val="center"/>
            <w:hideMark/>
          </w:tcPr>
          <w:p w14:paraId="7EE94DD2" w14:textId="77777777" w:rsidR="000C1245" w:rsidRPr="002138DD" w:rsidRDefault="000C1245" w:rsidP="000C124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 xml:space="preserve">the </w:t>
            </w:r>
            <w:r>
              <w:rPr>
                <w:rFonts w:ascii="Fira Sans" w:hAnsi="Fira Sans"/>
                <w:color w:val="000000" w:themeColor="text1"/>
                <w:sz w:val="16"/>
                <w:szCs w:val="16"/>
                <w:lang w:val="en-GB"/>
              </w:rPr>
              <w:t>2nd</w:t>
            </w:r>
            <w:r w:rsidRPr="003B6D42">
              <w:rPr>
                <w:rFonts w:ascii="Fira Sans" w:hAnsi="Fira Sans"/>
                <w:color w:val="000000" w:themeColor="text1"/>
                <w:sz w:val="16"/>
                <w:szCs w:val="16"/>
                <w:lang w:val="en-GB"/>
              </w:rPr>
              <w:t xml:space="preserve"> quarter</w:t>
            </w:r>
          </w:p>
        </w:tc>
        <w:tc>
          <w:tcPr>
            <w:tcW w:w="1134" w:type="dxa"/>
            <w:gridSpan w:val="2"/>
            <w:tcBorders>
              <w:top w:val="nil"/>
              <w:left w:val="single" w:sz="4" w:space="0" w:color="001D77"/>
              <w:bottom w:val="single" w:sz="4" w:space="0" w:color="001D77"/>
              <w:right w:val="single" w:sz="4" w:space="0" w:color="001D77"/>
            </w:tcBorders>
            <w:vAlign w:val="center"/>
            <w:hideMark/>
          </w:tcPr>
          <w:p w14:paraId="7EE94DD3" w14:textId="77777777" w:rsidR="000C1245" w:rsidRPr="002138DD" w:rsidRDefault="000C1245" w:rsidP="000C124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 xml:space="preserve">the </w:t>
            </w:r>
            <w:r>
              <w:rPr>
                <w:rFonts w:ascii="Fira Sans" w:hAnsi="Fira Sans"/>
                <w:color w:val="000000" w:themeColor="text1"/>
                <w:sz w:val="16"/>
                <w:szCs w:val="16"/>
                <w:lang w:val="en-GB"/>
              </w:rPr>
              <w:t>3rd</w:t>
            </w:r>
            <w:r w:rsidRPr="003B6D42">
              <w:rPr>
                <w:rFonts w:ascii="Fira Sans" w:hAnsi="Fira Sans"/>
                <w:color w:val="000000" w:themeColor="text1"/>
                <w:sz w:val="16"/>
                <w:szCs w:val="16"/>
                <w:lang w:val="en-GB"/>
              </w:rPr>
              <w:t xml:space="preserve"> quarter</w:t>
            </w:r>
          </w:p>
        </w:tc>
        <w:tc>
          <w:tcPr>
            <w:tcW w:w="1134" w:type="dxa"/>
            <w:gridSpan w:val="2"/>
            <w:tcBorders>
              <w:top w:val="nil"/>
              <w:left w:val="single" w:sz="4" w:space="0" w:color="001D77"/>
              <w:bottom w:val="single" w:sz="4" w:space="0" w:color="001D77"/>
              <w:right w:val="nil"/>
            </w:tcBorders>
            <w:vAlign w:val="center"/>
            <w:hideMark/>
          </w:tcPr>
          <w:p w14:paraId="7EE94DD4" w14:textId="77777777" w:rsidR="000C1245" w:rsidRPr="002138DD" w:rsidRDefault="000C1245" w:rsidP="000C124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 xml:space="preserve">the </w:t>
            </w:r>
            <w:r>
              <w:rPr>
                <w:rFonts w:ascii="Fira Sans" w:hAnsi="Fira Sans"/>
                <w:color w:val="000000" w:themeColor="text1"/>
                <w:sz w:val="16"/>
                <w:szCs w:val="16"/>
                <w:lang w:val="en-GB"/>
              </w:rPr>
              <w:t>4th</w:t>
            </w:r>
            <w:r w:rsidRPr="003B6D42">
              <w:rPr>
                <w:rFonts w:ascii="Fira Sans" w:hAnsi="Fira Sans"/>
                <w:color w:val="000000" w:themeColor="text1"/>
                <w:sz w:val="16"/>
                <w:szCs w:val="16"/>
                <w:lang w:val="en-GB"/>
              </w:rPr>
              <w:t xml:space="preserve"> quarter</w:t>
            </w:r>
          </w:p>
        </w:tc>
      </w:tr>
      <w:tr w:rsidR="000C1245" w:rsidRPr="002138DD" w14:paraId="7EE94DE1" w14:textId="77777777" w:rsidTr="009441E7">
        <w:trPr>
          <w:trHeight w:val="57"/>
          <w:jc w:val="center"/>
        </w:trPr>
        <w:tc>
          <w:tcPr>
            <w:tcW w:w="2268" w:type="dxa"/>
            <w:vMerge/>
            <w:tcBorders>
              <w:top w:val="nil"/>
              <w:left w:val="nil"/>
              <w:bottom w:val="single" w:sz="12" w:space="0" w:color="001D77"/>
              <w:right w:val="single" w:sz="4" w:space="0" w:color="001D77"/>
            </w:tcBorders>
            <w:vAlign w:val="center"/>
            <w:hideMark/>
          </w:tcPr>
          <w:p w14:paraId="7EE94DD6" w14:textId="77777777" w:rsidR="000C1245" w:rsidRPr="002138DD" w:rsidRDefault="000C1245" w:rsidP="000C1245">
            <w:pPr>
              <w:spacing w:before="0" w:after="0" w:line="240" w:lineRule="auto"/>
              <w:rPr>
                <w:b/>
                <w:bCs/>
                <w:sz w:val="16"/>
                <w:szCs w:val="16"/>
                <w:lang w:val="en-GB"/>
              </w:rPr>
            </w:pPr>
          </w:p>
        </w:tc>
        <w:tc>
          <w:tcPr>
            <w:tcW w:w="567" w:type="dxa"/>
            <w:tcBorders>
              <w:top w:val="single" w:sz="4" w:space="0" w:color="001D77"/>
              <w:left w:val="single" w:sz="4" w:space="0" w:color="001D77"/>
              <w:bottom w:val="single" w:sz="4" w:space="0" w:color="001D77"/>
              <w:right w:val="single" w:sz="4" w:space="0" w:color="001D77"/>
            </w:tcBorders>
            <w:vAlign w:val="center"/>
          </w:tcPr>
          <w:p w14:paraId="7EE94DD7"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2019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DD8"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w:t>
            </w:r>
            <w:r w:rsidRPr="009441E7">
              <w:rPr>
                <w:color w:val="000000" w:themeColor="text1"/>
                <w:sz w:val="16"/>
                <w:szCs w:val="16"/>
                <w:shd w:val="clear" w:color="auto" w:fill="CCD1E3"/>
                <w:lang w:val="en-GB"/>
              </w:rPr>
              <w:t>020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D9"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2019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DDA"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2020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DB"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2019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DDC"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2020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DD"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2019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DDE"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2020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DF"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2019</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DE0" w14:textId="77777777" w:rsidR="000C1245" w:rsidRPr="002138DD" w:rsidRDefault="000C1245" w:rsidP="000C1245">
            <w:pPr>
              <w:spacing w:before="0" w:after="0"/>
              <w:jc w:val="center"/>
              <w:rPr>
                <w:color w:val="000000" w:themeColor="text1"/>
                <w:sz w:val="16"/>
                <w:szCs w:val="16"/>
                <w:lang w:val="en-GB"/>
              </w:rPr>
            </w:pPr>
            <w:r w:rsidRPr="002138DD">
              <w:rPr>
                <w:color w:val="000000" w:themeColor="text1"/>
                <w:sz w:val="16"/>
                <w:szCs w:val="16"/>
                <w:lang w:val="en-GB"/>
              </w:rPr>
              <w:t>2020</w:t>
            </w:r>
          </w:p>
        </w:tc>
      </w:tr>
      <w:tr w:rsidR="000C1245" w:rsidRPr="002138DD" w14:paraId="7EE94DE4" w14:textId="77777777" w:rsidTr="000C1245">
        <w:trPr>
          <w:trHeight w:val="57"/>
          <w:jc w:val="center"/>
        </w:trPr>
        <w:tc>
          <w:tcPr>
            <w:tcW w:w="2268" w:type="dxa"/>
            <w:vMerge/>
            <w:tcBorders>
              <w:top w:val="nil"/>
              <w:left w:val="nil"/>
              <w:bottom w:val="single" w:sz="12" w:space="0" w:color="001D77"/>
              <w:right w:val="single" w:sz="4" w:space="0" w:color="001D77"/>
            </w:tcBorders>
            <w:vAlign w:val="center"/>
            <w:hideMark/>
          </w:tcPr>
          <w:p w14:paraId="7EE94DE2" w14:textId="77777777" w:rsidR="000C1245" w:rsidRPr="002138DD" w:rsidRDefault="000C1245" w:rsidP="000C1245">
            <w:pPr>
              <w:spacing w:before="0" w:after="0" w:line="240" w:lineRule="auto"/>
              <w:rPr>
                <w:b/>
                <w:bCs/>
                <w:sz w:val="16"/>
                <w:szCs w:val="16"/>
                <w:lang w:val="en-GB"/>
              </w:rPr>
            </w:pPr>
          </w:p>
        </w:tc>
        <w:tc>
          <w:tcPr>
            <w:tcW w:w="5670" w:type="dxa"/>
            <w:gridSpan w:val="10"/>
            <w:tcBorders>
              <w:top w:val="single" w:sz="4" w:space="0" w:color="001D77"/>
              <w:left w:val="single" w:sz="4" w:space="0" w:color="001D77"/>
              <w:bottom w:val="single" w:sz="12" w:space="0" w:color="001D77"/>
              <w:right w:val="nil"/>
            </w:tcBorders>
            <w:vAlign w:val="center"/>
          </w:tcPr>
          <w:p w14:paraId="7EE94DE3" w14:textId="77777777" w:rsidR="000C1245" w:rsidRPr="002138DD" w:rsidRDefault="000C1245" w:rsidP="000C1245">
            <w:pPr>
              <w:spacing w:before="0" w:after="0"/>
              <w:jc w:val="center"/>
              <w:rPr>
                <w:color w:val="000000" w:themeColor="text1"/>
                <w:sz w:val="16"/>
                <w:szCs w:val="16"/>
                <w:lang w:val="en-GB"/>
              </w:rPr>
            </w:pPr>
            <w:r>
              <w:rPr>
                <w:bCs/>
                <w:spacing w:val="-2"/>
                <w:sz w:val="16"/>
                <w:szCs w:val="16"/>
                <w:shd w:val="clear" w:color="auto" w:fill="FFFFFF"/>
                <w:lang w:val="en-GB"/>
              </w:rPr>
              <w:t>in</w:t>
            </w:r>
            <w:r w:rsidRPr="002138DD">
              <w:rPr>
                <w:bCs/>
                <w:spacing w:val="-2"/>
                <w:sz w:val="16"/>
                <w:szCs w:val="16"/>
                <w:shd w:val="clear" w:color="auto" w:fill="FFFFFF"/>
                <w:lang w:val="en-GB"/>
              </w:rPr>
              <w:t xml:space="preserve"> % </w:t>
            </w:r>
            <w:r>
              <w:rPr>
                <w:bCs/>
                <w:spacing w:val="-2"/>
                <w:sz w:val="16"/>
                <w:szCs w:val="16"/>
                <w:shd w:val="clear" w:color="auto" w:fill="FFFFFF"/>
                <w:lang w:val="en-GB"/>
              </w:rPr>
              <w:t>of total income</w:t>
            </w:r>
          </w:p>
        </w:tc>
      </w:tr>
      <w:tr w:rsidR="00483062" w:rsidRPr="002138DD" w14:paraId="7EE94DF0" w14:textId="77777777" w:rsidTr="009441E7">
        <w:trPr>
          <w:trHeight w:val="57"/>
          <w:jc w:val="center"/>
        </w:trPr>
        <w:tc>
          <w:tcPr>
            <w:tcW w:w="2268" w:type="dxa"/>
            <w:tcBorders>
              <w:top w:val="single" w:sz="12" w:space="0" w:color="001D77"/>
              <w:left w:val="nil"/>
              <w:bottom w:val="single" w:sz="4" w:space="0" w:color="001D77"/>
              <w:right w:val="single" w:sz="4" w:space="0" w:color="212492"/>
            </w:tcBorders>
            <w:vAlign w:val="center"/>
            <w:hideMark/>
          </w:tcPr>
          <w:p w14:paraId="7EE94DE5" w14:textId="77777777" w:rsidR="00483062" w:rsidRPr="002138DD" w:rsidRDefault="00483062" w:rsidP="00483062">
            <w:pPr>
              <w:spacing w:before="0" w:after="0"/>
              <w:rPr>
                <w:rFonts w:ascii="Times New Roman" w:hAnsi="Times New Roman"/>
                <w:color w:val="000000"/>
                <w:sz w:val="16"/>
                <w:szCs w:val="16"/>
                <w:lang w:val="en-GB"/>
              </w:rPr>
            </w:pPr>
            <w:r>
              <w:rPr>
                <w:color w:val="000000"/>
                <w:sz w:val="16"/>
                <w:szCs w:val="16"/>
                <w:lang w:val="en-GB"/>
              </w:rPr>
              <w:t>Income from hired work</w:t>
            </w:r>
          </w:p>
        </w:tc>
        <w:tc>
          <w:tcPr>
            <w:tcW w:w="567" w:type="dxa"/>
            <w:tcBorders>
              <w:top w:val="single" w:sz="12" w:space="0" w:color="001D77"/>
              <w:left w:val="single" w:sz="4" w:space="0" w:color="212492"/>
              <w:bottom w:val="single" w:sz="4" w:space="0" w:color="001D77"/>
              <w:right w:val="single" w:sz="4" w:space="0" w:color="212492"/>
            </w:tcBorders>
            <w:vAlign w:val="center"/>
          </w:tcPr>
          <w:p w14:paraId="7EE94DE6" w14:textId="77777777" w:rsidR="00483062" w:rsidRPr="00256284" w:rsidRDefault="00483062" w:rsidP="00483062">
            <w:pPr>
              <w:spacing w:before="0" w:after="0"/>
              <w:jc w:val="right"/>
              <w:rPr>
                <w:sz w:val="16"/>
                <w:szCs w:val="16"/>
              </w:rPr>
            </w:pPr>
            <w:r w:rsidRPr="00256284">
              <w:rPr>
                <w:sz w:val="16"/>
                <w:szCs w:val="16"/>
              </w:rPr>
              <w:t>51,8</w:t>
            </w:r>
          </w:p>
        </w:tc>
        <w:tc>
          <w:tcPr>
            <w:tcW w:w="567" w:type="dxa"/>
            <w:tcBorders>
              <w:top w:val="single" w:sz="12" w:space="0" w:color="001D77"/>
              <w:left w:val="single" w:sz="4" w:space="0" w:color="212492"/>
              <w:bottom w:val="single" w:sz="4" w:space="0" w:color="001D77"/>
              <w:right w:val="single" w:sz="4" w:space="0" w:color="212492"/>
            </w:tcBorders>
            <w:shd w:val="clear" w:color="auto" w:fill="CCD1E3"/>
            <w:vAlign w:val="center"/>
          </w:tcPr>
          <w:p w14:paraId="7EE94DE7" w14:textId="77777777" w:rsidR="00483062" w:rsidRPr="00256284" w:rsidRDefault="00483062" w:rsidP="00483062">
            <w:pPr>
              <w:spacing w:before="0" w:after="0"/>
              <w:jc w:val="right"/>
              <w:rPr>
                <w:sz w:val="16"/>
                <w:szCs w:val="16"/>
              </w:rPr>
            </w:pPr>
            <w:r w:rsidRPr="00256284">
              <w:rPr>
                <w:sz w:val="16"/>
                <w:szCs w:val="16"/>
              </w:rPr>
              <w:t>53,0</w:t>
            </w:r>
          </w:p>
        </w:tc>
        <w:tc>
          <w:tcPr>
            <w:tcW w:w="567" w:type="dxa"/>
            <w:tcBorders>
              <w:top w:val="single" w:sz="12" w:space="0" w:color="001D77"/>
              <w:left w:val="single" w:sz="4" w:space="0" w:color="212492"/>
              <w:bottom w:val="single" w:sz="4" w:space="0" w:color="001D77"/>
              <w:right w:val="single" w:sz="4" w:space="0" w:color="212492"/>
            </w:tcBorders>
            <w:vAlign w:val="center"/>
            <w:hideMark/>
          </w:tcPr>
          <w:p w14:paraId="7EE94DE8" w14:textId="77777777" w:rsidR="00483062" w:rsidRPr="002138DD" w:rsidRDefault="00483062" w:rsidP="00483062">
            <w:pPr>
              <w:spacing w:before="0" w:after="0"/>
              <w:jc w:val="right"/>
              <w:rPr>
                <w:sz w:val="16"/>
                <w:szCs w:val="16"/>
                <w:lang w:val="en-GB"/>
              </w:rPr>
            </w:pPr>
            <w:r w:rsidRPr="002138DD">
              <w:rPr>
                <w:sz w:val="16"/>
                <w:szCs w:val="16"/>
                <w:lang w:val="en-GB"/>
              </w:rPr>
              <w:t>53,2</w:t>
            </w:r>
          </w:p>
        </w:tc>
        <w:tc>
          <w:tcPr>
            <w:tcW w:w="567" w:type="dxa"/>
            <w:tcBorders>
              <w:top w:val="single" w:sz="12" w:space="0" w:color="001D77"/>
              <w:left w:val="single" w:sz="4" w:space="0" w:color="212492"/>
              <w:bottom w:val="single" w:sz="4" w:space="0" w:color="001D77"/>
              <w:right w:val="single" w:sz="4" w:space="0" w:color="212492"/>
            </w:tcBorders>
            <w:shd w:val="clear" w:color="auto" w:fill="CCD1E3"/>
            <w:vAlign w:val="center"/>
            <w:hideMark/>
          </w:tcPr>
          <w:p w14:paraId="7EE94DE9" w14:textId="77777777" w:rsidR="00483062" w:rsidRPr="002138DD" w:rsidRDefault="00483062" w:rsidP="00483062">
            <w:pPr>
              <w:spacing w:before="0" w:after="0"/>
              <w:jc w:val="right"/>
              <w:rPr>
                <w:sz w:val="16"/>
                <w:szCs w:val="16"/>
                <w:lang w:val="en-GB"/>
              </w:rPr>
            </w:pPr>
            <w:r w:rsidRPr="002138DD">
              <w:rPr>
                <w:sz w:val="16"/>
                <w:szCs w:val="16"/>
                <w:lang w:val="en-GB"/>
              </w:rPr>
              <w:t>52,2</w:t>
            </w:r>
          </w:p>
        </w:tc>
        <w:tc>
          <w:tcPr>
            <w:tcW w:w="567" w:type="dxa"/>
            <w:tcBorders>
              <w:top w:val="single" w:sz="12" w:space="0" w:color="001D77"/>
              <w:left w:val="single" w:sz="4" w:space="0" w:color="212492"/>
              <w:bottom w:val="single" w:sz="4" w:space="0" w:color="001D77"/>
              <w:right w:val="single" w:sz="4" w:space="0" w:color="212492"/>
            </w:tcBorders>
            <w:vAlign w:val="center"/>
            <w:hideMark/>
          </w:tcPr>
          <w:p w14:paraId="7EE94DEA" w14:textId="77777777" w:rsidR="00483062" w:rsidRPr="002138DD" w:rsidRDefault="00483062" w:rsidP="00483062">
            <w:pPr>
              <w:spacing w:before="0" w:after="0"/>
              <w:jc w:val="right"/>
              <w:rPr>
                <w:sz w:val="16"/>
                <w:szCs w:val="16"/>
                <w:lang w:val="en-GB"/>
              </w:rPr>
            </w:pPr>
            <w:r w:rsidRPr="002138DD">
              <w:rPr>
                <w:sz w:val="16"/>
                <w:szCs w:val="16"/>
                <w:lang w:val="en-GB"/>
              </w:rPr>
              <w:t>51,7</w:t>
            </w:r>
          </w:p>
        </w:tc>
        <w:tc>
          <w:tcPr>
            <w:tcW w:w="567" w:type="dxa"/>
            <w:tcBorders>
              <w:top w:val="single" w:sz="12" w:space="0" w:color="001D77"/>
              <w:left w:val="single" w:sz="4" w:space="0" w:color="212492"/>
              <w:bottom w:val="single" w:sz="4" w:space="0" w:color="001D77"/>
              <w:right w:val="single" w:sz="4" w:space="0" w:color="212492"/>
            </w:tcBorders>
            <w:shd w:val="clear" w:color="auto" w:fill="CCD1E3"/>
            <w:vAlign w:val="center"/>
            <w:hideMark/>
          </w:tcPr>
          <w:p w14:paraId="7EE94DEB" w14:textId="77777777" w:rsidR="00483062" w:rsidRPr="002138DD" w:rsidRDefault="00483062" w:rsidP="00483062">
            <w:pPr>
              <w:spacing w:before="0" w:after="0"/>
              <w:jc w:val="right"/>
              <w:rPr>
                <w:sz w:val="16"/>
                <w:szCs w:val="16"/>
                <w:lang w:val="en-GB"/>
              </w:rPr>
            </w:pPr>
            <w:r w:rsidRPr="002138DD">
              <w:rPr>
                <w:sz w:val="16"/>
                <w:szCs w:val="16"/>
                <w:lang w:val="en-GB"/>
              </w:rPr>
              <w:t>52,9</w:t>
            </w:r>
          </w:p>
        </w:tc>
        <w:tc>
          <w:tcPr>
            <w:tcW w:w="567" w:type="dxa"/>
            <w:tcBorders>
              <w:top w:val="single" w:sz="12" w:space="0" w:color="001D77"/>
              <w:left w:val="single" w:sz="4" w:space="0" w:color="212492"/>
              <w:bottom w:val="single" w:sz="4" w:space="0" w:color="001D77"/>
              <w:right w:val="single" w:sz="4" w:space="0" w:color="212492"/>
            </w:tcBorders>
            <w:vAlign w:val="center"/>
            <w:hideMark/>
          </w:tcPr>
          <w:p w14:paraId="7EE94DEC" w14:textId="77777777" w:rsidR="00483062" w:rsidRPr="002138DD" w:rsidRDefault="00483062" w:rsidP="00483062">
            <w:pPr>
              <w:spacing w:before="0" w:after="0"/>
              <w:jc w:val="right"/>
              <w:rPr>
                <w:sz w:val="16"/>
                <w:szCs w:val="16"/>
                <w:lang w:val="en-GB"/>
              </w:rPr>
            </w:pPr>
            <w:r w:rsidRPr="002138DD">
              <w:rPr>
                <w:sz w:val="16"/>
                <w:szCs w:val="16"/>
                <w:lang w:val="en-GB"/>
              </w:rPr>
              <w:t>51,6</w:t>
            </w:r>
          </w:p>
        </w:tc>
        <w:tc>
          <w:tcPr>
            <w:tcW w:w="567" w:type="dxa"/>
            <w:tcBorders>
              <w:top w:val="single" w:sz="12" w:space="0" w:color="001D77"/>
              <w:left w:val="single" w:sz="4" w:space="0" w:color="212492"/>
              <w:bottom w:val="single" w:sz="4" w:space="0" w:color="001D77"/>
              <w:right w:val="single" w:sz="4" w:space="0" w:color="212492"/>
            </w:tcBorders>
            <w:shd w:val="clear" w:color="auto" w:fill="CCD1E3"/>
            <w:vAlign w:val="center"/>
            <w:hideMark/>
          </w:tcPr>
          <w:p w14:paraId="7EE94DED" w14:textId="77777777" w:rsidR="00483062" w:rsidRPr="002138DD" w:rsidRDefault="00483062" w:rsidP="00483062">
            <w:pPr>
              <w:spacing w:before="0" w:after="0"/>
              <w:jc w:val="right"/>
              <w:rPr>
                <w:sz w:val="16"/>
                <w:szCs w:val="16"/>
                <w:lang w:val="en-GB"/>
              </w:rPr>
            </w:pPr>
            <w:r w:rsidRPr="002138DD">
              <w:rPr>
                <w:sz w:val="16"/>
                <w:szCs w:val="16"/>
                <w:lang w:val="en-GB"/>
              </w:rPr>
              <w:t>53,5</w:t>
            </w:r>
          </w:p>
        </w:tc>
        <w:tc>
          <w:tcPr>
            <w:tcW w:w="567" w:type="dxa"/>
            <w:tcBorders>
              <w:top w:val="single" w:sz="12" w:space="0" w:color="001D77"/>
              <w:left w:val="single" w:sz="4" w:space="0" w:color="212492"/>
              <w:bottom w:val="single" w:sz="4" w:space="0" w:color="001D77"/>
              <w:right w:val="single" w:sz="4" w:space="0" w:color="212492"/>
            </w:tcBorders>
            <w:vAlign w:val="center"/>
            <w:hideMark/>
          </w:tcPr>
          <w:p w14:paraId="7EE94DEE" w14:textId="77777777" w:rsidR="00483062" w:rsidRPr="002138DD" w:rsidRDefault="00483062" w:rsidP="00483062">
            <w:pPr>
              <w:spacing w:before="0" w:after="0"/>
              <w:jc w:val="right"/>
              <w:rPr>
                <w:sz w:val="16"/>
                <w:szCs w:val="16"/>
                <w:lang w:val="en-GB"/>
              </w:rPr>
            </w:pPr>
            <w:r w:rsidRPr="002138DD">
              <w:rPr>
                <w:sz w:val="16"/>
                <w:szCs w:val="16"/>
                <w:lang w:val="en-GB"/>
              </w:rPr>
              <w:t>50,7</w:t>
            </w:r>
          </w:p>
        </w:tc>
        <w:tc>
          <w:tcPr>
            <w:tcW w:w="567" w:type="dxa"/>
            <w:tcBorders>
              <w:top w:val="single" w:sz="12" w:space="0" w:color="001D77"/>
              <w:left w:val="single" w:sz="4" w:space="0" w:color="212492"/>
              <w:bottom w:val="single" w:sz="4" w:space="0" w:color="001D77"/>
              <w:right w:val="nil"/>
            </w:tcBorders>
            <w:shd w:val="clear" w:color="auto" w:fill="CCD1E3"/>
            <w:vAlign w:val="center"/>
            <w:hideMark/>
          </w:tcPr>
          <w:p w14:paraId="7EE94DEF" w14:textId="77777777" w:rsidR="00483062" w:rsidRPr="002138DD" w:rsidRDefault="00483062" w:rsidP="00483062">
            <w:pPr>
              <w:spacing w:before="0" w:after="0"/>
              <w:jc w:val="right"/>
              <w:rPr>
                <w:sz w:val="16"/>
                <w:szCs w:val="16"/>
                <w:lang w:val="en-GB"/>
              </w:rPr>
            </w:pPr>
            <w:r w:rsidRPr="002138DD">
              <w:rPr>
                <w:sz w:val="16"/>
                <w:szCs w:val="16"/>
                <w:lang w:val="en-GB"/>
              </w:rPr>
              <w:t>53,5</w:t>
            </w:r>
          </w:p>
        </w:tc>
      </w:tr>
      <w:tr w:rsidR="00483062" w:rsidRPr="002138DD" w14:paraId="7EE94DFC"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DF1" w14:textId="77777777" w:rsidR="00483062" w:rsidRPr="002138DD" w:rsidRDefault="00483062" w:rsidP="00483062">
            <w:pPr>
              <w:spacing w:before="0" w:after="0"/>
              <w:rPr>
                <w:color w:val="000000"/>
                <w:sz w:val="16"/>
                <w:szCs w:val="16"/>
                <w:lang w:val="en-GB"/>
              </w:rPr>
            </w:pPr>
            <w:r>
              <w:rPr>
                <w:color w:val="000000"/>
                <w:sz w:val="16"/>
                <w:szCs w:val="16"/>
                <w:lang w:val="en-GB"/>
              </w:rPr>
              <w:t>Income from self-employment</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DF2" w14:textId="77777777" w:rsidR="00483062" w:rsidRPr="00256284" w:rsidRDefault="00483062" w:rsidP="00483062">
            <w:pPr>
              <w:spacing w:before="0" w:after="0"/>
              <w:jc w:val="right"/>
              <w:rPr>
                <w:sz w:val="16"/>
                <w:szCs w:val="16"/>
              </w:rPr>
            </w:pPr>
            <w:r w:rsidRPr="00256284">
              <w:rPr>
                <w:sz w:val="16"/>
                <w:szCs w:val="16"/>
              </w:rPr>
              <w:t>9,1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DF3" w14:textId="77777777" w:rsidR="00483062" w:rsidRPr="00256284" w:rsidRDefault="00483062" w:rsidP="00483062">
            <w:pPr>
              <w:spacing w:before="0" w:after="0"/>
              <w:jc w:val="right"/>
              <w:rPr>
                <w:sz w:val="16"/>
                <w:szCs w:val="16"/>
              </w:rPr>
            </w:pPr>
            <w:r w:rsidRPr="00256284">
              <w:rPr>
                <w:sz w:val="16"/>
                <w:szCs w:val="16"/>
              </w:rPr>
              <w:t>9,1</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F4" w14:textId="77777777" w:rsidR="00483062" w:rsidRPr="002138DD" w:rsidRDefault="00483062" w:rsidP="00483062">
            <w:pPr>
              <w:spacing w:before="0" w:after="0"/>
              <w:jc w:val="right"/>
              <w:rPr>
                <w:sz w:val="16"/>
                <w:szCs w:val="16"/>
                <w:lang w:val="en-GB"/>
              </w:rPr>
            </w:pPr>
            <w:r w:rsidRPr="002138DD">
              <w:rPr>
                <w:sz w:val="16"/>
                <w:szCs w:val="16"/>
                <w:lang w:val="en-GB"/>
              </w:rPr>
              <w:t>8,9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DF5" w14:textId="77777777" w:rsidR="00483062" w:rsidRPr="002138DD" w:rsidRDefault="00483062" w:rsidP="00483062">
            <w:pPr>
              <w:spacing w:before="0" w:after="0"/>
              <w:jc w:val="right"/>
              <w:rPr>
                <w:sz w:val="16"/>
                <w:szCs w:val="16"/>
                <w:lang w:val="en-GB"/>
              </w:rPr>
            </w:pPr>
            <w:r w:rsidRPr="002138DD">
              <w:rPr>
                <w:sz w:val="16"/>
                <w:szCs w:val="16"/>
                <w:lang w:val="en-GB"/>
              </w:rPr>
              <w:t>8,8</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F6" w14:textId="77777777" w:rsidR="00483062" w:rsidRPr="002138DD" w:rsidRDefault="00483062" w:rsidP="00483062">
            <w:pPr>
              <w:spacing w:before="0" w:after="0"/>
              <w:jc w:val="right"/>
              <w:rPr>
                <w:sz w:val="16"/>
                <w:szCs w:val="16"/>
                <w:lang w:val="en-GB"/>
              </w:rPr>
            </w:pPr>
            <w:r w:rsidRPr="002138DD">
              <w:rPr>
                <w:sz w:val="16"/>
                <w:szCs w:val="16"/>
                <w:lang w:val="en-GB"/>
              </w:rPr>
              <w:t>9,2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DF7" w14:textId="77777777" w:rsidR="00483062" w:rsidRPr="002138DD" w:rsidRDefault="00483062" w:rsidP="00483062">
            <w:pPr>
              <w:spacing w:before="0" w:after="0"/>
              <w:jc w:val="right"/>
              <w:rPr>
                <w:sz w:val="16"/>
                <w:szCs w:val="16"/>
                <w:lang w:val="en-GB"/>
              </w:rPr>
            </w:pPr>
            <w:r w:rsidRPr="002138DD">
              <w:rPr>
                <w:sz w:val="16"/>
                <w:szCs w:val="16"/>
                <w:lang w:val="en-GB"/>
              </w:rPr>
              <w:t>9,1</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F8" w14:textId="77777777" w:rsidR="00483062" w:rsidRPr="002138DD" w:rsidRDefault="00483062" w:rsidP="00483062">
            <w:pPr>
              <w:spacing w:before="0" w:after="0"/>
              <w:jc w:val="right"/>
              <w:rPr>
                <w:sz w:val="16"/>
                <w:szCs w:val="16"/>
                <w:lang w:val="en-GB"/>
              </w:rPr>
            </w:pPr>
            <w:r w:rsidRPr="002138DD">
              <w:rPr>
                <w:sz w:val="16"/>
                <w:szCs w:val="16"/>
                <w:lang w:val="en-GB"/>
              </w:rPr>
              <w:t>9,2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DF9" w14:textId="77777777" w:rsidR="00483062" w:rsidRPr="002138DD" w:rsidRDefault="00483062" w:rsidP="00483062">
            <w:pPr>
              <w:spacing w:before="0" w:after="0"/>
              <w:jc w:val="right"/>
              <w:rPr>
                <w:sz w:val="16"/>
                <w:szCs w:val="16"/>
                <w:lang w:val="en-GB"/>
              </w:rPr>
            </w:pPr>
            <w:r w:rsidRPr="002138DD">
              <w:rPr>
                <w:sz w:val="16"/>
                <w:szCs w:val="16"/>
                <w:lang w:val="en-GB"/>
              </w:rPr>
              <w:t>9,2</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DFA" w14:textId="77777777" w:rsidR="00483062" w:rsidRPr="002138DD" w:rsidRDefault="00483062" w:rsidP="00483062">
            <w:pPr>
              <w:spacing w:before="0" w:after="0"/>
              <w:jc w:val="right"/>
              <w:rPr>
                <w:sz w:val="16"/>
                <w:szCs w:val="16"/>
                <w:lang w:val="en-GB"/>
              </w:rPr>
            </w:pPr>
            <w:r w:rsidRPr="002138DD">
              <w:rPr>
                <w:sz w:val="16"/>
                <w:szCs w:val="16"/>
                <w:lang w:val="en-GB"/>
              </w:rPr>
              <w:t>9,0</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DFB" w14:textId="77777777" w:rsidR="00483062" w:rsidRPr="002138DD" w:rsidRDefault="00483062" w:rsidP="00483062">
            <w:pPr>
              <w:spacing w:before="0" w:after="0"/>
              <w:jc w:val="right"/>
              <w:rPr>
                <w:sz w:val="16"/>
                <w:szCs w:val="16"/>
                <w:lang w:val="en-GB"/>
              </w:rPr>
            </w:pPr>
            <w:r w:rsidRPr="002138DD">
              <w:rPr>
                <w:sz w:val="16"/>
                <w:szCs w:val="16"/>
                <w:lang w:val="en-GB"/>
              </w:rPr>
              <w:t>9,2</w:t>
            </w:r>
          </w:p>
        </w:tc>
      </w:tr>
      <w:tr w:rsidR="00483062" w:rsidRPr="002138DD" w14:paraId="7EE94E08"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DFD" w14:textId="77777777" w:rsidR="00483062" w:rsidRPr="002138DD" w:rsidRDefault="00483062" w:rsidP="00483062">
            <w:pPr>
              <w:spacing w:before="0" w:after="0"/>
              <w:rPr>
                <w:color w:val="000000"/>
                <w:sz w:val="16"/>
                <w:szCs w:val="16"/>
                <w:lang w:val="en-GB"/>
              </w:rPr>
            </w:pPr>
            <w:r>
              <w:rPr>
                <w:color w:val="000000"/>
                <w:sz w:val="16"/>
                <w:szCs w:val="16"/>
                <w:lang w:val="en-GB"/>
              </w:rPr>
              <w:t>Income from private farm in agriculture</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DFE" w14:textId="77777777" w:rsidR="00483062" w:rsidRPr="00256284" w:rsidRDefault="00483062" w:rsidP="00483062">
            <w:pPr>
              <w:spacing w:before="0" w:after="0"/>
              <w:jc w:val="right"/>
              <w:rPr>
                <w:sz w:val="16"/>
                <w:szCs w:val="16"/>
              </w:rPr>
            </w:pPr>
            <w:r w:rsidRPr="00256284">
              <w:rPr>
                <w:sz w:val="16"/>
                <w:szCs w:val="16"/>
              </w:rPr>
              <w:t>3,4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DFF" w14:textId="77777777" w:rsidR="00483062" w:rsidRPr="00256284" w:rsidRDefault="00483062" w:rsidP="00483062">
            <w:pPr>
              <w:spacing w:before="0" w:after="0"/>
              <w:jc w:val="right"/>
              <w:rPr>
                <w:sz w:val="16"/>
                <w:szCs w:val="16"/>
              </w:rPr>
            </w:pPr>
            <w:r w:rsidRPr="00256284">
              <w:rPr>
                <w:sz w:val="16"/>
                <w:szCs w:val="16"/>
              </w:rPr>
              <w:t>3,3</w:t>
            </w:r>
            <w:r w:rsidR="00AC0BBF">
              <w:rPr>
                <w:rStyle w:val="Odwoanieprzypisudolnego"/>
                <w:sz w:val="16"/>
                <w:szCs w:val="16"/>
              </w:rPr>
              <w:footnoteReference w:id="5"/>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00" w14:textId="77777777" w:rsidR="00483062" w:rsidRPr="002138DD" w:rsidRDefault="00483062" w:rsidP="00483062">
            <w:pPr>
              <w:spacing w:before="0" w:after="0"/>
              <w:jc w:val="right"/>
              <w:rPr>
                <w:sz w:val="16"/>
                <w:szCs w:val="16"/>
                <w:lang w:val="en-GB"/>
              </w:rPr>
            </w:pPr>
            <w:r w:rsidRPr="002138DD">
              <w:rPr>
                <w:sz w:val="16"/>
                <w:szCs w:val="16"/>
                <w:lang w:val="en-GB"/>
              </w:rPr>
              <w:t>3,2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01" w14:textId="77777777" w:rsidR="00483062" w:rsidRPr="002138DD" w:rsidRDefault="00483062" w:rsidP="00483062">
            <w:pPr>
              <w:spacing w:before="0" w:after="0"/>
              <w:jc w:val="right"/>
              <w:rPr>
                <w:sz w:val="16"/>
                <w:szCs w:val="16"/>
                <w:lang w:val="en-GB"/>
              </w:rPr>
            </w:pPr>
            <w:r w:rsidRPr="002138DD">
              <w:rPr>
                <w:sz w:val="16"/>
                <w:szCs w:val="16"/>
                <w:lang w:val="en-GB"/>
              </w:rPr>
              <w:t>3,9</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02" w14:textId="77777777" w:rsidR="00483062" w:rsidRPr="002138DD" w:rsidRDefault="00483062" w:rsidP="00483062">
            <w:pPr>
              <w:spacing w:before="0" w:after="0"/>
              <w:jc w:val="right"/>
              <w:rPr>
                <w:sz w:val="16"/>
                <w:szCs w:val="16"/>
                <w:lang w:val="en-GB"/>
              </w:rPr>
            </w:pPr>
            <w:r w:rsidRPr="002138DD">
              <w:rPr>
                <w:sz w:val="16"/>
                <w:szCs w:val="16"/>
                <w:lang w:val="en-GB"/>
              </w:rPr>
              <w:t>2,8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03" w14:textId="77777777" w:rsidR="00483062" w:rsidRPr="002138DD" w:rsidRDefault="00483062" w:rsidP="00483062">
            <w:pPr>
              <w:spacing w:before="0" w:after="0"/>
              <w:jc w:val="right"/>
              <w:rPr>
                <w:sz w:val="16"/>
                <w:szCs w:val="16"/>
                <w:lang w:val="en-GB"/>
              </w:rPr>
            </w:pPr>
            <w:r w:rsidRPr="002138DD">
              <w:rPr>
                <w:sz w:val="16"/>
                <w:szCs w:val="16"/>
                <w:lang w:val="en-GB"/>
              </w:rPr>
              <w:t>3,2</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04" w14:textId="77777777" w:rsidR="00483062" w:rsidRPr="002138DD" w:rsidRDefault="00483062" w:rsidP="00483062">
            <w:pPr>
              <w:spacing w:before="0" w:after="0"/>
              <w:jc w:val="right"/>
              <w:rPr>
                <w:sz w:val="16"/>
                <w:szCs w:val="16"/>
                <w:lang w:val="en-GB"/>
              </w:rPr>
            </w:pPr>
            <w:r w:rsidRPr="002138DD">
              <w:rPr>
                <w:sz w:val="16"/>
                <w:szCs w:val="16"/>
                <w:lang w:val="en-GB"/>
              </w:rPr>
              <w:t>3,5</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05" w14:textId="77777777" w:rsidR="00483062" w:rsidRPr="002138DD" w:rsidRDefault="00483062" w:rsidP="00483062">
            <w:pPr>
              <w:spacing w:before="0" w:after="0"/>
              <w:jc w:val="right"/>
              <w:rPr>
                <w:sz w:val="16"/>
                <w:szCs w:val="16"/>
                <w:lang w:val="en-GB"/>
              </w:rPr>
            </w:pPr>
            <w:r w:rsidRPr="002138DD">
              <w:rPr>
                <w:sz w:val="16"/>
                <w:szCs w:val="16"/>
                <w:lang w:val="en-GB"/>
              </w:rPr>
              <w:t>2,5</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06" w14:textId="77777777" w:rsidR="00483062" w:rsidRPr="002138DD" w:rsidRDefault="00483062" w:rsidP="00483062">
            <w:pPr>
              <w:spacing w:before="0" w:after="0"/>
              <w:jc w:val="right"/>
              <w:rPr>
                <w:sz w:val="16"/>
                <w:szCs w:val="16"/>
                <w:lang w:val="en-GB"/>
              </w:rPr>
            </w:pPr>
            <w:r w:rsidRPr="002138DD">
              <w:rPr>
                <w:sz w:val="16"/>
                <w:szCs w:val="16"/>
                <w:lang w:val="en-GB"/>
              </w:rPr>
              <w:t>4,0</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E07" w14:textId="77777777" w:rsidR="00483062" w:rsidRPr="002138DD" w:rsidRDefault="00483062" w:rsidP="00483062">
            <w:pPr>
              <w:spacing w:before="0" w:after="0"/>
              <w:jc w:val="right"/>
              <w:rPr>
                <w:sz w:val="16"/>
                <w:szCs w:val="16"/>
                <w:lang w:val="en-GB"/>
              </w:rPr>
            </w:pPr>
            <w:r w:rsidRPr="002138DD">
              <w:rPr>
                <w:sz w:val="16"/>
                <w:szCs w:val="16"/>
                <w:lang w:val="en-GB"/>
              </w:rPr>
              <w:t>3,6</w:t>
            </w:r>
          </w:p>
        </w:tc>
      </w:tr>
      <w:tr w:rsidR="00483062" w:rsidRPr="002138DD" w14:paraId="7EE94E14"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E09" w14:textId="77777777" w:rsidR="00483062" w:rsidRPr="002138DD" w:rsidRDefault="00483062" w:rsidP="00483062">
            <w:pPr>
              <w:spacing w:before="0" w:after="0"/>
              <w:rPr>
                <w:color w:val="000000"/>
                <w:sz w:val="16"/>
                <w:szCs w:val="16"/>
                <w:lang w:val="en-GB"/>
              </w:rPr>
            </w:pPr>
            <w:r>
              <w:rPr>
                <w:color w:val="000000"/>
                <w:sz w:val="16"/>
                <w:szCs w:val="16"/>
                <w:lang w:val="en-GB"/>
              </w:rPr>
              <w:t>Income from social security benefits</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0A" w14:textId="77777777" w:rsidR="00483062" w:rsidRPr="00256284" w:rsidRDefault="00483062" w:rsidP="00483062">
            <w:pPr>
              <w:spacing w:before="0" w:after="0"/>
              <w:jc w:val="right"/>
              <w:rPr>
                <w:sz w:val="16"/>
                <w:szCs w:val="16"/>
              </w:rPr>
            </w:pPr>
            <w:r w:rsidRPr="00256284">
              <w:rPr>
                <w:sz w:val="16"/>
                <w:szCs w:val="16"/>
              </w:rPr>
              <w:t>24,8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0B" w14:textId="77777777" w:rsidR="00483062" w:rsidRPr="00256284" w:rsidRDefault="00483062" w:rsidP="00483062">
            <w:pPr>
              <w:spacing w:before="0" w:after="0"/>
              <w:jc w:val="right"/>
              <w:rPr>
                <w:sz w:val="16"/>
                <w:szCs w:val="16"/>
              </w:rPr>
            </w:pPr>
            <w:r w:rsidRPr="00256284">
              <w:rPr>
                <w:sz w:val="16"/>
                <w:szCs w:val="16"/>
              </w:rPr>
              <w:t>23,9</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0C" w14:textId="77777777" w:rsidR="00483062" w:rsidRPr="002138DD" w:rsidRDefault="00483062" w:rsidP="00483062">
            <w:pPr>
              <w:spacing w:before="0" w:after="0"/>
              <w:jc w:val="right"/>
              <w:rPr>
                <w:sz w:val="16"/>
                <w:szCs w:val="16"/>
                <w:lang w:val="en-GB"/>
              </w:rPr>
            </w:pPr>
            <w:r w:rsidRPr="002138DD">
              <w:rPr>
                <w:sz w:val="16"/>
                <w:szCs w:val="16"/>
                <w:lang w:val="en-GB"/>
              </w:rPr>
              <w:t>24,9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0D" w14:textId="77777777" w:rsidR="00483062" w:rsidRPr="002138DD" w:rsidRDefault="00483062" w:rsidP="00483062">
            <w:pPr>
              <w:spacing w:before="0" w:after="0"/>
              <w:jc w:val="right"/>
              <w:rPr>
                <w:sz w:val="16"/>
                <w:szCs w:val="16"/>
                <w:lang w:val="en-GB"/>
              </w:rPr>
            </w:pPr>
            <w:r w:rsidRPr="002138DD">
              <w:rPr>
                <w:sz w:val="16"/>
                <w:szCs w:val="16"/>
                <w:lang w:val="en-GB"/>
              </w:rPr>
              <w:t>23,9</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0E" w14:textId="77777777" w:rsidR="00483062" w:rsidRPr="002138DD" w:rsidRDefault="00483062" w:rsidP="00483062">
            <w:pPr>
              <w:spacing w:before="0" w:after="0"/>
              <w:jc w:val="right"/>
              <w:rPr>
                <w:sz w:val="16"/>
                <w:szCs w:val="16"/>
                <w:lang w:val="en-GB"/>
              </w:rPr>
            </w:pPr>
            <w:r w:rsidRPr="002138DD">
              <w:rPr>
                <w:sz w:val="16"/>
                <w:szCs w:val="16"/>
                <w:lang w:val="en-GB"/>
              </w:rPr>
              <w:t>26,6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0F" w14:textId="77777777" w:rsidR="00483062" w:rsidRPr="002138DD" w:rsidRDefault="00483062" w:rsidP="00483062">
            <w:pPr>
              <w:spacing w:before="0" w:after="0"/>
              <w:jc w:val="right"/>
              <w:rPr>
                <w:sz w:val="16"/>
                <w:szCs w:val="16"/>
                <w:lang w:val="en-GB"/>
              </w:rPr>
            </w:pPr>
            <w:r w:rsidRPr="002138DD">
              <w:rPr>
                <w:sz w:val="16"/>
                <w:szCs w:val="16"/>
                <w:lang w:val="en-GB"/>
              </w:rPr>
              <w:t>24,6</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10" w14:textId="77777777" w:rsidR="00483062" w:rsidRPr="002138DD" w:rsidRDefault="00483062" w:rsidP="00483062">
            <w:pPr>
              <w:spacing w:before="0" w:after="0"/>
              <w:jc w:val="right"/>
              <w:rPr>
                <w:sz w:val="16"/>
                <w:szCs w:val="16"/>
                <w:lang w:val="en-GB"/>
              </w:rPr>
            </w:pPr>
            <w:r w:rsidRPr="002138DD">
              <w:rPr>
                <w:sz w:val="16"/>
                <w:szCs w:val="16"/>
                <w:lang w:val="en-GB"/>
              </w:rPr>
              <w:t>24,4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11" w14:textId="77777777" w:rsidR="00483062" w:rsidRPr="002138DD" w:rsidRDefault="00483062" w:rsidP="00483062">
            <w:pPr>
              <w:spacing w:before="0" w:after="0"/>
              <w:jc w:val="right"/>
              <w:rPr>
                <w:sz w:val="16"/>
                <w:szCs w:val="16"/>
                <w:lang w:val="en-GB"/>
              </w:rPr>
            </w:pPr>
            <w:r w:rsidRPr="002138DD">
              <w:rPr>
                <w:sz w:val="16"/>
                <w:szCs w:val="16"/>
                <w:lang w:val="en-GB"/>
              </w:rPr>
              <w:t>23,8</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12" w14:textId="77777777" w:rsidR="00483062" w:rsidRPr="002138DD" w:rsidRDefault="00483062" w:rsidP="00483062">
            <w:pPr>
              <w:spacing w:before="0" w:after="0"/>
              <w:jc w:val="right"/>
              <w:rPr>
                <w:sz w:val="16"/>
                <w:szCs w:val="16"/>
                <w:lang w:val="en-GB"/>
              </w:rPr>
            </w:pPr>
            <w:r w:rsidRPr="002138DD">
              <w:rPr>
                <w:sz w:val="16"/>
                <w:szCs w:val="16"/>
                <w:lang w:val="en-GB"/>
              </w:rPr>
              <w:t>23,5</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E13" w14:textId="77777777" w:rsidR="00483062" w:rsidRPr="002138DD" w:rsidRDefault="00483062" w:rsidP="00483062">
            <w:pPr>
              <w:spacing w:before="0" w:after="0"/>
              <w:jc w:val="right"/>
              <w:rPr>
                <w:sz w:val="16"/>
                <w:szCs w:val="16"/>
                <w:lang w:val="en-GB"/>
              </w:rPr>
            </w:pPr>
            <w:r w:rsidRPr="002138DD">
              <w:rPr>
                <w:sz w:val="16"/>
                <w:szCs w:val="16"/>
                <w:lang w:val="en-GB"/>
              </w:rPr>
              <w:t>23,4</w:t>
            </w:r>
          </w:p>
        </w:tc>
      </w:tr>
      <w:tr w:rsidR="00483062" w:rsidRPr="002138DD" w14:paraId="7EE94E20"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E15" w14:textId="77777777" w:rsidR="00483062" w:rsidRPr="002138DD" w:rsidRDefault="00483062" w:rsidP="00483062">
            <w:pPr>
              <w:spacing w:before="0" w:after="0"/>
              <w:ind w:left="176"/>
              <w:rPr>
                <w:color w:val="000000"/>
                <w:sz w:val="16"/>
                <w:szCs w:val="16"/>
                <w:lang w:val="en-GB"/>
              </w:rPr>
            </w:pPr>
            <w:r>
              <w:rPr>
                <w:color w:val="000000"/>
                <w:sz w:val="16"/>
                <w:szCs w:val="16"/>
                <w:lang w:val="en-GB"/>
              </w:rPr>
              <w:t>of which</w:t>
            </w:r>
            <w:r w:rsidRPr="002138DD">
              <w:rPr>
                <w:color w:val="000000"/>
                <w:sz w:val="16"/>
                <w:szCs w:val="16"/>
                <w:lang w:val="en-GB"/>
              </w:rPr>
              <w:t xml:space="preserve">: </w:t>
            </w:r>
            <w:r>
              <w:rPr>
                <w:color w:val="000000"/>
                <w:sz w:val="16"/>
                <w:szCs w:val="16"/>
                <w:lang w:val="en-GB"/>
              </w:rPr>
              <w:t>from retirement pensions</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16" w14:textId="77777777" w:rsidR="00483062" w:rsidRPr="00256284" w:rsidRDefault="00483062" w:rsidP="00483062">
            <w:pPr>
              <w:spacing w:before="0" w:after="0"/>
              <w:jc w:val="right"/>
              <w:rPr>
                <w:sz w:val="16"/>
                <w:szCs w:val="16"/>
              </w:rPr>
            </w:pPr>
            <w:r w:rsidRPr="00256284">
              <w:rPr>
                <w:sz w:val="16"/>
                <w:szCs w:val="16"/>
              </w:rPr>
              <w:t>21,0</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17" w14:textId="77777777" w:rsidR="00483062" w:rsidRPr="00256284" w:rsidRDefault="00483062" w:rsidP="00483062">
            <w:pPr>
              <w:spacing w:before="0" w:after="0"/>
              <w:jc w:val="right"/>
              <w:rPr>
                <w:sz w:val="16"/>
                <w:szCs w:val="16"/>
              </w:rPr>
            </w:pPr>
            <w:r w:rsidRPr="00256284">
              <w:rPr>
                <w:sz w:val="16"/>
                <w:szCs w:val="16"/>
              </w:rPr>
              <w:t>20,5</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18" w14:textId="77777777" w:rsidR="00483062" w:rsidRPr="002138DD" w:rsidRDefault="00483062" w:rsidP="00483062">
            <w:pPr>
              <w:spacing w:before="0" w:after="0"/>
              <w:jc w:val="right"/>
              <w:rPr>
                <w:sz w:val="16"/>
                <w:szCs w:val="16"/>
                <w:lang w:val="en-GB"/>
              </w:rPr>
            </w:pPr>
            <w:r w:rsidRPr="002138DD">
              <w:rPr>
                <w:sz w:val="16"/>
                <w:szCs w:val="16"/>
                <w:lang w:val="en-GB"/>
              </w:rPr>
              <w:t>21,0</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19" w14:textId="77777777" w:rsidR="00483062" w:rsidRPr="002138DD" w:rsidRDefault="00483062" w:rsidP="00483062">
            <w:pPr>
              <w:spacing w:before="0" w:after="0"/>
              <w:jc w:val="right"/>
              <w:rPr>
                <w:sz w:val="16"/>
                <w:szCs w:val="16"/>
                <w:lang w:val="en-GB"/>
              </w:rPr>
            </w:pPr>
            <w:r w:rsidRPr="002138DD">
              <w:rPr>
                <w:sz w:val="16"/>
                <w:szCs w:val="16"/>
                <w:lang w:val="en-GB"/>
              </w:rPr>
              <w:t>20,3</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1A" w14:textId="77777777" w:rsidR="00483062" w:rsidRPr="002138DD" w:rsidRDefault="00483062" w:rsidP="00483062">
            <w:pPr>
              <w:spacing w:before="0" w:after="0"/>
              <w:jc w:val="right"/>
              <w:rPr>
                <w:sz w:val="16"/>
                <w:szCs w:val="16"/>
                <w:lang w:val="en-GB"/>
              </w:rPr>
            </w:pPr>
            <w:r w:rsidRPr="002138DD">
              <w:rPr>
                <w:sz w:val="16"/>
                <w:szCs w:val="16"/>
                <w:lang w:val="en-GB"/>
              </w:rPr>
              <w:t>22,6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1B" w14:textId="77777777" w:rsidR="00483062" w:rsidRPr="002138DD" w:rsidRDefault="00483062" w:rsidP="00483062">
            <w:pPr>
              <w:spacing w:before="0" w:after="0"/>
              <w:jc w:val="right"/>
              <w:rPr>
                <w:sz w:val="16"/>
                <w:szCs w:val="16"/>
                <w:lang w:val="en-GB"/>
              </w:rPr>
            </w:pPr>
            <w:r w:rsidRPr="002138DD">
              <w:rPr>
                <w:sz w:val="16"/>
                <w:szCs w:val="16"/>
                <w:lang w:val="en-GB"/>
              </w:rPr>
              <w:t>21,0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1C" w14:textId="77777777" w:rsidR="00483062" w:rsidRPr="002138DD" w:rsidRDefault="00483062" w:rsidP="00483062">
            <w:pPr>
              <w:spacing w:before="0" w:after="0"/>
              <w:jc w:val="right"/>
              <w:rPr>
                <w:sz w:val="16"/>
                <w:szCs w:val="16"/>
                <w:lang w:val="en-GB"/>
              </w:rPr>
            </w:pPr>
            <w:r w:rsidRPr="002138DD">
              <w:rPr>
                <w:sz w:val="16"/>
                <w:szCs w:val="16"/>
                <w:lang w:val="en-GB"/>
              </w:rPr>
              <w:t>20,7</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1D" w14:textId="77777777" w:rsidR="00483062" w:rsidRPr="002138DD" w:rsidRDefault="00483062" w:rsidP="00483062">
            <w:pPr>
              <w:spacing w:before="0" w:after="0"/>
              <w:jc w:val="right"/>
              <w:rPr>
                <w:sz w:val="16"/>
                <w:szCs w:val="16"/>
                <w:lang w:val="en-GB"/>
              </w:rPr>
            </w:pPr>
            <w:r w:rsidRPr="002138DD">
              <w:rPr>
                <w:sz w:val="16"/>
                <w:szCs w:val="16"/>
                <w:lang w:val="en-GB"/>
              </w:rPr>
              <w:t>20,5</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1E" w14:textId="77777777" w:rsidR="00483062" w:rsidRPr="002138DD" w:rsidRDefault="00483062" w:rsidP="00483062">
            <w:pPr>
              <w:spacing w:before="0" w:after="0"/>
              <w:jc w:val="right"/>
              <w:rPr>
                <w:sz w:val="16"/>
                <w:szCs w:val="16"/>
                <w:lang w:val="en-GB"/>
              </w:rPr>
            </w:pPr>
            <w:r w:rsidRPr="002138DD">
              <w:rPr>
                <w:sz w:val="16"/>
                <w:szCs w:val="16"/>
                <w:lang w:val="en-GB"/>
              </w:rPr>
              <w:t>19,9</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E1F" w14:textId="77777777" w:rsidR="00483062" w:rsidRPr="002138DD" w:rsidRDefault="00483062" w:rsidP="00483062">
            <w:pPr>
              <w:spacing w:before="0" w:after="0"/>
              <w:jc w:val="right"/>
              <w:rPr>
                <w:sz w:val="16"/>
                <w:szCs w:val="16"/>
                <w:lang w:val="en-GB"/>
              </w:rPr>
            </w:pPr>
            <w:r w:rsidRPr="002138DD">
              <w:rPr>
                <w:sz w:val="16"/>
                <w:szCs w:val="16"/>
                <w:lang w:val="en-GB"/>
              </w:rPr>
              <w:t>20,3</w:t>
            </w:r>
          </w:p>
        </w:tc>
      </w:tr>
      <w:tr w:rsidR="00483062" w:rsidRPr="002138DD" w14:paraId="7EE94E2C"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E21" w14:textId="77777777" w:rsidR="00483062" w:rsidRPr="002138DD" w:rsidRDefault="00483062" w:rsidP="00483062">
            <w:pPr>
              <w:spacing w:before="0" w:after="0"/>
              <w:ind w:left="176"/>
              <w:rPr>
                <w:color w:val="000000"/>
                <w:sz w:val="16"/>
                <w:szCs w:val="16"/>
                <w:lang w:val="en-GB"/>
              </w:rPr>
            </w:pPr>
            <w:r>
              <w:rPr>
                <w:color w:val="000000"/>
                <w:sz w:val="16"/>
                <w:szCs w:val="16"/>
                <w:lang w:val="en-GB"/>
              </w:rPr>
              <w:t>from pensions</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22" w14:textId="77777777" w:rsidR="00483062" w:rsidRPr="00256284" w:rsidRDefault="00483062" w:rsidP="00483062">
            <w:pPr>
              <w:spacing w:before="0" w:after="0"/>
              <w:jc w:val="right"/>
              <w:rPr>
                <w:sz w:val="16"/>
                <w:szCs w:val="16"/>
              </w:rPr>
            </w:pPr>
            <w:r w:rsidRPr="00256284">
              <w:rPr>
                <w:sz w:val="16"/>
                <w:szCs w:val="16"/>
              </w:rPr>
              <w:t>3,2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23" w14:textId="77777777" w:rsidR="00483062" w:rsidRPr="00256284" w:rsidRDefault="00483062" w:rsidP="00483062">
            <w:pPr>
              <w:spacing w:before="0" w:after="0"/>
              <w:jc w:val="right"/>
              <w:rPr>
                <w:sz w:val="16"/>
                <w:szCs w:val="16"/>
              </w:rPr>
            </w:pPr>
            <w:r w:rsidRPr="00256284">
              <w:rPr>
                <w:sz w:val="16"/>
                <w:szCs w:val="16"/>
              </w:rPr>
              <w:t>2,9</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24" w14:textId="77777777" w:rsidR="00483062" w:rsidRPr="002138DD" w:rsidRDefault="00483062" w:rsidP="00483062">
            <w:pPr>
              <w:spacing w:before="0" w:after="0"/>
              <w:jc w:val="right"/>
              <w:rPr>
                <w:sz w:val="16"/>
                <w:szCs w:val="16"/>
                <w:lang w:val="en-GB"/>
              </w:rPr>
            </w:pPr>
            <w:r w:rsidRPr="002138DD">
              <w:rPr>
                <w:sz w:val="16"/>
                <w:szCs w:val="16"/>
                <w:lang w:val="en-GB"/>
              </w:rPr>
              <w:t>3,3</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25" w14:textId="77777777" w:rsidR="00483062" w:rsidRPr="002138DD" w:rsidRDefault="00483062" w:rsidP="00483062">
            <w:pPr>
              <w:spacing w:before="0" w:after="0"/>
              <w:jc w:val="right"/>
              <w:rPr>
                <w:sz w:val="16"/>
                <w:szCs w:val="16"/>
                <w:lang w:val="en-GB"/>
              </w:rPr>
            </w:pPr>
            <w:r w:rsidRPr="002138DD">
              <w:rPr>
                <w:sz w:val="16"/>
                <w:szCs w:val="16"/>
                <w:lang w:val="en-GB"/>
              </w:rPr>
              <w:t>3,0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26" w14:textId="77777777" w:rsidR="00483062" w:rsidRPr="002138DD" w:rsidRDefault="00483062" w:rsidP="00483062">
            <w:pPr>
              <w:spacing w:before="0" w:after="0"/>
              <w:jc w:val="right"/>
              <w:rPr>
                <w:sz w:val="16"/>
                <w:szCs w:val="16"/>
                <w:lang w:val="en-GB"/>
              </w:rPr>
            </w:pPr>
            <w:r w:rsidRPr="002138DD">
              <w:rPr>
                <w:sz w:val="16"/>
                <w:szCs w:val="16"/>
                <w:lang w:val="en-GB"/>
              </w:rPr>
              <w:t>3,5</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27" w14:textId="77777777" w:rsidR="00483062" w:rsidRPr="002138DD" w:rsidRDefault="00483062" w:rsidP="00483062">
            <w:pPr>
              <w:spacing w:before="0" w:after="0"/>
              <w:jc w:val="right"/>
              <w:rPr>
                <w:sz w:val="16"/>
                <w:szCs w:val="16"/>
                <w:lang w:val="en-GB"/>
              </w:rPr>
            </w:pPr>
            <w:r w:rsidRPr="002138DD">
              <w:rPr>
                <w:sz w:val="16"/>
                <w:szCs w:val="16"/>
                <w:lang w:val="en-GB"/>
              </w:rPr>
              <w:t>3,1</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28" w14:textId="77777777" w:rsidR="00483062" w:rsidRPr="002138DD" w:rsidRDefault="00483062" w:rsidP="00483062">
            <w:pPr>
              <w:spacing w:before="0" w:after="0"/>
              <w:jc w:val="right"/>
              <w:rPr>
                <w:sz w:val="16"/>
                <w:szCs w:val="16"/>
                <w:lang w:val="en-GB"/>
              </w:rPr>
            </w:pPr>
            <w:r w:rsidRPr="002138DD">
              <w:rPr>
                <w:sz w:val="16"/>
                <w:szCs w:val="16"/>
                <w:lang w:val="en-GB"/>
              </w:rPr>
              <w:t>3,1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29" w14:textId="77777777" w:rsidR="00483062" w:rsidRPr="002138DD" w:rsidRDefault="00483062" w:rsidP="00483062">
            <w:pPr>
              <w:spacing w:before="0" w:after="0"/>
              <w:jc w:val="right"/>
              <w:rPr>
                <w:sz w:val="16"/>
                <w:szCs w:val="16"/>
                <w:lang w:val="en-GB"/>
              </w:rPr>
            </w:pPr>
            <w:r w:rsidRPr="002138DD">
              <w:rPr>
                <w:sz w:val="16"/>
                <w:szCs w:val="16"/>
                <w:lang w:val="en-GB"/>
              </w:rPr>
              <w:t>2,9</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2A" w14:textId="77777777" w:rsidR="00483062" w:rsidRPr="002138DD" w:rsidRDefault="00483062" w:rsidP="00483062">
            <w:pPr>
              <w:spacing w:before="0" w:after="0"/>
              <w:jc w:val="right"/>
              <w:rPr>
                <w:sz w:val="16"/>
                <w:szCs w:val="16"/>
                <w:lang w:val="en-GB"/>
              </w:rPr>
            </w:pPr>
            <w:r w:rsidRPr="002138DD">
              <w:rPr>
                <w:sz w:val="16"/>
                <w:szCs w:val="16"/>
                <w:lang w:val="en-GB"/>
              </w:rPr>
              <w:t>3,1</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E2B" w14:textId="77777777" w:rsidR="00483062" w:rsidRPr="002138DD" w:rsidRDefault="00483062" w:rsidP="00483062">
            <w:pPr>
              <w:spacing w:before="0" w:after="0"/>
              <w:jc w:val="right"/>
              <w:rPr>
                <w:sz w:val="16"/>
                <w:szCs w:val="16"/>
                <w:lang w:val="en-GB"/>
              </w:rPr>
            </w:pPr>
            <w:r w:rsidRPr="002138DD">
              <w:rPr>
                <w:sz w:val="16"/>
                <w:szCs w:val="16"/>
                <w:lang w:val="en-GB"/>
              </w:rPr>
              <w:t>2,7</w:t>
            </w:r>
          </w:p>
        </w:tc>
      </w:tr>
      <w:tr w:rsidR="00483062" w:rsidRPr="002138DD" w14:paraId="7EE94E38"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E2D" w14:textId="77777777" w:rsidR="00483062" w:rsidRPr="002138DD" w:rsidRDefault="00483062" w:rsidP="00483062">
            <w:pPr>
              <w:spacing w:before="0" w:after="0"/>
              <w:rPr>
                <w:color w:val="000000"/>
                <w:sz w:val="16"/>
                <w:szCs w:val="16"/>
                <w:lang w:val="en-GB"/>
              </w:rPr>
            </w:pPr>
            <w:r>
              <w:rPr>
                <w:color w:val="000000"/>
                <w:sz w:val="16"/>
                <w:szCs w:val="16"/>
                <w:lang w:val="en-GB"/>
              </w:rPr>
              <w:t>Income from other social benefits</w:t>
            </w:r>
            <w:r w:rsidRPr="002138DD">
              <w:rPr>
                <w:rStyle w:val="Odwoanieprzypisudolnego"/>
                <w:spacing w:val="-2"/>
                <w:szCs w:val="19"/>
                <w:shd w:val="clear" w:color="auto" w:fill="FFFFFF"/>
                <w:lang w:val="en-GB"/>
              </w:rPr>
              <w:footnoteReference w:id="6"/>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2E" w14:textId="77777777" w:rsidR="00483062" w:rsidRPr="00256284" w:rsidRDefault="00483062" w:rsidP="00483062">
            <w:pPr>
              <w:spacing w:before="0" w:after="0"/>
              <w:jc w:val="right"/>
              <w:rPr>
                <w:sz w:val="16"/>
                <w:szCs w:val="16"/>
              </w:rPr>
            </w:pPr>
            <w:r w:rsidRPr="00256284">
              <w:rPr>
                <w:sz w:val="16"/>
                <w:szCs w:val="16"/>
              </w:rPr>
              <w:t>7,3</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2F" w14:textId="77777777" w:rsidR="00483062" w:rsidRPr="00256284" w:rsidRDefault="00483062" w:rsidP="00483062">
            <w:pPr>
              <w:spacing w:before="0" w:after="0"/>
              <w:jc w:val="right"/>
              <w:rPr>
                <w:sz w:val="16"/>
                <w:szCs w:val="16"/>
              </w:rPr>
            </w:pPr>
            <w:r w:rsidRPr="00256284">
              <w:rPr>
                <w:sz w:val="16"/>
                <w:szCs w:val="16"/>
              </w:rPr>
              <w:t>8,3</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30" w14:textId="77777777" w:rsidR="00483062" w:rsidRPr="002138DD" w:rsidRDefault="00483062" w:rsidP="00483062">
            <w:pPr>
              <w:spacing w:before="0" w:after="0"/>
              <w:jc w:val="right"/>
              <w:rPr>
                <w:sz w:val="16"/>
                <w:szCs w:val="16"/>
                <w:lang w:val="en-GB"/>
              </w:rPr>
            </w:pPr>
            <w:r w:rsidRPr="002138DD">
              <w:rPr>
                <w:sz w:val="16"/>
                <w:szCs w:val="16"/>
                <w:lang w:val="en-GB"/>
              </w:rPr>
              <w:t>6,7</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31" w14:textId="77777777" w:rsidR="00483062" w:rsidRPr="002138DD" w:rsidRDefault="00483062" w:rsidP="00483062">
            <w:pPr>
              <w:spacing w:before="0" w:after="0"/>
              <w:jc w:val="right"/>
              <w:rPr>
                <w:sz w:val="16"/>
                <w:szCs w:val="16"/>
                <w:lang w:val="en-GB"/>
              </w:rPr>
            </w:pPr>
            <w:r w:rsidRPr="002138DD">
              <w:rPr>
                <w:sz w:val="16"/>
                <w:szCs w:val="16"/>
                <w:lang w:val="en-GB"/>
              </w:rPr>
              <w:t>8,4</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32" w14:textId="77777777" w:rsidR="00483062" w:rsidRPr="002138DD" w:rsidRDefault="00483062" w:rsidP="00483062">
            <w:pPr>
              <w:spacing w:before="0" w:after="0"/>
              <w:jc w:val="right"/>
              <w:rPr>
                <w:sz w:val="16"/>
                <w:szCs w:val="16"/>
                <w:lang w:val="en-GB"/>
              </w:rPr>
            </w:pPr>
            <w:r w:rsidRPr="002138DD">
              <w:rPr>
                <w:sz w:val="16"/>
                <w:szCs w:val="16"/>
                <w:lang w:val="en-GB"/>
              </w:rPr>
              <w:t>6,2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33" w14:textId="77777777" w:rsidR="00483062" w:rsidRPr="002138DD" w:rsidRDefault="00483062" w:rsidP="00483062">
            <w:pPr>
              <w:spacing w:before="0" w:after="0"/>
              <w:jc w:val="right"/>
              <w:rPr>
                <w:sz w:val="16"/>
                <w:szCs w:val="16"/>
                <w:lang w:val="en-GB"/>
              </w:rPr>
            </w:pPr>
            <w:r w:rsidRPr="002138DD">
              <w:rPr>
                <w:sz w:val="16"/>
                <w:szCs w:val="16"/>
                <w:lang w:val="en-GB"/>
              </w:rPr>
              <w:t>8,2</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34" w14:textId="77777777" w:rsidR="00483062" w:rsidRPr="002138DD" w:rsidRDefault="00483062" w:rsidP="00483062">
            <w:pPr>
              <w:spacing w:before="0" w:after="0"/>
              <w:jc w:val="right"/>
              <w:rPr>
                <w:sz w:val="16"/>
                <w:szCs w:val="16"/>
                <w:lang w:val="en-GB"/>
              </w:rPr>
            </w:pPr>
            <w:r w:rsidRPr="002138DD">
              <w:rPr>
                <w:sz w:val="16"/>
                <w:szCs w:val="16"/>
                <w:lang w:val="en-GB"/>
              </w:rPr>
              <w:t>7,9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35" w14:textId="77777777" w:rsidR="00483062" w:rsidRPr="002138DD" w:rsidRDefault="00483062" w:rsidP="00483062">
            <w:pPr>
              <w:spacing w:before="0" w:after="0"/>
              <w:jc w:val="right"/>
              <w:rPr>
                <w:sz w:val="16"/>
                <w:szCs w:val="16"/>
                <w:lang w:val="en-GB"/>
              </w:rPr>
            </w:pPr>
            <w:r w:rsidRPr="002138DD">
              <w:rPr>
                <w:sz w:val="16"/>
                <w:szCs w:val="16"/>
                <w:lang w:val="en-GB"/>
              </w:rPr>
              <w:t>8,5</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36" w14:textId="77777777" w:rsidR="00483062" w:rsidRPr="002138DD" w:rsidRDefault="00483062" w:rsidP="00483062">
            <w:pPr>
              <w:spacing w:before="0" w:after="0"/>
              <w:jc w:val="right"/>
              <w:rPr>
                <w:sz w:val="16"/>
                <w:szCs w:val="16"/>
                <w:lang w:val="en-GB"/>
              </w:rPr>
            </w:pPr>
            <w:r w:rsidRPr="002138DD">
              <w:rPr>
                <w:sz w:val="16"/>
                <w:szCs w:val="16"/>
                <w:lang w:val="en-GB"/>
              </w:rPr>
              <w:t>8,4</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E37" w14:textId="77777777" w:rsidR="00483062" w:rsidRPr="002138DD" w:rsidRDefault="00483062" w:rsidP="00483062">
            <w:pPr>
              <w:spacing w:before="0" w:after="0"/>
              <w:jc w:val="right"/>
              <w:rPr>
                <w:sz w:val="16"/>
                <w:szCs w:val="16"/>
                <w:lang w:val="en-GB"/>
              </w:rPr>
            </w:pPr>
            <w:r w:rsidRPr="002138DD">
              <w:rPr>
                <w:sz w:val="16"/>
                <w:szCs w:val="16"/>
                <w:lang w:val="en-GB"/>
              </w:rPr>
              <w:t>8,3</w:t>
            </w:r>
          </w:p>
        </w:tc>
      </w:tr>
      <w:tr w:rsidR="00483062" w:rsidRPr="002138DD" w14:paraId="7EE94E44" w14:textId="77777777" w:rsidTr="009441E7">
        <w:trPr>
          <w:trHeight w:val="57"/>
          <w:jc w:val="center"/>
        </w:trPr>
        <w:tc>
          <w:tcPr>
            <w:tcW w:w="2268" w:type="dxa"/>
            <w:tcBorders>
              <w:top w:val="single" w:sz="4" w:space="0" w:color="001D77"/>
              <w:left w:val="nil"/>
              <w:bottom w:val="single" w:sz="4" w:space="0" w:color="001D77"/>
              <w:right w:val="single" w:sz="4" w:space="0" w:color="001D77"/>
            </w:tcBorders>
            <w:vAlign w:val="center"/>
            <w:hideMark/>
          </w:tcPr>
          <w:p w14:paraId="7EE94E39" w14:textId="77777777" w:rsidR="00483062" w:rsidRPr="002138DD" w:rsidRDefault="00483062" w:rsidP="00483062">
            <w:pPr>
              <w:spacing w:before="0" w:after="0"/>
              <w:ind w:left="176"/>
              <w:rPr>
                <w:color w:val="000000"/>
                <w:sz w:val="16"/>
                <w:szCs w:val="16"/>
                <w:lang w:val="en-GB"/>
              </w:rPr>
            </w:pPr>
            <w:r>
              <w:rPr>
                <w:color w:val="000000"/>
                <w:sz w:val="16"/>
                <w:szCs w:val="16"/>
                <w:lang w:val="en-GB"/>
              </w:rPr>
              <w:t>Of which from child-rising benefit</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3A" w14:textId="77777777" w:rsidR="00483062" w:rsidRPr="00256284" w:rsidRDefault="00483062" w:rsidP="00483062">
            <w:pPr>
              <w:spacing w:before="0" w:after="0"/>
              <w:jc w:val="right"/>
              <w:rPr>
                <w:sz w:val="16"/>
                <w:szCs w:val="16"/>
              </w:rPr>
            </w:pPr>
            <w:r w:rsidRPr="00256284">
              <w:rPr>
                <w:sz w:val="16"/>
                <w:szCs w:val="16"/>
              </w:rPr>
              <w:t>4,8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3B" w14:textId="77777777" w:rsidR="00483062" w:rsidRPr="00256284" w:rsidRDefault="00483062" w:rsidP="00483062">
            <w:pPr>
              <w:spacing w:before="0" w:after="0"/>
              <w:jc w:val="right"/>
              <w:rPr>
                <w:sz w:val="16"/>
                <w:szCs w:val="16"/>
              </w:rPr>
            </w:pPr>
            <w:r w:rsidRPr="00256284">
              <w:rPr>
                <w:sz w:val="16"/>
                <w:szCs w:val="16"/>
              </w:rPr>
              <w:t>6,1</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3C" w14:textId="77777777" w:rsidR="00483062" w:rsidRPr="002138DD" w:rsidRDefault="00483062" w:rsidP="00483062">
            <w:pPr>
              <w:spacing w:before="0" w:after="0"/>
              <w:jc w:val="right"/>
              <w:rPr>
                <w:sz w:val="16"/>
                <w:szCs w:val="16"/>
                <w:lang w:val="en-GB"/>
              </w:rPr>
            </w:pPr>
            <w:r w:rsidRPr="002138DD">
              <w:rPr>
                <w:sz w:val="16"/>
                <w:szCs w:val="16"/>
                <w:lang w:val="en-GB"/>
              </w:rPr>
              <w:t>4,0</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3D" w14:textId="77777777" w:rsidR="00483062" w:rsidRPr="002138DD" w:rsidRDefault="00483062" w:rsidP="00483062">
            <w:pPr>
              <w:spacing w:before="0" w:after="0"/>
              <w:jc w:val="right"/>
              <w:rPr>
                <w:sz w:val="16"/>
                <w:szCs w:val="16"/>
                <w:lang w:val="en-GB"/>
              </w:rPr>
            </w:pPr>
            <w:r w:rsidRPr="002138DD">
              <w:rPr>
                <w:sz w:val="16"/>
                <w:szCs w:val="16"/>
                <w:lang w:val="en-GB"/>
              </w:rPr>
              <w:t>6,2</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3E" w14:textId="77777777" w:rsidR="00483062" w:rsidRPr="002138DD" w:rsidRDefault="00483062" w:rsidP="00483062">
            <w:pPr>
              <w:spacing w:before="0" w:after="0"/>
              <w:jc w:val="right"/>
              <w:rPr>
                <w:sz w:val="16"/>
                <w:szCs w:val="16"/>
                <w:lang w:val="en-GB"/>
              </w:rPr>
            </w:pPr>
            <w:r w:rsidRPr="002138DD">
              <w:rPr>
                <w:sz w:val="16"/>
                <w:szCs w:val="16"/>
                <w:lang w:val="en-GB"/>
              </w:rPr>
              <w:t>3,7</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3F" w14:textId="77777777" w:rsidR="00483062" w:rsidRPr="002138DD" w:rsidRDefault="00483062" w:rsidP="00483062">
            <w:pPr>
              <w:spacing w:before="0" w:after="0"/>
              <w:jc w:val="right"/>
              <w:rPr>
                <w:sz w:val="16"/>
                <w:szCs w:val="16"/>
                <w:lang w:val="en-GB"/>
              </w:rPr>
            </w:pPr>
            <w:r w:rsidRPr="002138DD">
              <w:rPr>
                <w:sz w:val="16"/>
                <w:szCs w:val="16"/>
                <w:lang w:val="en-GB"/>
              </w:rPr>
              <w:t>6,2</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40" w14:textId="77777777" w:rsidR="00483062" w:rsidRPr="002138DD" w:rsidRDefault="00483062" w:rsidP="00483062">
            <w:pPr>
              <w:spacing w:before="0" w:after="0"/>
              <w:jc w:val="right"/>
              <w:rPr>
                <w:sz w:val="16"/>
                <w:szCs w:val="16"/>
                <w:lang w:val="en-GB"/>
              </w:rPr>
            </w:pPr>
            <w:r w:rsidRPr="002138DD">
              <w:rPr>
                <w:sz w:val="16"/>
                <w:szCs w:val="16"/>
                <w:lang w:val="en-GB"/>
              </w:rPr>
              <w:t>5,4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hideMark/>
          </w:tcPr>
          <w:p w14:paraId="7EE94E41" w14:textId="77777777" w:rsidR="00483062" w:rsidRPr="002138DD" w:rsidRDefault="00483062" w:rsidP="00483062">
            <w:pPr>
              <w:spacing w:before="0" w:after="0"/>
              <w:jc w:val="right"/>
              <w:rPr>
                <w:sz w:val="16"/>
                <w:szCs w:val="16"/>
                <w:lang w:val="en-GB"/>
              </w:rPr>
            </w:pPr>
            <w:r w:rsidRPr="002138DD">
              <w:rPr>
                <w:sz w:val="16"/>
                <w:szCs w:val="16"/>
                <w:lang w:val="en-GB"/>
              </w:rPr>
              <w:t>6,0</w:t>
            </w:r>
          </w:p>
        </w:tc>
        <w:tc>
          <w:tcPr>
            <w:tcW w:w="567" w:type="dxa"/>
            <w:tcBorders>
              <w:top w:val="single" w:sz="4" w:space="0" w:color="001D77"/>
              <w:left w:val="single" w:sz="4" w:space="0" w:color="001D77"/>
              <w:bottom w:val="single" w:sz="4" w:space="0" w:color="001D77"/>
              <w:right w:val="single" w:sz="4" w:space="0" w:color="001D77"/>
            </w:tcBorders>
            <w:vAlign w:val="center"/>
            <w:hideMark/>
          </w:tcPr>
          <w:p w14:paraId="7EE94E42" w14:textId="77777777" w:rsidR="00483062" w:rsidRPr="002138DD" w:rsidRDefault="00483062" w:rsidP="00483062">
            <w:pPr>
              <w:spacing w:before="0" w:after="0"/>
              <w:jc w:val="right"/>
              <w:rPr>
                <w:sz w:val="16"/>
                <w:szCs w:val="16"/>
                <w:lang w:val="en-GB"/>
              </w:rPr>
            </w:pPr>
            <w:r w:rsidRPr="002138DD">
              <w:rPr>
                <w:sz w:val="16"/>
                <w:szCs w:val="16"/>
                <w:lang w:val="en-GB"/>
              </w:rPr>
              <w:t>6,1</w:t>
            </w:r>
          </w:p>
        </w:tc>
        <w:tc>
          <w:tcPr>
            <w:tcW w:w="567" w:type="dxa"/>
            <w:tcBorders>
              <w:top w:val="single" w:sz="4" w:space="0" w:color="001D77"/>
              <w:left w:val="single" w:sz="4" w:space="0" w:color="001D77"/>
              <w:bottom w:val="single" w:sz="4" w:space="0" w:color="001D77"/>
              <w:right w:val="nil"/>
            </w:tcBorders>
            <w:shd w:val="clear" w:color="auto" w:fill="CCD1E3"/>
            <w:vAlign w:val="center"/>
            <w:hideMark/>
          </w:tcPr>
          <w:p w14:paraId="7EE94E43" w14:textId="77777777" w:rsidR="00483062" w:rsidRPr="002138DD" w:rsidRDefault="00483062" w:rsidP="00483062">
            <w:pPr>
              <w:spacing w:before="0" w:after="0"/>
              <w:jc w:val="right"/>
              <w:rPr>
                <w:sz w:val="16"/>
                <w:szCs w:val="16"/>
                <w:lang w:val="en-GB"/>
              </w:rPr>
            </w:pPr>
            <w:r w:rsidRPr="002138DD">
              <w:rPr>
                <w:sz w:val="16"/>
                <w:szCs w:val="16"/>
                <w:lang w:val="en-GB"/>
              </w:rPr>
              <w:t>6,1</w:t>
            </w:r>
          </w:p>
        </w:tc>
      </w:tr>
      <w:tr w:rsidR="00483062" w:rsidRPr="002138DD" w14:paraId="7EE94E50" w14:textId="77777777" w:rsidTr="009441E7">
        <w:trPr>
          <w:trHeight w:val="57"/>
          <w:jc w:val="center"/>
        </w:trPr>
        <w:tc>
          <w:tcPr>
            <w:tcW w:w="2268" w:type="dxa"/>
            <w:tcBorders>
              <w:top w:val="single" w:sz="4" w:space="0" w:color="001D77"/>
              <w:left w:val="nil"/>
              <w:bottom w:val="nil"/>
              <w:right w:val="single" w:sz="4" w:space="0" w:color="001D77"/>
            </w:tcBorders>
            <w:vAlign w:val="center"/>
            <w:hideMark/>
          </w:tcPr>
          <w:p w14:paraId="7EE94E45" w14:textId="77777777" w:rsidR="00483062" w:rsidRPr="002138DD" w:rsidRDefault="00483062" w:rsidP="00483062">
            <w:pPr>
              <w:spacing w:before="0" w:after="0"/>
              <w:rPr>
                <w:color w:val="000000"/>
                <w:sz w:val="16"/>
                <w:szCs w:val="16"/>
                <w:lang w:val="en-GB"/>
              </w:rPr>
            </w:pPr>
            <w:r>
              <w:rPr>
                <w:color w:val="000000"/>
                <w:sz w:val="16"/>
                <w:szCs w:val="16"/>
                <w:lang w:val="en-GB"/>
              </w:rPr>
              <w:t>Other income</w:t>
            </w:r>
            <w:r w:rsidRPr="002138DD">
              <w:rPr>
                <w:color w:val="000000"/>
                <w:sz w:val="16"/>
                <w:szCs w:val="16"/>
                <w:lang w:val="en-GB"/>
              </w:rPr>
              <w:t>*</w:t>
            </w:r>
          </w:p>
        </w:tc>
        <w:tc>
          <w:tcPr>
            <w:tcW w:w="567" w:type="dxa"/>
            <w:tcBorders>
              <w:top w:val="single" w:sz="4" w:space="0" w:color="001D77"/>
              <w:left w:val="single" w:sz="4" w:space="0" w:color="001D77"/>
              <w:bottom w:val="nil"/>
              <w:right w:val="single" w:sz="4" w:space="0" w:color="001D77"/>
            </w:tcBorders>
            <w:vAlign w:val="center"/>
          </w:tcPr>
          <w:p w14:paraId="7EE94E46" w14:textId="77777777" w:rsidR="00483062" w:rsidRPr="00256284" w:rsidRDefault="00483062" w:rsidP="00483062">
            <w:pPr>
              <w:spacing w:before="0" w:after="0"/>
              <w:jc w:val="right"/>
              <w:rPr>
                <w:sz w:val="16"/>
                <w:szCs w:val="16"/>
              </w:rPr>
            </w:pPr>
            <w:r w:rsidRPr="00256284">
              <w:rPr>
                <w:sz w:val="16"/>
                <w:szCs w:val="16"/>
              </w:rPr>
              <w:t>3,7</w:t>
            </w:r>
          </w:p>
        </w:tc>
        <w:tc>
          <w:tcPr>
            <w:tcW w:w="567" w:type="dxa"/>
            <w:tcBorders>
              <w:top w:val="single" w:sz="4" w:space="0" w:color="001D77"/>
              <w:left w:val="single" w:sz="4" w:space="0" w:color="001D77"/>
              <w:bottom w:val="nil"/>
              <w:right w:val="single" w:sz="4" w:space="0" w:color="001D77"/>
            </w:tcBorders>
            <w:shd w:val="clear" w:color="auto" w:fill="CCD1E3"/>
            <w:vAlign w:val="center"/>
          </w:tcPr>
          <w:p w14:paraId="7EE94E47" w14:textId="77777777" w:rsidR="00483062" w:rsidRPr="00256284" w:rsidRDefault="00483062" w:rsidP="00483062">
            <w:pPr>
              <w:spacing w:before="0" w:after="0"/>
              <w:jc w:val="right"/>
              <w:rPr>
                <w:sz w:val="16"/>
                <w:szCs w:val="16"/>
              </w:rPr>
            </w:pPr>
            <w:r w:rsidRPr="00256284">
              <w:rPr>
                <w:sz w:val="16"/>
                <w:szCs w:val="16"/>
              </w:rPr>
              <w:t>2,4</w:t>
            </w:r>
          </w:p>
        </w:tc>
        <w:tc>
          <w:tcPr>
            <w:tcW w:w="567" w:type="dxa"/>
            <w:tcBorders>
              <w:top w:val="single" w:sz="4" w:space="0" w:color="001D77"/>
              <w:left w:val="single" w:sz="4" w:space="0" w:color="001D77"/>
              <w:bottom w:val="nil"/>
              <w:right w:val="single" w:sz="4" w:space="0" w:color="001D77"/>
            </w:tcBorders>
            <w:vAlign w:val="center"/>
            <w:hideMark/>
          </w:tcPr>
          <w:p w14:paraId="7EE94E48" w14:textId="77777777" w:rsidR="00483062" w:rsidRPr="002138DD" w:rsidRDefault="00483062" w:rsidP="00483062">
            <w:pPr>
              <w:spacing w:before="0" w:after="0"/>
              <w:jc w:val="right"/>
              <w:rPr>
                <w:sz w:val="16"/>
                <w:szCs w:val="16"/>
                <w:lang w:val="en-GB"/>
              </w:rPr>
            </w:pPr>
            <w:r w:rsidRPr="002138DD">
              <w:rPr>
                <w:sz w:val="16"/>
                <w:szCs w:val="16"/>
                <w:lang w:val="en-GB"/>
              </w:rPr>
              <w:t>3,1</w:t>
            </w:r>
          </w:p>
        </w:tc>
        <w:tc>
          <w:tcPr>
            <w:tcW w:w="567" w:type="dxa"/>
            <w:tcBorders>
              <w:top w:val="single" w:sz="4" w:space="0" w:color="001D77"/>
              <w:left w:val="single" w:sz="4" w:space="0" w:color="001D77"/>
              <w:bottom w:val="nil"/>
              <w:right w:val="single" w:sz="4" w:space="0" w:color="001D77"/>
            </w:tcBorders>
            <w:shd w:val="clear" w:color="auto" w:fill="CCD1E3"/>
            <w:vAlign w:val="center"/>
            <w:hideMark/>
          </w:tcPr>
          <w:p w14:paraId="7EE94E49" w14:textId="77777777" w:rsidR="00483062" w:rsidRPr="002138DD" w:rsidRDefault="00483062" w:rsidP="00483062">
            <w:pPr>
              <w:spacing w:before="0" w:after="0"/>
              <w:jc w:val="right"/>
              <w:rPr>
                <w:sz w:val="16"/>
                <w:szCs w:val="16"/>
                <w:lang w:val="en-GB"/>
              </w:rPr>
            </w:pPr>
            <w:r w:rsidRPr="002138DD">
              <w:rPr>
                <w:sz w:val="16"/>
                <w:szCs w:val="16"/>
                <w:lang w:val="en-GB"/>
              </w:rPr>
              <w:t>2,9</w:t>
            </w:r>
          </w:p>
        </w:tc>
        <w:tc>
          <w:tcPr>
            <w:tcW w:w="567" w:type="dxa"/>
            <w:tcBorders>
              <w:top w:val="single" w:sz="4" w:space="0" w:color="001D77"/>
              <w:left w:val="single" w:sz="4" w:space="0" w:color="001D77"/>
              <w:bottom w:val="nil"/>
              <w:right w:val="single" w:sz="4" w:space="0" w:color="001D77"/>
            </w:tcBorders>
            <w:vAlign w:val="center"/>
            <w:hideMark/>
          </w:tcPr>
          <w:p w14:paraId="7EE94E4A" w14:textId="77777777" w:rsidR="00483062" w:rsidRPr="002138DD" w:rsidRDefault="00483062" w:rsidP="00483062">
            <w:pPr>
              <w:spacing w:before="0" w:after="0"/>
              <w:jc w:val="right"/>
              <w:rPr>
                <w:sz w:val="16"/>
                <w:szCs w:val="16"/>
                <w:lang w:val="en-GB"/>
              </w:rPr>
            </w:pPr>
            <w:r w:rsidRPr="002138DD">
              <w:rPr>
                <w:sz w:val="16"/>
                <w:szCs w:val="16"/>
                <w:lang w:val="en-GB"/>
              </w:rPr>
              <w:t>3,6</w:t>
            </w:r>
          </w:p>
        </w:tc>
        <w:tc>
          <w:tcPr>
            <w:tcW w:w="567" w:type="dxa"/>
            <w:tcBorders>
              <w:top w:val="single" w:sz="4" w:space="0" w:color="001D77"/>
              <w:left w:val="single" w:sz="4" w:space="0" w:color="001D77"/>
              <w:bottom w:val="nil"/>
              <w:right w:val="single" w:sz="4" w:space="0" w:color="001D77"/>
            </w:tcBorders>
            <w:shd w:val="clear" w:color="auto" w:fill="CCD1E3"/>
            <w:vAlign w:val="center"/>
            <w:hideMark/>
          </w:tcPr>
          <w:p w14:paraId="7EE94E4B" w14:textId="77777777" w:rsidR="00483062" w:rsidRPr="002138DD" w:rsidRDefault="00483062" w:rsidP="00483062">
            <w:pPr>
              <w:spacing w:before="0" w:after="0"/>
              <w:jc w:val="right"/>
              <w:rPr>
                <w:sz w:val="16"/>
                <w:szCs w:val="16"/>
                <w:lang w:val="en-GB"/>
              </w:rPr>
            </w:pPr>
            <w:r w:rsidRPr="002138DD">
              <w:rPr>
                <w:sz w:val="16"/>
                <w:szCs w:val="16"/>
                <w:lang w:val="en-GB"/>
              </w:rPr>
              <w:t>1,9</w:t>
            </w:r>
          </w:p>
        </w:tc>
        <w:tc>
          <w:tcPr>
            <w:tcW w:w="567" w:type="dxa"/>
            <w:tcBorders>
              <w:top w:val="single" w:sz="4" w:space="0" w:color="001D77"/>
              <w:left w:val="single" w:sz="4" w:space="0" w:color="001D77"/>
              <w:bottom w:val="nil"/>
              <w:right w:val="single" w:sz="4" w:space="0" w:color="001D77"/>
            </w:tcBorders>
            <w:vAlign w:val="center"/>
            <w:hideMark/>
          </w:tcPr>
          <w:p w14:paraId="7EE94E4C" w14:textId="77777777" w:rsidR="00483062" w:rsidRPr="002138DD" w:rsidRDefault="00483062" w:rsidP="00483062">
            <w:pPr>
              <w:spacing w:before="0" w:after="0"/>
              <w:jc w:val="right"/>
              <w:rPr>
                <w:sz w:val="16"/>
                <w:szCs w:val="16"/>
                <w:lang w:val="en-GB"/>
              </w:rPr>
            </w:pPr>
            <w:r w:rsidRPr="002138DD">
              <w:rPr>
                <w:sz w:val="16"/>
                <w:szCs w:val="16"/>
                <w:lang w:val="en-GB"/>
              </w:rPr>
              <w:t>3,4</w:t>
            </w:r>
          </w:p>
        </w:tc>
        <w:tc>
          <w:tcPr>
            <w:tcW w:w="567" w:type="dxa"/>
            <w:tcBorders>
              <w:top w:val="single" w:sz="4" w:space="0" w:color="001D77"/>
              <w:left w:val="single" w:sz="4" w:space="0" w:color="001D77"/>
              <w:bottom w:val="nil"/>
              <w:right w:val="single" w:sz="4" w:space="0" w:color="001D77"/>
            </w:tcBorders>
            <w:shd w:val="clear" w:color="auto" w:fill="CCD1E3"/>
            <w:vAlign w:val="center"/>
            <w:hideMark/>
          </w:tcPr>
          <w:p w14:paraId="7EE94E4D" w14:textId="77777777" w:rsidR="00483062" w:rsidRPr="002138DD" w:rsidRDefault="00483062" w:rsidP="00483062">
            <w:pPr>
              <w:spacing w:before="0" w:after="0"/>
              <w:jc w:val="right"/>
              <w:rPr>
                <w:sz w:val="16"/>
                <w:szCs w:val="16"/>
                <w:lang w:val="en-GB"/>
              </w:rPr>
            </w:pPr>
            <w:r w:rsidRPr="002138DD">
              <w:rPr>
                <w:sz w:val="16"/>
                <w:szCs w:val="16"/>
                <w:lang w:val="en-GB"/>
              </w:rPr>
              <w:t>2,5</w:t>
            </w:r>
          </w:p>
        </w:tc>
        <w:tc>
          <w:tcPr>
            <w:tcW w:w="567" w:type="dxa"/>
            <w:tcBorders>
              <w:top w:val="single" w:sz="4" w:space="0" w:color="001D77"/>
              <w:left w:val="single" w:sz="4" w:space="0" w:color="001D77"/>
              <w:bottom w:val="nil"/>
              <w:right w:val="single" w:sz="4" w:space="0" w:color="001D77"/>
            </w:tcBorders>
            <w:vAlign w:val="center"/>
            <w:hideMark/>
          </w:tcPr>
          <w:p w14:paraId="7EE94E4E" w14:textId="77777777" w:rsidR="00483062" w:rsidRPr="002138DD" w:rsidRDefault="00483062" w:rsidP="00483062">
            <w:pPr>
              <w:spacing w:before="0" w:after="0"/>
              <w:jc w:val="right"/>
              <w:rPr>
                <w:sz w:val="16"/>
                <w:szCs w:val="16"/>
                <w:lang w:val="en-GB"/>
              </w:rPr>
            </w:pPr>
            <w:r w:rsidRPr="002138DD">
              <w:rPr>
                <w:sz w:val="16"/>
                <w:szCs w:val="16"/>
                <w:lang w:val="en-GB"/>
              </w:rPr>
              <w:t>4,5</w:t>
            </w:r>
          </w:p>
        </w:tc>
        <w:tc>
          <w:tcPr>
            <w:tcW w:w="567" w:type="dxa"/>
            <w:tcBorders>
              <w:top w:val="single" w:sz="4" w:space="0" w:color="001D77"/>
              <w:left w:val="single" w:sz="4" w:space="0" w:color="001D77"/>
              <w:bottom w:val="nil"/>
              <w:right w:val="nil"/>
            </w:tcBorders>
            <w:shd w:val="clear" w:color="auto" w:fill="CCD1E3"/>
            <w:vAlign w:val="center"/>
            <w:hideMark/>
          </w:tcPr>
          <w:p w14:paraId="7EE94E4F" w14:textId="77777777" w:rsidR="00483062" w:rsidRPr="002138DD" w:rsidRDefault="00483062" w:rsidP="00483062">
            <w:pPr>
              <w:spacing w:before="0" w:after="0"/>
              <w:jc w:val="right"/>
              <w:rPr>
                <w:sz w:val="16"/>
                <w:szCs w:val="16"/>
                <w:lang w:val="en-GB"/>
              </w:rPr>
            </w:pPr>
            <w:r w:rsidRPr="002138DD">
              <w:rPr>
                <w:sz w:val="16"/>
                <w:szCs w:val="16"/>
                <w:lang w:val="en-GB"/>
              </w:rPr>
              <w:t>2,2</w:t>
            </w:r>
          </w:p>
        </w:tc>
      </w:tr>
    </w:tbl>
    <w:p w14:paraId="7EE94E51" w14:textId="77777777" w:rsidR="001446F6" w:rsidRPr="002138DD" w:rsidRDefault="001446F6" w:rsidP="001446F6">
      <w:pPr>
        <w:spacing w:after="0"/>
        <w:rPr>
          <w:spacing w:val="-2"/>
          <w:sz w:val="16"/>
          <w:szCs w:val="16"/>
          <w:shd w:val="clear" w:color="auto" w:fill="FFFFFF"/>
          <w:lang w:val="en-GB"/>
        </w:rPr>
      </w:pPr>
      <w:r w:rsidRPr="002138DD">
        <w:rPr>
          <w:spacing w:val="-2"/>
          <w:sz w:val="16"/>
          <w:szCs w:val="16"/>
          <w:shd w:val="clear" w:color="auto" w:fill="FFFFFF"/>
          <w:lang w:val="en-GB"/>
        </w:rPr>
        <w:t>*</w:t>
      </w:r>
      <w:r w:rsidR="003B6D42" w:rsidRPr="003B6D42">
        <w:rPr>
          <w:lang w:val="en-GB"/>
        </w:rPr>
        <w:t xml:space="preserve"> </w:t>
      </w:r>
      <w:r w:rsidR="003B6D42" w:rsidRPr="003B6D42">
        <w:rPr>
          <w:spacing w:val="-2"/>
          <w:sz w:val="16"/>
          <w:szCs w:val="16"/>
          <w:shd w:val="clear" w:color="auto" w:fill="FFFFFF"/>
          <w:lang w:val="en-GB"/>
        </w:rPr>
        <w:t>In the category 'Other income' are included: income from property, income from real estate renting and other income</w:t>
      </w:r>
      <w:r w:rsidRPr="002138DD">
        <w:rPr>
          <w:spacing w:val="-2"/>
          <w:sz w:val="16"/>
          <w:szCs w:val="16"/>
          <w:shd w:val="clear" w:color="auto" w:fill="FFFFFF"/>
          <w:lang w:val="en-GB"/>
        </w:rPr>
        <w:t xml:space="preserve">. </w:t>
      </w:r>
    </w:p>
    <w:p w14:paraId="7EE94E52" w14:textId="77777777" w:rsidR="001446F6" w:rsidRPr="003B6D42" w:rsidRDefault="001446F6" w:rsidP="001446F6">
      <w:pPr>
        <w:ind w:left="709" w:hanging="709"/>
        <w:rPr>
          <w:spacing w:val="-2"/>
          <w:szCs w:val="19"/>
          <w:shd w:val="clear" w:color="auto" w:fill="FFFFFF"/>
          <w:lang w:val="en-GB"/>
        </w:rPr>
      </w:pPr>
    </w:p>
    <w:p w14:paraId="7EE94E53" w14:textId="77777777" w:rsidR="001446F6" w:rsidRPr="003B6D42" w:rsidRDefault="001446F6" w:rsidP="001446F6">
      <w:pPr>
        <w:rPr>
          <w:spacing w:val="-2"/>
          <w:szCs w:val="19"/>
          <w:shd w:val="clear" w:color="auto" w:fill="FFFFFF"/>
          <w:lang w:val="en-GB"/>
        </w:rPr>
      </w:pPr>
      <w:r w:rsidRPr="003B6D42">
        <w:rPr>
          <w:spacing w:val="-2"/>
          <w:szCs w:val="19"/>
          <w:shd w:val="clear" w:color="auto" w:fill="FFFFFF"/>
          <w:lang w:val="en-GB"/>
        </w:rPr>
        <w:br w:type="page"/>
      </w:r>
    </w:p>
    <w:p w14:paraId="7EE94E54" w14:textId="77777777" w:rsidR="0022076F" w:rsidRPr="00CC5F3B" w:rsidRDefault="00A57435" w:rsidP="00762990">
      <w:pPr>
        <w:rPr>
          <w:spacing w:val="-2"/>
          <w:szCs w:val="19"/>
          <w:shd w:val="clear" w:color="auto" w:fill="FFFFFF"/>
          <w:lang w:val="en-GB"/>
        </w:rPr>
      </w:pPr>
      <w:r>
        <w:rPr>
          <w:rFonts w:cs="Arial"/>
          <w:szCs w:val="19"/>
          <w:lang w:val="en-GB"/>
        </w:rPr>
        <w:lastRenderedPageBreak/>
        <w:t xml:space="preserve">The diversity of income per capita in households, </w:t>
      </w:r>
      <w:r w:rsidRPr="00CC5F3B">
        <w:rPr>
          <w:rFonts w:cs="Arial"/>
          <w:szCs w:val="19"/>
          <w:lang w:val="en-GB"/>
        </w:rPr>
        <w:t>measured by the Gini coefficient</w:t>
      </w:r>
      <w:r>
        <w:rPr>
          <w:rFonts w:cs="Arial"/>
          <w:szCs w:val="19"/>
          <w:lang w:val="en-GB"/>
        </w:rPr>
        <w:t>, after a</w:t>
      </w:r>
      <w:r w:rsidR="009441E7">
        <w:rPr>
          <w:rFonts w:cs="Arial"/>
          <w:szCs w:val="19"/>
          <w:lang w:val="en-GB"/>
        </w:rPr>
        <w:t> </w:t>
      </w:r>
      <w:r>
        <w:rPr>
          <w:rFonts w:cs="Arial"/>
          <w:szCs w:val="19"/>
          <w:lang w:val="en-GB"/>
        </w:rPr>
        <w:t>period of decline</w:t>
      </w:r>
      <w:r w:rsidR="00384D18">
        <w:rPr>
          <w:rFonts w:cs="Arial"/>
          <w:szCs w:val="19"/>
          <w:lang w:val="en-GB"/>
        </w:rPr>
        <w:t xml:space="preserve"> in 2014-2017 and temporary stabilisation in</w:t>
      </w:r>
      <w:r w:rsidR="003A4792">
        <w:rPr>
          <w:rFonts w:cs="Arial"/>
          <w:szCs w:val="19"/>
          <w:lang w:val="en-GB"/>
        </w:rPr>
        <w:t xml:space="preserve"> 2019 and 2020 increased and amounted to 0.301 and 0.313 respectively</w:t>
      </w:r>
      <w:r w:rsidR="0022076F" w:rsidRPr="00CC5F3B">
        <w:rPr>
          <w:rFonts w:cs="Arial"/>
          <w:szCs w:val="19"/>
          <w:lang w:val="en-GB"/>
        </w:rPr>
        <w:t>.</w:t>
      </w:r>
    </w:p>
    <w:p w14:paraId="7EE94E55" w14:textId="77777777" w:rsidR="00705CD4" w:rsidRPr="0022076F" w:rsidRDefault="00705CD4" w:rsidP="00764D9C">
      <w:pPr>
        <w:rPr>
          <w:i/>
          <w:spacing w:val="-2"/>
          <w:szCs w:val="19"/>
          <w:shd w:val="clear" w:color="auto" w:fill="FFFFFF"/>
          <w:lang w:val="en-GB"/>
        </w:rPr>
      </w:pPr>
    </w:p>
    <w:p w14:paraId="7EE94E56" w14:textId="77777777" w:rsidR="00764D9C" w:rsidRPr="003B33FE" w:rsidRDefault="00B06F47" w:rsidP="00764D9C">
      <w:pPr>
        <w:spacing w:line="240" w:lineRule="auto"/>
        <w:rPr>
          <w:b/>
          <w:i/>
          <w:spacing w:val="-2"/>
          <w:sz w:val="18"/>
          <w:shd w:val="clear" w:color="auto" w:fill="FFFFFF"/>
        </w:rPr>
      </w:pPr>
      <w:r>
        <w:rPr>
          <w:i/>
          <w:noProof/>
          <w:lang w:eastAsia="pl-PL"/>
        </w:rPr>
        <mc:AlternateContent>
          <mc:Choice Requires="wps">
            <w:drawing>
              <wp:anchor distT="45720" distB="45720" distL="114300" distR="114300" simplePos="0" relativeHeight="251802624" behindDoc="1" locked="0" layoutInCell="1" allowOverlap="1" wp14:anchorId="7EE94FA4" wp14:editId="7EE94FA5">
                <wp:simplePos x="0" y="0"/>
                <wp:positionH relativeFrom="column">
                  <wp:posOffset>5197475</wp:posOffset>
                </wp:positionH>
                <wp:positionV relativeFrom="paragraph">
                  <wp:posOffset>1047750</wp:posOffset>
                </wp:positionV>
                <wp:extent cx="1725295" cy="1543685"/>
                <wp:effectExtent l="0" t="0" r="0" b="0"/>
                <wp:wrapTight wrapText="bothSides">
                  <wp:wrapPolygon edited="0">
                    <wp:start x="715" y="0"/>
                    <wp:lineTo x="715" y="21325"/>
                    <wp:lineTo x="20749" y="21325"/>
                    <wp:lineTo x="20749" y="0"/>
                    <wp:lineTo x="715" y="0"/>
                  </wp:wrapPolygon>
                </wp:wrapTight>
                <wp:docPr id="220" name="Pole tekstow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43685"/>
                        </a:xfrm>
                        <a:prstGeom prst="rect">
                          <a:avLst/>
                        </a:prstGeom>
                        <a:noFill/>
                        <a:ln w="9525">
                          <a:noFill/>
                          <a:miter lim="800000"/>
                          <a:headEnd/>
                          <a:tailEnd/>
                        </a:ln>
                      </wps:spPr>
                      <wps:txbx>
                        <w:txbxContent>
                          <w:p w14:paraId="7EE95013" w14:textId="77777777" w:rsidR="0024032F" w:rsidRPr="00073D9C" w:rsidRDefault="0024032F" w:rsidP="008235B1">
                            <w:pPr>
                              <w:pStyle w:val="tekstzboku"/>
                              <w:rPr>
                                <w:lang w:val="en-GB"/>
                              </w:rPr>
                            </w:pPr>
                            <w:r w:rsidRPr="00073D9C">
                              <w:rPr>
                                <w:lang w:val="en-GB"/>
                              </w:rPr>
                              <w:t>Recorded in the years 2014-201</w:t>
                            </w:r>
                            <w:r>
                              <w:rPr>
                                <w:lang w:val="en-GB"/>
                              </w:rPr>
                              <w:t>7</w:t>
                            </w:r>
                            <w:r w:rsidRPr="00073D9C">
                              <w:rPr>
                                <w:lang w:val="en-GB"/>
                              </w:rPr>
                              <w:t xml:space="preserve"> significant decline in disparity in income per capita in households, measured by Gini coefficient, in 2018 was stopped and in the years 2019-2020 it increased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A4" id="Pole tekstowe 220" o:spid="_x0000_s1032" type="#_x0000_t202" style="position:absolute;margin-left:409.25pt;margin-top:82.5pt;width:135.85pt;height:121.55pt;z-index:-25151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" filled="f" stroked="f">
                <v:textbox>
                  <w:txbxContent>
                    <w:p w14:paraId="7EE95013" w14:textId="77777777" w:rsidR="0024032F" w:rsidRPr="00073D9C" w:rsidRDefault="0024032F" w:rsidP="008235B1">
                      <w:pPr>
                        <w:pStyle w:val="tekstzboku"/>
                        <w:rPr>
                          <w:lang w:val="en-GB"/>
                        </w:rPr>
                      </w:pPr>
                      <w:r w:rsidRPr="00073D9C">
                        <w:rPr>
                          <w:lang w:val="en-GB"/>
                        </w:rPr>
                        <w:t>Recorded in the years 2014-201</w:t>
                      </w:r>
                      <w:r>
                        <w:rPr>
                          <w:lang w:val="en-GB"/>
                        </w:rPr>
                        <w:t>7</w:t>
                      </w:r>
                      <w:r w:rsidRPr="00073D9C">
                        <w:rPr>
                          <w:lang w:val="en-GB"/>
                        </w:rPr>
                        <w:t xml:space="preserve"> significant decline in disparity in income per capita in households, measured by Gini coefficient, in 2018 was stopped and in the years 2019-2020 it increased</w:t>
                      </w:r>
                    </w:p>
                  </w:txbxContent>
                </v:textbox>
                <w10:wrap type="tight"/>
              </v:shape>
            </w:pict>
          </mc:Fallback>
        </mc:AlternateContent>
      </w:r>
      <w:r w:rsidR="00EE2354">
        <w:rPr>
          <w:noProof/>
          <w:lang w:eastAsia="pl-PL"/>
        </w:rPr>
        <w:drawing>
          <wp:inline distT="0" distB="0" distL="0" distR="0" wp14:anchorId="7EE94FA6" wp14:editId="7EE94FA7">
            <wp:extent cx="5094836" cy="3238038"/>
            <wp:effectExtent l="0" t="0" r="0" b="635"/>
            <wp:docPr id="8" name="Wykres 8">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E94E57" w14:textId="77777777" w:rsidR="00764D9C" w:rsidRPr="003B33FE" w:rsidRDefault="00976CCF" w:rsidP="00764D9C">
      <w:pPr>
        <w:jc w:val="both"/>
        <w:rPr>
          <w:i/>
          <w:spacing w:val="-2"/>
          <w:szCs w:val="19"/>
          <w:shd w:val="clear" w:color="auto" w:fill="FFFFFF"/>
        </w:rPr>
      </w:pPr>
      <w:r>
        <w:rPr>
          <w:i/>
          <w:noProof/>
          <w:lang w:eastAsia="pl-PL"/>
        </w:rPr>
        <mc:AlternateContent>
          <mc:Choice Requires="wps">
            <w:drawing>
              <wp:anchor distT="45720" distB="45720" distL="114300" distR="114300" simplePos="0" relativeHeight="251838464" behindDoc="1" locked="0" layoutInCell="1" allowOverlap="1" wp14:anchorId="7EE94FA8" wp14:editId="7EE94FA9">
                <wp:simplePos x="0" y="0"/>
                <wp:positionH relativeFrom="column">
                  <wp:posOffset>5210175</wp:posOffset>
                </wp:positionH>
                <wp:positionV relativeFrom="paragraph">
                  <wp:posOffset>95250</wp:posOffset>
                </wp:positionV>
                <wp:extent cx="1725295" cy="1343025"/>
                <wp:effectExtent l="0" t="0" r="0" b="0"/>
                <wp:wrapTight wrapText="bothSides">
                  <wp:wrapPolygon edited="0">
                    <wp:start x="715" y="0"/>
                    <wp:lineTo x="715" y="21140"/>
                    <wp:lineTo x="20749" y="21140"/>
                    <wp:lineTo x="20749" y="0"/>
                    <wp:lineTo x="715"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43025"/>
                        </a:xfrm>
                        <a:prstGeom prst="rect">
                          <a:avLst/>
                        </a:prstGeom>
                        <a:noFill/>
                        <a:ln w="9525">
                          <a:noFill/>
                          <a:miter lim="800000"/>
                          <a:headEnd/>
                          <a:tailEnd/>
                        </a:ln>
                      </wps:spPr>
                      <wps:txbx>
                        <w:txbxContent>
                          <w:p w14:paraId="7EE95014" w14:textId="77777777" w:rsidR="0024032F" w:rsidRPr="00A13CB9" w:rsidRDefault="0024032F" w:rsidP="00976CCF">
                            <w:pPr>
                              <w:pStyle w:val="tekstzboku"/>
                              <w:rPr>
                                <w:lang w:val="en-GB"/>
                              </w:rPr>
                            </w:pPr>
                            <w:r w:rsidRPr="00976CCF">
                              <w:rPr>
                                <w:lang w:val="en-GB"/>
                              </w:rPr>
                              <w:t xml:space="preserve">In 2020, the percentage of households </w:t>
                            </w:r>
                            <w:r>
                              <w:rPr>
                                <w:lang w:val="en-GB"/>
                              </w:rPr>
                              <w:t>with</w:t>
                            </w:r>
                            <w:r w:rsidRPr="00976CCF">
                              <w:rPr>
                                <w:lang w:val="en-GB"/>
                              </w:rPr>
                              <w:t xml:space="preserve"> the income </w:t>
                            </w:r>
                            <w:r>
                              <w:rPr>
                                <w:lang w:val="en-GB"/>
                              </w:rPr>
                              <w:t>above</w:t>
                            </w:r>
                            <w:r w:rsidRPr="00976CCF">
                              <w:rPr>
                                <w:lang w:val="en-GB"/>
                              </w:rPr>
                              <w:t xml:space="preserve"> PLN 4000 per </w:t>
                            </w:r>
                            <w:r>
                              <w:rPr>
                                <w:lang w:val="en-GB"/>
                              </w:rPr>
                              <w:t>capita increased</w:t>
                            </w:r>
                            <w:r w:rsidRPr="00976CCF">
                              <w:rPr>
                                <w:lang w:val="en-GB"/>
                              </w:rPr>
                              <w:t xml:space="preserve"> and the percentage of households with income below PLN 2000 per </w:t>
                            </w:r>
                            <w:r>
                              <w:rPr>
                                <w:lang w:val="en-GB"/>
                              </w:rPr>
                              <w:t>capita</w:t>
                            </w:r>
                            <w:r w:rsidRPr="00976CCF">
                              <w:rPr>
                                <w:lang w:val="en-GB"/>
                              </w:rPr>
                              <w:t xml:space="preserve"> decreased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A8" id="Pole tekstowe 10" o:spid="_x0000_s1033" type="#_x0000_t202" style="position:absolute;left:0;text-align:left;margin-left:410.25pt;margin-top:7.5pt;width:135.85pt;height:105.75pt;z-index:-25147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" filled="f" stroked="f">
                <v:textbox>
                  <w:txbxContent>
                    <w:p w14:paraId="7EE95014" w14:textId="77777777" w:rsidR="0024032F" w:rsidRPr="00A13CB9" w:rsidRDefault="0024032F" w:rsidP="00976CCF">
                      <w:pPr>
                        <w:pStyle w:val="tekstzboku"/>
                        <w:rPr>
                          <w:lang w:val="en-GB"/>
                        </w:rPr>
                      </w:pPr>
                      <w:r w:rsidRPr="00976CCF">
                        <w:rPr>
                          <w:lang w:val="en-GB"/>
                        </w:rPr>
                        <w:t xml:space="preserve">In 2020, the percentage of households </w:t>
                      </w:r>
                      <w:r>
                        <w:rPr>
                          <w:lang w:val="en-GB"/>
                        </w:rPr>
                        <w:t>with</w:t>
                      </w:r>
                      <w:r w:rsidRPr="00976CCF">
                        <w:rPr>
                          <w:lang w:val="en-GB"/>
                        </w:rPr>
                        <w:t xml:space="preserve"> the income </w:t>
                      </w:r>
                      <w:r>
                        <w:rPr>
                          <w:lang w:val="en-GB"/>
                        </w:rPr>
                        <w:t>above</w:t>
                      </w:r>
                      <w:r w:rsidRPr="00976CCF">
                        <w:rPr>
                          <w:lang w:val="en-GB"/>
                        </w:rPr>
                        <w:t xml:space="preserve"> PLN 4000 per </w:t>
                      </w:r>
                      <w:r>
                        <w:rPr>
                          <w:lang w:val="en-GB"/>
                        </w:rPr>
                        <w:t>capita increased</w:t>
                      </w:r>
                      <w:r w:rsidRPr="00976CCF">
                        <w:rPr>
                          <w:lang w:val="en-GB"/>
                        </w:rPr>
                        <w:t xml:space="preserve"> and the percentage of households with income below PLN 2000 per </w:t>
                      </w:r>
                      <w:r>
                        <w:rPr>
                          <w:lang w:val="en-GB"/>
                        </w:rPr>
                        <w:t>capita</w:t>
                      </w:r>
                      <w:r w:rsidRPr="00976CCF">
                        <w:rPr>
                          <w:lang w:val="en-GB"/>
                        </w:rPr>
                        <w:t xml:space="preserve"> decreased</w:t>
                      </w:r>
                    </w:p>
                  </w:txbxContent>
                </v:textbox>
                <w10:wrap type="tight"/>
              </v:shape>
            </w:pict>
          </mc:Fallback>
        </mc:AlternateContent>
      </w:r>
    </w:p>
    <w:p w14:paraId="7EE94E58" w14:textId="77777777" w:rsidR="00073D9C" w:rsidRDefault="00073D9C" w:rsidP="00E22461">
      <w:pPr>
        <w:rPr>
          <w:szCs w:val="19"/>
          <w:shd w:val="clear" w:color="auto" w:fill="FFFFFF"/>
          <w:lang w:val="en-GB"/>
        </w:rPr>
      </w:pPr>
      <w:r w:rsidRPr="00073D9C">
        <w:rPr>
          <w:szCs w:val="19"/>
          <w:shd w:val="clear" w:color="auto" w:fill="FFFFFF"/>
          <w:lang w:val="en-GB"/>
        </w:rPr>
        <w:t xml:space="preserve">In 2020, 56.0% of households had an average monthly </w:t>
      </w:r>
      <w:r>
        <w:rPr>
          <w:szCs w:val="19"/>
          <w:shd w:val="clear" w:color="auto" w:fill="FFFFFF"/>
          <w:lang w:val="en-GB"/>
        </w:rPr>
        <w:t>available</w:t>
      </w:r>
      <w:r w:rsidRPr="00073D9C">
        <w:rPr>
          <w:szCs w:val="19"/>
          <w:shd w:val="clear" w:color="auto" w:fill="FFFFFF"/>
          <w:lang w:val="en-GB"/>
        </w:rPr>
        <w:t xml:space="preserve"> income per </w:t>
      </w:r>
      <w:r>
        <w:rPr>
          <w:szCs w:val="19"/>
          <w:shd w:val="clear" w:color="auto" w:fill="FFFFFF"/>
          <w:lang w:val="en-GB"/>
        </w:rPr>
        <w:t>capita</w:t>
      </w:r>
      <w:r w:rsidRPr="00073D9C">
        <w:rPr>
          <w:szCs w:val="19"/>
          <w:shd w:val="clear" w:color="auto" w:fill="FFFFFF"/>
          <w:lang w:val="en-GB"/>
        </w:rPr>
        <w:t xml:space="preserve"> below PLN</w:t>
      </w:r>
      <w:r w:rsidR="00011A02">
        <w:rPr>
          <w:szCs w:val="19"/>
          <w:shd w:val="clear" w:color="auto" w:fill="FFFFFF"/>
          <w:lang w:val="en-GB"/>
        </w:rPr>
        <w:t> </w:t>
      </w:r>
      <w:r w:rsidRPr="00073D9C">
        <w:rPr>
          <w:szCs w:val="19"/>
          <w:shd w:val="clear" w:color="auto" w:fill="FFFFFF"/>
          <w:lang w:val="en-GB"/>
        </w:rPr>
        <w:t>2000 (61.0% in 2019), 37.6% of households had an income between PLN 2000 and PLN</w:t>
      </w:r>
      <w:r w:rsidR="002E6303">
        <w:rPr>
          <w:szCs w:val="19"/>
          <w:shd w:val="clear" w:color="auto" w:fill="FFFFFF"/>
          <w:lang w:val="en-GB"/>
        </w:rPr>
        <w:t> </w:t>
      </w:r>
      <w:r w:rsidRPr="00073D9C">
        <w:rPr>
          <w:szCs w:val="19"/>
          <w:shd w:val="clear" w:color="auto" w:fill="FFFFFF"/>
          <w:lang w:val="en-GB"/>
        </w:rPr>
        <w:t xml:space="preserve">4000 per </w:t>
      </w:r>
      <w:r>
        <w:rPr>
          <w:szCs w:val="19"/>
          <w:shd w:val="clear" w:color="auto" w:fill="FFFFFF"/>
          <w:lang w:val="en-GB"/>
        </w:rPr>
        <w:t>capita</w:t>
      </w:r>
      <w:r w:rsidRPr="00073D9C">
        <w:rPr>
          <w:szCs w:val="19"/>
          <w:shd w:val="clear" w:color="auto" w:fill="FFFFFF"/>
          <w:lang w:val="en-GB"/>
        </w:rPr>
        <w:t xml:space="preserve"> (33.7% in 2019), 4.7% of households had an income from PLN 4000 to PLN</w:t>
      </w:r>
      <w:r w:rsidR="008D7D3B">
        <w:rPr>
          <w:szCs w:val="19"/>
          <w:shd w:val="clear" w:color="auto" w:fill="FFFFFF"/>
          <w:lang w:val="en-GB"/>
        </w:rPr>
        <w:t> </w:t>
      </w:r>
      <w:r w:rsidRPr="00073D9C">
        <w:rPr>
          <w:szCs w:val="19"/>
          <w:shd w:val="clear" w:color="auto" w:fill="FFFFFF"/>
          <w:lang w:val="en-GB"/>
        </w:rPr>
        <w:t xml:space="preserve">6000 per </w:t>
      </w:r>
      <w:r>
        <w:rPr>
          <w:szCs w:val="19"/>
          <w:shd w:val="clear" w:color="auto" w:fill="FFFFFF"/>
          <w:lang w:val="en-GB"/>
        </w:rPr>
        <w:t>capita</w:t>
      </w:r>
      <w:r w:rsidRPr="00073D9C">
        <w:rPr>
          <w:szCs w:val="19"/>
          <w:shd w:val="clear" w:color="auto" w:fill="FFFFFF"/>
          <w:lang w:val="en-GB"/>
        </w:rPr>
        <w:t xml:space="preserve"> (3.9% in 2019) and PLN 6000 or more per </w:t>
      </w:r>
      <w:r>
        <w:rPr>
          <w:szCs w:val="19"/>
          <w:shd w:val="clear" w:color="auto" w:fill="FFFFFF"/>
          <w:lang w:val="en-GB"/>
        </w:rPr>
        <w:t>capita</w:t>
      </w:r>
      <w:r w:rsidRPr="00073D9C">
        <w:rPr>
          <w:szCs w:val="19"/>
          <w:shd w:val="clear" w:color="auto" w:fill="FFFFFF"/>
          <w:lang w:val="en-GB"/>
        </w:rPr>
        <w:t xml:space="preserve"> had 1.7% of households (1.4% in 2019). In 2020, the percentage of households with an average monthly income of at least PLN 2000 per </w:t>
      </w:r>
      <w:r>
        <w:rPr>
          <w:szCs w:val="19"/>
          <w:shd w:val="clear" w:color="auto" w:fill="FFFFFF"/>
          <w:lang w:val="en-GB"/>
        </w:rPr>
        <w:t>capita</w:t>
      </w:r>
      <w:r w:rsidRPr="00073D9C">
        <w:rPr>
          <w:szCs w:val="19"/>
          <w:shd w:val="clear" w:color="auto" w:fill="FFFFFF"/>
          <w:lang w:val="en-GB"/>
        </w:rPr>
        <w:t xml:space="preserve"> </w:t>
      </w:r>
      <w:r>
        <w:rPr>
          <w:szCs w:val="19"/>
          <w:shd w:val="clear" w:color="auto" w:fill="FFFFFF"/>
          <w:lang w:val="en-GB"/>
        </w:rPr>
        <w:t>amounted to</w:t>
      </w:r>
      <w:r w:rsidRPr="00073D9C">
        <w:rPr>
          <w:szCs w:val="19"/>
          <w:shd w:val="clear" w:color="auto" w:fill="FFFFFF"/>
          <w:lang w:val="en-GB"/>
        </w:rPr>
        <w:t xml:space="preserve"> 44.0% (in 2019 </w:t>
      </w:r>
      <w:r>
        <w:rPr>
          <w:szCs w:val="19"/>
          <w:shd w:val="clear" w:color="auto" w:fill="FFFFFF"/>
          <w:lang w:val="en-GB"/>
        </w:rPr>
        <w:t>–</w:t>
      </w:r>
      <w:r w:rsidRPr="00073D9C">
        <w:rPr>
          <w:szCs w:val="19"/>
          <w:shd w:val="clear" w:color="auto" w:fill="FFFFFF"/>
          <w:lang w:val="en-GB"/>
        </w:rPr>
        <w:t xml:space="preserve"> 39.0%).</w:t>
      </w:r>
    </w:p>
    <w:p w14:paraId="7EE94E59" w14:textId="77777777" w:rsidR="0045609E" w:rsidRDefault="00976CCF" w:rsidP="00E22461">
      <w:pPr>
        <w:rPr>
          <w:szCs w:val="19"/>
          <w:shd w:val="clear" w:color="auto" w:fill="FFFFFF"/>
          <w:lang w:val="en-GB"/>
        </w:rPr>
      </w:pPr>
      <w:r>
        <w:rPr>
          <w:i/>
          <w:noProof/>
          <w:lang w:eastAsia="pl-PL"/>
        </w:rPr>
        <mc:AlternateContent>
          <mc:Choice Requires="wps">
            <w:drawing>
              <wp:anchor distT="45720" distB="45720" distL="114300" distR="114300" simplePos="0" relativeHeight="251812864" behindDoc="1" locked="0" layoutInCell="1" allowOverlap="1" wp14:anchorId="7EE94FAA" wp14:editId="7EE94FAB">
                <wp:simplePos x="0" y="0"/>
                <wp:positionH relativeFrom="column">
                  <wp:posOffset>5207000</wp:posOffset>
                </wp:positionH>
                <wp:positionV relativeFrom="paragraph">
                  <wp:posOffset>203200</wp:posOffset>
                </wp:positionV>
                <wp:extent cx="1725295" cy="3587750"/>
                <wp:effectExtent l="0" t="0" r="0" b="0"/>
                <wp:wrapTight wrapText="bothSides">
                  <wp:wrapPolygon edited="0">
                    <wp:start x="715" y="0"/>
                    <wp:lineTo x="715" y="21447"/>
                    <wp:lineTo x="20749" y="21447"/>
                    <wp:lineTo x="20749" y="0"/>
                    <wp:lineTo x="715" y="0"/>
                  </wp:wrapPolygon>
                </wp:wrapTight>
                <wp:docPr id="219" name="Pole tekstowe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3587750"/>
                        </a:xfrm>
                        <a:prstGeom prst="rect">
                          <a:avLst/>
                        </a:prstGeom>
                        <a:noFill/>
                        <a:ln w="9525">
                          <a:noFill/>
                          <a:miter lim="800000"/>
                          <a:headEnd/>
                          <a:tailEnd/>
                        </a:ln>
                      </wps:spPr>
                      <wps:txbx>
                        <w:txbxContent>
                          <w:p w14:paraId="7EE95015" w14:textId="77777777" w:rsidR="0024032F" w:rsidRDefault="0024032F" w:rsidP="00764D9C">
                            <w:pPr>
                              <w:pStyle w:val="tekstzboku"/>
                              <w:rPr>
                                <w:lang w:val="en-GB"/>
                              </w:rPr>
                            </w:pPr>
                            <w:r w:rsidRPr="00A13CB9">
                              <w:rPr>
                                <w:lang w:val="en-GB"/>
                              </w:rPr>
                              <w:t xml:space="preserve">In real </w:t>
                            </w:r>
                            <w:r>
                              <w:rPr>
                                <w:lang w:val="en-GB"/>
                              </w:rPr>
                              <w:t>terms – the average expenditure</w:t>
                            </w:r>
                            <w:r w:rsidRPr="00A13CB9">
                              <w:rPr>
                                <w:lang w:val="en-GB"/>
                              </w:rPr>
                              <w:t xml:space="preserve"> per capita in </w:t>
                            </w:r>
                            <w:r w:rsidRPr="00073D9C">
                              <w:rPr>
                                <w:lang w:val="en-GB"/>
                              </w:rPr>
                              <w:t>households in</w:t>
                            </w:r>
                            <w:r>
                              <w:rPr>
                                <w:lang w:val="en-GB"/>
                              </w:rPr>
                              <w:t xml:space="preserve"> 2020 decreased by 6.5% in comparison</w:t>
                            </w:r>
                            <w:r w:rsidRPr="00A13CB9">
                              <w:rPr>
                                <w:lang w:val="en-GB"/>
                              </w:rPr>
                              <w:t xml:space="preserve"> </w:t>
                            </w:r>
                            <w:r>
                              <w:rPr>
                                <w:lang w:val="en-GB"/>
                              </w:rPr>
                              <w:t>with the previous year</w:t>
                            </w:r>
                          </w:p>
                          <w:p w14:paraId="7EE95016" w14:textId="77777777" w:rsidR="0024032F" w:rsidRDefault="0024032F" w:rsidP="00764D9C">
                            <w:pPr>
                              <w:pStyle w:val="tekstzboku"/>
                              <w:rPr>
                                <w:lang w:val="en-GB"/>
                              </w:rPr>
                            </w:pPr>
                          </w:p>
                          <w:p w14:paraId="7EE95017" w14:textId="77777777" w:rsidR="0024032F" w:rsidRPr="00A13CB9" w:rsidRDefault="0024032F" w:rsidP="00764D9C">
                            <w:pPr>
                              <w:pStyle w:val="tekstzboku"/>
                              <w:rPr>
                                <w:lang w:val="en-GB"/>
                              </w:rPr>
                            </w:pPr>
                            <w:r w:rsidRPr="00221E61">
                              <w:rPr>
                                <w:lang w:val="en-GB"/>
                              </w:rPr>
                              <w:t xml:space="preserve">In a </w:t>
                            </w:r>
                            <w:r>
                              <w:rPr>
                                <w:lang w:val="en-GB"/>
                              </w:rPr>
                              <w:t>specific</w:t>
                            </w:r>
                            <w:r w:rsidRPr="00221E61">
                              <w:rPr>
                                <w:lang w:val="en-GB"/>
                              </w:rPr>
                              <w:t xml:space="preserve"> year of the COVID-19 pandemic and the related restrictions (2020), there were significant changes in the structure of expen</w:t>
                            </w:r>
                            <w:r>
                              <w:rPr>
                                <w:lang w:val="en-GB"/>
                              </w:rPr>
                              <w:t>diture</w:t>
                            </w:r>
                            <w:r w:rsidRPr="00221E61">
                              <w:rPr>
                                <w:lang w:val="en-GB"/>
                              </w:rPr>
                              <w:t>: the share of expen</w:t>
                            </w:r>
                            <w:r>
                              <w:rPr>
                                <w:lang w:val="en-GB"/>
                              </w:rPr>
                              <w:t>diture</w:t>
                            </w:r>
                            <w:r w:rsidRPr="00221E61">
                              <w:rPr>
                                <w:lang w:val="en-GB"/>
                              </w:rPr>
                              <w:t xml:space="preserve"> on food and non-alcoholic beverages as well as on </w:t>
                            </w:r>
                            <w:r w:rsidRPr="00DD72AA">
                              <w:rPr>
                                <w:lang w:val="en-GB"/>
                              </w:rPr>
                              <w:t xml:space="preserve">housing, water, electricity, gas and other fuels </w:t>
                            </w:r>
                            <w:r w:rsidRPr="00221E61">
                              <w:rPr>
                                <w:lang w:val="en-GB"/>
                              </w:rPr>
                              <w:t xml:space="preserve">increased, </w:t>
                            </w:r>
                            <w:r>
                              <w:rPr>
                                <w:lang w:val="en-GB"/>
                              </w:rPr>
                              <w:t>while</w:t>
                            </w:r>
                            <w:r w:rsidRPr="00221E61">
                              <w:rPr>
                                <w:lang w:val="en-GB"/>
                              </w:rPr>
                              <w:t xml:space="preserve"> it </w:t>
                            </w:r>
                            <w:r>
                              <w:rPr>
                                <w:lang w:val="en-GB"/>
                              </w:rPr>
                              <w:t>decreased</w:t>
                            </w:r>
                            <w:r w:rsidRPr="00221E61">
                              <w:rPr>
                                <w:lang w:val="en-GB"/>
                              </w:rPr>
                              <w:t xml:space="preserve"> on restaurants and hotels, recreation and culture, transport</w:t>
                            </w:r>
                            <w:r>
                              <w:rPr>
                                <w:lang w:val="en-GB"/>
                              </w:rPr>
                              <w:t>,</w:t>
                            </w:r>
                            <w:r w:rsidRPr="00221E61">
                              <w:rPr>
                                <w:lang w:val="en-GB"/>
                              </w:rPr>
                              <w:t xml:space="preserve"> clothing and </w:t>
                            </w:r>
                            <w:r>
                              <w:rPr>
                                <w:lang w:val="en-GB"/>
                              </w:rPr>
                              <w:t>footwear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AA" id="Pole tekstowe 219" o:spid="_x0000_s1034" type="#_x0000_t202" style="position:absolute;margin-left:410pt;margin-top:16pt;width:135.85pt;height:282.5pt;z-index:-25150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" filled="f" stroked="f">
                <v:textbox>
                  <w:txbxContent>
                    <w:p w14:paraId="7EE95015" w14:textId="77777777" w:rsidR="0024032F" w:rsidRDefault="0024032F" w:rsidP="00764D9C">
                      <w:pPr>
                        <w:pStyle w:val="tekstzboku"/>
                        <w:rPr>
                          <w:lang w:val="en-GB"/>
                        </w:rPr>
                      </w:pPr>
                      <w:r w:rsidRPr="00A13CB9">
                        <w:rPr>
                          <w:lang w:val="en-GB"/>
                        </w:rPr>
                        <w:t xml:space="preserve">In real </w:t>
                      </w:r>
                      <w:r>
                        <w:rPr>
                          <w:lang w:val="en-GB"/>
                        </w:rPr>
                        <w:t>terms – the average expenditure</w:t>
                      </w:r>
                      <w:r w:rsidRPr="00A13CB9">
                        <w:rPr>
                          <w:lang w:val="en-GB"/>
                        </w:rPr>
                        <w:t xml:space="preserve"> per capita in </w:t>
                      </w:r>
                      <w:r w:rsidRPr="00073D9C">
                        <w:rPr>
                          <w:lang w:val="en-GB"/>
                        </w:rPr>
                        <w:t>households in</w:t>
                      </w:r>
                      <w:r>
                        <w:rPr>
                          <w:lang w:val="en-GB"/>
                        </w:rPr>
                        <w:t xml:space="preserve"> 2020 decreased by 6.5% in comparison</w:t>
                      </w:r>
                      <w:r w:rsidRPr="00A13CB9">
                        <w:rPr>
                          <w:lang w:val="en-GB"/>
                        </w:rPr>
                        <w:t xml:space="preserve"> </w:t>
                      </w:r>
                      <w:r>
                        <w:rPr>
                          <w:lang w:val="en-GB"/>
                        </w:rPr>
                        <w:t>with the previous year</w:t>
                      </w:r>
                    </w:p>
                    <w:p w14:paraId="7EE95016" w14:textId="77777777" w:rsidR="0024032F" w:rsidRDefault="0024032F" w:rsidP="00764D9C">
                      <w:pPr>
                        <w:pStyle w:val="tekstzboku"/>
                        <w:rPr>
                          <w:lang w:val="en-GB"/>
                        </w:rPr>
                      </w:pPr>
                    </w:p>
                    <w:p w14:paraId="7EE95017" w14:textId="77777777" w:rsidR="0024032F" w:rsidRPr="00A13CB9" w:rsidRDefault="0024032F" w:rsidP="00764D9C">
                      <w:pPr>
                        <w:pStyle w:val="tekstzboku"/>
                        <w:rPr>
                          <w:lang w:val="en-GB"/>
                        </w:rPr>
                      </w:pPr>
                      <w:r w:rsidRPr="00221E61">
                        <w:rPr>
                          <w:lang w:val="en-GB"/>
                        </w:rPr>
                        <w:t xml:space="preserve">In a </w:t>
                      </w:r>
                      <w:r>
                        <w:rPr>
                          <w:lang w:val="en-GB"/>
                        </w:rPr>
                        <w:t>specific</w:t>
                      </w:r>
                      <w:r w:rsidRPr="00221E61">
                        <w:rPr>
                          <w:lang w:val="en-GB"/>
                        </w:rPr>
                        <w:t xml:space="preserve"> year of the COVID-19 pandemic and the related restrictions (2020), there were significant changes in the structure of expen</w:t>
                      </w:r>
                      <w:r>
                        <w:rPr>
                          <w:lang w:val="en-GB"/>
                        </w:rPr>
                        <w:t>diture</w:t>
                      </w:r>
                      <w:r w:rsidRPr="00221E61">
                        <w:rPr>
                          <w:lang w:val="en-GB"/>
                        </w:rPr>
                        <w:t>: the share of expen</w:t>
                      </w:r>
                      <w:r>
                        <w:rPr>
                          <w:lang w:val="en-GB"/>
                        </w:rPr>
                        <w:t>diture</w:t>
                      </w:r>
                      <w:r w:rsidRPr="00221E61">
                        <w:rPr>
                          <w:lang w:val="en-GB"/>
                        </w:rPr>
                        <w:t xml:space="preserve"> on food and non-alcoholic beverages as well as on </w:t>
                      </w:r>
                      <w:r w:rsidRPr="00DD72AA">
                        <w:rPr>
                          <w:lang w:val="en-GB"/>
                        </w:rPr>
                        <w:t xml:space="preserve">housing, water, electricity, gas and other fuels </w:t>
                      </w:r>
                      <w:r w:rsidRPr="00221E61">
                        <w:rPr>
                          <w:lang w:val="en-GB"/>
                        </w:rPr>
                        <w:t xml:space="preserve">increased, </w:t>
                      </w:r>
                      <w:r>
                        <w:rPr>
                          <w:lang w:val="en-GB"/>
                        </w:rPr>
                        <w:t>while</w:t>
                      </w:r>
                      <w:r w:rsidRPr="00221E61">
                        <w:rPr>
                          <w:lang w:val="en-GB"/>
                        </w:rPr>
                        <w:t xml:space="preserve"> it </w:t>
                      </w:r>
                      <w:r>
                        <w:rPr>
                          <w:lang w:val="en-GB"/>
                        </w:rPr>
                        <w:t>decreased</w:t>
                      </w:r>
                      <w:r w:rsidRPr="00221E61">
                        <w:rPr>
                          <w:lang w:val="en-GB"/>
                        </w:rPr>
                        <w:t xml:space="preserve"> on restaurants and hotels, recreation and culture, transport</w:t>
                      </w:r>
                      <w:r>
                        <w:rPr>
                          <w:lang w:val="en-GB"/>
                        </w:rPr>
                        <w:t>,</w:t>
                      </w:r>
                      <w:r w:rsidRPr="00221E61">
                        <w:rPr>
                          <w:lang w:val="en-GB"/>
                        </w:rPr>
                        <w:t xml:space="preserve"> clothing and </w:t>
                      </w:r>
                      <w:r>
                        <w:rPr>
                          <w:lang w:val="en-GB"/>
                        </w:rPr>
                        <w:t>footwear</w:t>
                      </w:r>
                    </w:p>
                  </w:txbxContent>
                </v:textbox>
                <w10:wrap type="tight"/>
              </v:shape>
            </w:pict>
          </mc:Fallback>
        </mc:AlternateContent>
      </w:r>
      <w:r w:rsidR="0045609E" w:rsidRPr="0045609E">
        <w:rPr>
          <w:szCs w:val="19"/>
          <w:shd w:val="clear" w:color="auto" w:fill="FFFFFF"/>
          <w:lang w:val="en-GB"/>
        </w:rPr>
        <w:t>In 20</w:t>
      </w:r>
      <w:r w:rsidR="00073D9C">
        <w:rPr>
          <w:szCs w:val="19"/>
          <w:shd w:val="clear" w:color="auto" w:fill="FFFFFF"/>
          <w:lang w:val="en-GB"/>
        </w:rPr>
        <w:t>20</w:t>
      </w:r>
      <w:r w:rsidR="0045609E" w:rsidRPr="0045609E">
        <w:rPr>
          <w:szCs w:val="19"/>
          <w:shd w:val="clear" w:color="auto" w:fill="FFFFFF"/>
          <w:lang w:val="en-GB"/>
        </w:rPr>
        <w:t xml:space="preserve"> in all socio-econom</w:t>
      </w:r>
      <w:r w:rsidR="0045609E">
        <w:rPr>
          <w:szCs w:val="19"/>
          <w:shd w:val="clear" w:color="auto" w:fill="FFFFFF"/>
          <w:lang w:val="en-GB"/>
        </w:rPr>
        <w:t xml:space="preserve">ic groups of households </w:t>
      </w:r>
      <w:r w:rsidR="0045609E" w:rsidRPr="0045609E">
        <w:rPr>
          <w:szCs w:val="19"/>
          <w:shd w:val="clear" w:color="auto" w:fill="FFFFFF"/>
          <w:lang w:val="en-GB"/>
        </w:rPr>
        <w:t xml:space="preserve">there was a real </w:t>
      </w:r>
      <w:r w:rsidR="00073D9C">
        <w:rPr>
          <w:szCs w:val="19"/>
          <w:shd w:val="clear" w:color="auto" w:fill="FFFFFF"/>
          <w:lang w:val="en-GB"/>
        </w:rPr>
        <w:t>decline in</w:t>
      </w:r>
      <w:r w:rsidR="0045609E" w:rsidRPr="0045609E">
        <w:rPr>
          <w:szCs w:val="19"/>
          <w:shd w:val="clear" w:color="auto" w:fill="FFFFFF"/>
          <w:lang w:val="en-GB"/>
        </w:rPr>
        <w:t xml:space="preserve"> </w:t>
      </w:r>
      <w:r w:rsidR="0045609E">
        <w:rPr>
          <w:szCs w:val="19"/>
          <w:shd w:val="clear" w:color="auto" w:fill="FFFFFF"/>
          <w:lang w:val="en-GB"/>
        </w:rPr>
        <w:t>average mo</w:t>
      </w:r>
      <w:r w:rsidR="00B412A8">
        <w:rPr>
          <w:szCs w:val="19"/>
          <w:shd w:val="clear" w:color="auto" w:fill="FFFFFF"/>
          <w:lang w:val="en-GB"/>
        </w:rPr>
        <w:t>n</w:t>
      </w:r>
      <w:r w:rsidR="0045609E">
        <w:rPr>
          <w:szCs w:val="19"/>
          <w:shd w:val="clear" w:color="auto" w:fill="FFFFFF"/>
          <w:lang w:val="en-GB"/>
        </w:rPr>
        <w:t xml:space="preserve">thly </w:t>
      </w:r>
      <w:r w:rsidR="00FD258E">
        <w:rPr>
          <w:szCs w:val="19"/>
          <w:shd w:val="clear" w:color="auto" w:fill="FFFFFF"/>
          <w:lang w:val="en-GB"/>
        </w:rPr>
        <w:t xml:space="preserve">expenditure </w:t>
      </w:r>
      <w:r w:rsidR="0045609E">
        <w:rPr>
          <w:szCs w:val="19"/>
          <w:shd w:val="clear" w:color="auto" w:fill="FFFFFF"/>
          <w:lang w:val="en-GB"/>
        </w:rPr>
        <w:t xml:space="preserve">per capita </w:t>
      </w:r>
      <w:r w:rsidR="00F21633">
        <w:rPr>
          <w:szCs w:val="19"/>
          <w:shd w:val="clear" w:color="auto" w:fill="FFFFFF"/>
          <w:lang w:val="en-GB"/>
        </w:rPr>
        <w:t xml:space="preserve">in comparison </w:t>
      </w:r>
      <w:r w:rsidR="008D7D3B">
        <w:rPr>
          <w:szCs w:val="19"/>
          <w:shd w:val="clear" w:color="auto" w:fill="FFFFFF"/>
          <w:lang w:val="en-GB"/>
        </w:rPr>
        <w:t>with</w:t>
      </w:r>
      <w:r w:rsidR="00F21633">
        <w:rPr>
          <w:szCs w:val="19"/>
          <w:shd w:val="clear" w:color="auto" w:fill="FFFFFF"/>
          <w:lang w:val="en-GB"/>
        </w:rPr>
        <w:t xml:space="preserve"> 2019</w:t>
      </w:r>
      <w:r w:rsidR="0045609E">
        <w:rPr>
          <w:szCs w:val="19"/>
          <w:shd w:val="clear" w:color="auto" w:fill="FFFFFF"/>
          <w:lang w:val="en-GB"/>
        </w:rPr>
        <w:t xml:space="preserve"> </w:t>
      </w:r>
      <w:r w:rsidR="00F21633">
        <w:rPr>
          <w:szCs w:val="19"/>
          <w:shd w:val="clear" w:color="auto" w:fill="FFFFFF"/>
          <w:lang w:val="en-GB"/>
        </w:rPr>
        <w:t>(</w:t>
      </w:r>
      <w:r w:rsidR="0045609E">
        <w:rPr>
          <w:szCs w:val="19"/>
          <w:shd w:val="clear" w:color="auto" w:fill="FFFFFF"/>
          <w:lang w:val="en-GB"/>
        </w:rPr>
        <w:t xml:space="preserve">from </w:t>
      </w:r>
      <w:r w:rsidR="00F21633">
        <w:rPr>
          <w:szCs w:val="19"/>
          <w:shd w:val="clear" w:color="auto" w:fill="FFFFFF"/>
          <w:lang w:val="en-GB"/>
        </w:rPr>
        <w:t>5.7</w:t>
      </w:r>
      <w:r w:rsidR="0045609E">
        <w:rPr>
          <w:szCs w:val="19"/>
          <w:shd w:val="clear" w:color="auto" w:fill="FFFFFF"/>
          <w:lang w:val="en-GB"/>
        </w:rPr>
        <w:t xml:space="preserve">% in </w:t>
      </w:r>
      <w:r w:rsidR="00F21633">
        <w:rPr>
          <w:szCs w:val="19"/>
          <w:shd w:val="clear" w:color="auto" w:fill="FFFFFF"/>
          <w:lang w:val="en-GB"/>
        </w:rPr>
        <w:t>the group</w:t>
      </w:r>
      <w:r w:rsidR="0045609E">
        <w:rPr>
          <w:szCs w:val="19"/>
          <w:shd w:val="clear" w:color="auto" w:fill="FFFFFF"/>
          <w:lang w:val="en-GB"/>
        </w:rPr>
        <w:t xml:space="preserve"> of retire</w:t>
      </w:r>
      <w:r w:rsidR="00F21633">
        <w:rPr>
          <w:szCs w:val="19"/>
          <w:shd w:val="clear" w:color="auto" w:fill="FFFFFF"/>
          <w:lang w:val="en-GB"/>
        </w:rPr>
        <w:t>e</w:t>
      </w:r>
      <w:r w:rsidR="0045609E">
        <w:rPr>
          <w:szCs w:val="19"/>
          <w:shd w:val="clear" w:color="auto" w:fill="FFFFFF"/>
          <w:lang w:val="en-GB"/>
        </w:rPr>
        <w:t xml:space="preserve">s to </w:t>
      </w:r>
      <w:r w:rsidR="00F21633">
        <w:rPr>
          <w:szCs w:val="19"/>
          <w:shd w:val="clear" w:color="auto" w:fill="FFFFFF"/>
          <w:lang w:val="en-GB"/>
        </w:rPr>
        <w:t>11.1</w:t>
      </w:r>
      <w:r w:rsidR="0045609E">
        <w:rPr>
          <w:szCs w:val="19"/>
          <w:shd w:val="clear" w:color="auto" w:fill="FFFFFF"/>
          <w:lang w:val="en-GB"/>
        </w:rPr>
        <w:t xml:space="preserve">% in the group </w:t>
      </w:r>
      <w:r w:rsidR="00F21633">
        <w:rPr>
          <w:szCs w:val="19"/>
          <w:shd w:val="clear" w:color="auto" w:fill="FFFFFF"/>
          <w:lang w:val="en-GB"/>
        </w:rPr>
        <w:t>of farmers</w:t>
      </w:r>
      <w:r w:rsidR="002E6303">
        <w:rPr>
          <w:szCs w:val="19"/>
          <w:shd w:val="clear" w:color="auto" w:fill="FFFFFF"/>
          <w:lang w:val="en-GB"/>
        </w:rPr>
        <w:t>)</w:t>
      </w:r>
      <w:r w:rsidR="0045609E">
        <w:rPr>
          <w:szCs w:val="19"/>
          <w:shd w:val="clear" w:color="auto" w:fill="FFFFFF"/>
          <w:lang w:val="en-GB"/>
        </w:rPr>
        <w:t>.</w:t>
      </w:r>
    </w:p>
    <w:p w14:paraId="7EE94E5A" w14:textId="77777777" w:rsidR="00B27DFD" w:rsidRPr="0045609E" w:rsidRDefault="00312341" w:rsidP="00384D18">
      <w:pPr>
        <w:rPr>
          <w:szCs w:val="19"/>
          <w:shd w:val="clear" w:color="auto" w:fill="FFFFFF"/>
          <w:lang w:val="en-GB"/>
        </w:rPr>
      </w:pPr>
      <w:r w:rsidRPr="00312341">
        <w:rPr>
          <w:rFonts w:cs="Arial"/>
          <w:szCs w:val="19"/>
          <w:lang w:val="en-GB"/>
        </w:rPr>
        <w:t xml:space="preserve">Expenditure on food and non-alcoholic beverages, similarly to the previous years, had the highest share in the structure of expenditure </w:t>
      </w:r>
      <w:r w:rsidR="00BA07C5">
        <w:rPr>
          <w:rFonts w:cs="Arial"/>
          <w:szCs w:val="19"/>
          <w:lang w:val="en-GB"/>
        </w:rPr>
        <w:t>for</w:t>
      </w:r>
      <w:r w:rsidR="00751A59">
        <w:rPr>
          <w:rFonts w:cs="Arial"/>
          <w:szCs w:val="19"/>
          <w:lang w:val="en-GB"/>
        </w:rPr>
        <w:t xml:space="preserve"> </w:t>
      </w:r>
      <w:r w:rsidRPr="00312341">
        <w:rPr>
          <w:rFonts w:cs="Arial"/>
          <w:szCs w:val="19"/>
          <w:lang w:val="en-GB"/>
        </w:rPr>
        <w:t>household</w:t>
      </w:r>
      <w:r>
        <w:rPr>
          <w:rFonts w:cs="Arial"/>
          <w:szCs w:val="19"/>
          <w:lang w:val="en-GB"/>
        </w:rPr>
        <w:t>s</w:t>
      </w:r>
      <w:r w:rsidRPr="00312341">
        <w:rPr>
          <w:rFonts w:cs="Arial"/>
          <w:szCs w:val="19"/>
          <w:lang w:val="en-GB"/>
        </w:rPr>
        <w:t xml:space="preserve"> </w:t>
      </w:r>
      <w:r w:rsidR="00751A59">
        <w:rPr>
          <w:rFonts w:cs="Arial"/>
          <w:szCs w:val="19"/>
          <w:lang w:val="en-GB"/>
        </w:rPr>
        <w:t xml:space="preserve">in </w:t>
      </w:r>
      <w:r w:rsidRPr="00312341">
        <w:rPr>
          <w:rFonts w:cs="Arial"/>
          <w:szCs w:val="19"/>
          <w:lang w:val="en-GB"/>
        </w:rPr>
        <w:t xml:space="preserve">total </w:t>
      </w:r>
      <w:r w:rsidR="00751A59">
        <w:rPr>
          <w:rFonts w:cs="Arial"/>
          <w:szCs w:val="19"/>
          <w:lang w:val="en-GB"/>
        </w:rPr>
        <w:t>–</w:t>
      </w:r>
      <w:r w:rsidRPr="00312341">
        <w:rPr>
          <w:rFonts w:cs="Arial"/>
          <w:szCs w:val="19"/>
          <w:lang w:val="en-GB"/>
        </w:rPr>
        <w:t xml:space="preserve"> 27.7% and ranged from 24.0% in </w:t>
      </w:r>
      <w:r w:rsidR="00751A59" w:rsidRPr="00312341">
        <w:rPr>
          <w:rFonts w:cs="Arial"/>
          <w:szCs w:val="19"/>
          <w:lang w:val="en-GB"/>
        </w:rPr>
        <w:t xml:space="preserve">households </w:t>
      </w:r>
      <w:r w:rsidR="00751A59">
        <w:rPr>
          <w:rFonts w:cs="Arial"/>
          <w:szCs w:val="19"/>
          <w:lang w:val="en-GB"/>
        </w:rPr>
        <w:t xml:space="preserve">of the </w:t>
      </w:r>
      <w:r w:rsidRPr="00312341">
        <w:rPr>
          <w:rFonts w:cs="Arial"/>
          <w:szCs w:val="19"/>
          <w:lang w:val="en-GB"/>
        </w:rPr>
        <w:t>self-employed outside farm</w:t>
      </w:r>
      <w:r w:rsidR="00751A59">
        <w:rPr>
          <w:rFonts w:cs="Arial"/>
          <w:szCs w:val="19"/>
          <w:lang w:val="en-GB"/>
        </w:rPr>
        <w:t>ing</w:t>
      </w:r>
      <w:r w:rsidRPr="00312341">
        <w:rPr>
          <w:rFonts w:cs="Arial"/>
          <w:szCs w:val="19"/>
          <w:lang w:val="en-GB"/>
        </w:rPr>
        <w:t xml:space="preserve"> to 35.2% in </w:t>
      </w:r>
      <w:r w:rsidR="00751A59">
        <w:rPr>
          <w:rFonts w:cs="Arial"/>
          <w:szCs w:val="19"/>
          <w:lang w:val="en-GB"/>
        </w:rPr>
        <w:t>households</w:t>
      </w:r>
      <w:r w:rsidRPr="00312341">
        <w:rPr>
          <w:rFonts w:cs="Arial"/>
          <w:szCs w:val="19"/>
          <w:lang w:val="en-GB"/>
        </w:rPr>
        <w:t xml:space="preserve"> of farmers. </w:t>
      </w:r>
      <w:r w:rsidR="00384D18">
        <w:rPr>
          <w:rFonts w:cs="Arial"/>
          <w:szCs w:val="19"/>
          <w:lang w:val="en-GB"/>
        </w:rPr>
        <w:t>S</w:t>
      </w:r>
      <w:r w:rsidR="00384D18" w:rsidRPr="00312341">
        <w:rPr>
          <w:rFonts w:cs="Arial"/>
          <w:szCs w:val="19"/>
          <w:lang w:val="en-GB"/>
        </w:rPr>
        <w:t>ince 201</w:t>
      </w:r>
      <w:r w:rsidR="008D7D3B">
        <w:rPr>
          <w:rFonts w:cs="Arial"/>
          <w:szCs w:val="19"/>
          <w:lang w:val="en-GB"/>
        </w:rPr>
        <w:t>6</w:t>
      </w:r>
      <w:r w:rsidR="00384D18">
        <w:rPr>
          <w:rFonts w:cs="Arial"/>
          <w:szCs w:val="19"/>
          <w:lang w:val="en-GB"/>
        </w:rPr>
        <w:t>, t</w:t>
      </w:r>
      <w:r w:rsidRPr="00312341">
        <w:rPr>
          <w:rFonts w:cs="Arial"/>
          <w:szCs w:val="19"/>
          <w:lang w:val="en-GB"/>
        </w:rPr>
        <w:t xml:space="preserve">he share of expenditure on food and non-alcoholic beverages </w:t>
      </w:r>
      <w:r w:rsidR="00384D18" w:rsidRPr="00384D18">
        <w:rPr>
          <w:rFonts w:cs="Arial"/>
          <w:szCs w:val="19"/>
          <w:lang w:val="en-GB"/>
        </w:rPr>
        <w:t>rose moderately in the structure</w:t>
      </w:r>
      <w:r w:rsidRPr="00312341">
        <w:rPr>
          <w:rFonts w:cs="Arial"/>
          <w:szCs w:val="19"/>
          <w:lang w:val="en-GB"/>
        </w:rPr>
        <w:t xml:space="preserve"> of total expenditure</w:t>
      </w:r>
      <w:r w:rsidR="003F62CF">
        <w:rPr>
          <w:rFonts w:cs="Arial"/>
          <w:szCs w:val="19"/>
          <w:lang w:val="en-GB"/>
        </w:rPr>
        <w:t xml:space="preserve"> </w:t>
      </w:r>
      <w:r w:rsidR="00201763">
        <w:rPr>
          <w:rFonts w:cs="Arial"/>
          <w:szCs w:val="19"/>
          <w:lang w:val="en-GB"/>
        </w:rPr>
        <w:t>and</w:t>
      </w:r>
      <w:r w:rsidR="003F62CF">
        <w:rPr>
          <w:rFonts w:cs="Arial"/>
          <w:szCs w:val="19"/>
          <w:lang w:val="en-GB"/>
        </w:rPr>
        <w:t xml:space="preserve"> in 2020 rose significantly </w:t>
      </w:r>
      <w:r w:rsidR="003F62CF" w:rsidRPr="003F62CF">
        <w:rPr>
          <w:rFonts w:cs="Arial"/>
          <w:szCs w:val="19"/>
          <w:lang w:val="en-GB"/>
        </w:rPr>
        <w:t>due to the COVID-19 pandemic</w:t>
      </w:r>
      <w:r w:rsidRPr="00312341">
        <w:rPr>
          <w:rFonts w:cs="Arial"/>
          <w:szCs w:val="19"/>
          <w:lang w:val="en-GB"/>
        </w:rPr>
        <w:t>.</w:t>
      </w:r>
      <w:r w:rsidR="00384D18">
        <w:rPr>
          <w:rFonts w:cs="Arial"/>
          <w:szCs w:val="19"/>
          <w:lang w:val="en-GB"/>
        </w:rPr>
        <w:t xml:space="preserve"> </w:t>
      </w:r>
      <w:r w:rsidR="008C7F4B" w:rsidRPr="008C7F4B">
        <w:rPr>
          <w:rFonts w:cs="Arial"/>
          <w:szCs w:val="19"/>
          <w:lang w:val="en-GB"/>
        </w:rPr>
        <w:t xml:space="preserve">Additionally, it should be </w:t>
      </w:r>
      <w:r w:rsidR="008C7F4B">
        <w:rPr>
          <w:rFonts w:cs="Arial"/>
          <w:szCs w:val="19"/>
          <w:lang w:val="en-GB"/>
        </w:rPr>
        <w:t>mentioned</w:t>
      </w:r>
      <w:r w:rsidR="008C7F4B" w:rsidRPr="008C7F4B">
        <w:rPr>
          <w:rFonts w:cs="Arial"/>
          <w:szCs w:val="19"/>
          <w:lang w:val="en-GB"/>
        </w:rPr>
        <w:t xml:space="preserve"> that </w:t>
      </w:r>
      <w:r w:rsidR="00384D18">
        <w:rPr>
          <w:rFonts w:cs="Arial"/>
          <w:szCs w:val="19"/>
          <w:lang w:val="en-GB"/>
        </w:rPr>
        <w:t xml:space="preserve">in 2020 </w:t>
      </w:r>
      <w:r w:rsidR="008C7F4B" w:rsidRPr="008C7F4B">
        <w:rPr>
          <w:rFonts w:cs="Arial"/>
          <w:szCs w:val="19"/>
          <w:lang w:val="en-GB"/>
        </w:rPr>
        <w:t>the share of the following groups in the structure of expenditure decreased</w:t>
      </w:r>
      <w:r w:rsidRPr="00312341">
        <w:rPr>
          <w:rFonts w:cs="Arial"/>
          <w:szCs w:val="19"/>
          <w:lang w:val="en-GB"/>
        </w:rPr>
        <w:t>: restaurants and hotels (by 1.1 percentage points), recreation and culture</w:t>
      </w:r>
      <w:r w:rsidR="008D7D3B">
        <w:rPr>
          <w:rFonts w:cs="Arial"/>
          <w:szCs w:val="19"/>
          <w:lang w:val="en-GB"/>
        </w:rPr>
        <w:t>,</w:t>
      </w:r>
      <w:r w:rsidRPr="00312341">
        <w:rPr>
          <w:rFonts w:cs="Arial"/>
          <w:szCs w:val="19"/>
          <w:lang w:val="en-GB"/>
        </w:rPr>
        <w:t xml:space="preserve"> transport (</w:t>
      </w:r>
      <w:r w:rsidR="002E6303">
        <w:rPr>
          <w:rFonts w:cs="Arial"/>
          <w:szCs w:val="19"/>
          <w:lang w:val="en-GB"/>
        </w:rPr>
        <w:t xml:space="preserve">by </w:t>
      </w:r>
      <w:r w:rsidRPr="00312341">
        <w:rPr>
          <w:rFonts w:cs="Arial"/>
          <w:szCs w:val="19"/>
          <w:lang w:val="en-GB"/>
        </w:rPr>
        <w:t xml:space="preserve">0.9 percentage points each) as well as clothing and footwear (by </w:t>
      </w:r>
      <w:r w:rsidR="00751A59">
        <w:rPr>
          <w:rFonts w:cs="Arial"/>
          <w:szCs w:val="19"/>
          <w:lang w:val="en-GB"/>
        </w:rPr>
        <w:t>0.7</w:t>
      </w:r>
      <w:r w:rsidRPr="00312341">
        <w:rPr>
          <w:rFonts w:cs="Arial"/>
          <w:szCs w:val="19"/>
          <w:lang w:val="en-GB"/>
        </w:rPr>
        <w:t xml:space="preserve"> percentage points)</w:t>
      </w:r>
      <w:r w:rsidR="00221E61">
        <w:rPr>
          <w:rFonts w:cs="Arial"/>
          <w:szCs w:val="19"/>
          <w:lang w:val="en-GB"/>
        </w:rPr>
        <w:t>,</w:t>
      </w:r>
      <w:r w:rsidR="00221E61" w:rsidRPr="00221E61">
        <w:rPr>
          <w:lang w:val="en-GB"/>
        </w:rPr>
        <w:t xml:space="preserve"> </w:t>
      </w:r>
      <w:r w:rsidR="00221E61" w:rsidRPr="00221E61">
        <w:rPr>
          <w:rFonts w:cs="Arial"/>
          <w:szCs w:val="19"/>
          <w:lang w:val="en-GB"/>
        </w:rPr>
        <w:t>which is also related to the COVID-19 pandemic and epidemic restrictions.</w:t>
      </w:r>
    </w:p>
    <w:p w14:paraId="7EE94E5B" w14:textId="77777777" w:rsidR="00056F23" w:rsidRPr="00056F23" w:rsidRDefault="00056F23" w:rsidP="00E22461">
      <w:pPr>
        <w:rPr>
          <w:spacing w:val="-2"/>
          <w:szCs w:val="19"/>
          <w:shd w:val="clear" w:color="auto" w:fill="FFFFFF"/>
          <w:lang w:val="en-GB"/>
        </w:rPr>
      </w:pPr>
      <w:r w:rsidRPr="006416F7">
        <w:rPr>
          <w:rFonts w:cs="Arial"/>
          <w:bCs/>
          <w:szCs w:val="19"/>
          <w:lang w:val="en-GB"/>
        </w:rPr>
        <w:t>Another important item in households expenditure w</w:t>
      </w:r>
      <w:r w:rsidR="008C7F4B">
        <w:rPr>
          <w:rFonts w:cs="Arial"/>
          <w:bCs/>
          <w:szCs w:val="19"/>
          <w:lang w:val="en-GB"/>
        </w:rPr>
        <w:t>as</w:t>
      </w:r>
      <w:r w:rsidRPr="006416F7">
        <w:rPr>
          <w:rFonts w:cs="Arial"/>
          <w:bCs/>
          <w:szCs w:val="19"/>
          <w:lang w:val="en-GB"/>
        </w:rPr>
        <w:t xml:space="preserve"> on </w:t>
      </w:r>
      <w:bookmarkStart w:id="1" w:name="_Hlk72155264"/>
      <w:r w:rsidRPr="006416F7">
        <w:rPr>
          <w:rFonts w:cs="Arial"/>
          <w:bCs/>
          <w:szCs w:val="19"/>
          <w:lang w:val="en-GB"/>
        </w:rPr>
        <w:t>housing, water, electricity, gas and other fuels</w:t>
      </w:r>
      <w:bookmarkEnd w:id="1"/>
      <w:r w:rsidRPr="006416F7">
        <w:rPr>
          <w:rFonts w:cs="Arial"/>
          <w:bCs/>
          <w:szCs w:val="19"/>
          <w:lang w:val="en-GB"/>
        </w:rPr>
        <w:t xml:space="preserve">. Its share in total expenditure was on average </w:t>
      </w:r>
      <w:r>
        <w:rPr>
          <w:rFonts w:cs="Arial"/>
          <w:bCs/>
          <w:szCs w:val="19"/>
          <w:lang w:val="en-GB"/>
        </w:rPr>
        <w:t>18.</w:t>
      </w:r>
      <w:r w:rsidR="008C7F4B">
        <w:rPr>
          <w:rFonts w:cs="Arial"/>
          <w:bCs/>
          <w:szCs w:val="19"/>
          <w:lang w:val="en-GB"/>
        </w:rPr>
        <w:t>8</w:t>
      </w:r>
      <w:r w:rsidRPr="006416F7">
        <w:rPr>
          <w:rFonts w:cs="Arial"/>
          <w:bCs/>
          <w:szCs w:val="19"/>
          <w:lang w:val="en-GB"/>
        </w:rPr>
        <w:t>%</w:t>
      </w:r>
      <w:r w:rsidR="00384D18">
        <w:rPr>
          <w:rFonts w:cs="Arial"/>
          <w:bCs/>
          <w:szCs w:val="19"/>
          <w:lang w:val="en-GB"/>
        </w:rPr>
        <w:t xml:space="preserve"> and increased by 0,8</w:t>
      </w:r>
      <w:r w:rsidR="008D7D3B">
        <w:rPr>
          <w:rFonts w:cs="Arial"/>
          <w:bCs/>
          <w:szCs w:val="19"/>
          <w:lang w:val="en-GB"/>
        </w:rPr>
        <w:t> </w:t>
      </w:r>
      <w:r w:rsidR="00384D18">
        <w:rPr>
          <w:rFonts w:cs="Arial"/>
          <w:bCs/>
          <w:szCs w:val="19"/>
          <w:lang w:val="en-GB"/>
        </w:rPr>
        <w:t>percentage points in 2020</w:t>
      </w:r>
      <w:r w:rsidRPr="006416F7">
        <w:rPr>
          <w:rFonts w:cs="Arial"/>
          <w:bCs/>
          <w:szCs w:val="19"/>
          <w:lang w:val="en-GB"/>
        </w:rPr>
        <w:t>. The lowest share of this expenditure was in the households of farmers (</w:t>
      </w:r>
      <w:r w:rsidR="008C7F4B">
        <w:rPr>
          <w:rFonts w:cs="Arial"/>
          <w:bCs/>
          <w:szCs w:val="19"/>
          <w:lang w:val="en-GB"/>
        </w:rPr>
        <w:t>16.1</w:t>
      </w:r>
      <w:r w:rsidRPr="006416F7">
        <w:rPr>
          <w:rFonts w:cs="Arial"/>
          <w:bCs/>
          <w:szCs w:val="19"/>
          <w:lang w:val="en-GB"/>
        </w:rPr>
        <w:t xml:space="preserve">%) and the highest in the households of pensioners – </w:t>
      </w:r>
      <w:r w:rsidR="008C7F4B">
        <w:rPr>
          <w:rFonts w:cs="Arial"/>
          <w:bCs/>
          <w:szCs w:val="19"/>
          <w:lang w:val="en-GB"/>
        </w:rPr>
        <w:t>23.1</w:t>
      </w:r>
      <w:r w:rsidRPr="006416F7">
        <w:rPr>
          <w:rFonts w:cs="Arial"/>
          <w:bCs/>
          <w:szCs w:val="19"/>
          <w:lang w:val="en-GB"/>
        </w:rPr>
        <w:t>%.</w:t>
      </w:r>
    </w:p>
    <w:p w14:paraId="7EE94E5C" w14:textId="77777777" w:rsidR="00764D9C" w:rsidRPr="00056F23" w:rsidRDefault="00764D9C" w:rsidP="00764D9C">
      <w:pPr>
        <w:jc w:val="both"/>
        <w:rPr>
          <w:i/>
          <w:spacing w:val="-2"/>
          <w:szCs w:val="19"/>
          <w:shd w:val="clear" w:color="auto" w:fill="FFFFFF"/>
          <w:lang w:val="en-GB"/>
        </w:rPr>
      </w:pPr>
    </w:p>
    <w:p w14:paraId="7EE94E5D" w14:textId="77777777" w:rsidR="00764D9C" w:rsidRDefault="001467C3" w:rsidP="005067E3">
      <w:pPr>
        <w:spacing w:line="240" w:lineRule="auto"/>
        <w:rPr>
          <w:spacing w:val="-2"/>
          <w:szCs w:val="19"/>
          <w:shd w:val="clear" w:color="auto" w:fill="FFFFFF"/>
          <w:lang w:val="en-GB"/>
        </w:rPr>
      </w:pPr>
      <w:r>
        <w:rPr>
          <w:noProof/>
          <w:lang w:eastAsia="pl-PL"/>
        </w:rPr>
        <w:lastRenderedPageBreak/>
        <w:drawing>
          <wp:inline distT="0" distB="0" distL="0" distR="0" wp14:anchorId="7EE94FAC" wp14:editId="7EE94FAD">
            <wp:extent cx="5122545" cy="2915920"/>
            <wp:effectExtent l="0" t="0" r="1905" b="0"/>
            <wp:docPr id="13" name="Wykres 13">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E94E5E" w14:textId="77777777" w:rsidR="008C7F4B" w:rsidRPr="007E2F9C" w:rsidRDefault="008C7F4B" w:rsidP="005067E3">
      <w:pPr>
        <w:spacing w:line="240" w:lineRule="auto"/>
        <w:rPr>
          <w:spacing w:val="-2"/>
          <w:szCs w:val="19"/>
          <w:shd w:val="clear" w:color="auto" w:fill="FFFFFF"/>
          <w:lang w:val="en-GB"/>
        </w:rPr>
      </w:pPr>
    </w:p>
    <w:p w14:paraId="7EE94E5F" w14:textId="77777777" w:rsidR="007E2F9C" w:rsidRDefault="008C7F4B" w:rsidP="005067E3">
      <w:pPr>
        <w:spacing w:line="240" w:lineRule="auto"/>
        <w:rPr>
          <w:rFonts w:cs="Arial"/>
          <w:i/>
          <w:szCs w:val="19"/>
          <w:lang w:val="en-GB"/>
        </w:rPr>
      </w:pPr>
      <w:r>
        <w:rPr>
          <w:rFonts w:cs="Arial"/>
          <w:szCs w:val="19"/>
          <w:lang w:val="en-GB"/>
        </w:rPr>
        <w:t xml:space="preserve">In </w:t>
      </w:r>
      <w:r w:rsidR="00B730D5">
        <w:rPr>
          <w:rFonts w:cs="Arial"/>
          <w:szCs w:val="19"/>
          <w:lang w:val="en-GB"/>
        </w:rPr>
        <w:t xml:space="preserve">the </w:t>
      </w:r>
      <w:r>
        <w:rPr>
          <w:rFonts w:cs="Arial"/>
          <w:szCs w:val="19"/>
          <w:lang w:val="en-GB"/>
        </w:rPr>
        <w:t>case of the main groups of costumer goods and services, between 20</w:t>
      </w:r>
      <w:r w:rsidR="008D7D3B">
        <w:rPr>
          <w:rFonts w:cs="Arial"/>
          <w:szCs w:val="19"/>
          <w:lang w:val="en-GB"/>
        </w:rPr>
        <w:t>19</w:t>
      </w:r>
      <w:r>
        <w:rPr>
          <w:rFonts w:cs="Arial"/>
          <w:szCs w:val="19"/>
          <w:lang w:val="en-GB"/>
        </w:rPr>
        <w:t xml:space="preserve"> and 20</w:t>
      </w:r>
      <w:r w:rsidR="008D7D3B">
        <w:rPr>
          <w:rFonts w:cs="Arial"/>
          <w:szCs w:val="19"/>
          <w:lang w:val="en-GB"/>
        </w:rPr>
        <w:t>20</w:t>
      </w:r>
      <w:r>
        <w:rPr>
          <w:rFonts w:cs="Arial"/>
          <w:szCs w:val="19"/>
          <w:lang w:val="en-GB"/>
        </w:rPr>
        <w:t>, c</w:t>
      </w:r>
      <w:r w:rsidR="007E2F9C" w:rsidRPr="00F95CD2">
        <w:rPr>
          <w:rFonts w:cs="Arial"/>
          <w:szCs w:val="19"/>
          <w:lang w:val="en-GB"/>
        </w:rPr>
        <w:t xml:space="preserve">hanges in </w:t>
      </w:r>
      <w:r w:rsidR="008D7D3B">
        <w:rPr>
          <w:rFonts w:cs="Arial"/>
          <w:szCs w:val="19"/>
          <w:lang w:val="en-GB"/>
        </w:rPr>
        <w:t xml:space="preserve">the </w:t>
      </w:r>
      <w:r w:rsidR="00BA07C5">
        <w:rPr>
          <w:rFonts w:cs="Arial"/>
          <w:szCs w:val="19"/>
          <w:lang w:val="en-GB"/>
        </w:rPr>
        <w:t xml:space="preserve">share in expenditure </w:t>
      </w:r>
      <w:r w:rsidR="007E2F9C" w:rsidRPr="00F95CD2">
        <w:rPr>
          <w:rFonts w:cs="Arial"/>
          <w:szCs w:val="19"/>
          <w:lang w:val="en-GB"/>
        </w:rPr>
        <w:t>structure for households in total ranged from -</w:t>
      </w:r>
      <w:r w:rsidR="00A3489A">
        <w:rPr>
          <w:rFonts w:cs="Arial"/>
          <w:szCs w:val="19"/>
          <w:lang w:val="en-GB"/>
        </w:rPr>
        <w:t>1.1</w:t>
      </w:r>
      <w:r w:rsidR="007E2F9C" w:rsidRPr="00F95CD2">
        <w:rPr>
          <w:rFonts w:cs="Arial"/>
          <w:szCs w:val="19"/>
          <w:lang w:val="en-GB"/>
        </w:rPr>
        <w:t xml:space="preserve"> </w:t>
      </w:r>
      <w:r w:rsidR="00F95CD2" w:rsidRPr="00F95CD2">
        <w:rPr>
          <w:rFonts w:cs="Arial"/>
          <w:szCs w:val="19"/>
          <w:lang w:val="en-GB"/>
        </w:rPr>
        <w:t>percentage point</w:t>
      </w:r>
      <w:r w:rsidR="002E6303">
        <w:rPr>
          <w:rFonts w:cs="Arial"/>
          <w:szCs w:val="19"/>
          <w:lang w:val="en-GB"/>
        </w:rPr>
        <w:t>s</w:t>
      </w:r>
      <w:r w:rsidR="000B04B8">
        <w:rPr>
          <w:rFonts w:cs="Arial"/>
          <w:szCs w:val="19"/>
          <w:lang w:val="en-GB"/>
        </w:rPr>
        <w:t xml:space="preserve"> </w:t>
      </w:r>
      <w:r w:rsidR="00A3489A">
        <w:rPr>
          <w:rFonts w:cs="Arial"/>
          <w:szCs w:val="19"/>
          <w:lang w:val="en-GB"/>
        </w:rPr>
        <w:t>(restaurants and hotels)</w:t>
      </w:r>
      <w:r w:rsidR="007E2F9C" w:rsidRPr="00F95CD2">
        <w:rPr>
          <w:rFonts w:cs="Arial"/>
          <w:szCs w:val="19"/>
          <w:lang w:val="en-GB"/>
        </w:rPr>
        <w:t xml:space="preserve"> </w:t>
      </w:r>
      <w:r w:rsidR="00BA07C5">
        <w:rPr>
          <w:rFonts w:cs="Arial"/>
          <w:szCs w:val="19"/>
          <w:lang w:val="en-GB"/>
        </w:rPr>
        <w:t xml:space="preserve">to </w:t>
      </w:r>
      <w:r w:rsidR="007E2F9C" w:rsidRPr="00F95CD2">
        <w:rPr>
          <w:rFonts w:cs="Arial"/>
          <w:szCs w:val="19"/>
          <w:lang w:val="en-GB"/>
        </w:rPr>
        <w:t>+</w:t>
      </w:r>
      <w:r w:rsidR="00BA07C5">
        <w:rPr>
          <w:rFonts w:cs="Arial"/>
          <w:szCs w:val="19"/>
          <w:lang w:val="en-GB"/>
        </w:rPr>
        <w:t>2.6</w:t>
      </w:r>
      <w:r w:rsidR="007E2F9C" w:rsidRPr="00F95CD2">
        <w:rPr>
          <w:rFonts w:cs="Arial"/>
          <w:szCs w:val="19"/>
          <w:lang w:val="en-GB"/>
        </w:rPr>
        <w:t xml:space="preserve"> pe</w:t>
      </w:r>
      <w:r w:rsidR="000B04B8">
        <w:rPr>
          <w:rFonts w:cs="Arial"/>
          <w:szCs w:val="19"/>
          <w:lang w:val="en-GB"/>
        </w:rPr>
        <w:t xml:space="preserve">rcentage points </w:t>
      </w:r>
      <w:r w:rsidR="00BA07C5">
        <w:rPr>
          <w:rFonts w:cs="Arial"/>
          <w:szCs w:val="19"/>
          <w:lang w:val="en-GB"/>
        </w:rPr>
        <w:t>(food and non-alcoholic beverages)</w:t>
      </w:r>
      <w:r w:rsidR="007E2F9C" w:rsidRPr="00F95CD2">
        <w:rPr>
          <w:rFonts w:cs="Arial"/>
          <w:i/>
          <w:szCs w:val="19"/>
          <w:lang w:val="en-GB"/>
        </w:rPr>
        <w:t>.</w:t>
      </w:r>
    </w:p>
    <w:p w14:paraId="7EE94E60" w14:textId="77777777" w:rsidR="005C7565" w:rsidRPr="009F2657" w:rsidRDefault="005C7565" w:rsidP="005067E3">
      <w:pPr>
        <w:spacing w:line="240" w:lineRule="auto"/>
        <w:rPr>
          <w:spacing w:val="-2"/>
          <w:szCs w:val="19"/>
          <w:shd w:val="clear" w:color="auto" w:fill="FFFFFF"/>
          <w:lang w:val="en-GB"/>
        </w:rPr>
      </w:pPr>
    </w:p>
    <w:p w14:paraId="7EE94E61" w14:textId="77777777" w:rsidR="00764D9C" w:rsidRPr="003B33FE" w:rsidRDefault="001467C3" w:rsidP="00764D9C">
      <w:pPr>
        <w:spacing w:line="240" w:lineRule="auto"/>
        <w:rPr>
          <w:i/>
          <w:spacing w:val="-2"/>
          <w:szCs w:val="19"/>
          <w:shd w:val="clear" w:color="auto" w:fill="FFFFFF"/>
        </w:rPr>
      </w:pPr>
      <w:r>
        <w:rPr>
          <w:noProof/>
          <w:lang w:eastAsia="pl-PL"/>
        </w:rPr>
        <w:drawing>
          <wp:inline distT="0" distB="0" distL="0" distR="0" wp14:anchorId="7EE94FAE" wp14:editId="7EE94FAF">
            <wp:extent cx="5122545" cy="4139565"/>
            <wp:effectExtent l="0" t="0" r="1905" b="0"/>
            <wp:docPr id="15" name="Wykres 15">
              <a:extLst xmlns:a="http://schemas.openxmlformats.org/drawingml/2006/main">
                <a:ext uri="{FF2B5EF4-FFF2-40B4-BE49-F238E27FC236}">
                  <a16:creationId xmlns:a16="http://schemas.microsoft.com/office/drawing/2014/main" id="{00000000-0008-0000-06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94E62" w14:textId="77777777" w:rsidR="00BA07C5" w:rsidRDefault="00BA07C5" w:rsidP="001F43F3">
      <w:pPr>
        <w:spacing w:line="240" w:lineRule="auto"/>
        <w:rPr>
          <w:i/>
          <w:spacing w:val="-2"/>
          <w:szCs w:val="19"/>
          <w:shd w:val="clear" w:color="auto" w:fill="FFFFFF"/>
        </w:rPr>
      </w:pPr>
    </w:p>
    <w:p w14:paraId="7EE94E63" w14:textId="77777777" w:rsidR="0030422B" w:rsidRPr="00ED07C7" w:rsidRDefault="0030422B" w:rsidP="00BA07C5">
      <w:pPr>
        <w:spacing w:line="240" w:lineRule="auto"/>
        <w:rPr>
          <w:szCs w:val="19"/>
          <w:shd w:val="clear" w:color="auto" w:fill="FFFFFF"/>
          <w:lang w:val="en-GB"/>
        </w:rPr>
      </w:pPr>
      <w:r>
        <w:rPr>
          <w:szCs w:val="19"/>
          <w:shd w:val="clear" w:color="auto" w:fill="FFFFFF"/>
          <w:lang w:val="en-GB"/>
        </w:rPr>
        <w:t xml:space="preserve">As a result of connected </w:t>
      </w:r>
      <w:r w:rsidR="008D7D3B">
        <w:rPr>
          <w:szCs w:val="19"/>
          <w:shd w:val="clear" w:color="auto" w:fill="FFFFFF"/>
          <w:lang w:val="en-GB"/>
        </w:rPr>
        <w:t>with</w:t>
      </w:r>
      <w:r>
        <w:rPr>
          <w:szCs w:val="19"/>
          <w:shd w:val="clear" w:color="auto" w:fill="FFFFFF"/>
          <w:lang w:val="en-GB"/>
        </w:rPr>
        <w:t xml:space="preserve"> the COVID-19 pandemic</w:t>
      </w:r>
      <w:r w:rsidR="00ED07C7">
        <w:rPr>
          <w:szCs w:val="19"/>
          <w:shd w:val="clear" w:color="auto" w:fill="FFFFFF"/>
          <w:lang w:val="en-GB"/>
        </w:rPr>
        <w:t xml:space="preserve"> consecutive periods of closure of the economy and its opening as well as changes in lifestyle of population, there were observed significant changes in the structure of average monthly expenditure per capita in households in individual quarters of </w:t>
      </w:r>
      <w:r w:rsidR="00ED07C7" w:rsidRPr="00ED07C7">
        <w:rPr>
          <w:szCs w:val="19"/>
          <w:shd w:val="clear" w:color="auto" w:fill="FFFFFF"/>
          <w:lang w:val="en-GB"/>
        </w:rPr>
        <w:t>2020 in comparison with the corresponding quarters of 2019. The</w:t>
      </w:r>
      <w:r w:rsidR="008F6139">
        <w:rPr>
          <w:szCs w:val="19"/>
          <w:shd w:val="clear" w:color="auto" w:fill="FFFFFF"/>
          <w:lang w:val="en-GB"/>
        </w:rPr>
        <w:t xml:space="preserve"> </w:t>
      </w:r>
      <w:r w:rsidR="00ED07C7" w:rsidRPr="00ED07C7">
        <w:rPr>
          <w:szCs w:val="19"/>
          <w:shd w:val="clear" w:color="auto" w:fill="FFFFFF"/>
          <w:lang w:val="en-GB"/>
        </w:rPr>
        <w:t xml:space="preserve">largest differences occurred in the 2nd quarter </w:t>
      </w:r>
      <w:r w:rsidR="00ED07C7">
        <w:rPr>
          <w:szCs w:val="19"/>
          <w:shd w:val="clear" w:color="auto" w:fill="FFFFFF"/>
          <w:lang w:val="en-GB"/>
        </w:rPr>
        <w:t xml:space="preserve">between 2019 and 2020 and were caused by the </w:t>
      </w:r>
      <w:r w:rsidR="007F76E9">
        <w:rPr>
          <w:szCs w:val="19"/>
          <w:shd w:val="clear" w:color="auto" w:fill="FFFFFF"/>
          <w:lang w:val="en-GB"/>
        </w:rPr>
        <w:t xml:space="preserve">introduction of </w:t>
      </w:r>
      <w:r w:rsidR="00DD72AA" w:rsidRPr="00DD72AA">
        <w:rPr>
          <w:szCs w:val="19"/>
          <w:shd w:val="clear" w:color="auto" w:fill="FFFFFF"/>
          <w:lang w:val="en-GB"/>
        </w:rPr>
        <w:t xml:space="preserve">freezing of a large part of the economy and restrictions on social contacts in response to the appearance of the coronavirus in Poland </w:t>
      </w:r>
      <w:r w:rsidR="00DD72AA">
        <w:rPr>
          <w:szCs w:val="19"/>
          <w:shd w:val="clear" w:color="auto" w:fill="FFFFFF"/>
          <w:lang w:val="en-GB"/>
        </w:rPr>
        <w:t>in March 2020.</w:t>
      </w:r>
    </w:p>
    <w:p w14:paraId="7EE94E64" w14:textId="354AB231" w:rsidR="00BA07C5" w:rsidRPr="00FA1758" w:rsidRDefault="00FA1758" w:rsidP="00BA07C5">
      <w:pPr>
        <w:spacing w:line="240" w:lineRule="auto"/>
        <w:rPr>
          <w:szCs w:val="19"/>
          <w:shd w:val="clear" w:color="auto" w:fill="FFFFFF"/>
          <w:lang w:val="en-GB"/>
        </w:rPr>
      </w:pPr>
      <w:r w:rsidRPr="00FA1758">
        <w:rPr>
          <w:szCs w:val="19"/>
          <w:shd w:val="clear" w:color="auto" w:fill="FFFFFF"/>
          <w:lang w:val="en-GB"/>
        </w:rPr>
        <w:lastRenderedPageBreak/>
        <w:t xml:space="preserve">An increase in the share in total expenditure in all quarters was observed in 3 expenditure groups: food and non-alcoholic beverages, communication </w:t>
      </w:r>
      <w:r w:rsidR="007F76E9" w:rsidRPr="007F76E9">
        <w:rPr>
          <w:szCs w:val="19"/>
          <w:shd w:val="clear" w:color="auto" w:fill="FFFFFF"/>
          <w:lang w:val="en-GB"/>
        </w:rPr>
        <w:t>(this group includes expen</w:t>
      </w:r>
      <w:r w:rsidR="007F76E9">
        <w:rPr>
          <w:szCs w:val="19"/>
          <w:shd w:val="clear" w:color="auto" w:fill="FFFFFF"/>
          <w:lang w:val="en-GB"/>
        </w:rPr>
        <w:t>diture on connection to the</w:t>
      </w:r>
      <w:r w:rsidR="007F76E9" w:rsidRPr="007F76E9">
        <w:rPr>
          <w:szCs w:val="19"/>
          <w:shd w:val="clear" w:color="auto" w:fill="FFFFFF"/>
          <w:lang w:val="en-GB"/>
        </w:rPr>
        <w:t xml:space="preserve"> </w:t>
      </w:r>
      <w:r w:rsidR="007F76E9">
        <w:rPr>
          <w:szCs w:val="19"/>
          <w:shd w:val="clear" w:color="auto" w:fill="FFFFFF"/>
          <w:lang w:val="en-GB"/>
        </w:rPr>
        <w:t>I</w:t>
      </w:r>
      <w:r w:rsidR="007F76E9" w:rsidRPr="007F76E9">
        <w:rPr>
          <w:szCs w:val="19"/>
          <w:shd w:val="clear" w:color="auto" w:fill="FFFFFF"/>
          <w:lang w:val="en-GB"/>
        </w:rPr>
        <w:t>nternet)</w:t>
      </w:r>
      <w:r w:rsidR="007F76E9">
        <w:rPr>
          <w:szCs w:val="19"/>
          <w:shd w:val="clear" w:color="auto" w:fill="FFFFFF"/>
          <w:lang w:val="en-GB"/>
        </w:rPr>
        <w:t xml:space="preserve"> </w:t>
      </w:r>
      <w:r w:rsidRPr="00FA1758">
        <w:rPr>
          <w:szCs w:val="19"/>
          <w:shd w:val="clear" w:color="auto" w:fill="FFFFFF"/>
          <w:lang w:val="en-GB"/>
        </w:rPr>
        <w:t>and alcoholic beverages, tobacc</w:t>
      </w:r>
      <w:r w:rsidR="005256FC">
        <w:rPr>
          <w:szCs w:val="19"/>
          <w:shd w:val="clear" w:color="auto" w:fill="FFFFFF"/>
          <w:lang w:val="en-GB"/>
        </w:rPr>
        <w:t>o</w:t>
      </w:r>
      <w:r w:rsidR="009823F7">
        <w:rPr>
          <w:szCs w:val="19"/>
          <w:shd w:val="clear" w:color="auto" w:fill="FFFFFF"/>
          <w:lang w:val="en-GB"/>
        </w:rPr>
        <w:t xml:space="preserve"> (</w:t>
      </w:r>
      <w:r w:rsidR="00E71AEC">
        <w:rPr>
          <w:szCs w:val="19"/>
          <w:shd w:val="clear" w:color="auto" w:fill="FFFFFF"/>
          <w:lang w:val="en-GB"/>
        </w:rPr>
        <w:t>grain alcohol</w:t>
      </w:r>
      <w:r w:rsidR="009823F7">
        <w:rPr>
          <w:szCs w:val="19"/>
          <w:shd w:val="clear" w:color="auto" w:fill="FFFFFF"/>
          <w:lang w:val="en-GB"/>
        </w:rPr>
        <w:t xml:space="preserve"> is included in the group)</w:t>
      </w:r>
      <w:r w:rsidRPr="00FA1758">
        <w:rPr>
          <w:szCs w:val="19"/>
          <w:shd w:val="clear" w:color="auto" w:fill="FFFFFF"/>
          <w:lang w:val="en-GB"/>
        </w:rPr>
        <w:t xml:space="preserve">. In these groups the highest increase in relation to the previous year took place in </w:t>
      </w:r>
      <w:r w:rsidR="007F3132">
        <w:rPr>
          <w:szCs w:val="19"/>
          <w:shd w:val="clear" w:color="auto" w:fill="FFFFFF"/>
          <w:lang w:val="en-GB"/>
        </w:rPr>
        <w:t xml:space="preserve">the </w:t>
      </w:r>
      <w:r w:rsidR="00672336">
        <w:rPr>
          <w:szCs w:val="19"/>
          <w:shd w:val="clear" w:color="auto" w:fill="FFFFFF"/>
          <w:lang w:val="en-GB"/>
        </w:rPr>
        <w:t>2</w:t>
      </w:r>
      <w:r w:rsidR="00672336" w:rsidRPr="00672336">
        <w:rPr>
          <w:szCs w:val="19"/>
          <w:shd w:val="clear" w:color="auto" w:fill="FFFFFF"/>
          <w:lang w:val="en-GB"/>
        </w:rPr>
        <w:t>nd</w:t>
      </w:r>
      <w:r w:rsidR="007F3132">
        <w:rPr>
          <w:szCs w:val="19"/>
          <w:shd w:val="clear" w:color="auto" w:fill="FFFFFF"/>
          <w:lang w:val="en-GB"/>
        </w:rPr>
        <w:t xml:space="preserve"> quarter</w:t>
      </w:r>
      <w:r w:rsidRPr="00FA1758">
        <w:rPr>
          <w:szCs w:val="19"/>
          <w:shd w:val="clear" w:color="auto" w:fill="FFFFFF"/>
          <w:lang w:val="en-GB"/>
        </w:rPr>
        <w:t xml:space="preserve"> and amounted to 4.2</w:t>
      </w:r>
      <w:r w:rsidR="008F6139">
        <w:rPr>
          <w:szCs w:val="19"/>
          <w:shd w:val="clear" w:color="auto" w:fill="FFFFFF"/>
          <w:lang w:val="en-GB"/>
        </w:rPr>
        <w:t> </w:t>
      </w:r>
      <w:r w:rsidRPr="00FA1758">
        <w:rPr>
          <w:szCs w:val="19"/>
          <w:shd w:val="clear" w:color="auto" w:fill="FFFFFF"/>
          <w:lang w:val="en-GB"/>
        </w:rPr>
        <w:t>p</w:t>
      </w:r>
      <w:r w:rsidR="00672336">
        <w:rPr>
          <w:szCs w:val="19"/>
          <w:shd w:val="clear" w:color="auto" w:fill="FFFFFF"/>
          <w:lang w:val="en-GB"/>
        </w:rPr>
        <w:t xml:space="preserve">ercentage </w:t>
      </w:r>
      <w:r w:rsidRPr="00FA1758">
        <w:rPr>
          <w:szCs w:val="19"/>
          <w:shd w:val="clear" w:color="auto" w:fill="FFFFFF"/>
          <w:lang w:val="en-GB"/>
        </w:rPr>
        <w:t>p</w:t>
      </w:r>
      <w:r w:rsidR="00672336">
        <w:rPr>
          <w:szCs w:val="19"/>
          <w:shd w:val="clear" w:color="auto" w:fill="FFFFFF"/>
          <w:lang w:val="en-GB"/>
        </w:rPr>
        <w:t>oints</w:t>
      </w:r>
      <w:r w:rsidRPr="00FA1758">
        <w:rPr>
          <w:szCs w:val="19"/>
          <w:shd w:val="clear" w:color="auto" w:fill="FFFFFF"/>
          <w:lang w:val="en-GB"/>
        </w:rPr>
        <w:t xml:space="preserve">, 0.8 </w:t>
      </w:r>
      <w:r w:rsidR="00D10591" w:rsidRPr="00FA1758">
        <w:rPr>
          <w:szCs w:val="19"/>
          <w:shd w:val="clear" w:color="auto" w:fill="FFFFFF"/>
          <w:lang w:val="en-GB"/>
        </w:rPr>
        <w:t>p</w:t>
      </w:r>
      <w:r w:rsidR="00D10591">
        <w:rPr>
          <w:szCs w:val="19"/>
          <w:shd w:val="clear" w:color="auto" w:fill="FFFFFF"/>
          <w:lang w:val="en-GB"/>
        </w:rPr>
        <w:t xml:space="preserve">ercentage </w:t>
      </w:r>
      <w:r w:rsidR="00D10591" w:rsidRPr="00FA1758">
        <w:rPr>
          <w:szCs w:val="19"/>
          <w:shd w:val="clear" w:color="auto" w:fill="FFFFFF"/>
          <w:lang w:val="en-GB"/>
        </w:rPr>
        <w:t>p</w:t>
      </w:r>
      <w:r w:rsidR="00D10591">
        <w:rPr>
          <w:szCs w:val="19"/>
          <w:shd w:val="clear" w:color="auto" w:fill="FFFFFF"/>
          <w:lang w:val="en-GB"/>
        </w:rPr>
        <w:t>oints</w:t>
      </w:r>
      <w:r w:rsidR="00D10591" w:rsidRPr="00D10591">
        <w:rPr>
          <w:szCs w:val="19"/>
          <w:shd w:val="clear" w:color="auto" w:fill="FFFFFF"/>
          <w:lang w:val="en-GB"/>
        </w:rPr>
        <w:t xml:space="preserve"> </w:t>
      </w:r>
      <w:r w:rsidR="00D10591" w:rsidRPr="00FA1758">
        <w:rPr>
          <w:szCs w:val="19"/>
          <w:shd w:val="clear" w:color="auto" w:fill="FFFFFF"/>
          <w:lang w:val="en-GB"/>
        </w:rPr>
        <w:t>and 0.5 percentage points</w:t>
      </w:r>
      <w:r w:rsidRPr="00FA1758">
        <w:rPr>
          <w:szCs w:val="19"/>
          <w:shd w:val="clear" w:color="auto" w:fill="FFFFFF"/>
          <w:lang w:val="en-GB"/>
        </w:rPr>
        <w:t xml:space="preserve"> respectively. A decrease in the share in total expenditure in all quarters of 2020 </w:t>
      </w:r>
      <w:r w:rsidR="00D10591">
        <w:rPr>
          <w:szCs w:val="19"/>
          <w:shd w:val="clear" w:color="auto" w:fill="FFFFFF"/>
          <w:lang w:val="en-GB"/>
        </w:rPr>
        <w:t xml:space="preserve">in </w:t>
      </w:r>
      <w:r w:rsidRPr="00FA1758">
        <w:rPr>
          <w:szCs w:val="19"/>
          <w:shd w:val="clear" w:color="auto" w:fill="FFFFFF"/>
          <w:lang w:val="en-GB"/>
        </w:rPr>
        <w:t>compar</w:t>
      </w:r>
      <w:r w:rsidR="00D10591">
        <w:rPr>
          <w:szCs w:val="19"/>
          <w:shd w:val="clear" w:color="auto" w:fill="FFFFFF"/>
          <w:lang w:val="en-GB"/>
        </w:rPr>
        <w:t>ison with</w:t>
      </w:r>
      <w:r w:rsidRPr="00FA1758">
        <w:rPr>
          <w:szCs w:val="19"/>
          <w:shd w:val="clear" w:color="auto" w:fill="FFFFFF"/>
          <w:lang w:val="en-GB"/>
        </w:rPr>
        <w:t xml:space="preserve"> 2019 was recorded in 3 expenditure groups: restaurants and hotels (the largest decrease in </w:t>
      </w:r>
      <w:r w:rsidR="006510FD">
        <w:rPr>
          <w:szCs w:val="19"/>
          <w:shd w:val="clear" w:color="auto" w:fill="FFFFFF"/>
          <w:lang w:val="en-GB"/>
        </w:rPr>
        <w:t>the</w:t>
      </w:r>
      <w:r w:rsidR="008F6139">
        <w:rPr>
          <w:szCs w:val="19"/>
          <w:shd w:val="clear" w:color="auto" w:fill="FFFFFF"/>
          <w:lang w:val="en-GB"/>
        </w:rPr>
        <w:t xml:space="preserve"> </w:t>
      </w:r>
      <w:r w:rsidR="006510FD">
        <w:rPr>
          <w:szCs w:val="19"/>
          <w:shd w:val="clear" w:color="auto" w:fill="FFFFFF"/>
          <w:lang w:val="en-GB"/>
        </w:rPr>
        <w:t>2</w:t>
      </w:r>
      <w:r w:rsidR="008F6139">
        <w:rPr>
          <w:szCs w:val="19"/>
          <w:shd w:val="clear" w:color="auto" w:fill="FFFFFF"/>
          <w:lang w:val="en-GB"/>
        </w:rPr>
        <w:t>nd </w:t>
      </w:r>
      <w:r w:rsidR="000D384E">
        <w:rPr>
          <w:szCs w:val="19"/>
          <w:shd w:val="clear" w:color="auto" w:fill="FFFFFF"/>
          <w:lang w:val="en-GB"/>
        </w:rPr>
        <w:t>quarter</w:t>
      </w:r>
      <w:r w:rsidRPr="00FA1758">
        <w:rPr>
          <w:szCs w:val="19"/>
          <w:shd w:val="clear" w:color="auto" w:fill="FFFFFF"/>
          <w:lang w:val="en-GB"/>
        </w:rPr>
        <w:t xml:space="preserve"> </w:t>
      </w:r>
      <w:r w:rsidR="00D10591">
        <w:rPr>
          <w:szCs w:val="19"/>
          <w:shd w:val="clear" w:color="auto" w:fill="FFFFFF"/>
          <w:lang w:val="en-GB"/>
        </w:rPr>
        <w:t>–</w:t>
      </w:r>
      <w:r w:rsidRPr="00FA1758">
        <w:rPr>
          <w:szCs w:val="19"/>
          <w:shd w:val="clear" w:color="auto" w:fill="FFFFFF"/>
          <w:lang w:val="en-GB"/>
        </w:rPr>
        <w:t xml:space="preserve"> by 2.2 </w:t>
      </w:r>
      <w:r w:rsidR="000D384E" w:rsidRPr="00FA1758">
        <w:rPr>
          <w:szCs w:val="19"/>
          <w:shd w:val="clear" w:color="auto" w:fill="FFFFFF"/>
          <w:lang w:val="en-GB"/>
        </w:rPr>
        <w:t>p</w:t>
      </w:r>
      <w:r w:rsidR="000D384E">
        <w:rPr>
          <w:szCs w:val="19"/>
          <w:shd w:val="clear" w:color="auto" w:fill="FFFFFF"/>
          <w:lang w:val="en-GB"/>
        </w:rPr>
        <w:t xml:space="preserve">ercentage </w:t>
      </w:r>
      <w:r w:rsidR="000D384E" w:rsidRPr="00FA1758">
        <w:rPr>
          <w:szCs w:val="19"/>
          <w:shd w:val="clear" w:color="auto" w:fill="FFFFFF"/>
          <w:lang w:val="en-GB"/>
        </w:rPr>
        <w:t>p</w:t>
      </w:r>
      <w:r w:rsidR="000D384E">
        <w:rPr>
          <w:szCs w:val="19"/>
          <w:shd w:val="clear" w:color="auto" w:fill="FFFFFF"/>
          <w:lang w:val="en-GB"/>
        </w:rPr>
        <w:t>oints</w:t>
      </w:r>
      <w:r w:rsidRPr="00FA1758">
        <w:rPr>
          <w:szCs w:val="19"/>
          <w:shd w:val="clear" w:color="auto" w:fill="FFFFFF"/>
          <w:lang w:val="en-GB"/>
        </w:rPr>
        <w:t xml:space="preserve">), recreation and culture (the largest decrease in the </w:t>
      </w:r>
      <w:r w:rsidR="008F6139">
        <w:rPr>
          <w:szCs w:val="19"/>
          <w:shd w:val="clear" w:color="auto" w:fill="FFFFFF"/>
          <w:lang w:val="en-GB"/>
        </w:rPr>
        <w:t>3</w:t>
      </w:r>
      <w:r w:rsidR="008F6139" w:rsidRPr="008F6139">
        <w:rPr>
          <w:szCs w:val="19"/>
          <w:shd w:val="clear" w:color="auto" w:fill="FFFFFF"/>
          <w:lang w:val="en-GB"/>
        </w:rPr>
        <w:t>rd</w:t>
      </w:r>
      <w:r w:rsidR="008F6139">
        <w:rPr>
          <w:szCs w:val="19"/>
          <w:shd w:val="clear" w:color="auto" w:fill="FFFFFF"/>
          <w:lang w:val="en-GB"/>
        </w:rPr>
        <w:t> </w:t>
      </w:r>
      <w:r w:rsidRPr="00FA1758">
        <w:rPr>
          <w:szCs w:val="19"/>
          <w:shd w:val="clear" w:color="auto" w:fill="FFFFFF"/>
          <w:lang w:val="en-GB"/>
        </w:rPr>
        <w:t xml:space="preserve">quarter </w:t>
      </w:r>
      <w:r w:rsidR="000D384E">
        <w:rPr>
          <w:szCs w:val="19"/>
          <w:shd w:val="clear" w:color="auto" w:fill="FFFFFF"/>
          <w:lang w:val="en-GB"/>
        </w:rPr>
        <w:t>–</w:t>
      </w:r>
      <w:r w:rsidRPr="00FA1758">
        <w:rPr>
          <w:szCs w:val="19"/>
          <w:shd w:val="clear" w:color="auto" w:fill="FFFFFF"/>
          <w:lang w:val="en-GB"/>
        </w:rPr>
        <w:t xml:space="preserve"> by 1.6 percentage points) and cloth</w:t>
      </w:r>
      <w:r w:rsidR="000D384E">
        <w:rPr>
          <w:szCs w:val="19"/>
          <w:shd w:val="clear" w:color="auto" w:fill="FFFFFF"/>
          <w:lang w:val="en-GB"/>
        </w:rPr>
        <w:t>ing</w:t>
      </w:r>
      <w:r w:rsidRPr="00FA1758">
        <w:rPr>
          <w:szCs w:val="19"/>
          <w:shd w:val="clear" w:color="auto" w:fill="FFFFFF"/>
          <w:lang w:val="en-GB"/>
        </w:rPr>
        <w:t xml:space="preserve"> and footwear (the largest decrease in the </w:t>
      </w:r>
      <w:r w:rsidR="000D384E">
        <w:rPr>
          <w:szCs w:val="19"/>
          <w:shd w:val="clear" w:color="auto" w:fill="FFFFFF"/>
          <w:lang w:val="en-GB"/>
        </w:rPr>
        <w:t>2</w:t>
      </w:r>
      <w:r w:rsidRPr="00FA1758">
        <w:rPr>
          <w:szCs w:val="19"/>
          <w:shd w:val="clear" w:color="auto" w:fill="FFFFFF"/>
          <w:lang w:val="en-GB"/>
        </w:rPr>
        <w:t xml:space="preserve">nd quarter </w:t>
      </w:r>
      <w:r w:rsidR="000D384E">
        <w:rPr>
          <w:szCs w:val="19"/>
          <w:shd w:val="clear" w:color="auto" w:fill="FFFFFF"/>
          <w:lang w:val="en-GB"/>
        </w:rPr>
        <w:t>–</w:t>
      </w:r>
      <w:r w:rsidRPr="00FA1758">
        <w:rPr>
          <w:szCs w:val="19"/>
          <w:shd w:val="clear" w:color="auto" w:fill="FFFFFF"/>
          <w:lang w:val="en-GB"/>
        </w:rPr>
        <w:t xml:space="preserve"> by 1.3 percentage points). It is also worth </w:t>
      </w:r>
      <w:r w:rsidR="000D384E">
        <w:rPr>
          <w:szCs w:val="19"/>
          <w:shd w:val="clear" w:color="auto" w:fill="FFFFFF"/>
          <w:lang w:val="en-GB"/>
        </w:rPr>
        <w:t>noting</w:t>
      </w:r>
      <w:r w:rsidRPr="00FA1758">
        <w:rPr>
          <w:szCs w:val="19"/>
          <w:shd w:val="clear" w:color="auto" w:fill="FFFFFF"/>
          <w:lang w:val="en-GB"/>
        </w:rPr>
        <w:t xml:space="preserve"> that the share of expenditure </w:t>
      </w:r>
      <w:r w:rsidR="000D384E">
        <w:rPr>
          <w:szCs w:val="19"/>
          <w:shd w:val="clear" w:color="auto" w:fill="FFFFFF"/>
          <w:lang w:val="en-GB"/>
        </w:rPr>
        <w:t xml:space="preserve">on </w:t>
      </w:r>
      <w:r w:rsidR="000D384E" w:rsidRPr="00FA1758">
        <w:rPr>
          <w:szCs w:val="19"/>
          <w:shd w:val="clear" w:color="auto" w:fill="FFFFFF"/>
          <w:lang w:val="en-GB"/>
        </w:rPr>
        <w:t xml:space="preserve">health </w:t>
      </w:r>
      <w:r w:rsidRPr="00FA1758">
        <w:rPr>
          <w:szCs w:val="19"/>
          <w:shd w:val="clear" w:color="auto" w:fill="FFFFFF"/>
          <w:lang w:val="en-GB"/>
        </w:rPr>
        <w:t>in total expenditure increased between 2019 and 2020</w:t>
      </w:r>
      <w:r w:rsidR="003F62CF">
        <w:rPr>
          <w:szCs w:val="19"/>
          <w:shd w:val="clear" w:color="auto" w:fill="FFFFFF"/>
          <w:lang w:val="en-GB"/>
        </w:rPr>
        <w:t xml:space="preserve">, in the 1st and the 4th quarter by 0.5 percentage points </w:t>
      </w:r>
      <w:r w:rsidR="00C17DFA">
        <w:rPr>
          <w:szCs w:val="19"/>
          <w:shd w:val="clear" w:color="auto" w:fill="FFFFFF"/>
          <w:lang w:val="en-GB"/>
        </w:rPr>
        <w:t>and</w:t>
      </w:r>
      <w:r w:rsidR="003F62CF">
        <w:rPr>
          <w:szCs w:val="19"/>
          <w:shd w:val="clear" w:color="auto" w:fill="FFFFFF"/>
          <w:lang w:val="en-GB"/>
        </w:rPr>
        <w:t xml:space="preserve"> in the 2nd quarter</w:t>
      </w:r>
      <w:r w:rsidR="00C17DFA">
        <w:rPr>
          <w:szCs w:val="19"/>
          <w:shd w:val="clear" w:color="auto" w:fill="FFFFFF"/>
          <w:lang w:val="en-GB"/>
        </w:rPr>
        <w:t xml:space="preserve"> decreased</w:t>
      </w:r>
      <w:r w:rsidRPr="00FA1758">
        <w:rPr>
          <w:szCs w:val="19"/>
          <w:shd w:val="clear" w:color="auto" w:fill="FFFFFF"/>
          <w:lang w:val="en-GB"/>
        </w:rPr>
        <w:t xml:space="preserve"> by 0.6 percentage points.</w:t>
      </w:r>
    </w:p>
    <w:p w14:paraId="7EE94E65" w14:textId="77777777" w:rsidR="00BA07C5" w:rsidRPr="00FA1758" w:rsidRDefault="00BA07C5" w:rsidP="00BA07C5">
      <w:pPr>
        <w:spacing w:before="0" w:after="160" w:line="259" w:lineRule="auto"/>
        <w:rPr>
          <w:szCs w:val="19"/>
          <w:shd w:val="clear" w:color="auto" w:fill="FFFFFF"/>
          <w:lang w:val="en-GB"/>
        </w:rPr>
      </w:pPr>
    </w:p>
    <w:p w14:paraId="7EE94E66" w14:textId="77777777" w:rsidR="00BA07C5" w:rsidRPr="009441E7" w:rsidRDefault="00BA07C5" w:rsidP="00B06F47">
      <w:pPr>
        <w:spacing w:after="240"/>
        <w:ind w:left="709" w:hanging="709"/>
        <w:rPr>
          <w:rFonts w:ascii="Fira Sans SemiBold" w:hAnsi="Fira Sans SemiBold"/>
          <w:sz w:val="18"/>
          <w:shd w:val="clear" w:color="auto" w:fill="FFFFFF"/>
          <w:lang w:val="en-US"/>
        </w:rPr>
      </w:pPr>
      <w:r w:rsidRPr="009441E7">
        <w:rPr>
          <w:rFonts w:ascii="Fira Sans SemiBold" w:hAnsi="Fira Sans SemiBold"/>
          <w:sz w:val="18"/>
          <w:shd w:val="clear" w:color="auto" w:fill="FFFFFF"/>
          <w:lang w:val="en-US"/>
        </w:rPr>
        <w:t>Table 2. Structure of average monthly expenditure per capita in households by quarters</w:t>
      </w:r>
    </w:p>
    <w:tbl>
      <w:tblPr>
        <w:tblStyle w:val="Siatkatabelijasna2"/>
        <w:tblW w:w="7938" w:type="dxa"/>
        <w:jc w:val="center"/>
        <w:tblInd w:w="0"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Layout w:type="fixed"/>
        <w:tblCellMar>
          <w:top w:w="57" w:type="dxa"/>
          <w:bottom w:w="57" w:type="dxa"/>
        </w:tblCellMar>
        <w:tblLook w:val="0000" w:firstRow="0" w:lastRow="0" w:firstColumn="0" w:lastColumn="0" w:noHBand="0" w:noVBand="0"/>
      </w:tblPr>
      <w:tblGrid>
        <w:gridCol w:w="2268"/>
        <w:gridCol w:w="567"/>
        <w:gridCol w:w="567"/>
        <w:gridCol w:w="567"/>
        <w:gridCol w:w="567"/>
        <w:gridCol w:w="567"/>
        <w:gridCol w:w="567"/>
        <w:gridCol w:w="567"/>
        <w:gridCol w:w="567"/>
        <w:gridCol w:w="567"/>
        <w:gridCol w:w="567"/>
      </w:tblGrid>
      <w:tr w:rsidR="00BA07C5" w:rsidRPr="00BA07C5" w14:paraId="7EE94E6D" w14:textId="77777777" w:rsidTr="00BA07C5">
        <w:trPr>
          <w:trHeight w:val="57"/>
          <w:jc w:val="center"/>
        </w:trPr>
        <w:tc>
          <w:tcPr>
            <w:tcW w:w="2268" w:type="dxa"/>
            <w:vMerge w:val="restart"/>
            <w:tcBorders>
              <w:top w:val="nil"/>
              <w:right w:val="single" w:sz="4" w:space="0" w:color="001D77"/>
            </w:tcBorders>
            <w:vAlign w:val="center"/>
          </w:tcPr>
          <w:p w14:paraId="7EE94E67" w14:textId="77777777" w:rsidR="00BA07C5" w:rsidRPr="00BA07C5" w:rsidRDefault="00BA07C5" w:rsidP="00BA07C5">
            <w:pPr>
              <w:pStyle w:val="tekstnaniebieskimtle"/>
              <w:spacing w:line="240" w:lineRule="exact"/>
              <w:jc w:val="center"/>
              <w:rPr>
                <w:b/>
                <w:bCs/>
                <w:sz w:val="16"/>
                <w:szCs w:val="16"/>
                <w:lang w:val="en-US"/>
              </w:rPr>
            </w:pPr>
            <w:r>
              <w:rPr>
                <w:sz w:val="16"/>
                <w:szCs w:val="16"/>
                <w:lang w:val="en-US"/>
              </w:rPr>
              <w:t>SPECIFICATION</w:t>
            </w:r>
          </w:p>
        </w:tc>
        <w:tc>
          <w:tcPr>
            <w:tcW w:w="1134" w:type="dxa"/>
            <w:gridSpan w:val="2"/>
            <w:tcBorders>
              <w:top w:val="nil"/>
              <w:right w:val="single" w:sz="4" w:space="0" w:color="001D77"/>
            </w:tcBorders>
            <w:vAlign w:val="center"/>
          </w:tcPr>
          <w:p w14:paraId="7EE94E68" w14:textId="77777777" w:rsidR="00BA07C5" w:rsidRPr="00BA07C5" w:rsidRDefault="00BA07C5" w:rsidP="00BA07C5">
            <w:pPr>
              <w:pStyle w:val="Nagwek3"/>
              <w:spacing w:before="0"/>
              <w:jc w:val="center"/>
              <w:outlineLvl w:val="2"/>
              <w:rPr>
                <w:rFonts w:ascii="Fira Sans" w:hAnsi="Fira Sans"/>
                <w:color w:val="000000" w:themeColor="text1"/>
                <w:sz w:val="16"/>
                <w:szCs w:val="16"/>
                <w:lang w:val="en-US"/>
              </w:rPr>
            </w:pPr>
            <w:r>
              <w:rPr>
                <w:rFonts w:ascii="Fira Sans" w:hAnsi="Fira Sans"/>
                <w:color w:val="000000" w:themeColor="text1"/>
                <w:sz w:val="16"/>
                <w:szCs w:val="16"/>
                <w:lang w:val="en-US"/>
              </w:rPr>
              <w:t>Total</w:t>
            </w:r>
          </w:p>
        </w:tc>
        <w:tc>
          <w:tcPr>
            <w:tcW w:w="1134" w:type="dxa"/>
            <w:gridSpan w:val="2"/>
            <w:tcBorders>
              <w:top w:val="nil"/>
              <w:left w:val="single" w:sz="4" w:space="0" w:color="001D77"/>
              <w:bottom w:val="single" w:sz="4" w:space="0" w:color="001D77"/>
              <w:right w:val="single" w:sz="4" w:space="0" w:color="001D77"/>
            </w:tcBorders>
            <w:vAlign w:val="center"/>
          </w:tcPr>
          <w:p w14:paraId="7EE94E69" w14:textId="77777777" w:rsidR="00BA07C5" w:rsidRPr="002138DD" w:rsidRDefault="00BA07C5" w:rsidP="00BA07C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the 1st quarter</w:t>
            </w:r>
          </w:p>
        </w:tc>
        <w:tc>
          <w:tcPr>
            <w:tcW w:w="1134" w:type="dxa"/>
            <w:gridSpan w:val="2"/>
            <w:tcBorders>
              <w:top w:val="nil"/>
              <w:left w:val="single" w:sz="4" w:space="0" w:color="001D77"/>
              <w:bottom w:val="single" w:sz="4" w:space="0" w:color="001D77"/>
              <w:right w:val="single" w:sz="4" w:space="0" w:color="001D77"/>
            </w:tcBorders>
            <w:vAlign w:val="center"/>
          </w:tcPr>
          <w:p w14:paraId="7EE94E6A" w14:textId="77777777" w:rsidR="00BA07C5" w:rsidRPr="002138DD" w:rsidRDefault="00BA07C5" w:rsidP="00BA07C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 xml:space="preserve">the </w:t>
            </w:r>
            <w:r>
              <w:rPr>
                <w:rFonts w:ascii="Fira Sans" w:hAnsi="Fira Sans"/>
                <w:color w:val="000000" w:themeColor="text1"/>
                <w:sz w:val="16"/>
                <w:szCs w:val="16"/>
                <w:lang w:val="en-GB"/>
              </w:rPr>
              <w:t>2nd</w:t>
            </w:r>
            <w:r w:rsidRPr="003B6D42">
              <w:rPr>
                <w:rFonts w:ascii="Fira Sans" w:hAnsi="Fira Sans"/>
                <w:color w:val="000000" w:themeColor="text1"/>
                <w:sz w:val="16"/>
                <w:szCs w:val="16"/>
                <w:lang w:val="en-GB"/>
              </w:rPr>
              <w:t xml:space="preserve"> quarter</w:t>
            </w:r>
          </w:p>
        </w:tc>
        <w:tc>
          <w:tcPr>
            <w:tcW w:w="1134" w:type="dxa"/>
            <w:gridSpan w:val="2"/>
            <w:tcBorders>
              <w:top w:val="nil"/>
              <w:left w:val="single" w:sz="4" w:space="0" w:color="001D77"/>
              <w:bottom w:val="single" w:sz="4" w:space="0" w:color="001D77"/>
              <w:right w:val="single" w:sz="4" w:space="0" w:color="001D77"/>
            </w:tcBorders>
            <w:vAlign w:val="center"/>
          </w:tcPr>
          <w:p w14:paraId="7EE94E6B" w14:textId="77777777" w:rsidR="00BA07C5" w:rsidRPr="002138DD" w:rsidRDefault="00BA07C5" w:rsidP="00BA07C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 xml:space="preserve">the </w:t>
            </w:r>
            <w:r>
              <w:rPr>
                <w:rFonts w:ascii="Fira Sans" w:hAnsi="Fira Sans"/>
                <w:color w:val="000000" w:themeColor="text1"/>
                <w:sz w:val="16"/>
                <w:szCs w:val="16"/>
                <w:lang w:val="en-GB"/>
              </w:rPr>
              <w:t>3rd</w:t>
            </w:r>
            <w:r w:rsidRPr="003B6D42">
              <w:rPr>
                <w:rFonts w:ascii="Fira Sans" w:hAnsi="Fira Sans"/>
                <w:color w:val="000000" w:themeColor="text1"/>
                <w:sz w:val="16"/>
                <w:szCs w:val="16"/>
                <w:lang w:val="en-GB"/>
              </w:rPr>
              <w:t xml:space="preserve"> quarter</w:t>
            </w:r>
          </w:p>
        </w:tc>
        <w:tc>
          <w:tcPr>
            <w:tcW w:w="1134" w:type="dxa"/>
            <w:gridSpan w:val="2"/>
            <w:tcBorders>
              <w:top w:val="nil"/>
              <w:left w:val="single" w:sz="4" w:space="0" w:color="001D77"/>
              <w:bottom w:val="single" w:sz="4" w:space="0" w:color="001D77"/>
            </w:tcBorders>
            <w:vAlign w:val="center"/>
          </w:tcPr>
          <w:p w14:paraId="7EE94E6C" w14:textId="77777777" w:rsidR="00BA07C5" w:rsidRPr="002138DD" w:rsidRDefault="00BA07C5" w:rsidP="00BA07C5">
            <w:pPr>
              <w:pStyle w:val="Nagwek3"/>
              <w:spacing w:before="0"/>
              <w:jc w:val="center"/>
              <w:outlineLvl w:val="2"/>
              <w:rPr>
                <w:rFonts w:ascii="Fira Sans" w:hAnsi="Fira Sans"/>
                <w:color w:val="000000" w:themeColor="text1"/>
                <w:sz w:val="16"/>
                <w:szCs w:val="16"/>
                <w:lang w:val="en-GB"/>
              </w:rPr>
            </w:pPr>
            <w:r w:rsidRPr="003B6D42">
              <w:rPr>
                <w:rFonts w:ascii="Fira Sans" w:hAnsi="Fira Sans"/>
                <w:color w:val="000000" w:themeColor="text1"/>
                <w:sz w:val="16"/>
                <w:szCs w:val="16"/>
                <w:lang w:val="en-GB"/>
              </w:rPr>
              <w:t xml:space="preserve">the </w:t>
            </w:r>
            <w:r>
              <w:rPr>
                <w:rFonts w:ascii="Fira Sans" w:hAnsi="Fira Sans"/>
                <w:color w:val="000000" w:themeColor="text1"/>
                <w:sz w:val="16"/>
                <w:szCs w:val="16"/>
                <w:lang w:val="en-GB"/>
              </w:rPr>
              <w:t>4th</w:t>
            </w:r>
            <w:r w:rsidRPr="003B6D42">
              <w:rPr>
                <w:rFonts w:ascii="Fira Sans" w:hAnsi="Fira Sans"/>
                <w:color w:val="000000" w:themeColor="text1"/>
                <w:sz w:val="16"/>
                <w:szCs w:val="16"/>
                <w:lang w:val="en-GB"/>
              </w:rPr>
              <w:t xml:space="preserve"> quarter</w:t>
            </w:r>
          </w:p>
        </w:tc>
      </w:tr>
      <w:tr w:rsidR="00BA07C5" w:rsidRPr="00BA07C5" w14:paraId="7EE94E79" w14:textId="77777777" w:rsidTr="00DA1921">
        <w:trPr>
          <w:trHeight w:val="57"/>
          <w:jc w:val="center"/>
        </w:trPr>
        <w:tc>
          <w:tcPr>
            <w:tcW w:w="2268" w:type="dxa"/>
            <w:vMerge/>
            <w:tcBorders>
              <w:right w:val="single" w:sz="4" w:space="0" w:color="001D77"/>
            </w:tcBorders>
            <w:vAlign w:val="center"/>
          </w:tcPr>
          <w:p w14:paraId="7EE94E6E" w14:textId="77777777" w:rsidR="00BA07C5" w:rsidRPr="00BA07C5" w:rsidRDefault="00BA07C5" w:rsidP="00BA07C5">
            <w:pPr>
              <w:pStyle w:val="tekstnaniebieskimtle"/>
              <w:spacing w:line="240" w:lineRule="exact"/>
              <w:jc w:val="center"/>
              <w:rPr>
                <w:b/>
                <w:sz w:val="16"/>
                <w:szCs w:val="16"/>
                <w:lang w:val="en-US"/>
              </w:rPr>
            </w:pPr>
          </w:p>
        </w:tc>
        <w:tc>
          <w:tcPr>
            <w:tcW w:w="567" w:type="dxa"/>
            <w:tcBorders>
              <w:right w:val="single" w:sz="4" w:space="0" w:color="001D77"/>
            </w:tcBorders>
            <w:vAlign w:val="center"/>
          </w:tcPr>
          <w:p w14:paraId="7EE94E6F"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2019</w:t>
            </w:r>
          </w:p>
        </w:tc>
        <w:tc>
          <w:tcPr>
            <w:tcW w:w="567" w:type="dxa"/>
            <w:tcBorders>
              <w:top w:val="single" w:sz="4" w:space="0" w:color="212492"/>
              <w:bottom w:val="single" w:sz="4" w:space="0" w:color="212492"/>
              <w:right w:val="single" w:sz="4" w:space="0" w:color="001D77"/>
            </w:tcBorders>
            <w:shd w:val="clear" w:color="auto" w:fill="CCD1E3"/>
            <w:vAlign w:val="center"/>
          </w:tcPr>
          <w:p w14:paraId="7EE94E70"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2020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71"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2019</w:t>
            </w:r>
          </w:p>
        </w:tc>
        <w:tc>
          <w:tcPr>
            <w:tcW w:w="567" w:type="dxa"/>
            <w:tcBorders>
              <w:top w:val="single" w:sz="4" w:space="0" w:color="212492"/>
              <w:left w:val="single" w:sz="4" w:space="0" w:color="001D77"/>
              <w:bottom w:val="single" w:sz="4" w:space="0" w:color="212492"/>
              <w:right w:val="single" w:sz="4" w:space="0" w:color="001D77"/>
            </w:tcBorders>
            <w:shd w:val="clear" w:color="auto" w:fill="CCD1E3"/>
            <w:vAlign w:val="center"/>
          </w:tcPr>
          <w:p w14:paraId="7EE94E72"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2020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73"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2019</w:t>
            </w:r>
          </w:p>
        </w:tc>
        <w:tc>
          <w:tcPr>
            <w:tcW w:w="567" w:type="dxa"/>
            <w:tcBorders>
              <w:top w:val="single" w:sz="4" w:space="0" w:color="212492"/>
              <w:left w:val="single" w:sz="4" w:space="0" w:color="001D77"/>
              <w:bottom w:val="single" w:sz="4" w:space="0" w:color="212492"/>
              <w:right w:val="single" w:sz="4" w:space="0" w:color="001D77"/>
            </w:tcBorders>
            <w:shd w:val="clear" w:color="auto" w:fill="CCD1E3"/>
            <w:vAlign w:val="center"/>
          </w:tcPr>
          <w:p w14:paraId="7EE94E74"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2020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75"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2019</w:t>
            </w:r>
          </w:p>
        </w:tc>
        <w:tc>
          <w:tcPr>
            <w:tcW w:w="567" w:type="dxa"/>
            <w:tcBorders>
              <w:top w:val="single" w:sz="4" w:space="0" w:color="212492"/>
              <w:left w:val="single" w:sz="4" w:space="0" w:color="001D77"/>
              <w:bottom w:val="single" w:sz="4" w:space="0" w:color="212492"/>
              <w:right w:val="single" w:sz="4" w:space="0" w:color="001D77"/>
            </w:tcBorders>
            <w:shd w:val="clear" w:color="auto" w:fill="CCD1E3"/>
            <w:vAlign w:val="center"/>
          </w:tcPr>
          <w:p w14:paraId="7EE94E76"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2020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77"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2019</w:t>
            </w:r>
          </w:p>
        </w:tc>
        <w:tc>
          <w:tcPr>
            <w:tcW w:w="567" w:type="dxa"/>
            <w:tcBorders>
              <w:top w:val="single" w:sz="4" w:space="0" w:color="001D77"/>
              <w:left w:val="single" w:sz="4" w:space="0" w:color="001D77"/>
              <w:bottom w:val="single" w:sz="4" w:space="0" w:color="001D77"/>
            </w:tcBorders>
            <w:shd w:val="clear" w:color="auto" w:fill="CCD1E3"/>
            <w:vAlign w:val="center"/>
          </w:tcPr>
          <w:p w14:paraId="7EE94E78" w14:textId="77777777" w:rsidR="00BA07C5" w:rsidRPr="00BA07C5" w:rsidRDefault="00BA07C5" w:rsidP="00BA07C5">
            <w:pPr>
              <w:spacing w:before="0" w:after="0"/>
              <w:jc w:val="center"/>
              <w:rPr>
                <w:color w:val="000000" w:themeColor="text1"/>
                <w:sz w:val="16"/>
                <w:szCs w:val="16"/>
                <w:lang w:val="en-US"/>
              </w:rPr>
            </w:pPr>
            <w:r w:rsidRPr="00BA07C5">
              <w:rPr>
                <w:color w:val="000000" w:themeColor="text1"/>
                <w:sz w:val="16"/>
                <w:szCs w:val="16"/>
                <w:lang w:val="en-US"/>
              </w:rPr>
              <w:t>2020</w:t>
            </w:r>
          </w:p>
        </w:tc>
      </w:tr>
      <w:tr w:rsidR="00BA07C5" w:rsidRPr="00BA07C5" w14:paraId="7EE94E7C" w14:textId="77777777" w:rsidTr="00BA07C5">
        <w:trPr>
          <w:trHeight w:val="57"/>
          <w:jc w:val="center"/>
        </w:trPr>
        <w:tc>
          <w:tcPr>
            <w:tcW w:w="2268" w:type="dxa"/>
            <w:vMerge/>
            <w:tcBorders>
              <w:bottom w:val="single" w:sz="12" w:space="0" w:color="001D77"/>
              <w:right w:val="single" w:sz="4" w:space="0" w:color="001D77"/>
            </w:tcBorders>
            <w:vAlign w:val="center"/>
          </w:tcPr>
          <w:p w14:paraId="7EE94E7A" w14:textId="77777777" w:rsidR="00BA07C5" w:rsidRPr="00BA07C5" w:rsidRDefault="00BA07C5" w:rsidP="00BA07C5">
            <w:pPr>
              <w:pStyle w:val="tekstnaniebieskimtle"/>
              <w:spacing w:line="240" w:lineRule="exact"/>
              <w:jc w:val="center"/>
              <w:rPr>
                <w:b/>
                <w:sz w:val="16"/>
                <w:szCs w:val="16"/>
                <w:lang w:val="en-US"/>
              </w:rPr>
            </w:pPr>
          </w:p>
        </w:tc>
        <w:tc>
          <w:tcPr>
            <w:tcW w:w="5670" w:type="dxa"/>
            <w:gridSpan w:val="10"/>
            <w:tcBorders>
              <w:bottom w:val="single" w:sz="12" w:space="0" w:color="001D77"/>
            </w:tcBorders>
            <w:vAlign w:val="center"/>
          </w:tcPr>
          <w:p w14:paraId="7EE94E7B" w14:textId="77777777" w:rsidR="00BA07C5" w:rsidRPr="00BA07C5" w:rsidRDefault="00BA07C5" w:rsidP="00BA07C5">
            <w:pPr>
              <w:spacing w:before="0" w:after="0"/>
              <w:jc w:val="center"/>
              <w:rPr>
                <w:color w:val="000000" w:themeColor="text1"/>
                <w:sz w:val="16"/>
                <w:szCs w:val="16"/>
                <w:lang w:val="en-US"/>
              </w:rPr>
            </w:pPr>
            <w:r>
              <w:rPr>
                <w:bCs/>
                <w:spacing w:val="-2"/>
                <w:sz w:val="16"/>
                <w:szCs w:val="16"/>
                <w:shd w:val="clear" w:color="auto" w:fill="FFFFFF"/>
                <w:lang w:val="en-US"/>
              </w:rPr>
              <w:t>in</w:t>
            </w:r>
            <w:r w:rsidRPr="00BA07C5">
              <w:rPr>
                <w:bCs/>
                <w:spacing w:val="-2"/>
                <w:sz w:val="16"/>
                <w:szCs w:val="16"/>
                <w:shd w:val="clear" w:color="auto" w:fill="FFFFFF"/>
                <w:lang w:val="en-US"/>
              </w:rPr>
              <w:t xml:space="preserve"> % </w:t>
            </w:r>
            <w:r>
              <w:rPr>
                <w:bCs/>
                <w:spacing w:val="-2"/>
                <w:sz w:val="16"/>
                <w:szCs w:val="16"/>
                <w:shd w:val="clear" w:color="auto" w:fill="FFFFFF"/>
                <w:lang w:val="en-US"/>
              </w:rPr>
              <w:t>of total expenditure</w:t>
            </w:r>
          </w:p>
        </w:tc>
      </w:tr>
      <w:tr w:rsidR="00BA07C5" w:rsidRPr="00BA07C5" w14:paraId="7EE94E88" w14:textId="77777777" w:rsidTr="00DA1921">
        <w:trPr>
          <w:trHeight w:val="20"/>
          <w:jc w:val="center"/>
        </w:trPr>
        <w:tc>
          <w:tcPr>
            <w:tcW w:w="2268" w:type="dxa"/>
            <w:tcBorders>
              <w:top w:val="single" w:sz="12" w:space="0" w:color="001D77"/>
              <w:bottom w:val="single" w:sz="4" w:space="0" w:color="001D77"/>
            </w:tcBorders>
            <w:vAlign w:val="center"/>
          </w:tcPr>
          <w:p w14:paraId="7EE94E7D" w14:textId="77777777" w:rsidR="00BA07C5" w:rsidRPr="00BA07C5" w:rsidRDefault="004B148D" w:rsidP="00BA07C5">
            <w:pPr>
              <w:spacing w:before="0" w:after="0"/>
              <w:rPr>
                <w:rFonts w:ascii="Times New Roman" w:hAnsi="Times New Roman"/>
                <w:color w:val="000000"/>
                <w:sz w:val="16"/>
                <w:szCs w:val="16"/>
                <w:lang w:val="en-US"/>
              </w:rPr>
            </w:pPr>
            <w:r>
              <w:rPr>
                <w:color w:val="000000"/>
                <w:sz w:val="16"/>
                <w:szCs w:val="16"/>
                <w:lang w:val="en-US"/>
              </w:rPr>
              <w:t>Food and non-alcoholic beverages</w:t>
            </w:r>
          </w:p>
        </w:tc>
        <w:tc>
          <w:tcPr>
            <w:tcW w:w="567" w:type="dxa"/>
            <w:tcBorders>
              <w:top w:val="single" w:sz="12" w:space="0" w:color="001D77"/>
              <w:bottom w:val="single" w:sz="4" w:space="0" w:color="001D77"/>
            </w:tcBorders>
            <w:vAlign w:val="center"/>
          </w:tcPr>
          <w:p w14:paraId="7EE94E7E"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25,1</w:t>
            </w:r>
          </w:p>
        </w:tc>
        <w:tc>
          <w:tcPr>
            <w:tcW w:w="567" w:type="dxa"/>
            <w:tcBorders>
              <w:top w:val="single" w:sz="12" w:space="0" w:color="001D77"/>
              <w:bottom w:val="single" w:sz="4" w:space="0" w:color="001D77"/>
            </w:tcBorders>
            <w:shd w:val="clear" w:color="auto" w:fill="CCD1E3"/>
            <w:vAlign w:val="center"/>
          </w:tcPr>
          <w:p w14:paraId="7EE94E7F"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27,7</w:t>
            </w:r>
          </w:p>
        </w:tc>
        <w:tc>
          <w:tcPr>
            <w:tcW w:w="567" w:type="dxa"/>
            <w:tcBorders>
              <w:top w:val="single" w:sz="12" w:space="0" w:color="001D77"/>
              <w:bottom w:val="single" w:sz="4" w:space="0" w:color="001D77"/>
            </w:tcBorders>
            <w:vAlign w:val="center"/>
          </w:tcPr>
          <w:p w14:paraId="7EE94E8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25,0</w:t>
            </w:r>
          </w:p>
        </w:tc>
        <w:tc>
          <w:tcPr>
            <w:tcW w:w="567" w:type="dxa"/>
            <w:tcBorders>
              <w:top w:val="single" w:sz="12" w:space="0" w:color="001D77"/>
              <w:bottom w:val="single" w:sz="4" w:space="0" w:color="001D77"/>
            </w:tcBorders>
            <w:shd w:val="clear" w:color="auto" w:fill="CCD1E3"/>
            <w:vAlign w:val="center"/>
          </w:tcPr>
          <w:p w14:paraId="7EE94E8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27,1</w:t>
            </w:r>
          </w:p>
        </w:tc>
        <w:tc>
          <w:tcPr>
            <w:tcW w:w="567" w:type="dxa"/>
            <w:tcBorders>
              <w:top w:val="single" w:sz="12" w:space="0" w:color="001D77"/>
              <w:bottom w:val="single" w:sz="4" w:space="0" w:color="001D77"/>
            </w:tcBorders>
            <w:vAlign w:val="center"/>
          </w:tcPr>
          <w:p w14:paraId="7EE94E8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25,6</w:t>
            </w:r>
          </w:p>
        </w:tc>
        <w:tc>
          <w:tcPr>
            <w:tcW w:w="567" w:type="dxa"/>
            <w:tcBorders>
              <w:top w:val="single" w:sz="12" w:space="0" w:color="001D77"/>
              <w:bottom w:val="single" w:sz="4" w:space="0" w:color="001D77"/>
            </w:tcBorders>
            <w:shd w:val="clear" w:color="auto" w:fill="CCD1E3"/>
            <w:vAlign w:val="center"/>
          </w:tcPr>
          <w:p w14:paraId="7EE94E8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29,8</w:t>
            </w:r>
          </w:p>
        </w:tc>
        <w:tc>
          <w:tcPr>
            <w:tcW w:w="567" w:type="dxa"/>
            <w:tcBorders>
              <w:top w:val="single" w:sz="12" w:space="0" w:color="001D77"/>
              <w:bottom w:val="single" w:sz="4" w:space="0" w:color="001D77"/>
            </w:tcBorders>
            <w:vAlign w:val="center"/>
          </w:tcPr>
          <w:p w14:paraId="7EE94E8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24,7</w:t>
            </w:r>
          </w:p>
        </w:tc>
        <w:tc>
          <w:tcPr>
            <w:tcW w:w="567" w:type="dxa"/>
            <w:tcBorders>
              <w:top w:val="single" w:sz="12" w:space="0" w:color="001D77"/>
              <w:bottom w:val="single" w:sz="4" w:space="0" w:color="001D77"/>
            </w:tcBorders>
            <w:shd w:val="clear" w:color="auto" w:fill="CCD1E3"/>
            <w:vAlign w:val="center"/>
          </w:tcPr>
          <w:p w14:paraId="7EE94E8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25,8</w:t>
            </w:r>
          </w:p>
        </w:tc>
        <w:tc>
          <w:tcPr>
            <w:tcW w:w="567" w:type="dxa"/>
            <w:tcBorders>
              <w:top w:val="single" w:sz="12" w:space="0" w:color="001D77"/>
              <w:bottom w:val="single" w:sz="4" w:space="0" w:color="001D77"/>
            </w:tcBorders>
            <w:vAlign w:val="center"/>
          </w:tcPr>
          <w:p w14:paraId="7EE94E8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25,2</w:t>
            </w:r>
          </w:p>
        </w:tc>
        <w:tc>
          <w:tcPr>
            <w:tcW w:w="567" w:type="dxa"/>
            <w:tcBorders>
              <w:top w:val="single" w:sz="12" w:space="0" w:color="001D77"/>
              <w:bottom w:val="single" w:sz="4" w:space="0" w:color="001D77"/>
              <w:right w:val="nil"/>
            </w:tcBorders>
            <w:shd w:val="clear" w:color="auto" w:fill="CCD1E3"/>
            <w:vAlign w:val="center"/>
          </w:tcPr>
          <w:p w14:paraId="7EE94E8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28,1</w:t>
            </w:r>
          </w:p>
        </w:tc>
      </w:tr>
      <w:tr w:rsidR="00BA07C5" w:rsidRPr="00BA07C5" w14:paraId="7EE94E94"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89" w14:textId="77777777" w:rsidR="00BA07C5" w:rsidRPr="00BA07C5" w:rsidRDefault="004B148D" w:rsidP="00BA07C5">
            <w:pPr>
              <w:spacing w:before="0" w:after="0"/>
              <w:rPr>
                <w:color w:val="000000"/>
                <w:sz w:val="16"/>
                <w:szCs w:val="16"/>
                <w:lang w:val="en-US"/>
              </w:rPr>
            </w:pPr>
            <w:r>
              <w:rPr>
                <w:color w:val="000000"/>
                <w:sz w:val="16"/>
                <w:szCs w:val="16"/>
                <w:lang w:val="en-US"/>
              </w:rPr>
              <w:t>Alcoholic beverages, tobacco</w:t>
            </w:r>
          </w:p>
        </w:tc>
        <w:tc>
          <w:tcPr>
            <w:tcW w:w="567" w:type="dxa"/>
            <w:tcBorders>
              <w:top w:val="single" w:sz="4" w:space="0" w:color="001D77"/>
              <w:bottom w:val="single" w:sz="4" w:space="0" w:color="001D77"/>
              <w:right w:val="single" w:sz="4" w:space="0" w:color="001D77"/>
            </w:tcBorders>
            <w:vAlign w:val="center"/>
          </w:tcPr>
          <w:p w14:paraId="7EE94E8A"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2,5</w:t>
            </w:r>
          </w:p>
        </w:tc>
        <w:tc>
          <w:tcPr>
            <w:tcW w:w="567" w:type="dxa"/>
            <w:tcBorders>
              <w:top w:val="single" w:sz="4" w:space="0" w:color="001D77"/>
              <w:bottom w:val="single" w:sz="4" w:space="0" w:color="001D77"/>
              <w:right w:val="single" w:sz="4" w:space="0" w:color="001D77"/>
            </w:tcBorders>
            <w:shd w:val="clear" w:color="auto" w:fill="CCD1E3"/>
            <w:vAlign w:val="center"/>
          </w:tcPr>
          <w:p w14:paraId="7EE94E8B"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2,9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8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2,3</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8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2,4</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8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8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9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9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9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2,6</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9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3,0</w:t>
            </w:r>
          </w:p>
        </w:tc>
      </w:tr>
      <w:tr w:rsidR="00BA07C5" w:rsidRPr="00BA07C5" w14:paraId="7EE94EA0"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95" w14:textId="77777777" w:rsidR="00BA07C5" w:rsidRPr="00BA07C5" w:rsidRDefault="004B148D" w:rsidP="00BA07C5">
            <w:pPr>
              <w:spacing w:before="0" w:after="0"/>
              <w:rPr>
                <w:color w:val="000000"/>
                <w:sz w:val="16"/>
                <w:szCs w:val="16"/>
                <w:lang w:val="en-US"/>
              </w:rPr>
            </w:pPr>
            <w:r>
              <w:rPr>
                <w:color w:val="000000"/>
                <w:sz w:val="16"/>
                <w:szCs w:val="16"/>
                <w:lang w:val="en-US"/>
              </w:rPr>
              <w:t>Clothing and footwear</w:t>
            </w:r>
          </w:p>
        </w:tc>
        <w:tc>
          <w:tcPr>
            <w:tcW w:w="567" w:type="dxa"/>
            <w:tcBorders>
              <w:top w:val="single" w:sz="4" w:space="0" w:color="001D77"/>
              <w:bottom w:val="single" w:sz="4" w:space="0" w:color="001D77"/>
              <w:right w:val="single" w:sz="4" w:space="0" w:color="001D77"/>
            </w:tcBorders>
            <w:vAlign w:val="center"/>
          </w:tcPr>
          <w:p w14:paraId="7EE94E96"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4,8</w:t>
            </w:r>
          </w:p>
        </w:tc>
        <w:tc>
          <w:tcPr>
            <w:tcW w:w="567" w:type="dxa"/>
            <w:tcBorders>
              <w:top w:val="single" w:sz="4" w:space="0" w:color="001D77"/>
              <w:bottom w:val="single" w:sz="4" w:space="0" w:color="001D77"/>
              <w:right w:val="single" w:sz="4" w:space="0" w:color="001D77"/>
            </w:tcBorders>
            <w:shd w:val="clear" w:color="auto" w:fill="CCD1E3"/>
            <w:vAlign w:val="center"/>
          </w:tcPr>
          <w:p w14:paraId="7EE94E97"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4,1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98"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4,5</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99"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9A"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9B"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9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4,7</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9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9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5,1</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9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4,4</w:t>
            </w:r>
          </w:p>
        </w:tc>
      </w:tr>
      <w:tr w:rsidR="00BA07C5" w:rsidRPr="00BA07C5" w14:paraId="7EE94EAC"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A1" w14:textId="77777777" w:rsidR="00BA07C5" w:rsidRPr="00BA07C5" w:rsidRDefault="004B148D" w:rsidP="00BA07C5">
            <w:pPr>
              <w:spacing w:before="0" w:after="0"/>
              <w:rPr>
                <w:color w:val="000000"/>
                <w:sz w:val="16"/>
                <w:szCs w:val="16"/>
                <w:lang w:val="en-US"/>
              </w:rPr>
            </w:pPr>
            <w:r>
              <w:rPr>
                <w:color w:val="000000"/>
                <w:sz w:val="16"/>
                <w:szCs w:val="16"/>
                <w:lang w:val="en-US"/>
              </w:rPr>
              <w:t>Housing, water, electricity, gas and other fuels</w:t>
            </w:r>
          </w:p>
        </w:tc>
        <w:tc>
          <w:tcPr>
            <w:tcW w:w="567" w:type="dxa"/>
            <w:tcBorders>
              <w:top w:val="single" w:sz="4" w:space="0" w:color="001D77"/>
              <w:bottom w:val="single" w:sz="4" w:space="0" w:color="001D77"/>
              <w:right w:val="single" w:sz="4" w:space="0" w:color="001D77"/>
            </w:tcBorders>
            <w:vAlign w:val="center"/>
          </w:tcPr>
          <w:p w14:paraId="7EE94EA2"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18,0</w:t>
            </w:r>
          </w:p>
        </w:tc>
        <w:tc>
          <w:tcPr>
            <w:tcW w:w="567" w:type="dxa"/>
            <w:tcBorders>
              <w:top w:val="single" w:sz="4" w:space="0" w:color="001D77"/>
              <w:bottom w:val="single" w:sz="4" w:space="0" w:color="001D77"/>
              <w:right w:val="single" w:sz="4" w:space="0" w:color="001D77"/>
            </w:tcBorders>
            <w:shd w:val="clear" w:color="auto" w:fill="CCD1E3"/>
            <w:vAlign w:val="center"/>
          </w:tcPr>
          <w:p w14:paraId="7EE94EA3"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18,8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A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19,3</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A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19,1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A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17,4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A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19,6</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A8"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17,7</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A9"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17,9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AA"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17,6</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AB"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18,8</w:t>
            </w:r>
          </w:p>
        </w:tc>
      </w:tr>
      <w:tr w:rsidR="00BA07C5" w:rsidRPr="00BA07C5" w14:paraId="7EE94EB8"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AD" w14:textId="77777777" w:rsidR="00BA07C5" w:rsidRPr="00BA07C5" w:rsidRDefault="004B148D" w:rsidP="00BA07C5">
            <w:pPr>
              <w:spacing w:before="0" w:after="0"/>
              <w:rPr>
                <w:color w:val="000000"/>
                <w:sz w:val="16"/>
                <w:szCs w:val="16"/>
                <w:lang w:val="en-US"/>
              </w:rPr>
            </w:pPr>
            <w:r>
              <w:rPr>
                <w:color w:val="000000"/>
                <w:sz w:val="16"/>
                <w:szCs w:val="16"/>
                <w:lang w:val="en-US"/>
              </w:rPr>
              <w:t>Furnishings, household equipment and routine maintenance of the house</w:t>
            </w:r>
          </w:p>
        </w:tc>
        <w:tc>
          <w:tcPr>
            <w:tcW w:w="567" w:type="dxa"/>
            <w:tcBorders>
              <w:top w:val="single" w:sz="4" w:space="0" w:color="001D77"/>
              <w:bottom w:val="single" w:sz="4" w:space="0" w:color="001D77"/>
              <w:right w:val="single" w:sz="4" w:space="0" w:color="001D77"/>
            </w:tcBorders>
            <w:vAlign w:val="center"/>
          </w:tcPr>
          <w:p w14:paraId="7EE94EAE"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5,6</w:t>
            </w:r>
          </w:p>
        </w:tc>
        <w:tc>
          <w:tcPr>
            <w:tcW w:w="567" w:type="dxa"/>
            <w:tcBorders>
              <w:top w:val="single" w:sz="4" w:space="0" w:color="001D77"/>
              <w:bottom w:val="single" w:sz="4" w:space="0" w:color="001D77"/>
              <w:right w:val="single" w:sz="4" w:space="0" w:color="001D77"/>
            </w:tcBorders>
            <w:shd w:val="clear" w:color="auto" w:fill="CCD1E3"/>
            <w:vAlign w:val="center"/>
          </w:tcPr>
          <w:p w14:paraId="7EE94EAF"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5,7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B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5,5</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B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B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B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B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B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B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5,7</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B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6,0</w:t>
            </w:r>
          </w:p>
        </w:tc>
      </w:tr>
      <w:tr w:rsidR="00BA07C5" w:rsidRPr="00BA07C5" w14:paraId="7EE94EC4"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B9" w14:textId="77777777" w:rsidR="00BA07C5" w:rsidRPr="00BA07C5" w:rsidRDefault="004B148D" w:rsidP="00BA07C5">
            <w:pPr>
              <w:spacing w:before="0" w:after="0"/>
              <w:rPr>
                <w:color w:val="000000"/>
                <w:sz w:val="16"/>
                <w:szCs w:val="16"/>
                <w:lang w:val="en-US"/>
              </w:rPr>
            </w:pPr>
            <w:r>
              <w:rPr>
                <w:color w:val="000000"/>
                <w:sz w:val="16"/>
                <w:szCs w:val="16"/>
                <w:lang w:val="en-US"/>
              </w:rPr>
              <w:t>Health</w:t>
            </w:r>
          </w:p>
        </w:tc>
        <w:tc>
          <w:tcPr>
            <w:tcW w:w="567" w:type="dxa"/>
            <w:tcBorders>
              <w:top w:val="single" w:sz="4" w:space="0" w:color="001D77"/>
              <w:bottom w:val="single" w:sz="4" w:space="0" w:color="001D77"/>
              <w:right w:val="single" w:sz="4" w:space="0" w:color="001D77"/>
            </w:tcBorders>
            <w:vAlign w:val="center"/>
          </w:tcPr>
          <w:p w14:paraId="7EE94EBA"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5,1</w:t>
            </w:r>
          </w:p>
        </w:tc>
        <w:tc>
          <w:tcPr>
            <w:tcW w:w="567" w:type="dxa"/>
            <w:tcBorders>
              <w:top w:val="single" w:sz="4" w:space="0" w:color="001D77"/>
              <w:bottom w:val="single" w:sz="4" w:space="0" w:color="001D77"/>
              <w:right w:val="single" w:sz="4" w:space="0" w:color="001D77"/>
            </w:tcBorders>
            <w:shd w:val="clear" w:color="auto" w:fill="CCD1E3"/>
            <w:vAlign w:val="center"/>
          </w:tcPr>
          <w:p w14:paraId="7EE94EBB"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5,3</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B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B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B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5,0</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B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4,4</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C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5,0</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C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C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5,1</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C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5,6</w:t>
            </w:r>
          </w:p>
        </w:tc>
      </w:tr>
      <w:tr w:rsidR="00BA07C5" w:rsidRPr="00BA07C5" w14:paraId="7EE94ED0"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C5" w14:textId="77777777" w:rsidR="00BA07C5" w:rsidRPr="00BA07C5" w:rsidRDefault="00BA07C5" w:rsidP="00BA07C5">
            <w:pPr>
              <w:spacing w:before="0" w:after="0"/>
              <w:rPr>
                <w:color w:val="000000"/>
                <w:sz w:val="16"/>
                <w:szCs w:val="16"/>
                <w:lang w:val="en-US"/>
              </w:rPr>
            </w:pPr>
            <w:r w:rsidRPr="00BA07C5">
              <w:rPr>
                <w:color w:val="000000"/>
                <w:sz w:val="16"/>
                <w:szCs w:val="16"/>
                <w:lang w:val="en-US"/>
              </w:rPr>
              <w:t>Transport</w:t>
            </w:r>
          </w:p>
        </w:tc>
        <w:tc>
          <w:tcPr>
            <w:tcW w:w="567" w:type="dxa"/>
            <w:tcBorders>
              <w:top w:val="single" w:sz="4" w:space="0" w:color="001D77"/>
              <w:bottom w:val="single" w:sz="4" w:space="0" w:color="001D77"/>
              <w:right w:val="single" w:sz="4" w:space="0" w:color="001D77"/>
            </w:tcBorders>
            <w:vAlign w:val="center"/>
          </w:tcPr>
          <w:p w14:paraId="7EE94EC6"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9,7</w:t>
            </w:r>
          </w:p>
        </w:tc>
        <w:tc>
          <w:tcPr>
            <w:tcW w:w="567" w:type="dxa"/>
            <w:tcBorders>
              <w:top w:val="single" w:sz="4" w:space="0" w:color="001D77"/>
              <w:bottom w:val="single" w:sz="4" w:space="0" w:color="001D77"/>
              <w:right w:val="single" w:sz="4" w:space="0" w:color="001D77"/>
            </w:tcBorders>
            <w:shd w:val="clear" w:color="auto" w:fill="CCD1E3"/>
            <w:vAlign w:val="center"/>
          </w:tcPr>
          <w:p w14:paraId="7EE94EC7"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8,8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C8"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10,5</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C9"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9,1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CA"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10,1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CB"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8,8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C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9,4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C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9,4</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C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8,9</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C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7,9</w:t>
            </w:r>
          </w:p>
        </w:tc>
      </w:tr>
      <w:tr w:rsidR="00BA07C5" w:rsidRPr="00BA07C5" w14:paraId="7EE94EDC"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D1" w14:textId="77777777" w:rsidR="00BA07C5" w:rsidRPr="00BA07C5" w:rsidRDefault="004B148D" w:rsidP="00BA07C5">
            <w:pPr>
              <w:spacing w:before="0" w:after="0"/>
              <w:rPr>
                <w:color w:val="000000"/>
                <w:sz w:val="16"/>
                <w:szCs w:val="16"/>
                <w:lang w:val="en-US"/>
              </w:rPr>
            </w:pPr>
            <w:r>
              <w:rPr>
                <w:color w:val="000000"/>
                <w:sz w:val="16"/>
                <w:szCs w:val="16"/>
                <w:lang w:val="en-US"/>
              </w:rPr>
              <w:t>Communication</w:t>
            </w:r>
          </w:p>
        </w:tc>
        <w:tc>
          <w:tcPr>
            <w:tcW w:w="567" w:type="dxa"/>
            <w:tcBorders>
              <w:top w:val="single" w:sz="4" w:space="0" w:color="001D77"/>
              <w:bottom w:val="single" w:sz="4" w:space="0" w:color="001D77"/>
              <w:right w:val="single" w:sz="4" w:space="0" w:color="001D77"/>
            </w:tcBorders>
            <w:vAlign w:val="center"/>
          </w:tcPr>
          <w:p w14:paraId="7EE94ED2"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4,4</w:t>
            </w:r>
          </w:p>
        </w:tc>
        <w:tc>
          <w:tcPr>
            <w:tcW w:w="567" w:type="dxa"/>
            <w:tcBorders>
              <w:top w:val="single" w:sz="4" w:space="0" w:color="001D77"/>
              <w:bottom w:val="single" w:sz="4" w:space="0" w:color="001D77"/>
              <w:right w:val="single" w:sz="4" w:space="0" w:color="001D77"/>
            </w:tcBorders>
            <w:shd w:val="clear" w:color="auto" w:fill="CCD1E3"/>
            <w:vAlign w:val="center"/>
          </w:tcPr>
          <w:p w14:paraId="7EE94ED3"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4,9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D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4,6</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D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D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4,5</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D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5,3</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D8"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D9"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DA"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4,3</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DB"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5,0</w:t>
            </w:r>
          </w:p>
        </w:tc>
      </w:tr>
      <w:tr w:rsidR="00BA07C5" w:rsidRPr="00BA07C5" w14:paraId="7EE94EE8"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DD" w14:textId="77777777" w:rsidR="00BA07C5" w:rsidRPr="00BA07C5" w:rsidRDefault="004B148D" w:rsidP="00BA07C5">
            <w:pPr>
              <w:spacing w:before="0" w:after="0"/>
              <w:rPr>
                <w:color w:val="000000"/>
                <w:sz w:val="16"/>
                <w:szCs w:val="16"/>
                <w:lang w:val="en-US"/>
              </w:rPr>
            </w:pPr>
            <w:r>
              <w:rPr>
                <w:color w:val="000000"/>
                <w:sz w:val="16"/>
                <w:szCs w:val="16"/>
                <w:lang w:val="en-US"/>
              </w:rPr>
              <w:t>Recreation and culture</w:t>
            </w:r>
          </w:p>
        </w:tc>
        <w:tc>
          <w:tcPr>
            <w:tcW w:w="567" w:type="dxa"/>
            <w:tcBorders>
              <w:top w:val="single" w:sz="4" w:space="0" w:color="001D77"/>
              <w:bottom w:val="single" w:sz="4" w:space="0" w:color="001D77"/>
              <w:right w:val="single" w:sz="4" w:space="0" w:color="001D77"/>
            </w:tcBorders>
            <w:vAlign w:val="center"/>
          </w:tcPr>
          <w:p w14:paraId="7EE94EDE"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6,6</w:t>
            </w:r>
          </w:p>
        </w:tc>
        <w:tc>
          <w:tcPr>
            <w:tcW w:w="567" w:type="dxa"/>
            <w:tcBorders>
              <w:top w:val="single" w:sz="4" w:space="0" w:color="001D77"/>
              <w:bottom w:val="single" w:sz="4" w:space="0" w:color="001D77"/>
              <w:right w:val="single" w:sz="4" w:space="0" w:color="001D77"/>
            </w:tcBorders>
            <w:shd w:val="clear" w:color="auto" w:fill="CCD1E3"/>
            <w:vAlign w:val="center"/>
          </w:tcPr>
          <w:p w14:paraId="7EE94EDF"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5,7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E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E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E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6,4</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E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5,4</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E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8,1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E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6,5</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E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6,0</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E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5,3</w:t>
            </w:r>
          </w:p>
        </w:tc>
      </w:tr>
      <w:tr w:rsidR="00BA07C5" w:rsidRPr="00BA07C5" w14:paraId="7EE94EF4"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E9" w14:textId="77777777" w:rsidR="00BA07C5" w:rsidRPr="00BA07C5" w:rsidRDefault="004B148D" w:rsidP="00BA07C5">
            <w:pPr>
              <w:spacing w:before="0" w:after="0"/>
              <w:rPr>
                <w:color w:val="000000"/>
                <w:sz w:val="16"/>
                <w:szCs w:val="16"/>
                <w:lang w:val="en-US"/>
              </w:rPr>
            </w:pPr>
            <w:r>
              <w:rPr>
                <w:color w:val="000000"/>
                <w:sz w:val="16"/>
                <w:szCs w:val="16"/>
                <w:lang w:val="en-US"/>
              </w:rPr>
              <w:t>Education</w:t>
            </w:r>
          </w:p>
        </w:tc>
        <w:tc>
          <w:tcPr>
            <w:tcW w:w="567" w:type="dxa"/>
            <w:tcBorders>
              <w:top w:val="single" w:sz="4" w:space="0" w:color="001D77"/>
              <w:bottom w:val="single" w:sz="4" w:space="0" w:color="001D77"/>
              <w:right w:val="single" w:sz="4" w:space="0" w:color="001D77"/>
            </w:tcBorders>
            <w:vAlign w:val="center"/>
          </w:tcPr>
          <w:p w14:paraId="7EE94EEA"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1,5</w:t>
            </w:r>
          </w:p>
        </w:tc>
        <w:tc>
          <w:tcPr>
            <w:tcW w:w="567" w:type="dxa"/>
            <w:tcBorders>
              <w:top w:val="single" w:sz="4" w:space="0" w:color="001D77"/>
              <w:bottom w:val="single" w:sz="4" w:space="0" w:color="001D77"/>
              <w:right w:val="single" w:sz="4" w:space="0" w:color="001D77"/>
            </w:tcBorders>
            <w:shd w:val="clear" w:color="auto" w:fill="CCD1E3"/>
            <w:vAlign w:val="center"/>
          </w:tcPr>
          <w:p w14:paraId="7EE94EEB"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1,0</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E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1,3</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E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1,4</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E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E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0,7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F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0,8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F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0,8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F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2,8</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F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1,2</w:t>
            </w:r>
          </w:p>
        </w:tc>
      </w:tr>
      <w:tr w:rsidR="00BA07C5" w:rsidRPr="00BA07C5" w14:paraId="7EE94F00"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EF5" w14:textId="77777777" w:rsidR="00BA07C5" w:rsidRPr="00BA07C5" w:rsidRDefault="004B148D" w:rsidP="00BA07C5">
            <w:pPr>
              <w:spacing w:before="0" w:after="0"/>
              <w:rPr>
                <w:color w:val="000000"/>
                <w:sz w:val="16"/>
                <w:szCs w:val="16"/>
                <w:lang w:val="en-US"/>
              </w:rPr>
            </w:pPr>
            <w:r>
              <w:rPr>
                <w:color w:val="000000"/>
                <w:sz w:val="16"/>
                <w:szCs w:val="16"/>
                <w:lang w:val="en-US"/>
              </w:rPr>
              <w:t>Restaurants and hotels</w:t>
            </w:r>
          </w:p>
        </w:tc>
        <w:tc>
          <w:tcPr>
            <w:tcW w:w="567" w:type="dxa"/>
            <w:tcBorders>
              <w:top w:val="single" w:sz="4" w:space="0" w:color="001D77"/>
              <w:bottom w:val="single" w:sz="4" w:space="0" w:color="001D77"/>
              <w:right w:val="single" w:sz="4" w:space="0" w:color="001D77"/>
            </w:tcBorders>
            <w:vAlign w:val="center"/>
          </w:tcPr>
          <w:p w14:paraId="7EE94EF6"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4,9</w:t>
            </w:r>
          </w:p>
        </w:tc>
        <w:tc>
          <w:tcPr>
            <w:tcW w:w="567" w:type="dxa"/>
            <w:tcBorders>
              <w:top w:val="single" w:sz="4" w:space="0" w:color="001D77"/>
              <w:bottom w:val="single" w:sz="4" w:space="0" w:color="001D77"/>
              <w:right w:val="single" w:sz="4" w:space="0" w:color="001D77"/>
            </w:tcBorders>
            <w:shd w:val="clear" w:color="auto" w:fill="CCD1E3"/>
            <w:vAlign w:val="center"/>
          </w:tcPr>
          <w:p w14:paraId="7EE94EF7"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3,8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F8"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F9"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FA"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5,1</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FB"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F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EF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5,8</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EF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4,2</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EF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2,7</w:t>
            </w:r>
          </w:p>
        </w:tc>
      </w:tr>
      <w:tr w:rsidR="00BA07C5" w:rsidRPr="00BA07C5" w14:paraId="7EE94F0C"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F01" w14:textId="77777777" w:rsidR="00BA07C5" w:rsidRPr="00BA07C5" w:rsidRDefault="004B148D" w:rsidP="00BA07C5">
            <w:pPr>
              <w:spacing w:before="0" w:after="0"/>
              <w:rPr>
                <w:color w:val="000000"/>
                <w:sz w:val="16"/>
                <w:szCs w:val="16"/>
                <w:lang w:val="en-US"/>
              </w:rPr>
            </w:pPr>
            <w:r>
              <w:rPr>
                <w:color w:val="000000"/>
                <w:sz w:val="16"/>
                <w:szCs w:val="16"/>
                <w:lang w:val="en-US"/>
              </w:rPr>
              <w:t>Miscellaneous goods and services</w:t>
            </w:r>
          </w:p>
        </w:tc>
        <w:tc>
          <w:tcPr>
            <w:tcW w:w="567" w:type="dxa"/>
            <w:tcBorders>
              <w:top w:val="single" w:sz="4" w:space="0" w:color="001D77"/>
              <w:bottom w:val="single" w:sz="4" w:space="0" w:color="001D77"/>
              <w:right w:val="single" w:sz="4" w:space="0" w:color="001D77"/>
            </w:tcBorders>
            <w:vAlign w:val="center"/>
          </w:tcPr>
          <w:p w14:paraId="7EE94F02"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6,2</w:t>
            </w:r>
          </w:p>
        </w:tc>
        <w:tc>
          <w:tcPr>
            <w:tcW w:w="567" w:type="dxa"/>
            <w:tcBorders>
              <w:top w:val="single" w:sz="4" w:space="0" w:color="001D77"/>
              <w:bottom w:val="single" w:sz="4" w:space="0" w:color="001D77"/>
              <w:right w:val="single" w:sz="4" w:space="0" w:color="001D77"/>
            </w:tcBorders>
            <w:shd w:val="clear" w:color="auto" w:fill="CCD1E3"/>
            <w:vAlign w:val="center"/>
          </w:tcPr>
          <w:p w14:paraId="7EE94F03"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6,1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0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F0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6,3</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0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5,8</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F0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08"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6,0</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F09"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5,9</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0A"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6,7</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F0B"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6,7</w:t>
            </w:r>
          </w:p>
        </w:tc>
      </w:tr>
      <w:tr w:rsidR="00BA07C5" w:rsidRPr="00BA07C5" w14:paraId="7EE94F18" w14:textId="77777777" w:rsidTr="00DA1921">
        <w:trPr>
          <w:trHeight w:val="20"/>
          <w:jc w:val="center"/>
        </w:trPr>
        <w:tc>
          <w:tcPr>
            <w:tcW w:w="2268" w:type="dxa"/>
            <w:tcBorders>
              <w:top w:val="single" w:sz="4" w:space="0" w:color="001D77"/>
              <w:bottom w:val="single" w:sz="4" w:space="0" w:color="001D77"/>
              <w:right w:val="single" w:sz="4" w:space="0" w:color="001D77"/>
            </w:tcBorders>
            <w:vAlign w:val="center"/>
          </w:tcPr>
          <w:p w14:paraId="7EE94F0D" w14:textId="77777777" w:rsidR="00BA07C5" w:rsidRPr="00BA07C5" w:rsidRDefault="004B148D" w:rsidP="00BA07C5">
            <w:pPr>
              <w:spacing w:before="0" w:after="0"/>
              <w:rPr>
                <w:color w:val="000000"/>
                <w:sz w:val="16"/>
                <w:szCs w:val="16"/>
                <w:lang w:val="en-US"/>
              </w:rPr>
            </w:pPr>
            <w:r>
              <w:rPr>
                <w:color w:val="000000"/>
                <w:sz w:val="16"/>
                <w:szCs w:val="16"/>
                <w:lang w:val="en-US"/>
              </w:rPr>
              <w:t>Other expenditure</w:t>
            </w:r>
          </w:p>
        </w:tc>
        <w:tc>
          <w:tcPr>
            <w:tcW w:w="567" w:type="dxa"/>
            <w:tcBorders>
              <w:top w:val="single" w:sz="4" w:space="0" w:color="001D77"/>
              <w:bottom w:val="single" w:sz="4" w:space="0" w:color="001D77"/>
              <w:right w:val="single" w:sz="4" w:space="0" w:color="001D77"/>
            </w:tcBorders>
            <w:vAlign w:val="center"/>
          </w:tcPr>
          <w:p w14:paraId="7EE94F0E"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4,0</w:t>
            </w:r>
          </w:p>
        </w:tc>
        <w:tc>
          <w:tcPr>
            <w:tcW w:w="567" w:type="dxa"/>
            <w:tcBorders>
              <w:top w:val="single" w:sz="4" w:space="0" w:color="001D77"/>
              <w:bottom w:val="single" w:sz="4" w:space="0" w:color="001D77"/>
              <w:right w:val="single" w:sz="4" w:space="0" w:color="001D77"/>
            </w:tcBorders>
            <w:shd w:val="clear" w:color="auto" w:fill="CCD1E3"/>
            <w:vAlign w:val="center"/>
          </w:tcPr>
          <w:p w14:paraId="7EE94F0F"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3,7</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1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3,9</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F1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4,1</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1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4,2</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F1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3,3</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14"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3,3</w:t>
            </w:r>
          </w:p>
        </w:tc>
        <w:tc>
          <w:tcPr>
            <w:tcW w:w="567" w:type="dxa"/>
            <w:tcBorders>
              <w:top w:val="single" w:sz="4" w:space="0" w:color="001D77"/>
              <w:left w:val="single" w:sz="4" w:space="0" w:color="001D77"/>
              <w:bottom w:val="single" w:sz="4" w:space="0" w:color="001D77"/>
              <w:right w:val="single" w:sz="4" w:space="0" w:color="001D77"/>
            </w:tcBorders>
            <w:shd w:val="clear" w:color="auto" w:fill="CCD1E3"/>
            <w:vAlign w:val="center"/>
          </w:tcPr>
          <w:p w14:paraId="7EE94F15"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3,4</w:t>
            </w:r>
          </w:p>
        </w:tc>
        <w:tc>
          <w:tcPr>
            <w:tcW w:w="567" w:type="dxa"/>
            <w:tcBorders>
              <w:top w:val="single" w:sz="4" w:space="0" w:color="001D77"/>
              <w:left w:val="single" w:sz="4" w:space="0" w:color="001D77"/>
              <w:bottom w:val="single" w:sz="4" w:space="0" w:color="001D77"/>
              <w:right w:val="single" w:sz="4" w:space="0" w:color="001D77"/>
            </w:tcBorders>
            <w:vAlign w:val="center"/>
          </w:tcPr>
          <w:p w14:paraId="7EE94F16"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4,6</w:t>
            </w:r>
          </w:p>
        </w:tc>
        <w:tc>
          <w:tcPr>
            <w:tcW w:w="567" w:type="dxa"/>
            <w:tcBorders>
              <w:top w:val="single" w:sz="4" w:space="0" w:color="001D77"/>
              <w:left w:val="single" w:sz="4" w:space="0" w:color="001D77"/>
              <w:bottom w:val="single" w:sz="4" w:space="0" w:color="001D77"/>
              <w:right w:val="nil"/>
            </w:tcBorders>
            <w:shd w:val="clear" w:color="auto" w:fill="CCD1E3"/>
            <w:vAlign w:val="center"/>
          </w:tcPr>
          <w:p w14:paraId="7EE94F17"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4,1</w:t>
            </w:r>
          </w:p>
        </w:tc>
      </w:tr>
      <w:tr w:rsidR="00BA07C5" w:rsidRPr="00BA07C5" w14:paraId="7EE94F24" w14:textId="77777777" w:rsidTr="00DA1921">
        <w:trPr>
          <w:trHeight w:val="20"/>
          <w:jc w:val="center"/>
        </w:trPr>
        <w:tc>
          <w:tcPr>
            <w:tcW w:w="2268" w:type="dxa"/>
            <w:tcBorders>
              <w:top w:val="single" w:sz="4" w:space="0" w:color="001D77"/>
              <w:bottom w:val="nil"/>
              <w:right w:val="single" w:sz="4" w:space="0" w:color="001D77"/>
            </w:tcBorders>
            <w:vAlign w:val="center"/>
          </w:tcPr>
          <w:p w14:paraId="7EE94F19" w14:textId="77777777" w:rsidR="00BA07C5" w:rsidRPr="00BA07C5" w:rsidRDefault="004B148D" w:rsidP="00BA07C5">
            <w:pPr>
              <w:spacing w:before="0" w:after="0"/>
              <w:rPr>
                <w:color w:val="000000"/>
                <w:sz w:val="16"/>
                <w:szCs w:val="16"/>
                <w:lang w:val="en-US"/>
              </w:rPr>
            </w:pPr>
            <w:r>
              <w:rPr>
                <w:color w:val="000000"/>
                <w:sz w:val="16"/>
                <w:szCs w:val="16"/>
                <w:lang w:val="en-US"/>
              </w:rPr>
              <w:t>Pocket money</w:t>
            </w:r>
          </w:p>
        </w:tc>
        <w:tc>
          <w:tcPr>
            <w:tcW w:w="567" w:type="dxa"/>
            <w:tcBorders>
              <w:top w:val="single" w:sz="4" w:space="0" w:color="001D77"/>
              <w:bottom w:val="nil"/>
              <w:right w:val="single" w:sz="4" w:space="0" w:color="001D77"/>
            </w:tcBorders>
            <w:vAlign w:val="center"/>
          </w:tcPr>
          <w:p w14:paraId="7EE94F1A"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1,4</w:t>
            </w:r>
          </w:p>
        </w:tc>
        <w:tc>
          <w:tcPr>
            <w:tcW w:w="567" w:type="dxa"/>
            <w:tcBorders>
              <w:top w:val="single" w:sz="4" w:space="0" w:color="001D77"/>
              <w:bottom w:val="nil"/>
              <w:right w:val="single" w:sz="4" w:space="0" w:color="001D77"/>
            </w:tcBorders>
            <w:shd w:val="clear" w:color="auto" w:fill="CCD1E3"/>
            <w:vAlign w:val="center"/>
          </w:tcPr>
          <w:p w14:paraId="7EE94F1B" w14:textId="77777777" w:rsidR="00BA07C5" w:rsidRPr="00BA07C5" w:rsidRDefault="00BA07C5" w:rsidP="00BA07C5">
            <w:pPr>
              <w:spacing w:before="0" w:after="0"/>
              <w:jc w:val="right"/>
              <w:rPr>
                <w:rFonts w:cs="Arial"/>
                <w:color w:val="000000"/>
                <w:sz w:val="16"/>
                <w:szCs w:val="16"/>
                <w:lang w:val="en-US"/>
              </w:rPr>
            </w:pPr>
            <w:r w:rsidRPr="00BA07C5">
              <w:rPr>
                <w:sz w:val="16"/>
                <w:szCs w:val="16"/>
                <w:lang w:val="en-US"/>
              </w:rPr>
              <w:t>1,3</w:t>
            </w:r>
          </w:p>
        </w:tc>
        <w:tc>
          <w:tcPr>
            <w:tcW w:w="567" w:type="dxa"/>
            <w:tcBorders>
              <w:top w:val="single" w:sz="4" w:space="0" w:color="001D77"/>
              <w:left w:val="single" w:sz="4" w:space="0" w:color="001D77"/>
              <w:bottom w:val="nil"/>
              <w:right w:val="single" w:sz="4" w:space="0" w:color="001D77"/>
            </w:tcBorders>
            <w:vAlign w:val="center"/>
          </w:tcPr>
          <w:p w14:paraId="7EE94F1C"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1,5</w:t>
            </w:r>
          </w:p>
        </w:tc>
        <w:tc>
          <w:tcPr>
            <w:tcW w:w="567" w:type="dxa"/>
            <w:tcBorders>
              <w:top w:val="single" w:sz="4" w:space="0" w:color="001D77"/>
              <w:left w:val="single" w:sz="4" w:space="0" w:color="001D77"/>
              <w:bottom w:val="nil"/>
              <w:right w:val="single" w:sz="4" w:space="0" w:color="001D77"/>
            </w:tcBorders>
            <w:shd w:val="clear" w:color="auto" w:fill="CCD1E3"/>
            <w:vAlign w:val="center"/>
          </w:tcPr>
          <w:p w14:paraId="7EE94F1D"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1,4</w:t>
            </w:r>
          </w:p>
        </w:tc>
        <w:tc>
          <w:tcPr>
            <w:tcW w:w="567" w:type="dxa"/>
            <w:tcBorders>
              <w:top w:val="single" w:sz="4" w:space="0" w:color="001D77"/>
              <w:left w:val="single" w:sz="4" w:space="0" w:color="001D77"/>
              <w:bottom w:val="nil"/>
              <w:right w:val="single" w:sz="4" w:space="0" w:color="001D77"/>
            </w:tcBorders>
            <w:vAlign w:val="center"/>
          </w:tcPr>
          <w:p w14:paraId="7EE94F1E"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1,6</w:t>
            </w:r>
          </w:p>
        </w:tc>
        <w:tc>
          <w:tcPr>
            <w:tcW w:w="567" w:type="dxa"/>
            <w:tcBorders>
              <w:top w:val="single" w:sz="4" w:space="0" w:color="001D77"/>
              <w:left w:val="single" w:sz="4" w:space="0" w:color="001D77"/>
              <w:bottom w:val="nil"/>
              <w:right w:val="single" w:sz="4" w:space="0" w:color="001D77"/>
            </w:tcBorders>
            <w:shd w:val="clear" w:color="auto" w:fill="CCD1E3"/>
            <w:vAlign w:val="center"/>
          </w:tcPr>
          <w:p w14:paraId="7EE94F1F"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1,3</w:t>
            </w:r>
          </w:p>
        </w:tc>
        <w:tc>
          <w:tcPr>
            <w:tcW w:w="567" w:type="dxa"/>
            <w:tcBorders>
              <w:top w:val="single" w:sz="4" w:space="0" w:color="001D77"/>
              <w:left w:val="single" w:sz="4" w:space="0" w:color="001D77"/>
              <w:bottom w:val="nil"/>
              <w:right w:val="single" w:sz="4" w:space="0" w:color="001D77"/>
            </w:tcBorders>
            <w:vAlign w:val="center"/>
          </w:tcPr>
          <w:p w14:paraId="7EE94F20"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1,3</w:t>
            </w:r>
          </w:p>
        </w:tc>
        <w:tc>
          <w:tcPr>
            <w:tcW w:w="567" w:type="dxa"/>
            <w:tcBorders>
              <w:top w:val="single" w:sz="4" w:space="0" w:color="001D77"/>
              <w:left w:val="single" w:sz="4" w:space="0" w:color="001D77"/>
              <w:bottom w:val="nil"/>
              <w:right w:val="single" w:sz="4" w:space="0" w:color="001D77"/>
            </w:tcBorders>
            <w:shd w:val="clear" w:color="auto" w:fill="CCD1E3"/>
            <w:vAlign w:val="center"/>
          </w:tcPr>
          <w:p w14:paraId="7EE94F21"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1,2</w:t>
            </w:r>
          </w:p>
        </w:tc>
        <w:tc>
          <w:tcPr>
            <w:tcW w:w="567" w:type="dxa"/>
            <w:tcBorders>
              <w:top w:val="single" w:sz="4" w:space="0" w:color="001D77"/>
              <w:left w:val="single" w:sz="4" w:space="0" w:color="001D77"/>
              <w:bottom w:val="nil"/>
              <w:right w:val="single" w:sz="4" w:space="0" w:color="001D77"/>
            </w:tcBorders>
            <w:vAlign w:val="center"/>
          </w:tcPr>
          <w:p w14:paraId="7EE94F22"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1,4</w:t>
            </w:r>
          </w:p>
        </w:tc>
        <w:tc>
          <w:tcPr>
            <w:tcW w:w="567" w:type="dxa"/>
            <w:tcBorders>
              <w:top w:val="single" w:sz="4" w:space="0" w:color="001D77"/>
              <w:left w:val="single" w:sz="4" w:space="0" w:color="001D77"/>
              <w:bottom w:val="nil"/>
              <w:right w:val="nil"/>
            </w:tcBorders>
            <w:shd w:val="clear" w:color="auto" w:fill="CCD1E3"/>
            <w:vAlign w:val="center"/>
          </w:tcPr>
          <w:p w14:paraId="7EE94F23" w14:textId="77777777" w:rsidR="00BA07C5" w:rsidRPr="00BA07C5" w:rsidRDefault="00BA07C5" w:rsidP="00BA07C5">
            <w:pPr>
              <w:spacing w:before="0" w:after="0"/>
              <w:jc w:val="right"/>
              <w:rPr>
                <w:rFonts w:cs="Arial"/>
                <w:color w:val="000000"/>
                <w:sz w:val="16"/>
                <w:szCs w:val="16"/>
                <w:lang w:val="en-US"/>
              </w:rPr>
            </w:pPr>
            <w:r w:rsidRPr="00BA07C5">
              <w:rPr>
                <w:rFonts w:cs="Arial"/>
                <w:color w:val="000000"/>
                <w:sz w:val="16"/>
                <w:szCs w:val="16"/>
                <w:lang w:val="en-US"/>
              </w:rPr>
              <w:t>1,2</w:t>
            </w:r>
          </w:p>
        </w:tc>
      </w:tr>
    </w:tbl>
    <w:p w14:paraId="7EE94F25" w14:textId="77777777" w:rsidR="001F43F3" w:rsidRPr="003B33FE" w:rsidRDefault="00C17DFA" w:rsidP="001F43F3">
      <w:pPr>
        <w:spacing w:line="240" w:lineRule="auto"/>
        <w:rPr>
          <w:i/>
          <w:spacing w:val="-2"/>
          <w:szCs w:val="19"/>
          <w:shd w:val="clear" w:color="auto" w:fill="FFFFFF"/>
        </w:rPr>
      </w:pPr>
      <w:r>
        <w:rPr>
          <w:noProof/>
          <w:lang w:eastAsia="pl-PL"/>
        </w:rPr>
        <mc:AlternateContent>
          <mc:Choice Requires="wps">
            <w:drawing>
              <wp:anchor distT="45720" distB="45720" distL="114300" distR="114300" simplePos="0" relativeHeight="251813888" behindDoc="1" locked="0" layoutInCell="1" allowOverlap="1" wp14:anchorId="7EE94FB0" wp14:editId="7EE94FB1">
                <wp:simplePos x="0" y="0"/>
                <wp:positionH relativeFrom="column">
                  <wp:posOffset>5219700</wp:posOffset>
                </wp:positionH>
                <wp:positionV relativeFrom="paragraph">
                  <wp:posOffset>165100</wp:posOffset>
                </wp:positionV>
                <wp:extent cx="1764665" cy="2000250"/>
                <wp:effectExtent l="0" t="0" r="0" b="0"/>
                <wp:wrapTight wrapText="bothSides">
                  <wp:wrapPolygon edited="0">
                    <wp:start x="700" y="0"/>
                    <wp:lineTo x="700" y="21394"/>
                    <wp:lineTo x="20753" y="21394"/>
                    <wp:lineTo x="20753" y="0"/>
                    <wp:lineTo x="700" y="0"/>
                  </wp:wrapPolygon>
                </wp:wrapTight>
                <wp:docPr id="216" name="Pole tekstowe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2000250"/>
                        </a:xfrm>
                        <a:prstGeom prst="rect">
                          <a:avLst/>
                        </a:prstGeom>
                        <a:noFill/>
                        <a:ln w="9525">
                          <a:noFill/>
                          <a:miter lim="800000"/>
                          <a:headEnd/>
                          <a:tailEnd/>
                        </a:ln>
                      </wps:spPr>
                      <wps:txbx>
                        <w:txbxContent>
                          <w:p w14:paraId="7EE95018" w14:textId="77777777" w:rsidR="0024032F" w:rsidRPr="00A13CB9" w:rsidRDefault="0024032F" w:rsidP="00764D9C">
                            <w:pPr>
                              <w:pStyle w:val="tekstzboku"/>
                              <w:rPr>
                                <w:spacing w:val="-2"/>
                                <w:lang w:val="en-GB"/>
                              </w:rPr>
                            </w:pPr>
                            <w:r>
                              <w:rPr>
                                <w:spacing w:val="-2"/>
                                <w:lang w:val="en-GB"/>
                              </w:rPr>
                              <w:t>In the h</w:t>
                            </w:r>
                            <w:r w:rsidRPr="00A13CB9">
                              <w:rPr>
                                <w:spacing w:val="-2"/>
                                <w:lang w:val="en-GB"/>
                              </w:rPr>
                              <w:t>ouseholds of 20% of persons in the most favourable financial s</w:t>
                            </w:r>
                            <w:r>
                              <w:rPr>
                                <w:spacing w:val="-2"/>
                                <w:lang w:val="en-GB"/>
                              </w:rPr>
                              <w:t>i</w:t>
                            </w:r>
                            <w:r w:rsidRPr="00A13CB9">
                              <w:rPr>
                                <w:spacing w:val="-2"/>
                                <w:lang w:val="en-GB"/>
                              </w:rPr>
                              <w:t xml:space="preserve">tuation </w:t>
                            </w:r>
                            <w:r>
                              <w:rPr>
                                <w:spacing w:val="-2"/>
                                <w:lang w:val="en-GB"/>
                              </w:rPr>
                              <w:t>was ac</w:t>
                            </w:r>
                            <w:r w:rsidRPr="00A13CB9">
                              <w:rPr>
                                <w:spacing w:val="-2"/>
                                <w:lang w:val="en-GB"/>
                              </w:rPr>
                              <w:t>cumulated 38.</w:t>
                            </w:r>
                            <w:r>
                              <w:rPr>
                                <w:spacing w:val="-2"/>
                                <w:lang w:val="en-GB"/>
                              </w:rPr>
                              <w:t>8</w:t>
                            </w:r>
                            <w:r w:rsidRPr="00A13CB9">
                              <w:rPr>
                                <w:spacing w:val="-2"/>
                                <w:lang w:val="en-GB"/>
                              </w:rPr>
                              <w:t xml:space="preserve">% </w:t>
                            </w:r>
                            <w:r>
                              <w:rPr>
                                <w:spacing w:val="-2"/>
                                <w:lang w:val="en-GB"/>
                              </w:rPr>
                              <w:t xml:space="preserve">of </w:t>
                            </w:r>
                            <w:r w:rsidRPr="00A13CB9">
                              <w:rPr>
                                <w:spacing w:val="-2"/>
                                <w:lang w:val="en-GB"/>
                              </w:rPr>
                              <w:t xml:space="preserve">income </w:t>
                            </w:r>
                            <w:r>
                              <w:rPr>
                                <w:spacing w:val="-2"/>
                                <w:lang w:val="en-GB"/>
                              </w:rPr>
                              <w:t>of entire</w:t>
                            </w:r>
                            <w:r w:rsidRPr="00A13CB9">
                              <w:rPr>
                                <w:spacing w:val="-2"/>
                                <w:lang w:val="en-GB"/>
                              </w:rPr>
                              <w:t xml:space="preserve"> sur</w:t>
                            </w:r>
                            <w:r>
                              <w:rPr>
                                <w:spacing w:val="-2"/>
                                <w:lang w:val="en-GB"/>
                              </w:rPr>
                              <w:t>veyed population of households, while in the h</w:t>
                            </w:r>
                            <w:r w:rsidRPr="00A13CB9">
                              <w:rPr>
                                <w:spacing w:val="-2"/>
                                <w:lang w:val="en-GB"/>
                              </w:rPr>
                              <w:t xml:space="preserve">ouseholds of 20% of the persons </w:t>
                            </w:r>
                            <w:r>
                              <w:rPr>
                                <w:spacing w:val="-2"/>
                                <w:lang w:val="en-GB"/>
                              </w:rPr>
                              <w:t>in the worst situation – 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B0" id="Pole tekstowe 216" o:spid="_x0000_s1035" type="#_x0000_t202" style="position:absolute;margin-left:411pt;margin-top:13pt;width:138.95pt;height:157.5pt;z-index:-251502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" filled="f" stroked="f">
                <v:textbox>
                  <w:txbxContent>
                    <w:p w14:paraId="7EE95018" w14:textId="77777777" w:rsidR="0024032F" w:rsidRPr="00A13CB9" w:rsidRDefault="0024032F" w:rsidP="00764D9C">
                      <w:pPr>
                        <w:pStyle w:val="tekstzboku"/>
                        <w:rPr>
                          <w:spacing w:val="-2"/>
                          <w:lang w:val="en-GB"/>
                        </w:rPr>
                      </w:pPr>
                      <w:r>
                        <w:rPr>
                          <w:spacing w:val="-2"/>
                          <w:lang w:val="en-GB"/>
                        </w:rPr>
                        <w:t>In the h</w:t>
                      </w:r>
                      <w:r w:rsidRPr="00A13CB9">
                        <w:rPr>
                          <w:spacing w:val="-2"/>
                          <w:lang w:val="en-GB"/>
                        </w:rPr>
                        <w:t>ouseholds of 20% of persons in the most favourable financial s</w:t>
                      </w:r>
                      <w:r>
                        <w:rPr>
                          <w:spacing w:val="-2"/>
                          <w:lang w:val="en-GB"/>
                        </w:rPr>
                        <w:t>i</w:t>
                      </w:r>
                      <w:r w:rsidRPr="00A13CB9">
                        <w:rPr>
                          <w:spacing w:val="-2"/>
                          <w:lang w:val="en-GB"/>
                        </w:rPr>
                        <w:t xml:space="preserve">tuation </w:t>
                      </w:r>
                      <w:r>
                        <w:rPr>
                          <w:spacing w:val="-2"/>
                          <w:lang w:val="en-GB"/>
                        </w:rPr>
                        <w:t>was ac</w:t>
                      </w:r>
                      <w:r w:rsidRPr="00A13CB9">
                        <w:rPr>
                          <w:spacing w:val="-2"/>
                          <w:lang w:val="en-GB"/>
                        </w:rPr>
                        <w:t>cumulated 38.</w:t>
                      </w:r>
                      <w:r>
                        <w:rPr>
                          <w:spacing w:val="-2"/>
                          <w:lang w:val="en-GB"/>
                        </w:rPr>
                        <w:t>8</w:t>
                      </w:r>
                      <w:r w:rsidRPr="00A13CB9">
                        <w:rPr>
                          <w:spacing w:val="-2"/>
                          <w:lang w:val="en-GB"/>
                        </w:rPr>
                        <w:t xml:space="preserve">% </w:t>
                      </w:r>
                      <w:r>
                        <w:rPr>
                          <w:spacing w:val="-2"/>
                          <w:lang w:val="en-GB"/>
                        </w:rPr>
                        <w:t xml:space="preserve">of </w:t>
                      </w:r>
                      <w:r w:rsidRPr="00A13CB9">
                        <w:rPr>
                          <w:spacing w:val="-2"/>
                          <w:lang w:val="en-GB"/>
                        </w:rPr>
                        <w:t xml:space="preserve">income </w:t>
                      </w:r>
                      <w:r>
                        <w:rPr>
                          <w:spacing w:val="-2"/>
                          <w:lang w:val="en-GB"/>
                        </w:rPr>
                        <w:t>of entire</w:t>
                      </w:r>
                      <w:r w:rsidRPr="00A13CB9">
                        <w:rPr>
                          <w:spacing w:val="-2"/>
                          <w:lang w:val="en-GB"/>
                        </w:rPr>
                        <w:t xml:space="preserve"> sur</w:t>
                      </w:r>
                      <w:r>
                        <w:rPr>
                          <w:spacing w:val="-2"/>
                          <w:lang w:val="en-GB"/>
                        </w:rPr>
                        <w:t>veyed population of households, while in the h</w:t>
                      </w:r>
                      <w:r w:rsidRPr="00A13CB9">
                        <w:rPr>
                          <w:spacing w:val="-2"/>
                          <w:lang w:val="en-GB"/>
                        </w:rPr>
                        <w:t xml:space="preserve">ouseholds of 20% of the persons </w:t>
                      </w:r>
                      <w:r>
                        <w:rPr>
                          <w:spacing w:val="-2"/>
                          <w:lang w:val="en-GB"/>
                        </w:rPr>
                        <w:t>in the worst situation – 7.0%</w:t>
                      </w:r>
                    </w:p>
                  </w:txbxContent>
                </v:textbox>
                <w10:wrap type="tight"/>
              </v:shape>
            </w:pict>
          </mc:Fallback>
        </mc:AlternateContent>
      </w:r>
    </w:p>
    <w:p w14:paraId="7EE94F26" w14:textId="77777777" w:rsidR="00FE38FD" w:rsidRDefault="00FE38FD" w:rsidP="00764D9C">
      <w:pPr>
        <w:rPr>
          <w:rFonts w:cs="Arial"/>
          <w:szCs w:val="19"/>
          <w:lang w:val="en-GB"/>
        </w:rPr>
      </w:pPr>
      <w:r w:rsidRPr="00F42DEC">
        <w:rPr>
          <w:rFonts w:cs="Arial"/>
          <w:szCs w:val="19"/>
          <w:lang w:val="en-GB"/>
        </w:rPr>
        <w:t xml:space="preserve">The average available income of the 20% of persons with the highest income (5th quintile group) amounted to PLN </w:t>
      </w:r>
      <w:r w:rsidR="000D384E">
        <w:rPr>
          <w:rFonts w:cs="Arial"/>
          <w:szCs w:val="19"/>
          <w:lang w:val="en-GB"/>
        </w:rPr>
        <w:t>3728</w:t>
      </w:r>
      <w:r w:rsidRPr="00F42DEC">
        <w:rPr>
          <w:rFonts w:cs="Arial"/>
          <w:szCs w:val="19"/>
          <w:lang w:val="en-GB"/>
        </w:rPr>
        <w:t xml:space="preserve"> per capita, and </w:t>
      </w:r>
      <w:r w:rsidR="000D384E">
        <w:rPr>
          <w:rFonts w:cs="Arial"/>
          <w:szCs w:val="19"/>
          <w:lang w:val="en-GB"/>
        </w:rPr>
        <w:t xml:space="preserve">it </w:t>
      </w:r>
      <w:r w:rsidRPr="00F42DEC">
        <w:rPr>
          <w:rFonts w:cs="Arial"/>
          <w:szCs w:val="19"/>
          <w:lang w:val="en-GB"/>
        </w:rPr>
        <w:t xml:space="preserve">was </w:t>
      </w:r>
      <w:r w:rsidR="000D384E">
        <w:rPr>
          <w:rFonts w:cs="Arial"/>
          <w:szCs w:val="19"/>
          <w:lang w:val="en-GB"/>
        </w:rPr>
        <w:t>5.6</w:t>
      </w:r>
      <w:r w:rsidRPr="00F42DEC">
        <w:rPr>
          <w:rFonts w:cs="Arial"/>
          <w:szCs w:val="19"/>
          <w:lang w:val="en-GB"/>
        </w:rPr>
        <w:t xml:space="preserve"> times higher </w:t>
      </w:r>
      <w:r w:rsidR="000D384E">
        <w:rPr>
          <w:rFonts w:cs="Arial"/>
          <w:szCs w:val="19"/>
          <w:lang w:val="en-GB"/>
        </w:rPr>
        <w:t xml:space="preserve">(in 2019 </w:t>
      </w:r>
      <w:r w:rsidR="008F6139">
        <w:rPr>
          <w:rFonts w:cs="Arial"/>
          <w:szCs w:val="19"/>
          <w:lang w:val="en-GB"/>
        </w:rPr>
        <w:t xml:space="preserve">– </w:t>
      </w:r>
      <w:r w:rsidR="000D384E">
        <w:rPr>
          <w:rFonts w:cs="Arial"/>
          <w:szCs w:val="19"/>
          <w:lang w:val="en-GB"/>
        </w:rPr>
        <w:t xml:space="preserve">4.9 times higher and amounted to PLN 3491) </w:t>
      </w:r>
      <w:r w:rsidRPr="00F42DEC">
        <w:rPr>
          <w:rFonts w:cs="Arial"/>
          <w:szCs w:val="19"/>
          <w:lang w:val="en-GB"/>
        </w:rPr>
        <w:t>than the respective income of the 20% of persons with the lowest income (1st quintile group)</w:t>
      </w:r>
      <w:r w:rsidR="000D384E">
        <w:rPr>
          <w:rFonts w:cs="Arial"/>
          <w:szCs w:val="19"/>
          <w:lang w:val="en-GB"/>
        </w:rPr>
        <w:t xml:space="preserve">. </w:t>
      </w:r>
      <w:r w:rsidR="000D384E" w:rsidRPr="000D384E">
        <w:rPr>
          <w:rFonts w:cs="Arial"/>
          <w:szCs w:val="19"/>
          <w:lang w:val="en-GB"/>
        </w:rPr>
        <w:t xml:space="preserve">This means </w:t>
      </w:r>
      <w:r w:rsidR="0045271F">
        <w:rPr>
          <w:rFonts w:cs="Arial"/>
          <w:szCs w:val="19"/>
          <w:lang w:val="en-GB"/>
        </w:rPr>
        <w:t xml:space="preserve">that there was </w:t>
      </w:r>
      <w:r w:rsidR="000D384E" w:rsidRPr="000D384E">
        <w:rPr>
          <w:rFonts w:cs="Arial"/>
          <w:szCs w:val="19"/>
          <w:lang w:val="en-GB"/>
        </w:rPr>
        <w:t xml:space="preserve">an increase </w:t>
      </w:r>
      <w:r w:rsidR="000D384E">
        <w:rPr>
          <w:rFonts w:cs="Arial"/>
          <w:szCs w:val="19"/>
          <w:lang w:val="en-GB"/>
        </w:rPr>
        <w:t>in</w:t>
      </w:r>
      <w:r w:rsidR="000D384E" w:rsidRPr="000D384E">
        <w:rPr>
          <w:rFonts w:cs="Arial"/>
          <w:szCs w:val="19"/>
          <w:lang w:val="en-GB"/>
        </w:rPr>
        <w:t xml:space="preserve"> disproportions between the richest and </w:t>
      </w:r>
      <w:r w:rsidR="000D384E">
        <w:rPr>
          <w:rFonts w:cs="Arial"/>
          <w:szCs w:val="19"/>
          <w:lang w:val="en-GB"/>
        </w:rPr>
        <w:t xml:space="preserve">the </w:t>
      </w:r>
      <w:r w:rsidR="000D384E" w:rsidRPr="000D384E">
        <w:rPr>
          <w:rFonts w:cs="Arial"/>
          <w:szCs w:val="19"/>
          <w:lang w:val="en-GB"/>
        </w:rPr>
        <w:t>poorest persons in the last year.</w:t>
      </w:r>
    </w:p>
    <w:p w14:paraId="7EE94F27" w14:textId="77777777" w:rsidR="00A46164" w:rsidRPr="00A46164" w:rsidRDefault="009B10AC" w:rsidP="00764D9C">
      <w:pPr>
        <w:rPr>
          <w:spacing w:val="-2"/>
          <w:szCs w:val="19"/>
          <w:shd w:val="clear" w:color="auto" w:fill="FFFFFF"/>
          <w:lang w:val="en-GB"/>
        </w:rPr>
      </w:pPr>
      <w:r>
        <w:rPr>
          <w:rFonts w:cs="Arial"/>
          <w:szCs w:val="19"/>
          <w:lang w:val="en-GB"/>
        </w:rPr>
        <w:t>In the h</w:t>
      </w:r>
      <w:r w:rsidR="00A46164" w:rsidRPr="00F42DEC">
        <w:rPr>
          <w:rFonts w:cs="Arial"/>
          <w:szCs w:val="19"/>
          <w:lang w:val="en-GB"/>
        </w:rPr>
        <w:t xml:space="preserve">ouseholds of 20% </w:t>
      </w:r>
      <w:r w:rsidR="003207FC">
        <w:rPr>
          <w:rFonts w:cs="Arial"/>
          <w:szCs w:val="19"/>
          <w:lang w:val="en-GB"/>
        </w:rPr>
        <w:t xml:space="preserve">of </w:t>
      </w:r>
      <w:r w:rsidR="00A46164" w:rsidRPr="00F42DEC">
        <w:rPr>
          <w:rFonts w:cs="Arial"/>
          <w:szCs w:val="19"/>
          <w:lang w:val="en-GB"/>
        </w:rPr>
        <w:t xml:space="preserve">persons </w:t>
      </w:r>
      <w:r w:rsidR="00353959">
        <w:rPr>
          <w:rFonts w:cs="Arial"/>
          <w:szCs w:val="19"/>
          <w:lang w:val="en-GB"/>
        </w:rPr>
        <w:t>in</w:t>
      </w:r>
      <w:r w:rsidR="00A46164" w:rsidRPr="00F42DEC">
        <w:rPr>
          <w:rFonts w:cs="Arial"/>
          <w:szCs w:val="19"/>
          <w:lang w:val="en-GB"/>
        </w:rPr>
        <w:t xml:space="preserve"> the </w:t>
      </w:r>
      <w:r w:rsidR="00976CCF">
        <w:rPr>
          <w:rFonts w:cs="Arial"/>
          <w:szCs w:val="19"/>
          <w:lang w:val="en-GB"/>
        </w:rPr>
        <w:t>most favourable</w:t>
      </w:r>
      <w:r w:rsidR="00A46164" w:rsidRPr="00F42DEC">
        <w:rPr>
          <w:rFonts w:cs="Arial"/>
          <w:szCs w:val="19"/>
          <w:lang w:val="en-GB"/>
        </w:rPr>
        <w:t xml:space="preserve"> income </w:t>
      </w:r>
      <w:r w:rsidR="00353959">
        <w:rPr>
          <w:rFonts w:cs="Arial"/>
          <w:szCs w:val="19"/>
          <w:lang w:val="en-GB"/>
        </w:rPr>
        <w:t>situation</w:t>
      </w:r>
      <w:r w:rsidR="003207FC">
        <w:rPr>
          <w:rFonts w:cs="Arial"/>
          <w:szCs w:val="19"/>
          <w:lang w:val="en-GB"/>
        </w:rPr>
        <w:t>,</w:t>
      </w:r>
      <w:r w:rsidR="00353959">
        <w:rPr>
          <w:rFonts w:cs="Arial"/>
          <w:szCs w:val="19"/>
          <w:lang w:val="en-GB"/>
        </w:rPr>
        <w:t xml:space="preserve"> there was </w:t>
      </w:r>
      <w:r w:rsidR="00A13CB9" w:rsidRPr="00F42DEC">
        <w:rPr>
          <w:rFonts w:cs="Arial"/>
          <w:szCs w:val="19"/>
          <w:lang w:val="en-GB"/>
        </w:rPr>
        <w:t>ac</w:t>
      </w:r>
      <w:r w:rsidR="00A46164" w:rsidRPr="00F42DEC">
        <w:rPr>
          <w:rFonts w:cs="Arial"/>
          <w:szCs w:val="19"/>
          <w:lang w:val="en-GB"/>
        </w:rPr>
        <w:t>cumulated 38.</w:t>
      </w:r>
      <w:r w:rsidR="00353959">
        <w:rPr>
          <w:rFonts w:cs="Arial"/>
          <w:szCs w:val="19"/>
          <w:lang w:val="en-GB"/>
        </w:rPr>
        <w:t>8</w:t>
      </w:r>
      <w:r w:rsidR="00A46164" w:rsidRPr="00F42DEC">
        <w:rPr>
          <w:rFonts w:cs="Arial"/>
          <w:szCs w:val="19"/>
          <w:lang w:val="en-GB"/>
        </w:rPr>
        <w:t xml:space="preserve">% </w:t>
      </w:r>
      <w:r w:rsidR="00353959">
        <w:rPr>
          <w:rFonts w:cs="Arial"/>
          <w:szCs w:val="19"/>
          <w:lang w:val="en-GB"/>
        </w:rPr>
        <w:t xml:space="preserve">of </w:t>
      </w:r>
      <w:r w:rsidR="00A46164" w:rsidRPr="00F42DEC">
        <w:rPr>
          <w:rFonts w:cs="Arial"/>
          <w:szCs w:val="19"/>
          <w:lang w:val="en-GB"/>
        </w:rPr>
        <w:t xml:space="preserve">income </w:t>
      </w:r>
      <w:r w:rsidR="00353959">
        <w:rPr>
          <w:rFonts w:cs="Arial"/>
          <w:szCs w:val="19"/>
          <w:lang w:val="en-GB"/>
        </w:rPr>
        <w:t>of entire</w:t>
      </w:r>
      <w:r w:rsidR="00A46164" w:rsidRPr="00F42DEC">
        <w:rPr>
          <w:rFonts w:cs="Arial"/>
          <w:szCs w:val="19"/>
          <w:lang w:val="en-GB"/>
        </w:rPr>
        <w:t xml:space="preserve"> </w:t>
      </w:r>
      <w:r w:rsidR="00353959" w:rsidRPr="00F42DEC">
        <w:rPr>
          <w:rFonts w:cs="Arial"/>
          <w:szCs w:val="19"/>
          <w:lang w:val="en-GB"/>
        </w:rPr>
        <w:t xml:space="preserve">surveyed </w:t>
      </w:r>
      <w:r w:rsidR="00A46164" w:rsidRPr="00F42DEC">
        <w:rPr>
          <w:rFonts w:cs="Arial"/>
          <w:szCs w:val="19"/>
          <w:lang w:val="en-GB"/>
        </w:rPr>
        <w:t>population of households (in 201</w:t>
      </w:r>
      <w:r w:rsidR="00353959">
        <w:rPr>
          <w:rFonts w:cs="Arial"/>
          <w:szCs w:val="19"/>
          <w:lang w:val="en-GB"/>
        </w:rPr>
        <w:t>9</w:t>
      </w:r>
      <w:r w:rsidR="00A46164" w:rsidRPr="00F42DEC">
        <w:rPr>
          <w:rFonts w:cs="Arial"/>
          <w:szCs w:val="19"/>
          <w:lang w:val="en-GB"/>
        </w:rPr>
        <w:t xml:space="preserve"> – 38.</w:t>
      </w:r>
      <w:r w:rsidR="00353959">
        <w:rPr>
          <w:rFonts w:cs="Arial"/>
          <w:szCs w:val="19"/>
          <w:lang w:val="en-GB"/>
        </w:rPr>
        <w:t>3</w:t>
      </w:r>
      <w:r w:rsidR="00A46164" w:rsidRPr="00F42DEC">
        <w:rPr>
          <w:rFonts w:cs="Arial"/>
          <w:szCs w:val="19"/>
          <w:lang w:val="en-GB"/>
        </w:rPr>
        <w:t xml:space="preserve">%), while </w:t>
      </w:r>
      <w:r w:rsidR="0026206E">
        <w:rPr>
          <w:rFonts w:cs="Arial"/>
          <w:szCs w:val="19"/>
          <w:lang w:val="en-GB"/>
        </w:rPr>
        <w:t xml:space="preserve">in the households of </w:t>
      </w:r>
      <w:r w:rsidR="00A46164" w:rsidRPr="00F42DEC">
        <w:rPr>
          <w:rFonts w:cs="Arial"/>
          <w:szCs w:val="19"/>
          <w:lang w:val="en-GB"/>
        </w:rPr>
        <w:t xml:space="preserve">20% </w:t>
      </w:r>
      <w:r w:rsidR="003207FC">
        <w:rPr>
          <w:rFonts w:cs="Arial"/>
          <w:szCs w:val="19"/>
          <w:lang w:val="en-GB"/>
        </w:rPr>
        <w:t xml:space="preserve">of </w:t>
      </w:r>
      <w:r w:rsidR="00A46164" w:rsidRPr="00F42DEC">
        <w:rPr>
          <w:rFonts w:cs="Arial"/>
          <w:szCs w:val="19"/>
          <w:lang w:val="en-GB"/>
        </w:rPr>
        <w:t xml:space="preserve">persons </w:t>
      </w:r>
      <w:r w:rsidR="00353959">
        <w:rPr>
          <w:rFonts w:cs="Arial"/>
          <w:szCs w:val="19"/>
          <w:lang w:val="en-GB"/>
        </w:rPr>
        <w:t>in the worst</w:t>
      </w:r>
      <w:r w:rsidR="003207FC">
        <w:rPr>
          <w:rFonts w:cs="Arial"/>
          <w:szCs w:val="19"/>
          <w:lang w:val="en-GB"/>
        </w:rPr>
        <w:t xml:space="preserve"> income</w:t>
      </w:r>
      <w:r w:rsidR="00353959">
        <w:rPr>
          <w:rFonts w:cs="Arial"/>
          <w:szCs w:val="19"/>
          <w:lang w:val="en-GB"/>
        </w:rPr>
        <w:t xml:space="preserve"> situation</w:t>
      </w:r>
      <w:r w:rsidR="00A46164" w:rsidRPr="00F42DEC">
        <w:rPr>
          <w:rFonts w:cs="Arial"/>
          <w:szCs w:val="19"/>
          <w:lang w:val="en-GB"/>
        </w:rPr>
        <w:t xml:space="preserve"> – 7.</w:t>
      </w:r>
      <w:r w:rsidR="00353959">
        <w:rPr>
          <w:rFonts w:cs="Arial"/>
          <w:szCs w:val="19"/>
          <w:lang w:val="en-GB"/>
        </w:rPr>
        <w:t>0</w:t>
      </w:r>
      <w:r w:rsidR="00A46164" w:rsidRPr="00F42DEC">
        <w:rPr>
          <w:rFonts w:cs="Arial"/>
          <w:szCs w:val="19"/>
          <w:lang w:val="en-GB"/>
        </w:rPr>
        <w:t>% (in 201</w:t>
      </w:r>
      <w:r w:rsidR="00353959">
        <w:rPr>
          <w:rFonts w:cs="Arial"/>
          <w:szCs w:val="19"/>
          <w:lang w:val="en-GB"/>
        </w:rPr>
        <w:t>9</w:t>
      </w:r>
      <w:r w:rsidR="00A46164" w:rsidRPr="00F42DEC">
        <w:rPr>
          <w:rFonts w:cs="Arial"/>
          <w:szCs w:val="19"/>
          <w:lang w:val="en-GB"/>
        </w:rPr>
        <w:t xml:space="preserve"> – 7.</w:t>
      </w:r>
      <w:r w:rsidR="00353959">
        <w:rPr>
          <w:rFonts w:cs="Arial"/>
          <w:szCs w:val="19"/>
          <w:lang w:val="en-GB"/>
        </w:rPr>
        <w:t>8</w:t>
      </w:r>
      <w:r w:rsidR="00A46164" w:rsidRPr="00F42DEC">
        <w:rPr>
          <w:rFonts w:cs="Arial"/>
          <w:szCs w:val="19"/>
          <w:lang w:val="en-GB"/>
        </w:rPr>
        <w:t xml:space="preserve">%). </w:t>
      </w:r>
      <w:r w:rsidR="00353959" w:rsidRPr="00353959">
        <w:rPr>
          <w:rFonts w:cs="Arial"/>
          <w:szCs w:val="19"/>
          <w:lang w:val="en-GB"/>
        </w:rPr>
        <w:t xml:space="preserve">The difference in </w:t>
      </w:r>
      <w:r w:rsidR="00353959">
        <w:rPr>
          <w:rFonts w:cs="Arial"/>
          <w:szCs w:val="19"/>
          <w:lang w:val="en-GB"/>
        </w:rPr>
        <w:t>accumulated</w:t>
      </w:r>
      <w:r w:rsidR="00353959" w:rsidRPr="00353959">
        <w:rPr>
          <w:rFonts w:cs="Arial"/>
          <w:szCs w:val="19"/>
          <w:lang w:val="en-GB"/>
        </w:rPr>
        <w:t xml:space="preserve"> income between the extreme quintile groups increased </w:t>
      </w:r>
      <w:r w:rsidR="00A46164" w:rsidRPr="00F42DEC">
        <w:rPr>
          <w:rFonts w:cs="Arial"/>
          <w:szCs w:val="19"/>
          <w:lang w:val="en-GB"/>
        </w:rPr>
        <w:t xml:space="preserve">by </w:t>
      </w:r>
      <w:r w:rsidR="00353959">
        <w:rPr>
          <w:rFonts w:cs="Arial"/>
          <w:szCs w:val="19"/>
          <w:lang w:val="en-GB"/>
        </w:rPr>
        <w:t>1</w:t>
      </w:r>
      <w:r w:rsidR="00A46164" w:rsidRPr="00F42DEC">
        <w:rPr>
          <w:rFonts w:cs="Arial"/>
          <w:szCs w:val="19"/>
          <w:lang w:val="en-GB"/>
        </w:rPr>
        <w:t xml:space="preserve">.3 percentage points to </w:t>
      </w:r>
      <w:r w:rsidR="00353959">
        <w:rPr>
          <w:rFonts w:cs="Arial"/>
          <w:szCs w:val="19"/>
          <w:lang w:val="en-GB"/>
        </w:rPr>
        <w:t>31.8</w:t>
      </w:r>
      <w:r w:rsidR="00A46164" w:rsidRPr="00F42DEC">
        <w:rPr>
          <w:rFonts w:cs="Arial"/>
          <w:szCs w:val="19"/>
          <w:lang w:val="en-GB"/>
        </w:rPr>
        <w:t xml:space="preserve"> percentage points</w:t>
      </w:r>
      <w:r w:rsidR="00A46164" w:rsidRPr="00F42DEC">
        <w:rPr>
          <w:rFonts w:cs="Arial"/>
          <w:bCs/>
          <w:i/>
          <w:szCs w:val="19"/>
          <w:lang w:val="en-GB"/>
        </w:rPr>
        <w:t>.</w:t>
      </w:r>
    </w:p>
    <w:p w14:paraId="7EE94F28" w14:textId="77777777" w:rsidR="00B27FA9" w:rsidRDefault="00B27FA9" w:rsidP="003C1C25">
      <w:pPr>
        <w:spacing w:line="240" w:lineRule="auto"/>
        <w:rPr>
          <w:rFonts w:cs="Arial"/>
          <w:bCs/>
          <w:szCs w:val="19"/>
          <w:lang w:val="en-GB"/>
        </w:rPr>
      </w:pPr>
      <w:r w:rsidRPr="005D7DB0">
        <w:rPr>
          <w:rFonts w:cs="Arial"/>
          <w:szCs w:val="19"/>
          <w:lang w:val="en-GB"/>
        </w:rPr>
        <w:lastRenderedPageBreak/>
        <w:t>The average</w:t>
      </w:r>
      <w:r w:rsidR="00477EFC" w:rsidRPr="005D7DB0">
        <w:rPr>
          <w:rFonts w:cs="Arial"/>
          <w:szCs w:val="19"/>
          <w:lang w:val="en-GB"/>
        </w:rPr>
        <w:t xml:space="preserve"> </w:t>
      </w:r>
      <w:r w:rsidR="00477EFC">
        <w:rPr>
          <w:rFonts w:cs="Arial"/>
          <w:szCs w:val="19"/>
          <w:lang w:val="en-GB"/>
        </w:rPr>
        <w:t>monthly</w:t>
      </w:r>
      <w:r>
        <w:rPr>
          <w:rFonts w:cs="Arial"/>
          <w:szCs w:val="19"/>
          <w:lang w:val="en-GB"/>
        </w:rPr>
        <w:t xml:space="preserve"> expenditure</w:t>
      </w:r>
      <w:r w:rsidRPr="006416F7">
        <w:rPr>
          <w:rFonts w:cs="Arial"/>
          <w:szCs w:val="19"/>
          <w:lang w:val="en-GB"/>
        </w:rPr>
        <w:t xml:space="preserve"> </w:t>
      </w:r>
      <w:r w:rsidR="00477EFC">
        <w:rPr>
          <w:rFonts w:cs="Arial"/>
          <w:szCs w:val="19"/>
          <w:lang w:val="en-GB"/>
        </w:rPr>
        <w:t xml:space="preserve">per capita </w:t>
      </w:r>
      <w:r>
        <w:rPr>
          <w:rFonts w:cs="Arial"/>
          <w:szCs w:val="19"/>
          <w:lang w:val="en-GB"/>
        </w:rPr>
        <w:t>in the 5th quintile group</w:t>
      </w:r>
      <w:r w:rsidRPr="006416F7">
        <w:rPr>
          <w:rFonts w:cs="Arial"/>
          <w:szCs w:val="19"/>
          <w:lang w:val="en-GB"/>
        </w:rPr>
        <w:t xml:space="preserve"> </w:t>
      </w:r>
      <w:r>
        <w:rPr>
          <w:rFonts w:cs="Arial"/>
          <w:szCs w:val="19"/>
          <w:lang w:val="en-GB"/>
        </w:rPr>
        <w:t>were 2.</w:t>
      </w:r>
      <w:r w:rsidR="00477EFC">
        <w:rPr>
          <w:rFonts w:cs="Arial"/>
          <w:szCs w:val="19"/>
          <w:lang w:val="en-GB"/>
        </w:rPr>
        <w:t>3</w:t>
      </w:r>
      <w:r w:rsidRPr="006416F7">
        <w:rPr>
          <w:rFonts w:cs="Arial"/>
          <w:szCs w:val="19"/>
          <w:lang w:val="en-GB"/>
        </w:rPr>
        <w:t xml:space="preserve"> times higher </w:t>
      </w:r>
      <w:r>
        <w:rPr>
          <w:rFonts w:cs="Arial"/>
          <w:szCs w:val="19"/>
          <w:lang w:val="en-GB"/>
        </w:rPr>
        <w:t>than in the 1st quintile group</w:t>
      </w:r>
      <w:r w:rsidR="005D7DB0">
        <w:rPr>
          <w:rFonts w:cs="Arial"/>
          <w:szCs w:val="19"/>
          <w:lang w:val="en-GB"/>
        </w:rPr>
        <w:t xml:space="preserve"> (in 2019 – 2.6 times higher)</w:t>
      </w:r>
      <w:r w:rsidRPr="006416F7">
        <w:rPr>
          <w:rFonts w:cs="Arial"/>
          <w:szCs w:val="19"/>
          <w:lang w:val="en-GB"/>
        </w:rPr>
        <w:t xml:space="preserve">. </w:t>
      </w:r>
      <w:r w:rsidRPr="006416F7">
        <w:rPr>
          <w:rFonts w:cs="Arial"/>
          <w:bCs/>
          <w:szCs w:val="19"/>
          <w:lang w:val="en-GB"/>
        </w:rPr>
        <w:t>The share of expenditure in available income in the highest quintile group amounted to </w:t>
      </w:r>
      <w:r>
        <w:rPr>
          <w:rFonts w:cs="Arial"/>
          <w:bCs/>
          <w:szCs w:val="19"/>
          <w:lang w:val="en-GB"/>
        </w:rPr>
        <w:t>5</w:t>
      </w:r>
      <w:r w:rsidR="00477EFC">
        <w:rPr>
          <w:rFonts w:cs="Arial"/>
          <w:bCs/>
          <w:szCs w:val="19"/>
          <w:lang w:val="en-GB"/>
        </w:rPr>
        <w:t>1</w:t>
      </w:r>
      <w:r>
        <w:rPr>
          <w:rFonts w:cs="Arial"/>
          <w:bCs/>
          <w:szCs w:val="19"/>
          <w:lang w:val="en-GB"/>
        </w:rPr>
        <w:t>.</w:t>
      </w:r>
      <w:r w:rsidR="00477EFC">
        <w:rPr>
          <w:rFonts w:cs="Arial"/>
          <w:bCs/>
          <w:szCs w:val="19"/>
          <w:lang w:val="en-GB"/>
        </w:rPr>
        <w:t>8</w:t>
      </w:r>
      <w:r w:rsidRPr="006416F7">
        <w:rPr>
          <w:rFonts w:cs="Arial"/>
          <w:bCs/>
          <w:szCs w:val="19"/>
          <w:lang w:val="en-GB"/>
        </w:rPr>
        <w:t xml:space="preserve">%, and in the lowest </w:t>
      </w:r>
      <w:r w:rsidR="00477EFC">
        <w:rPr>
          <w:rFonts w:cs="Arial"/>
          <w:bCs/>
          <w:szCs w:val="19"/>
          <w:lang w:val="en-GB"/>
        </w:rPr>
        <w:t>–</w:t>
      </w:r>
      <w:r w:rsidRPr="006416F7">
        <w:rPr>
          <w:rFonts w:cs="Arial"/>
          <w:bCs/>
          <w:szCs w:val="19"/>
          <w:lang w:val="en-GB"/>
        </w:rPr>
        <w:t xml:space="preserve"> </w:t>
      </w:r>
      <w:r>
        <w:rPr>
          <w:rFonts w:cs="Arial"/>
          <w:bCs/>
          <w:szCs w:val="19"/>
          <w:lang w:val="en-GB"/>
        </w:rPr>
        <w:t>1</w:t>
      </w:r>
      <w:r w:rsidR="00477EFC">
        <w:rPr>
          <w:rFonts w:cs="Arial"/>
          <w:bCs/>
          <w:szCs w:val="19"/>
          <w:lang w:val="en-GB"/>
        </w:rPr>
        <w:t>26</w:t>
      </w:r>
      <w:r>
        <w:rPr>
          <w:rFonts w:cs="Arial"/>
          <w:bCs/>
          <w:szCs w:val="19"/>
          <w:lang w:val="en-GB"/>
        </w:rPr>
        <w:t>.</w:t>
      </w:r>
      <w:r w:rsidR="00477EFC">
        <w:rPr>
          <w:rFonts w:cs="Arial"/>
          <w:bCs/>
          <w:szCs w:val="19"/>
          <w:lang w:val="en-GB"/>
        </w:rPr>
        <w:t>5</w:t>
      </w:r>
      <w:r w:rsidRPr="006416F7">
        <w:rPr>
          <w:rFonts w:cs="Arial"/>
          <w:bCs/>
          <w:szCs w:val="19"/>
          <w:lang w:val="en-GB"/>
        </w:rPr>
        <w:t xml:space="preserve">%. </w:t>
      </w:r>
      <w:r w:rsidR="00477EFC">
        <w:rPr>
          <w:rFonts w:cs="Arial"/>
          <w:bCs/>
          <w:szCs w:val="19"/>
          <w:lang w:val="en-GB"/>
        </w:rPr>
        <w:t xml:space="preserve">Similarly to the previous years, </w:t>
      </w:r>
      <w:r w:rsidRPr="006416F7">
        <w:rPr>
          <w:rFonts w:cs="Arial"/>
          <w:bCs/>
          <w:szCs w:val="19"/>
          <w:lang w:val="en-GB"/>
        </w:rPr>
        <w:t xml:space="preserve">the poorest households </w:t>
      </w:r>
      <w:r w:rsidR="00477EFC">
        <w:rPr>
          <w:rFonts w:cs="Arial"/>
          <w:bCs/>
          <w:szCs w:val="19"/>
          <w:lang w:val="en-GB"/>
        </w:rPr>
        <w:t xml:space="preserve">still </w:t>
      </w:r>
      <w:r w:rsidRPr="006416F7">
        <w:rPr>
          <w:rFonts w:cs="Arial"/>
          <w:bCs/>
          <w:szCs w:val="19"/>
          <w:lang w:val="en-GB"/>
        </w:rPr>
        <w:t>were forced to use their savings, or loans</w:t>
      </w:r>
      <w:r w:rsidR="008F6139">
        <w:rPr>
          <w:rFonts w:cs="Arial"/>
          <w:bCs/>
          <w:szCs w:val="19"/>
          <w:lang w:val="en-GB"/>
        </w:rPr>
        <w:t>,</w:t>
      </w:r>
      <w:r w:rsidRPr="006416F7">
        <w:rPr>
          <w:rFonts w:cs="Arial"/>
          <w:bCs/>
          <w:szCs w:val="19"/>
          <w:lang w:val="en-GB"/>
        </w:rPr>
        <w:t xml:space="preserve"> or credits, </w:t>
      </w:r>
      <w:r w:rsidR="00477EFC">
        <w:rPr>
          <w:rFonts w:cs="Arial"/>
          <w:bCs/>
          <w:szCs w:val="19"/>
          <w:lang w:val="en-GB"/>
        </w:rPr>
        <w:t xml:space="preserve">and </w:t>
      </w:r>
      <w:r w:rsidRPr="006416F7">
        <w:rPr>
          <w:rFonts w:cs="Arial"/>
          <w:bCs/>
          <w:szCs w:val="19"/>
          <w:lang w:val="en-GB"/>
        </w:rPr>
        <w:t xml:space="preserve">to more extent than in </w:t>
      </w:r>
      <w:r>
        <w:rPr>
          <w:rFonts w:cs="Arial"/>
          <w:bCs/>
          <w:szCs w:val="19"/>
          <w:lang w:val="en-GB"/>
        </w:rPr>
        <w:t>201</w:t>
      </w:r>
      <w:r w:rsidR="00477EFC">
        <w:rPr>
          <w:rFonts w:cs="Arial"/>
          <w:bCs/>
          <w:szCs w:val="19"/>
          <w:lang w:val="en-GB"/>
        </w:rPr>
        <w:t xml:space="preserve">9, when </w:t>
      </w:r>
      <w:r w:rsidR="00757E3A">
        <w:rPr>
          <w:rFonts w:cs="Arial"/>
          <w:bCs/>
          <w:szCs w:val="19"/>
          <w:lang w:val="en-GB"/>
        </w:rPr>
        <w:t>expenditure</w:t>
      </w:r>
      <w:r w:rsidRPr="006416F7">
        <w:rPr>
          <w:rFonts w:cs="Arial"/>
          <w:bCs/>
          <w:szCs w:val="19"/>
          <w:lang w:val="en-GB"/>
        </w:rPr>
        <w:t xml:space="preserve"> amounted </w:t>
      </w:r>
      <w:r w:rsidR="00477EFC">
        <w:rPr>
          <w:rFonts w:cs="Arial"/>
          <w:bCs/>
          <w:szCs w:val="19"/>
          <w:lang w:val="en-GB"/>
        </w:rPr>
        <w:t xml:space="preserve">to </w:t>
      </w:r>
      <w:r>
        <w:rPr>
          <w:rFonts w:cs="Arial"/>
          <w:bCs/>
          <w:szCs w:val="19"/>
          <w:lang w:val="en-GB"/>
        </w:rPr>
        <w:t>1</w:t>
      </w:r>
      <w:r w:rsidR="00477EFC">
        <w:rPr>
          <w:rFonts w:cs="Arial"/>
          <w:bCs/>
          <w:szCs w:val="19"/>
          <w:lang w:val="en-GB"/>
        </w:rPr>
        <w:t>12</w:t>
      </w:r>
      <w:r>
        <w:rPr>
          <w:rFonts w:cs="Arial"/>
          <w:bCs/>
          <w:szCs w:val="19"/>
          <w:lang w:val="en-GB"/>
        </w:rPr>
        <w:t>.6</w:t>
      </w:r>
      <w:r w:rsidRPr="006416F7">
        <w:rPr>
          <w:rFonts w:cs="Arial"/>
          <w:bCs/>
          <w:szCs w:val="19"/>
          <w:lang w:val="en-GB"/>
        </w:rPr>
        <w:t>%</w:t>
      </w:r>
      <w:r w:rsidR="00757E3A">
        <w:rPr>
          <w:rFonts w:cs="Arial"/>
          <w:bCs/>
          <w:szCs w:val="19"/>
          <w:lang w:val="en-GB"/>
        </w:rPr>
        <w:t xml:space="preserve"> of income</w:t>
      </w:r>
      <w:r w:rsidRPr="006416F7">
        <w:rPr>
          <w:rFonts w:cs="Arial"/>
          <w:bCs/>
          <w:szCs w:val="19"/>
          <w:lang w:val="en-GB"/>
        </w:rPr>
        <w:t>.</w:t>
      </w:r>
    </w:p>
    <w:p w14:paraId="7EE94F29" w14:textId="77777777" w:rsidR="008F6139" w:rsidRPr="00B27FA9" w:rsidRDefault="008F6139" w:rsidP="003C1C25">
      <w:pPr>
        <w:spacing w:line="240" w:lineRule="auto"/>
        <w:rPr>
          <w:rFonts w:cs="Arial"/>
          <w:bCs/>
          <w:szCs w:val="19"/>
          <w:lang w:val="en-GB"/>
        </w:rPr>
      </w:pPr>
    </w:p>
    <w:p w14:paraId="7EE94F2A" w14:textId="77777777" w:rsidR="00764D9C" w:rsidRPr="003B33FE" w:rsidRDefault="001467C3" w:rsidP="00764D9C">
      <w:pPr>
        <w:spacing w:line="240" w:lineRule="auto"/>
        <w:rPr>
          <w:i/>
          <w:spacing w:val="-2"/>
          <w:szCs w:val="19"/>
          <w:shd w:val="clear" w:color="auto" w:fill="FFFFFF"/>
        </w:rPr>
      </w:pPr>
      <w:r>
        <w:rPr>
          <w:noProof/>
          <w:lang w:eastAsia="pl-PL"/>
        </w:rPr>
        <w:drawing>
          <wp:inline distT="0" distB="0" distL="0" distR="0" wp14:anchorId="7EE94FB2" wp14:editId="7EE94FB3">
            <wp:extent cx="5122545" cy="2879725"/>
            <wp:effectExtent l="0" t="0" r="1905" b="0"/>
            <wp:docPr id="18" name="Wykres 18">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E94F2B" w14:textId="77777777" w:rsidR="001F43F3" w:rsidRPr="00D03AE3" w:rsidRDefault="00B06F47" w:rsidP="00764D9C">
      <w:pPr>
        <w:rPr>
          <w:spacing w:val="-2"/>
          <w:szCs w:val="19"/>
          <w:shd w:val="clear" w:color="auto" w:fill="FFFFFF"/>
        </w:rPr>
      </w:pPr>
      <w:r>
        <w:rPr>
          <w:noProof/>
          <w:lang w:eastAsia="pl-PL"/>
        </w:rPr>
        <mc:AlternateContent>
          <mc:Choice Requires="wps">
            <w:drawing>
              <wp:anchor distT="45720" distB="45720" distL="114300" distR="114300" simplePos="0" relativeHeight="251805696" behindDoc="1" locked="0" layoutInCell="1" allowOverlap="1" wp14:anchorId="7EE94FB4" wp14:editId="7EE94FB5">
                <wp:simplePos x="0" y="0"/>
                <wp:positionH relativeFrom="column">
                  <wp:posOffset>5210175</wp:posOffset>
                </wp:positionH>
                <wp:positionV relativeFrom="paragraph">
                  <wp:posOffset>99695</wp:posOffset>
                </wp:positionV>
                <wp:extent cx="1725295" cy="2002790"/>
                <wp:effectExtent l="0" t="0" r="0" b="0"/>
                <wp:wrapTight wrapText="bothSides">
                  <wp:wrapPolygon edited="0">
                    <wp:start x="715" y="0"/>
                    <wp:lineTo x="715" y="21367"/>
                    <wp:lineTo x="20749" y="21367"/>
                    <wp:lineTo x="20749" y="0"/>
                    <wp:lineTo x="715" y="0"/>
                  </wp:wrapPolygon>
                </wp:wrapTight>
                <wp:docPr id="215" name="Pole tekstowe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002790"/>
                        </a:xfrm>
                        <a:prstGeom prst="rect">
                          <a:avLst/>
                        </a:prstGeom>
                        <a:noFill/>
                        <a:ln w="9525">
                          <a:noFill/>
                          <a:miter lim="800000"/>
                          <a:headEnd/>
                          <a:tailEnd/>
                        </a:ln>
                      </wps:spPr>
                      <wps:txbx>
                        <w:txbxContent>
                          <w:p w14:paraId="7EE95019" w14:textId="77777777" w:rsidR="0024032F" w:rsidRPr="00A13CB9" w:rsidRDefault="0024032F" w:rsidP="00764D9C">
                            <w:pPr>
                              <w:spacing w:after="0"/>
                              <w:rPr>
                                <w:rFonts w:eastAsia="Times New Roman"/>
                                <w:bCs/>
                                <w:color w:val="001D77"/>
                                <w:sz w:val="18"/>
                                <w:szCs w:val="18"/>
                                <w:lang w:val="en-GB" w:eastAsia="pl-PL"/>
                              </w:rPr>
                            </w:pPr>
                            <w:r w:rsidRPr="00A13CB9">
                              <w:rPr>
                                <w:rFonts w:eastAsia="Times New Roman"/>
                                <w:bCs/>
                                <w:color w:val="001D77"/>
                                <w:sz w:val="18"/>
                                <w:szCs w:val="18"/>
                                <w:lang w:val="en-GB" w:eastAsia="pl-PL"/>
                              </w:rPr>
                              <w:t>The average monthly available income per capita in urban households was by 28.</w:t>
                            </w:r>
                            <w:r>
                              <w:rPr>
                                <w:rFonts w:eastAsia="Times New Roman"/>
                                <w:bCs/>
                                <w:color w:val="001D77"/>
                                <w:sz w:val="18"/>
                                <w:szCs w:val="18"/>
                                <w:lang w:val="en-GB" w:eastAsia="pl-PL"/>
                              </w:rPr>
                              <w:t>0</w:t>
                            </w:r>
                            <w:r w:rsidRPr="00A13CB9">
                              <w:rPr>
                                <w:rFonts w:eastAsia="Times New Roman"/>
                                <w:bCs/>
                                <w:color w:val="001D77"/>
                                <w:sz w:val="18"/>
                                <w:szCs w:val="18"/>
                                <w:lang w:val="en-GB" w:eastAsia="pl-PL"/>
                              </w:rPr>
                              <w:t>% higher than in rural households</w:t>
                            </w:r>
                          </w:p>
                          <w:p w14:paraId="7EE9501A" w14:textId="77777777" w:rsidR="0024032F" w:rsidRPr="00A13CB9" w:rsidRDefault="0024032F" w:rsidP="00764D9C">
                            <w:pPr>
                              <w:spacing w:after="0"/>
                              <w:rPr>
                                <w:rFonts w:eastAsia="Times New Roman"/>
                                <w:bCs/>
                                <w:color w:val="001D77"/>
                                <w:sz w:val="18"/>
                                <w:szCs w:val="18"/>
                                <w:lang w:val="en-GB" w:eastAsia="pl-PL"/>
                              </w:rPr>
                            </w:pPr>
                            <w:r w:rsidRPr="00A13CB9">
                              <w:rPr>
                                <w:rFonts w:eastAsia="Times New Roman"/>
                                <w:bCs/>
                                <w:color w:val="001D77"/>
                                <w:sz w:val="18"/>
                                <w:szCs w:val="18"/>
                                <w:lang w:val="en-GB" w:eastAsia="pl-PL"/>
                              </w:rPr>
                              <w:t>The average monthly expenditure per capita in urban households was by 3</w:t>
                            </w:r>
                            <w:r>
                              <w:rPr>
                                <w:rFonts w:eastAsia="Times New Roman"/>
                                <w:bCs/>
                                <w:color w:val="001D77"/>
                                <w:sz w:val="18"/>
                                <w:szCs w:val="18"/>
                                <w:lang w:val="en-GB" w:eastAsia="pl-PL"/>
                              </w:rPr>
                              <w:t>5</w:t>
                            </w:r>
                            <w:r w:rsidRPr="00A13CB9">
                              <w:rPr>
                                <w:rFonts w:eastAsia="Times New Roman"/>
                                <w:bCs/>
                                <w:color w:val="001D77"/>
                                <w:sz w:val="18"/>
                                <w:szCs w:val="18"/>
                                <w:lang w:val="en-GB" w:eastAsia="pl-PL"/>
                              </w:rPr>
                              <w:t>.</w:t>
                            </w:r>
                            <w:r>
                              <w:rPr>
                                <w:rFonts w:eastAsia="Times New Roman"/>
                                <w:bCs/>
                                <w:color w:val="001D77"/>
                                <w:sz w:val="18"/>
                                <w:szCs w:val="18"/>
                                <w:lang w:val="en-GB" w:eastAsia="pl-PL"/>
                              </w:rPr>
                              <w:t>4</w:t>
                            </w:r>
                            <w:r w:rsidRPr="00A13CB9">
                              <w:rPr>
                                <w:rFonts w:eastAsia="Times New Roman"/>
                                <w:bCs/>
                                <w:color w:val="001D77"/>
                                <w:sz w:val="18"/>
                                <w:szCs w:val="18"/>
                                <w:lang w:val="en-GB" w:eastAsia="pl-PL"/>
                              </w:rPr>
                              <w:t>% higher than in rural households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B4" id="Pole tekstowe 215" o:spid="_x0000_s1036" type="#_x0000_t202" style="position:absolute;margin-left:410.25pt;margin-top:7.85pt;width:135.85pt;height:157.7pt;z-index:-25151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" filled="f" stroked="f">
                <v:textbox>
                  <w:txbxContent>
                    <w:p w14:paraId="7EE95019" w14:textId="77777777" w:rsidR="0024032F" w:rsidRPr="00A13CB9" w:rsidRDefault="0024032F" w:rsidP="00764D9C">
                      <w:pPr>
                        <w:spacing w:after="0"/>
                        <w:rPr>
                          <w:rFonts w:eastAsia="Times New Roman"/>
                          <w:bCs/>
                          <w:color w:val="001D77"/>
                          <w:sz w:val="18"/>
                          <w:szCs w:val="18"/>
                          <w:lang w:val="en-GB" w:eastAsia="pl-PL"/>
                        </w:rPr>
                      </w:pPr>
                      <w:r w:rsidRPr="00A13CB9">
                        <w:rPr>
                          <w:rFonts w:eastAsia="Times New Roman"/>
                          <w:bCs/>
                          <w:color w:val="001D77"/>
                          <w:sz w:val="18"/>
                          <w:szCs w:val="18"/>
                          <w:lang w:val="en-GB" w:eastAsia="pl-PL"/>
                        </w:rPr>
                        <w:t>The average monthly available income per capita in urban households was by 28.</w:t>
                      </w:r>
                      <w:r>
                        <w:rPr>
                          <w:rFonts w:eastAsia="Times New Roman"/>
                          <w:bCs/>
                          <w:color w:val="001D77"/>
                          <w:sz w:val="18"/>
                          <w:szCs w:val="18"/>
                          <w:lang w:val="en-GB" w:eastAsia="pl-PL"/>
                        </w:rPr>
                        <w:t>0</w:t>
                      </w:r>
                      <w:r w:rsidRPr="00A13CB9">
                        <w:rPr>
                          <w:rFonts w:eastAsia="Times New Roman"/>
                          <w:bCs/>
                          <w:color w:val="001D77"/>
                          <w:sz w:val="18"/>
                          <w:szCs w:val="18"/>
                          <w:lang w:val="en-GB" w:eastAsia="pl-PL"/>
                        </w:rPr>
                        <w:t>% higher than in rural households</w:t>
                      </w:r>
                    </w:p>
                    <w:p w14:paraId="7EE9501A" w14:textId="77777777" w:rsidR="0024032F" w:rsidRPr="00A13CB9" w:rsidRDefault="0024032F" w:rsidP="00764D9C">
                      <w:pPr>
                        <w:spacing w:after="0"/>
                        <w:rPr>
                          <w:rFonts w:eastAsia="Times New Roman"/>
                          <w:bCs/>
                          <w:color w:val="001D77"/>
                          <w:sz w:val="18"/>
                          <w:szCs w:val="18"/>
                          <w:lang w:val="en-GB" w:eastAsia="pl-PL"/>
                        </w:rPr>
                      </w:pPr>
                      <w:r w:rsidRPr="00A13CB9">
                        <w:rPr>
                          <w:rFonts w:eastAsia="Times New Roman"/>
                          <w:bCs/>
                          <w:color w:val="001D77"/>
                          <w:sz w:val="18"/>
                          <w:szCs w:val="18"/>
                          <w:lang w:val="en-GB" w:eastAsia="pl-PL"/>
                        </w:rPr>
                        <w:t>The average monthly expenditure per capita in urban households was by 3</w:t>
                      </w:r>
                      <w:r>
                        <w:rPr>
                          <w:rFonts w:eastAsia="Times New Roman"/>
                          <w:bCs/>
                          <w:color w:val="001D77"/>
                          <w:sz w:val="18"/>
                          <w:szCs w:val="18"/>
                          <w:lang w:val="en-GB" w:eastAsia="pl-PL"/>
                        </w:rPr>
                        <w:t>5</w:t>
                      </w:r>
                      <w:r w:rsidRPr="00A13CB9">
                        <w:rPr>
                          <w:rFonts w:eastAsia="Times New Roman"/>
                          <w:bCs/>
                          <w:color w:val="001D77"/>
                          <w:sz w:val="18"/>
                          <w:szCs w:val="18"/>
                          <w:lang w:val="en-GB" w:eastAsia="pl-PL"/>
                        </w:rPr>
                        <w:t>.</w:t>
                      </w:r>
                      <w:r>
                        <w:rPr>
                          <w:rFonts w:eastAsia="Times New Roman"/>
                          <w:bCs/>
                          <w:color w:val="001D77"/>
                          <w:sz w:val="18"/>
                          <w:szCs w:val="18"/>
                          <w:lang w:val="en-GB" w:eastAsia="pl-PL"/>
                        </w:rPr>
                        <w:t>4</w:t>
                      </w:r>
                      <w:r w:rsidRPr="00A13CB9">
                        <w:rPr>
                          <w:rFonts w:eastAsia="Times New Roman"/>
                          <w:bCs/>
                          <w:color w:val="001D77"/>
                          <w:sz w:val="18"/>
                          <w:szCs w:val="18"/>
                          <w:lang w:val="en-GB" w:eastAsia="pl-PL"/>
                        </w:rPr>
                        <w:t>% higher than in rural households</w:t>
                      </w:r>
                    </w:p>
                  </w:txbxContent>
                </v:textbox>
                <w10:wrap type="tight"/>
              </v:shape>
            </w:pict>
          </mc:Fallback>
        </mc:AlternateContent>
      </w:r>
    </w:p>
    <w:p w14:paraId="7EE94F2C" w14:textId="77777777" w:rsidR="00764D9C" w:rsidRPr="00211F7F" w:rsidRDefault="00F433AD" w:rsidP="00764D9C">
      <w:pPr>
        <w:rPr>
          <w:spacing w:val="-2"/>
          <w:szCs w:val="19"/>
          <w:shd w:val="clear" w:color="auto" w:fill="FFFFFF"/>
          <w:lang w:val="en-GB"/>
        </w:rPr>
      </w:pPr>
      <w:r>
        <w:rPr>
          <w:rFonts w:cs="Arial"/>
          <w:bCs/>
          <w:szCs w:val="19"/>
          <w:lang w:val="en-GB"/>
        </w:rPr>
        <w:t>T</w:t>
      </w:r>
      <w:r w:rsidRPr="000C6457">
        <w:rPr>
          <w:rFonts w:cs="Arial"/>
          <w:bCs/>
          <w:szCs w:val="19"/>
          <w:lang w:val="en-GB"/>
        </w:rPr>
        <w:t>he place of residence</w:t>
      </w:r>
      <w:r>
        <w:rPr>
          <w:rFonts w:cs="Arial"/>
          <w:bCs/>
          <w:szCs w:val="19"/>
          <w:lang w:val="en-GB"/>
        </w:rPr>
        <w:t xml:space="preserve"> is another factor that</w:t>
      </w:r>
      <w:r w:rsidRPr="000C6457">
        <w:rPr>
          <w:rFonts w:cs="Arial"/>
          <w:bCs/>
          <w:szCs w:val="19"/>
          <w:lang w:val="en-GB"/>
        </w:rPr>
        <w:t xml:space="preserve"> substantially diversifie</w:t>
      </w:r>
      <w:r w:rsidR="003B4300">
        <w:rPr>
          <w:rFonts w:cs="Arial"/>
          <w:bCs/>
          <w:szCs w:val="19"/>
          <w:lang w:val="en-GB"/>
        </w:rPr>
        <w:t>d</w:t>
      </w:r>
      <w:r w:rsidRPr="000C6457">
        <w:rPr>
          <w:rFonts w:cs="Arial"/>
          <w:bCs/>
          <w:szCs w:val="19"/>
          <w:lang w:val="en-GB"/>
        </w:rPr>
        <w:t xml:space="preserve"> dynamics and structure of income and expenditure of households.</w:t>
      </w:r>
    </w:p>
    <w:p w14:paraId="7EE94F2D" w14:textId="77777777" w:rsidR="00683DE7" w:rsidRDefault="008D617E" w:rsidP="00764D9C">
      <w:pPr>
        <w:rPr>
          <w:rFonts w:cs="Arial"/>
          <w:szCs w:val="19"/>
          <w:lang w:val="en-GB"/>
        </w:rPr>
      </w:pPr>
      <w:r w:rsidRPr="006416F7">
        <w:rPr>
          <w:rFonts w:cs="Arial"/>
          <w:szCs w:val="19"/>
          <w:lang w:val="en-GB"/>
        </w:rPr>
        <w:t xml:space="preserve">The average </w:t>
      </w:r>
      <w:r w:rsidR="006D663B">
        <w:rPr>
          <w:rFonts w:cs="Arial"/>
          <w:szCs w:val="19"/>
          <w:lang w:val="en-GB"/>
        </w:rPr>
        <w:t xml:space="preserve">monthly </w:t>
      </w:r>
      <w:r w:rsidRPr="006416F7">
        <w:rPr>
          <w:rFonts w:cs="Arial"/>
          <w:szCs w:val="19"/>
          <w:lang w:val="en-GB"/>
        </w:rPr>
        <w:t xml:space="preserve">available income per capita in urban households was by </w:t>
      </w:r>
      <w:r>
        <w:rPr>
          <w:rFonts w:cs="Arial"/>
          <w:szCs w:val="19"/>
          <w:lang w:val="en-GB"/>
        </w:rPr>
        <w:t>28.</w:t>
      </w:r>
      <w:r w:rsidR="00A36254">
        <w:rPr>
          <w:rFonts w:cs="Arial"/>
          <w:szCs w:val="19"/>
          <w:lang w:val="en-GB"/>
        </w:rPr>
        <w:t>0</w:t>
      </w:r>
      <w:r w:rsidRPr="006416F7">
        <w:rPr>
          <w:rFonts w:cs="Arial"/>
          <w:szCs w:val="19"/>
          <w:lang w:val="en-GB"/>
        </w:rPr>
        <w:t>% higher than in rural households</w:t>
      </w:r>
      <w:r w:rsidR="0026206E">
        <w:rPr>
          <w:rFonts w:cs="Arial"/>
          <w:szCs w:val="19"/>
          <w:lang w:val="en-GB"/>
        </w:rPr>
        <w:t xml:space="preserve"> </w:t>
      </w:r>
      <w:r w:rsidR="00A36254" w:rsidRPr="006416F7">
        <w:rPr>
          <w:rFonts w:cs="Arial"/>
          <w:szCs w:val="19"/>
          <w:lang w:val="en-GB"/>
        </w:rPr>
        <w:t xml:space="preserve">(in </w:t>
      </w:r>
      <w:r w:rsidR="00A36254">
        <w:rPr>
          <w:rFonts w:cs="Arial"/>
          <w:szCs w:val="19"/>
          <w:lang w:val="en-GB"/>
        </w:rPr>
        <w:t>2019</w:t>
      </w:r>
      <w:r w:rsidR="00A36254" w:rsidRPr="006416F7">
        <w:rPr>
          <w:rFonts w:cs="Arial"/>
          <w:szCs w:val="19"/>
          <w:lang w:val="en-GB"/>
        </w:rPr>
        <w:t xml:space="preserve"> </w:t>
      </w:r>
      <w:r w:rsidR="00A36254">
        <w:rPr>
          <w:rFonts w:cs="Arial"/>
          <w:szCs w:val="19"/>
          <w:lang w:val="en-GB"/>
        </w:rPr>
        <w:t>by</w:t>
      </w:r>
      <w:r w:rsidR="00A36254" w:rsidRPr="006416F7">
        <w:rPr>
          <w:rFonts w:cs="Arial"/>
          <w:szCs w:val="19"/>
          <w:lang w:val="en-GB"/>
        </w:rPr>
        <w:t xml:space="preserve"> </w:t>
      </w:r>
      <w:r w:rsidR="00A36254">
        <w:rPr>
          <w:rFonts w:cs="Arial"/>
          <w:szCs w:val="19"/>
          <w:lang w:val="en-GB"/>
        </w:rPr>
        <w:t>28.4</w:t>
      </w:r>
      <w:r w:rsidR="00A36254" w:rsidRPr="006416F7">
        <w:rPr>
          <w:rFonts w:cs="Arial"/>
          <w:szCs w:val="19"/>
          <w:lang w:val="en-GB"/>
        </w:rPr>
        <w:t>%)</w:t>
      </w:r>
      <w:r w:rsidRPr="006416F7">
        <w:rPr>
          <w:rFonts w:cs="Arial"/>
          <w:szCs w:val="19"/>
          <w:lang w:val="en-GB"/>
        </w:rPr>
        <w:t xml:space="preserve">. These differences </w:t>
      </w:r>
      <w:r w:rsidR="00A97694">
        <w:rPr>
          <w:rFonts w:cs="Arial"/>
          <w:szCs w:val="19"/>
          <w:lang w:val="en-GB"/>
        </w:rPr>
        <w:t>resulted from</w:t>
      </w:r>
      <w:r w:rsidRPr="006416F7">
        <w:rPr>
          <w:rFonts w:cs="Arial"/>
          <w:szCs w:val="19"/>
          <w:lang w:val="en-GB"/>
        </w:rPr>
        <w:t xml:space="preserve"> the amount of income obtained by households, but were also connected with the larger number of </w:t>
      </w:r>
      <w:r w:rsidR="003B4300">
        <w:rPr>
          <w:rFonts w:cs="Arial"/>
          <w:szCs w:val="19"/>
          <w:lang w:val="en-GB"/>
        </w:rPr>
        <w:t xml:space="preserve">persons </w:t>
      </w:r>
      <w:r w:rsidRPr="006416F7">
        <w:rPr>
          <w:rFonts w:cs="Arial"/>
          <w:szCs w:val="19"/>
          <w:lang w:val="en-GB"/>
        </w:rPr>
        <w:t xml:space="preserve">living </w:t>
      </w:r>
      <w:r w:rsidR="00134A30">
        <w:rPr>
          <w:rFonts w:cs="Arial"/>
          <w:szCs w:val="19"/>
          <w:lang w:val="en-GB"/>
        </w:rPr>
        <w:t>in</w:t>
      </w:r>
      <w:r w:rsidRPr="006416F7">
        <w:rPr>
          <w:rFonts w:cs="Arial"/>
          <w:szCs w:val="19"/>
          <w:lang w:val="en-GB"/>
        </w:rPr>
        <w:t xml:space="preserve"> rural household</w:t>
      </w:r>
      <w:r w:rsidR="00134A30">
        <w:rPr>
          <w:rFonts w:cs="Arial"/>
          <w:szCs w:val="19"/>
          <w:lang w:val="en-GB"/>
        </w:rPr>
        <w:t>s</w:t>
      </w:r>
      <w:r w:rsidR="00211F7F">
        <w:rPr>
          <w:rStyle w:val="Odwoanieprzypisudolnego"/>
          <w:rFonts w:cs="Arial"/>
          <w:szCs w:val="19"/>
          <w:lang w:val="en-GB"/>
        </w:rPr>
        <w:footnoteReference w:id="7"/>
      </w:r>
      <w:r w:rsidRPr="006416F7">
        <w:rPr>
          <w:rFonts w:cs="Arial"/>
          <w:szCs w:val="19"/>
          <w:lang w:val="en-GB"/>
        </w:rPr>
        <w:t>. Similar</w:t>
      </w:r>
      <w:r w:rsidR="00134A30">
        <w:rPr>
          <w:rFonts w:cs="Arial"/>
          <w:szCs w:val="19"/>
          <w:lang w:val="en-GB"/>
        </w:rPr>
        <w:t xml:space="preserve"> situation was observed</w:t>
      </w:r>
      <w:r w:rsidRPr="006416F7">
        <w:rPr>
          <w:rFonts w:cs="Arial"/>
          <w:szCs w:val="19"/>
          <w:lang w:val="en-GB"/>
        </w:rPr>
        <w:t xml:space="preserve"> </w:t>
      </w:r>
      <w:r w:rsidR="00134A30">
        <w:rPr>
          <w:rFonts w:cs="Arial"/>
          <w:szCs w:val="19"/>
          <w:lang w:val="en-GB"/>
        </w:rPr>
        <w:t xml:space="preserve">in </w:t>
      </w:r>
      <w:r w:rsidR="00B730D5">
        <w:rPr>
          <w:rFonts w:cs="Arial"/>
          <w:szCs w:val="19"/>
          <w:lang w:val="en-GB"/>
        </w:rPr>
        <w:t xml:space="preserve">the </w:t>
      </w:r>
      <w:r w:rsidR="00134A30">
        <w:rPr>
          <w:rFonts w:cs="Arial"/>
          <w:szCs w:val="19"/>
          <w:lang w:val="en-GB"/>
        </w:rPr>
        <w:t xml:space="preserve">case of </w:t>
      </w:r>
      <w:r w:rsidRPr="006416F7">
        <w:rPr>
          <w:rFonts w:cs="Arial"/>
          <w:szCs w:val="19"/>
          <w:lang w:val="en-GB"/>
        </w:rPr>
        <w:t xml:space="preserve">expenditure of households. </w:t>
      </w:r>
      <w:r w:rsidR="00134A30">
        <w:rPr>
          <w:rFonts w:cs="Arial"/>
          <w:szCs w:val="19"/>
          <w:lang w:val="en-GB"/>
        </w:rPr>
        <w:t>Average monthly e</w:t>
      </w:r>
      <w:r w:rsidRPr="006416F7">
        <w:rPr>
          <w:rFonts w:cs="Arial"/>
          <w:szCs w:val="19"/>
          <w:lang w:val="en-GB"/>
        </w:rPr>
        <w:t>xpenditure per capita in urban households was by </w:t>
      </w:r>
      <w:r>
        <w:rPr>
          <w:rFonts w:cs="Arial"/>
          <w:szCs w:val="19"/>
          <w:lang w:val="en-GB"/>
        </w:rPr>
        <w:t>3</w:t>
      </w:r>
      <w:r w:rsidR="00134A30">
        <w:rPr>
          <w:rFonts w:cs="Arial"/>
          <w:szCs w:val="19"/>
          <w:lang w:val="en-GB"/>
        </w:rPr>
        <w:t>5</w:t>
      </w:r>
      <w:r>
        <w:rPr>
          <w:rFonts w:cs="Arial"/>
          <w:szCs w:val="19"/>
          <w:lang w:val="en-GB"/>
        </w:rPr>
        <w:t>.</w:t>
      </w:r>
      <w:r w:rsidR="00134A30">
        <w:rPr>
          <w:rFonts w:cs="Arial"/>
          <w:szCs w:val="19"/>
          <w:lang w:val="en-GB"/>
        </w:rPr>
        <w:t>4</w:t>
      </w:r>
      <w:r w:rsidRPr="006416F7">
        <w:rPr>
          <w:rFonts w:cs="Arial"/>
          <w:szCs w:val="19"/>
          <w:lang w:val="en-GB"/>
        </w:rPr>
        <w:t xml:space="preserve">% higher than in rural households (in </w:t>
      </w:r>
      <w:r>
        <w:rPr>
          <w:rFonts w:cs="Arial"/>
          <w:szCs w:val="19"/>
          <w:lang w:val="en-GB"/>
        </w:rPr>
        <w:t>201</w:t>
      </w:r>
      <w:r w:rsidR="00134A30">
        <w:rPr>
          <w:rFonts w:cs="Arial"/>
          <w:szCs w:val="19"/>
          <w:lang w:val="en-GB"/>
        </w:rPr>
        <w:t>9</w:t>
      </w:r>
      <w:r w:rsidRPr="006416F7">
        <w:rPr>
          <w:rFonts w:cs="Arial"/>
          <w:szCs w:val="19"/>
          <w:lang w:val="en-GB"/>
        </w:rPr>
        <w:t xml:space="preserve"> – </w:t>
      </w:r>
      <w:r>
        <w:rPr>
          <w:rFonts w:cs="Arial"/>
          <w:szCs w:val="19"/>
          <w:lang w:val="en-GB"/>
        </w:rPr>
        <w:t>34.</w:t>
      </w:r>
      <w:r w:rsidR="00134A30">
        <w:rPr>
          <w:rFonts w:cs="Arial"/>
          <w:szCs w:val="19"/>
          <w:lang w:val="en-GB"/>
        </w:rPr>
        <w:t>8</w:t>
      </w:r>
      <w:r w:rsidRPr="006416F7">
        <w:rPr>
          <w:rFonts w:cs="Arial"/>
          <w:szCs w:val="19"/>
          <w:lang w:val="en-GB"/>
        </w:rPr>
        <w:t>%).</w:t>
      </w:r>
      <w:r w:rsidR="00BF168C">
        <w:rPr>
          <w:rFonts w:cs="Arial"/>
          <w:szCs w:val="19"/>
          <w:lang w:val="en-GB"/>
        </w:rPr>
        <w:t xml:space="preserve"> </w:t>
      </w:r>
    </w:p>
    <w:p w14:paraId="7EE94F2E" w14:textId="77777777" w:rsidR="005C7565" w:rsidRPr="00211F7F" w:rsidRDefault="005C7565" w:rsidP="00764D9C">
      <w:pPr>
        <w:rPr>
          <w:rFonts w:cs="Arial"/>
          <w:szCs w:val="19"/>
          <w:lang w:val="en-GB"/>
        </w:rPr>
      </w:pPr>
    </w:p>
    <w:p w14:paraId="7EE94F2F" w14:textId="77777777" w:rsidR="00D04BE9" w:rsidRPr="003B33FE" w:rsidRDefault="001467C3" w:rsidP="00683DE7">
      <w:pPr>
        <w:spacing w:line="240" w:lineRule="auto"/>
        <w:rPr>
          <w:i/>
          <w:spacing w:val="-2"/>
          <w:szCs w:val="19"/>
          <w:shd w:val="clear" w:color="auto" w:fill="FFFFFF"/>
        </w:rPr>
      </w:pPr>
      <w:r>
        <w:rPr>
          <w:noProof/>
          <w:lang w:eastAsia="pl-PL"/>
        </w:rPr>
        <w:drawing>
          <wp:inline distT="0" distB="0" distL="0" distR="0" wp14:anchorId="7EE94FB6" wp14:editId="7EE94FB7">
            <wp:extent cx="5122545" cy="3131820"/>
            <wp:effectExtent l="0" t="0" r="1905" b="0"/>
            <wp:docPr id="1" name="Wykres 1">
              <a:extLst xmlns:a="http://schemas.openxmlformats.org/drawingml/2006/main">
                <a:ext uri="{FF2B5EF4-FFF2-40B4-BE49-F238E27FC236}">
                  <a16:creationId xmlns:a16="http://schemas.microsoft.com/office/drawing/2014/main" id="{00000000-0008-0000-08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E94F30" w14:textId="77777777" w:rsidR="00764D9C" w:rsidRPr="003B33FE" w:rsidRDefault="00764D9C" w:rsidP="00764D9C">
      <w:pPr>
        <w:spacing w:line="240" w:lineRule="auto"/>
        <w:rPr>
          <w:i/>
          <w:spacing w:val="-2"/>
          <w:szCs w:val="19"/>
          <w:shd w:val="clear" w:color="auto" w:fill="FFFFFF"/>
        </w:rPr>
      </w:pPr>
    </w:p>
    <w:p w14:paraId="7EE94F31" w14:textId="77777777" w:rsidR="00B92CB2" w:rsidRPr="00B92CB2" w:rsidRDefault="00392586" w:rsidP="00FD0CA4">
      <w:pPr>
        <w:spacing w:before="0" w:line="259" w:lineRule="auto"/>
        <w:rPr>
          <w:szCs w:val="19"/>
          <w:shd w:val="clear" w:color="auto" w:fill="FFFFFF"/>
          <w:lang w:val="en-GB"/>
        </w:rPr>
      </w:pPr>
      <w:r>
        <w:rPr>
          <w:rFonts w:cs="Arial"/>
          <w:bCs/>
          <w:szCs w:val="19"/>
          <w:lang w:val="en-GB"/>
        </w:rPr>
        <w:t>In</w:t>
      </w:r>
      <w:r w:rsidR="00134A30" w:rsidRPr="00134A30">
        <w:rPr>
          <w:rFonts w:cs="Arial"/>
          <w:bCs/>
          <w:szCs w:val="19"/>
          <w:lang w:val="en-GB"/>
        </w:rPr>
        <w:t xml:space="preserve"> territorial </w:t>
      </w:r>
      <w:r>
        <w:rPr>
          <w:rFonts w:cs="Arial"/>
          <w:bCs/>
          <w:szCs w:val="19"/>
          <w:lang w:val="en-GB"/>
        </w:rPr>
        <w:t>terms</w:t>
      </w:r>
      <w:r w:rsidR="00134A30" w:rsidRPr="00134A30">
        <w:rPr>
          <w:rFonts w:cs="Arial"/>
          <w:bCs/>
          <w:szCs w:val="19"/>
          <w:lang w:val="en-GB"/>
        </w:rPr>
        <w:t xml:space="preserve"> the income higher than the national average appeared in the </w:t>
      </w:r>
      <w:r w:rsidR="008F7E05">
        <w:rPr>
          <w:rFonts w:cs="Arial"/>
          <w:bCs/>
          <w:szCs w:val="19"/>
          <w:lang w:val="en-GB"/>
        </w:rPr>
        <w:t>voivodships</w:t>
      </w:r>
      <w:r w:rsidR="00134A30" w:rsidRPr="00134A30">
        <w:rPr>
          <w:rFonts w:cs="Arial"/>
          <w:bCs/>
          <w:szCs w:val="19"/>
          <w:lang w:val="en-GB"/>
        </w:rPr>
        <w:t xml:space="preserve">: </w:t>
      </w:r>
      <w:proofErr w:type="spellStart"/>
      <w:r w:rsidR="00134A30" w:rsidRPr="00134A30">
        <w:rPr>
          <w:rFonts w:cs="Arial"/>
          <w:bCs/>
          <w:szCs w:val="19"/>
          <w:lang w:val="en-GB"/>
        </w:rPr>
        <w:t>Mazowiecki</w:t>
      </w:r>
      <w:r w:rsidR="008F7E05">
        <w:rPr>
          <w:rFonts w:cs="Arial"/>
          <w:bCs/>
          <w:szCs w:val="19"/>
          <w:lang w:val="en-GB"/>
        </w:rPr>
        <w:t>e</w:t>
      </w:r>
      <w:proofErr w:type="spellEnd"/>
      <w:r w:rsidR="00134A30" w:rsidRPr="00134A30">
        <w:rPr>
          <w:rFonts w:cs="Arial"/>
          <w:bCs/>
          <w:szCs w:val="19"/>
          <w:lang w:val="en-GB"/>
        </w:rPr>
        <w:t xml:space="preserve">, </w:t>
      </w:r>
      <w:proofErr w:type="spellStart"/>
      <w:r w:rsidR="00134A30" w:rsidRPr="00134A30">
        <w:rPr>
          <w:rFonts w:cs="Arial"/>
          <w:bCs/>
          <w:szCs w:val="19"/>
          <w:lang w:val="en-GB"/>
        </w:rPr>
        <w:t>Śląskie</w:t>
      </w:r>
      <w:proofErr w:type="spellEnd"/>
      <w:r w:rsidR="00134A30" w:rsidRPr="00134A30">
        <w:rPr>
          <w:rFonts w:cs="Arial"/>
          <w:bCs/>
          <w:szCs w:val="19"/>
          <w:lang w:val="en-GB"/>
        </w:rPr>
        <w:t xml:space="preserve">, </w:t>
      </w:r>
      <w:proofErr w:type="spellStart"/>
      <w:r w:rsidR="00134A30" w:rsidRPr="00134A30">
        <w:rPr>
          <w:rFonts w:cs="Arial"/>
          <w:bCs/>
          <w:szCs w:val="19"/>
          <w:lang w:val="en-GB"/>
        </w:rPr>
        <w:t>Dolnośląskie</w:t>
      </w:r>
      <w:proofErr w:type="spellEnd"/>
      <w:r w:rsidR="00134A30" w:rsidRPr="00134A30">
        <w:rPr>
          <w:rFonts w:cs="Arial"/>
          <w:bCs/>
          <w:szCs w:val="19"/>
          <w:lang w:val="en-GB"/>
        </w:rPr>
        <w:t xml:space="preserve">, </w:t>
      </w:r>
      <w:proofErr w:type="spellStart"/>
      <w:r w:rsidR="00134A30" w:rsidRPr="00134A30">
        <w:rPr>
          <w:rFonts w:cs="Arial"/>
          <w:bCs/>
          <w:szCs w:val="19"/>
          <w:lang w:val="en-GB"/>
        </w:rPr>
        <w:t>Lubus</w:t>
      </w:r>
      <w:r w:rsidR="008F7E05">
        <w:rPr>
          <w:rFonts w:cs="Arial"/>
          <w:bCs/>
          <w:szCs w:val="19"/>
          <w:lang w:val="en-GB"/>
        </w:rPr>
        <w:t>kie</w:t>
      </w:r>
      <w:proofErr w:type="spellEnd"/>
      <w:r w:rsidR="00134A30" w:rsidRPr="00134A30">
        <w:rPr>
          <w:rFonts w:cs="Arial"/>
          <w:bCs/>
          <w:szCs w:val="19"/>
          <w:lang w:val="en-GB"/>
        </w:rPr>
        <w:t xml:space="preserve"> and </w:t>
      </w:r>
      <w:proofErr w:type="spellStart"/>
      <w:r w:rsidR="00134A30" w:rsidRPr="00134A30">
        <w:rPr>
          <w:rFonts w:cs="Arial"/>
          <w:bCs/>
          <w:szCs w:val="19"/>
          <w:lang w:val="en-GB"/>
        </w:rPr>
        <w:t>Podlas</w:t>
      </w:r>
      <w:r w:rsidR="008F7E05">
        <w:rPr>
          <w:rFonts w:cs="Arial"/>
          <w:bCs/>
          <w:szCs w:val="19"/>
          <w:lang w:val="en-GB"/>
        </w:rPr>
        <w:t>k</w:t>
      </w:r>
      <w:r w:rsidR="00134A30" w:rsidRPr="00134A30">
        <w:rPr>
          <w:rFonts w:cs="Arial"/>
          <w:bCs/>
          <w:szCs w:val="19"/>
          <w:lang w:val="en-GB"/>
        </w:rPr>
        <w:t>ie</w:t>
      </w:r>
      <w:proofErr w:type="spellEnd"/>
      <w:r w:rsidR="00134A30" w:rsidRPr="00134A30">
        <w:rPr>
          <w:rFonts w:cs="Arial"/>
          <w:bCs/>
          <w:szCs w:val="19"/>
          <w:lang w:val="en-GB"/>
        </w:rPr>
        <w:t xml:space="preserve">. As in the previous year, definitely the highest average income </w:t>
      </w:r>
      <w:r w:rsidR="008F7E05">
        <w:rPr>
          <w:rFonts w:cs="Arial"/>
          <w:bCs/>
          <w:szCs w:val="19"/>
          <w:lang w:val="en-GB"/>
        </w:rPr>
        <w:t>per capita</w:t>
      </w:r>
      <w:r w:rsidR="00134A30" w:rsidRPr="00134A30">
        <w:rPr>
          <w:rFonts w:cs="Arial"/>
          <w:bCs/>
          <w:szCs w:val="19"/>
          <w:lang w:val="en-GB"/>
        </w:rPr>
        <w:t xml:space="preserve"> </w:t>
      </w:r>
      <w:r w:rsidR="008F7E05">
        <w:rPr>
          <w:rFonts w:cs="Arial"/>
          <w:bCs/>
          <w:szCs w:val="19"/>
          <w:lang w:val="en-GB"/>
        </w:rPr>
        <w:t>was in</w:t>
      </w:r>
      <w:r w:rsidR="00134A30" w:rsidRPr="00134A30">
        <w:rPr>
          <w:rFonts w:cs="Arial"/>
          <w:bCs/>
          <w:szCs w:val="19"/>
          <w:lang w:val="en-GB"/>
        </w:rPr>
        <w:t xml:space="preserve"> households </w:t>
      </w:r>
      <w:r w:rsidR="008F7E05">
        <w:rPr>
          <w:rFonts w:cs="Arial"/>
          <w:bCs/>
          <w:szCs w:val="19"/>
          <w:lang w:val="en-GB"/>
        </w:rPr>
        <w:t>in</w:t>
      </w:r>
      <w:r w:rsidR="00134A30" w:rsidRPr="00134A30">
        <w:rPr>
          <w:rFonts w:cs="Arial"/>
          <w:bCs/>
          <w:szCs w:val="19"/>
          <w:lang w:val="en-GB"/>
        </w:rPr>
        <w:t xml:space="preserve"> the </w:t>
      </w:r>
      <w:proofErr w:type="spellStart"/>
      <w:r w:rsidR="008F7E05">
        <w:rPr>
          <w:rFonts w:cs="Arial"/>
          <w:bCs/>
          <w:szCs w:val="19"/>
          <w:lang w:val="en-GB"/>
        </w:rPr>
        <w:t>Mazowieckie</w:t>
      </w:r>
      <w:proofErr w:type="spellEnd"/>
      <w:r w:rsidR="00134A30" w:rsidRPr="00134A30">
        <w:rPr>
          <w:rFonts w:cs="Arial"/>
          <w:bCs/>
          <w:szCs w:val="19"/>
          <w:lang w:val="en-GB"/>
        </w:rPr>
        <w:t xml:space="preserve"> Voivodship (PLN 2241). Th</w:t>
      </w:r>
      <w:r w:rsidR="001D1AB1">
        <w:rPr>
          <w:rFonts w:cs="Arial"/>
          <w:bCs/>
          <w:szCs w:val="19"/>
          <w:lang w:val="en-GB"/>
        </w:rPr>
        <w:t>is</w:t>
      </w:r>
      <w:r w:rsidR="00134A30" w:rsidRPr="00134A30">
        <w:rPr>
          <w:rFonts w:cs="Arial"/>
          <w:bCs/>
          <w:szCs w:val="19"/>
          <w:lang w:val="en-GB"/>
        </w:rPr>
        <w:t xml:space="preserve"> income w</w:t>
      </w:r>
      <w:r w:rsidR="008F7E05">
        <w:rPr>
          <w:rFonts w:cs="Arial"/>
          <w:bCs/>
          <w:szCs w:val="19"/>
          <w:lang w:val="en-GB"/>
        </w:rPr>
        <w:t>as</w:t>
      </w:r>
      <w:r w:rsidR="00134A30" w:rsidRPr="00134A30">
        <w:rPr>
          <w:rFonts w:cs="Arial"/>
          <w:bCs/>
          <w:szCs w:val="19"/>
          <w:lang w:val="en-GB"/>
        </w:rPr>
        <w:t xml:space="preserve"> higher than the average national income per </w:t>
      </w:r>
      <w:r w:rsidR="008F7E05">
        <w:rPr>
          <w:rFonts w:cs="Arial"/>
          <w:bCs/>
          <w:szCs w:val="19"/>
          <w:lang w:val="en-GB"/>
        </w:rPr>
        <w:t>capita</w:t>
      </w:r>
      <w:r w:rsidR="00134A30" w:rsidRPr="00134A30">
        <w:rPr>
          <w:rFonts w:cs="Arial"/>
          <w:bCs/>
          <w:szCs w:val="19"/>
          <w:lang w:val="en-GB"/>
        </w:rPr>
        <w:t xml:space="preserve"> by 16.7% (</w:t>
      </w:r>
      <w:r w:rsidR="008F7E05">
        <w:rPr>
          <w:rFonts w:cs="Arial"/>
          <w:bCs/>
          <w:szCs w:val="19"/>
          <w:lang w:val="en-GB"/>
        </w:rPr>
        <w:t>of which</w:t>
      </w:r>
      <w:r w:rsidR="00134A30" w:rsidRPr="00134A30">
        <w:rPr>
          <w:rFonts w:cs="Arial"/>
          <w:bCs/>
          <w:szCs w:val="19"/>
          <w:lang w:val="en-GB"/>
        </w:rPr>
        <w:t xml:space="preserve"> higher </w:t>
      </w:r>
      <w:r>
        <w:rPr>
          <w:rFonts w:cs="Arial"/>
          <w:bCs/>
          <w:szCs w:val="19"/>
          <w:lang w:val="en-GB"/>
        </w:rPr>
        <w:t xml:space="preserve">than national average </w:t>
      </w:r>
      <w:r w:rsidR="00134A30" w:rsidRPr="00134A30">
        <w:rPr>
          <w:rFonts w:cs="Arial"/>
          <w:bCs/>
          <w:szCs w:val="19"/>
          <w:lang w:val="en-GB"/>
        </w:rPr>
        <w:t xml:space="preserve">by 33.6% in the Warsaw Capital Region and lower by 7.6% in the </w:t>
      </w:r>
      <w:r w:rsidR="008F7E05">
        <w:rPr>
          <w:rFonts w:cs="Arial"/>
          <w:bCs/>
          <w:szCs w:val="19"/>
          <w:lang w:val="en-GB"/>
        </w:rPr>
        <w:t>remaining part</w:t>
      </w:r>
      <w:r w:rsidR="00134A30" w:rsidRPr="00134A30">
        <w:rPr>
          <w:rFonts w:cs="Arial"/>
          <w:bCs/>
          <w:szCs w:val="19"/>
          <w:lang w:val="en-GB"/>
        </w:rPr>
        <w:t xml:space="preserve"> of the </w:t>
      </w:r>
      <w:proofErr w:type="spellStart"/>
      <w:r w:rsidR="00134A30" w:rsidRPr="00134A30">
        <w:rPr>
          <w:rFonts w:cs="Arial"/>
          <w:bCs/>
          <w:szCs w:val="19"/>
          <w:lang w:val="en-GB"/>
        </w:rPr>
        <w:t>Mazowieckie</w:t>
      </w:r>
      <w:proofErr w:type="spellEnd"/>
      <w:r w:rsidR="00134A30" w:rsidRPr="00134A30">
        <w:rPr>
          <w:rFonts w:cs="Arial"/>
          <w:bCs/>
          <w:szCs w:val="19"/>
          <w:lang w:val="en-GB"/>
        </w:rPr>
        <w:t xml:space="preserve"> Voivodship). As in 2019, the lowest income obtained </w:t>
      </w:r>
      <w:r w:rsidR="008F7E05">
        <w:rPr>
          <w:rFonts w:cs="Arial"/>
          <w:bCs/>
          <w:szCs w:val="19"/>
          <w:lang w:val="en-GB"/>
        </w:rPr>
        <w:t>households</w:t>
      </w:r>
      <w:r w:rsidR="00134A30" w:rsidRPr="00134A30">
        <w:rPr>
          <w:rFonts w:cs="Arial"/>
          <w:bCs/>
          <w:szCs w:val="19"/>
          <w:lang w:val="en-GB"/>
        </w:rPr>
        <w:t xml:space="preserve"> </w:t>
      </w:r>
      <w:r w:rsidR="008F7E05">
        <w:rPr>
          <w:rFonts w:cs="Arial"/>
          <w:bCs/>
          <w:szCs w:val="19"/>
          <w:lang w:val="en-GB"/>
        </w:rPr>
        <w:t>in</w:t>
      </w:r>
      <w:r w:rsidR="00134A30" w:rsidRPr="00134A30">
        <w:rPr>
          <w:rFonts w:cs="Arial"/>
          <w:bCs/>
          <w:szCs w:val="19"/>
          <w:lang w:val="en-GB"/>
        </w:rPr>
        <w:t xml:space="preserve"> the </w:t>
      </w:r>
      <w:proofErr w:type="spellStart"/>
      <w:r w:rsidR="00134A30" w:rsidRPr="00134A30">
        <w:rPr>
          <w:rFonts w:cs="Arial"/>
          <w:bCs/>
          <w:szCs w:val="19"/>
          <w:lang w:val="en-GB"/>
        </w:rPr>
        <w:t>Podkarpackie</w:t>
      </w:r>
      <w:proofErr w:type="spellEnd"/>
      <w:r w:rsidR="00134A30" w:rsidRPr="00134A30">
        <w:rPr>
          <w:rFonts w:cs="Arial"/>
          <w:bCs/>
          <w:szCs w:val="19"/>
          <w:lang w:val="en-GB"/>
        </w:rPr>
        <w:t xml:space="preserve"> Voivodship (PLN 1589) </w:t>
      </w:r>
      <w:r w:rsidR="008F7E05">
        <w:rPr>
          <w:rFonts w:cs="Arial"/>
          <w:bCs/>
          <w:szCs w:val="19"/>
          <w:lang w:val="en-GB"/>
        </w:rPr>
        <w:t>– by</w:t>
      </w:r>
      <w:r w:rsidR="00134A30" w:rsidRPr="00134A30">
        <w:rPr>
          <w:rFonts w:cs="Arial"/>
          <w:bCs/>
          <w:szCs w:val="19"/>
          <w:lang w:val="en-GB"/>
        </w:rPr>
        <w:t xml:space="preserve"> 17.2% below the national average</w:t>
      </w:r>
      <w:r w:rsidR="001A602C">
        <w:rPr>
          <w:rFonts w:cs="Arial"/>
          <w:bCs/>
          <w:szCs w:val="19"/>
          <w:lang w:val="en-GB"/>
        </w:rPr>
        <w:t xml:space="preserve">. </w:t>
      </w:r>
      <w:r w:rsidR="00757E3A" w:rsidRPr="00757E3A">
        <w:rPr>
          <w:rFonts w:cs="Arial"/>
          <w:bCs/>
          <w:szCs w:val="19"/>
          <w:lang w:val="en-GB"/>
        </w:rPr>
        <w:t xml:space="preserve">The next voivodships with the lowest level of income were </w:t>
      </w:r>
      <w:proofErr w:type="spellStart"/>
      <w:r w:rsidR="00757E3A" w:rsidRPr="00757E3A">
        <w:rPr>
          <w:rFonts w:cs="Arial"/>
          <w:bCs/>
          <w:szCs w:val="19"/>
          <w:lang w:val="en-GB"/>
        </w:rPr>
        <w:t>Lubelskie</w:t>
      </w:r>
      <w:proofErr w:type="spellEnd"/>
      <w:r w:rsidR="00757E3A" w:rsidRPr="00757E3A">
        <w:rPr>
          <w:rFonts w:cs="Arial"/>
          <w:bCs/>
          <w:szCs w:val="19"/>
          <w:lang w:val="en-GB"/>
        </w:rPr>
        <w:t xml:space="preserve"> (</w:t>
      </w:r>
      <w:r w:rsidR="00757E3A">
        <w:rPr>
          <w:rFonts w:cs="Arial"/>
          <w:bCs/>
          <w:szCs w:val="19"/>
          <w:lang w:val="en-GB"/>
        </w:rPr>
        <w:t>by</w:t>
      </w:r>
      <w:r w:rsidR="00757E3A" w:rsidRPr="00757E3A">
        <w:rPr>
          <w:rFonts w:cs="Arial"/>
          <w:bCs/>
          <w:szCs w:val="19"/>
          <w:lang w:val="en-GB"/>
        </w:rPr>
        <w:t xml:space="preserve"> 12.5% </w:t>
      </w:r>
      <w:r w:rsidR="00757E3A">
        <w:rPr>
          <w:rFonts w:cs="Arial"/>
          <w:bCs/>
          <w:szCs w:val="19"/>
          <w:lang w:val="en-GB"/>
        </w:rPr>
        <w:t xml:space="preserve">lower </w:t>
      </w:r>
      <w:r w:rsidR="00757E3A" w:rsidRPr="00757E3A">
        <w:rPr>
          <w:rFonts w:cs="Arial"/>
          <w:bCs/>
          <w:szCs w:val="19"/>
          <w:lang w:val="en-GB"/>
        </w:rPr>
        <w:t xml:space="preserve">than the average for Poland) and </w:t>
      </w:r>
      <w:proofErr w:type="spellStart"/>
      <w:r w:rsidR="00757E3A" w:rsidRPr="00757E3A">
        <w:rPr>
          <w:rFonts w:cs="Arial"/>
          <w:bCs/>
          <w:szCs w:val="19"/>
          <w:lang w:val="en-GB"/>
        </w:rPr>
        <w:t>Opolskie</w:t>
      </w:r>
      <w:proofErr w:type="spellEnd"/>
      <w:r w:rsidR="00757E3A" w:rsidRPr="00757E3A">
        <w:rPr>
          <w:rFonts w:cs="Arial"/>
          <w:bCs/>
          <w:szCs w:val="19"/>
          <w:lang w:val="en-GB"/>
        </w:rPr>
        <w:t xml:space="preserve"> (</w:t>
      </w:r>
      <w:r w:rsidR="00757E3A">
        <w:rPr>
          <w:rFonts w:cs="Arial"/>
          <w:bCs/>
          <w:szCs w:val="19"/>
          <w:lang w:val="en-GB"/>
        </w:rPr>
        <w:t>lower by 10.8%</w:t>
      </w:r>
      <w:r w:rsidR="00757E3A" w:rsidRPr="00757E3A">
        <w:rPr>
          <w:rFonts w:cs="Arial"/>
          <w:bCs/>
          <w:szCs w:val="19"/>
          <w:lang w:val="en-GB"/>
        </w:rPr>
        <w:t>).</w:t>
      </w:r>
      <w:r w:rsidR="008B54CA">
        <w:rPr>
          <w:rFonts w:cs="Arial"/>
          <w:bCs/>
          <w:szCs w:val="19"/>
          <w:lang w:val="en-GB"/>
        </w:rPr>
        <w:t xml:space="preserve"> </w:t>
      </w:r>
    </w:p>
    <w:p w14:paraId="7EE94F32" w14:textId="77777777" w:rsidR="004573DF" w:rsidRDefault="004573DF" w:rsidP="00764D9C">
      <w:pPr>
        <w:rPr>
          <w:rFonts w:cs="Arial"/>
          <w:szCs w:val="19"/>
          <w:lang w:val="en-GB"/>
        </w:rPr>
      </w:pPr>
      <w:r w:rsidRPr="006416F7">
        <w:rPr>
          <w:rFonts w:cs="Arial"/>
          <w:szCs w:val="19"/>
          <w:lang w:val="en-GB"/>
        </w:rPr>
        <w:t xml:space="preserve">The difference between the highest and the lowest average income per capita </w:t>
      </w:r>
      <w:r w:rsidR="008F7E05">
        <w:rPr>
          <w:rFonts w:cs="Arial"/>
          <w:szCs w:val="19"/>
          <w:lang w:val="en-GB"/>
        </w:rPr>
        <w:t xml:space="preserve">in voivodships in </w:t>
      </w:r>
      <w:r w:rsidR="00EE4132">
        <w:rPr>
          <w:rFonts w:cs="Arial"/>
          <w:szCs w:val="19"/>
          <w:lang w:val="en-GB"/>
        </w:rPr>
        <w:t>relation to</w:t>
      </w:r>
      <w:r w:rsidRPr="006416F7">
        <w:rPr>
          <w:rFonts w:cs="Arial"/>
          <w:szCs w:val="19"/>
          <w:lang w:val="en-GB"/>
        </w:rPr>
        <w:t xml:space="preserve"> the national average </w:t>
      </w:r>
      <w:r w:rsidR="003639E6">
        <w:rPr>
          <w:rFonts w:cs="Arial"/>
          <w:szCs w:val="19"/>
          <w:lang w:val="en-GB"/>
        </w:rPr>
        <w:t>compared with</w:t>
      </w:r>
      <w:r w:rsidR="003639E6" w:rsidRPr="00994420">
        <w:rPr>
          <w:rFonts w:cs="Arial"/>
          <w:szCs w:val="19"/>
          <w:lang w:val="en-GB"/>
        </w:rPr>
        <w:t xml:space="preserve"> the previous</w:t>
      </w:r>
      <w:r w:rsidR="003639E6" w:rsidRPr="006416F7">
        <w:rPr>
          <w:rFonts w:cs="Arial"/>
          <w:szCs w:val="19"/>
          <w:lang w:val="en-GB"/>
        </w:rPr>
        <w:t xml:space="preserve"> year</w:t>
      </w:r>
      <w:r w:rsidR="003639E6">
        <w:rPr>
          <w:rFonts w:cs="Arial"/>
          <w:szCs w:val="19"/>
          <w:lang w:val="en-GB"/>
        </w:rPr>
        <w:t xml:space="preserve"> </w:t>
      </w:r>
      <w:r>
        <w:rPr>
          <w:rFonts w:cs="Arial"/>
          <w:szCs w:val="19"/>
          <w:lang w:val="en-GB"/>
        </w:rPr>
        <w:t xml:space="preserve">decreased by </w:t>
      </w:r>
      <w:r w:rsidR="00EE4132">
        <w:rPr>
          <w:rFonts w:cs="Arial"/>
          <w:szCs w:val="19"/>
          <w:lang w:val="en-GB"/>
        </w:rPr>
        <w:t>1.1</w:t>
      </w:r>
      <w:r w:rsidRPr="006416F7">
        <w:rPr>
          <w:rFonts w:cs="Arial"/>
          <w:szCs w:val="19"/>
          <w:lang w:val="en-GB"/>
        </w:rPr>
        <w:t xml:space="preserve"> percentage </w:t>
      </w:r>
      <w:r w:rsidR="005E115E">
        <w:rPr>
          <w:rFonts w:cs="Arial"/>
          <w:szCs w:val="19"/>
          <w:lang w:val="en-GB"/>
        </w:rPr>
        <w:t xml:space="preserve">points </w:t>
      </w:r>
      <w:r w:rsidRPr="006416F7">
        <w:rPr>
          <w:rFonts w:cs="Arial"/>
          <w:szCs w:val="19"/>
          <w:lang w:val="en-GB"/>
        </w:rPr>
        <w:t>and amount</w:t>
      </w:r>
      <w:r>
        <w:rPr>
          <w:rFonts w:cs="Arial"/>
          <w:szCs w:val="19"/>
          <w:lang w:val="en-GB"/>
        </w:rPr>
        <w:t>ed to 3</w:t>
      </w:r>
      <w:r w:rsidR="00EE4132">
        <w:rPr>
          <w:rFonts w:cs="Arial"/>
          <w:szCs w:val="19"/>
          <w:lang w:val="en-GB"/>
        </w:rPr>
        <w:t>3</w:t>
      </w:r>
      <w:r>
        <w:rPr>
          <w:rFonts w:cs="Arial"/>
          <w:szCs w:val="19"/>
          <w:lang w:val="en-GB"/>
        </w:rPr>
        <w:t>.</w:t>
      </w:r>
      <w:r w:rsidR="00EE4132">
        <w:rPr>
          <w:rFonts w:cs="Arial"/>
          <w:szCs w:val="19"/>
          <w:lang w:val="en-GB"/>
        </w:rPr>
        <w:t>9</w:t>
      </w:r>
      <w:r w:rsidRPr="006416F7">
        <w:rPr>
          <w:rFonts w:cs="Arial"/>
          <w:szCs w:val="19"/>
          <w:lang w:val="en-GB"/>
        </w:rPr>
        <w:t xml:space="preserve"> percentage points.</w:t>
      </w:r>
    </w:p>
    <w:p w14:paraId="7EE94F33" w14:textId="77777777" w:rsidR="009A352C" w:rsidRDefault="009A352C" w:rsidP="00764D9C">
      <w:pPr>
        <w:rPr>
          <w:rFonts w:cs="Arial"/>
          <w:szCs w:val="19"/>
          <w:lang w:val="en-GB"/>
        </w:rPr>
      </w:pPr>
    </w:p>
    <w:p w14:paraId="7EE94F34" w14:textId="77777777" w:rsidR="00764D9C" w:rsidRPr="003B33FE" w:rsidRDefault="0080273B" w:rsidP="00764D9C">
      <w:pPr>
        <w:spacing w:line="240" w:lineRule="auto"/>
        <w:rPr>
          <w:i/>
          <w:spacing w:val="-2"/>
          <w:szCs w:val="19"/>
          <w:shd w:val="clear" w:color="auto" w:fill="FFFFFF"/>
        </w:rPr>
      </w:pPr>
      <w:r>
        <w:rPr>
          <w:i/>
          <w:noProof/>
          <w:lang w:eastAsia="pl-PL"/>
        </w:rPr>
        <mc:AlternateContent>
          <mc:Choice Requires="wps">
            <w:drawing>
              <wp:anchor distT="45720" distB="45720" distL="114300" distR="114300" simplePos="0" relativeHeight="251814912" behindDoc="1" locked="0" layoutInCell="1" allowOverlap="1" wp14:anchorId="7EE94FB8" wp14:editId="7EE94FB9">
                <wp:simplePos x="0" y="0"/>
                <wp:positionH relativeFrom="column">
                  <wp:posOffset>5210175</wp:posOffset>
                </wp:positionH>
                <wp:positionV relativeFrom="paragraph">
                  <wp:posOffset>1375410</wp:posOffset>
                </wp:positionV>
                <wp:extent cx="1725295" cy="1687195"/>
                <wp:effectExtent l="0" t="0" r="0" b="0"/>
                <wp:wrapTight wrapText="bothSides">
                  <wp:wrapPolygon edited="0">
                    <wp:start x="715" y="0"/>
                    <wp:lineTo x="715" y="21218"/>
                    <wp:lineTo x="20749" y="21218"/>
                    <wp:lineTo x="20749" y="0"/>
                    <wp:lineTo x="715" y="0"/>
                  </wp:wrapPolygon>
                </wp:wrapTight>
                <wp:docPr id="213" name="Pole tekstowe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687195"/>
                        </a:xfrm>
                        <a:prstGeom prst="rect">
                          <a:avLst/>
                        </a:prstGeom>
                        <a:noFill/>
                        <a:ln w="9525">
                          <a:noFill/>
                          <a:miter lim="800000"/>
                          <a:headEnd/>
                          <a:tailEnd/>
                        </a:ln>
                      </wps:spPr>
                      <wps:txbx>
                        <w:txbxContent>
                          <w:p w14:paraId="7EE9501B" w14:textId="77777777" w:rsidR="0024032F" w:rsidRPr="00A13CB9" w:rsidRDefault="0024032F" w:rsidP="008235B1">
                            <w:pPr>
                              <w:pStyle w:val="tekstzboku"/>
                              <w:rPr>
                                <w:lang w:val="en-GB"/>
                              </w:rPr>
                            </w:pPr>
                            <w:r w:rsidRPr="00A13CB9">
                              <w:rPr>
                                <w:bCs w:val="0"/>
                                <w:lang w:val="en-GB"/>
                              </w:rPr>
                              <w:t xml:space="preserve">The highest average monthly available income per capita </w:t>
                            </w:r>
                            <w:r>
                              <w:rPr>
                                <w:bCs w:val="0"/>
                                <w:lang w:val="en-GB"/>
                              </w:rPr>
                              <w:t xml:space="preserve">had </w:t>
                            </w:r>
                            <w:r w:rsidRPr="00A13CB9">
                              <w:rPr>
                                <w:bCs w:val="0"/>
                                <w:lang w:val="en-GB"/>
                              </w:rPr>
                              <w:t>hous</w:t>
                            </w:r>
                            <w:r>
                              <w:rPr>
                                <w:bCs w:val="0"/>
                                <w:lang w:val="en-GB"/>
                              </w:rPr>
                              <w:t>e</w:t>
                            </w:r>
                            <w:r w:rsidRPr="00A13CB9">
                              <w:rPr>
                                <w:bCs w:val="0"/>
                                <w:lang w:val="en-GB"/>
                              </w:rPr>
                              <w:t xml:space="preserve">holds </w:t>
                            </w:r>
                            <w:r>
                              <w:rPr>
                                <w:bCs w:val="0"/>
                                <w:lang w:val="en-GB"/>
                              </w:rPr>
                              <w:t xml:space="preserve">from the </w:t>
                            </w:r>
                            <w:proofErr w:type="spellStart"/>
                            <w:r>
                              <w:rPr>
                                <w:bCs w:val="0"/>
                                <w:lang w:val="en-GB"/>
                              </w:rPr>
                              <w:t>Mazowieckie</w:t>
                            </w:r>
                            <w:proofErr w:type="spellEnd"/>
                            <w:r>
                              <w:rPr>
                                <w:bCs w:val="0"/>
                                <w:lang w:val="en-GB"/>
                              </w:rPr>
                              <w:t xml:space="preserve"> Voivodship (PLN </w:t>
                            </w:r>
                            <w:r w:rsidRPr="00A13CB9">
                              <w:rPr>
                                <w:bCs w:val="0"/>
                                <w:lang w:val="en-GB"/>
                              </w:rPr>
                              <w:t>2</w:t>
                            </w:r>
                            <w:r>
                              <w:rPr>
                                <w:bCs w:val="0"/>
                                <w:lang w:val="en-GB"/>
                              </w:rPr>
                              <w:t>241</w:t>
                            </w:r>
                            <w:r w:rsidRPr="00A13CB9">
                              <w:rPr>
                                <w:bCs w:val="0"/>
                                <w:lang w:val="en-GB"/>
                              </w:rPr>
                              <w:t xml:space="preserve">) and the lowest </w:t>
                            </w:r>
                            <w:r>
                              <w:rPr>
                                <w:bCs w:val="0"/>
                                <w:lang w:val="en-GB"/>
                              </w:rPr>
                              <w:t xml:space="preserve">–household living </w:t>
                            </w:r>
                            <w:r w:rsidRPr="00A13CB9">
                              <w:rPr>
                                <w:bCs w:val="0"/>
                                <w:lang w:val="en-GB"/>
                              </w:rPr>
                              <w:t xml:space="preserve">in </w:t>
                            </w:r>
                            <w:r>
                              <w:rPr>
                                <w:bCs w:val="0"/>
                                <w:lang w:val="en-GB"/>
                              </w:rPr>
                              <w:t xml:space="preserve">the </w:t>
                            </w:r>
                            <w:proofErr w:type="spellStart"/>
                            <w:r w:rsidRPr="00A13CB9">
                              <w:rPr>
                                <w:bCs w:val="0"/>
                                <w:lang w:val="en-GB"/>
                              </w:rPr>
                              <w:t>Podkarpackie</w:t>
                            </w:r>
                            <w:proofErr w:type="spellEnd"/>
                            <w:r w:rsidRPr="00A13CB9">
                              <w:rPr>
                                <w:bCs w:val="0"/>
                                <w:lang w:val="en-GB"/>
                              </w:rPr>
                              <w:t xml:space="preserve"> Voivod</w:t>
                            </w:r>
                            <w:r>
                              <w:rPr>
                                <w:bCs w:val="0"/>
                                <w:lang w:val="en-GB"/>
                              </w:rPr>
                              <w:t>s</w:t>
                            </w:r>
                            <w:r w:rsidRPr="00A13CB9">
                              <w:rPr>
                                <w:bCs w:val="0"/>
                                <w:lang w:val="en-GB"/>
                              </w:rPr>
                              <w:t>hip (PLN</w:t>
                            </w:r>
                            <w:r>
                              <w:rPr>
                                <w:bCs w:val="0"/>
                                <w:lang w:val="en-GB"/>
                              </w:rPr>
                              <w:t> </w:t>
                            </w:r>
                            <w:r w:rsidRPr="00A13CB9">
                              <w:rPr>
                                <w:bCs w:val="0"/>
                                <w:lang w:val="en-GB"/>
                              </w:rPr>
                              <w:t>1</w:t>
                            </w:r>
                            <w:r>
                              <w:rPr>
                                <w:bCs w:val="0"/>
                                <w:lang w:val="en-GB"/>
                              </w:rPr>
                              <w:t>589</w:t>
                            </w:r>
                            <w:r w:rsidRPr="00A13CB9">
                              <w:rPr>
                                <w:bCs w:val="0"/>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B8" id="Pole tekstowe 213" o:spid="_x0000_s1037" type="#_x0000_t202" style="position:absolute;margin-left:410.25pt;margin-top:108.3pt;width:135.85pt;height:132.85pt;z-index:-25150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" filled="f" stroked="f">
                <v:textbox>
                  <w:txbxContent>
                    <w:p w14:paraId="7EE9501B" w14:textId="77777777" w:rsidR="0024032F" w:rsidRPr="00A13CB9" w:rsidRDefault="0024032F" w:rsidP="008235B1">
                      <w:pPr>
                        <w:pStyle w:val="tekstzboku"/>
                        <w:rPr>
                          <w:lang w:val="en-GB"/>
                        </w:rPr>
                      </w:pPr>
                      <w:r w:rsidRPr="00A13CB9">
                        <w:rPr>
                          <w:bCs w:val="0"/>
                          <w:lang w:val="en-GB"/>
                        </w:rPr>
                        <w:t xml:space="preserve">The highest average monthly available income per capita </w:t>
                      </w:r>
                      <w:r>
                        <w:rPr>
                          <w:bCs w:val="0"/>
                          <w:lang w:val="en-GB"/>
                        </w:rPr>
                        <w:t xml:space="preserve">had </w:t>
                      </w:r>
                      <w:r w:rsidRPr="00A13CB9">
                        <w:rPr>
                          <w:bCs w:val="0"/>
                          <w:lang w:val="en-GB"/>
                        </w:rPr>
                        <w:t>hous</w:t>
                      </w:r>
                      <w:r>
                        <w:rPr>
                          <w:bCs w:val="0"/>
                          <w:lang w:val="en-GB"/>
                        </w:rPr>
                        <w:t>e</w:t>
                      </w:r>
                      <w:r w:rsidRPr="00A13CB9">
                        <w:rPr>
                          <w:bCs w:val="0"/>
                          <w:lang w:val="en-GB"/>
                        </w:rPr>
                        <w:t xml:space="preserve">holds </w:t>
                      </w:r>
                      <w:r>
                        <w:rPr>
                          <w:bCs w:val="0"/>
                          <w:lang w:val="en-GB"/>
                        </w:rPr>
                        <w:t xml:space="preserve">from the </w:t>
                      </w:r>
                      <w:proofErr w:type="spellStart"/>
                      <w:r>
                        <w:rPr>
                          <w:bCs w:val="0"/>
                          <w:lang w:val="en-GB"/>
                        </w:rPr>
                        <w:t>Mazowieckie</w:t>
                      </w:r>
                      <w:proofErr w:type="spellEnd"/>
                      <w:r>
                        <w:rPr>
                          <w:bCs w:val="0"/>
                          <w:lang w:val="en-GB"/>
                        </w:rPr>
                        <w:t xml:space="preserve"> Voivodship (PLN </w:t>
                      </w:r>
                      <w:r w:rsidRPr="00A13CB9">
                        <w:rPr>
                          <w:bCs w:val="0"/>
                          <w:lang w:val="en-GB"/>
                        </w:rPr>
                        <w:t>2</w:t>
                      </w:r>
                      <w:r>
                        <w:rPr>
                          <w:bCs w:val="0"/>
                          <w:lang w:val="en-GB"/>
                        </w:rPr>
                        <w:t>241</w:t>
                      </w:r>
                      <w:r w:rsidRPr="00A13CB9">
                        <w:rPr>
                          <w:bCs w:val="0"/>
                          <w:lang w:val="en-GB"/>
                        </w:rPr>
                        <w:t xml:space="preserve">) and the lowest </w:t>
                      </w:r>
                      <w:r>
                        <w:rPr>
                          <w:bCs w:val="0"/>
                          <w:lang w:val="en-GB"/>
                        </w:rPr>
                        <w:t xml:space="preserve">–household living </w:t>
                      </w:r>
                      <w:r w:rsidRPr="00A13CB9">
                        <w:rPr>
                          <w:bCs w:val="0"/>
                          <w:lang w:val="en-GB"/>
                        </w:rPr>
                        <w:t xml:space="preserve">in </w:t>
                      </w:r>
                      <w:r>
                        <w:rPr>
                          <w:bCs w:val="0"/>
                          <w:lang w:val="en-GB"/>
                        </w:rPr>
                        <w:t xml:space="preserve">the </w:t>
                      </w:r>
                      <w:proofErr w:type="spellStart"/>
                      <w:r w:rsidRPr="00A13CB9">
                        <w:rPr>
                          <w:bCs w:val="0"/>
                          <w:lang w:val="en-GB"/>
                        </w:rPr>
                        <w:t>Podkarpackie</w:t>
                      </w:r>
                      <w:proofErr w:type="spellEnd"/>
                      <w:r w:rsidRPr="00A13CB9">
                        <w:rPr>
                          <w:bCs w:val="0"/>
                          <w:lang w:val="en-GB"/>
                        </w:rPr>
                        <w:t xml:space="preserve"> Voivod</w:t>
                      </w:r>
                      <w:r>
                        <w:rPr>
                          <w:bCs w:val="0"/>
                          <w:lang w:val="en-GB"/>
                        </w:rPr>
                        <w:t>s</w:t>
                      </w:r>
                      <w:r w:rsidRPr="00A13CB9">
                        <w:rPr>
                          <w:bCs w:val="0"/>
                          <w:lang w:val="en-GB"/>
                        </w:rPr>
                        <w:t>hip (PLN</w:t>
                      </w:r>
                      <w:r>
                        <w:rPr>
                          <w:bCs w:val="0"/>
                          <w:lang w:val="en-GB"/>
                        </w:rPr>
                        <w:t> </w:t>
                      </w:r>
                      <w:r w:rsidRPr="00A13CB9">
                        <w:rPr>
                          <w:bCs w:val="0"/>
                          <w:lang w:val="en-GB"/>
                        </w:rPr>
                        <w:t>1</w:t>
                      </w:r>
                      <w:r>
                        <w:rPr>
                          <w:bCs w:val="0"/>
                          <w:lang w:val="en-GB"/>
                        </w:rPr>
                        <w:t>589</w:t>
                      </w:r>
                      <w:r w:rsidRPr="00A13CB9">
                        <w:rPr>
                          <w:bCs w:val="0"/>
                          <w:lang w:val="en-GB"/>
                        </w:rPr>
                        <w:t>)</w:t>
                      </w:r>
                    </w:p>
                  </w:txbxContent>
                </v:textbox>
                <w10:wrap type="tight"/>
              </v:shape>
            </w:pict>
          </mc:Fallback>
        </mc:AlternateContent>
      </w:r>
      <w:r w:rsidR="00FD678E">
        <w:rPr>
          <w:i/>
          <w:noProof/>
          <w:spacing w:val="-2"/>
          <w:szCs w:val="19"/>
          <w:shd w:val="clear" w:color="auto" w:fill="FFFFFF"/>
          <w:lang w:eastAsia="pl-PL"/>
        </w:rPr>
        <w:drawing>
          <wp:inline distT="0" distB="0" distL="0" distR="0" wp14:anchorId="7EE94FBA" wp14:editId="7EE94FBB">
            <wp:extent cx="5122544" cy="5422972"/>
            <wp:effectExtent l="0" t="0" r="254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a 1 2019 granat ANG.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22544" cy="5422972"/>
                    </a:xfrm>
                    <a:prstGeom prst="rect">
                      <a:avLst/>
                    </a:prstGeom>
                  </pic:spPr>
                </pic:pic>
              </a:graphicData>
            </a:graphic>
          </wp:inline>
        </w:drawing>
      </w:r>
    </w:p>
    <w:p w14:paraId="7EE94F35" w14:textId="77777777" w:rsidR="00764D9C" w:rsidRPr="003B33FE" w:rsidRDefault="00764D9C" w:rsidP="00764D9C">
      <w:pPr>
        <w:rPr>
          <w:i/>
          <w:spacing w:val="-2"/>
          <w:szCs w:val="19"/>
          <w:shd w:val="clear" w:color="auto" w:fill="FFFFFF"/>
        </w:rPr>
      </w:pPr>
    </w:p>
    <w:p w14:paraId="7EE94F36" w14:textId="77777777" w:rsidR="00D04BE9" w:rsidRPr="003B33FE" w:rsidRDefault="00D04BE9" w:rsidP="00764D9C">
      <w:pPr>
        <w:rPr>
          <w:i/>
          <w:spacing w:val="-2"/>
          <w:szCs w:val="19"/>
          <w:shd w:val="clear" w:color="auto" w:fill="FFFFFF"/>
        </w:rPr>
      </w:pPr>
    </w:p>
    <w:p w14:paraId="7EE94F37" w14:textId="77777777" w:rsidR="009A352C" w:rsidRDefault="009A352C">
      <w:pPr>
        <w:spacing w:before="0" w:after="160" w:line="259" w:lineRule="auto"/>
        <w:rPr>
          <w:rFonts w:cs="Arial"/>
          <w:bCs/>
          <w:szCs w:val="19"/>
          <w:lang w:val="en-GB"/>
        </w:rPr>
      </w:pPr>
      <w:r>
        <w:rPr>
          <w:rFonts w:cs="Arial"/>
          <w:bCs/>
          <w:szCs w:val="19"/>
          <w:lang w:val="en-GB"/>
        </w:rPr>
        <w:br w:type="page"/>
      </w:r>
    </w:p>
    <w:p w14:paraId="7EE94F38" w14:textId="77777777" w:rsidR="00EE4132" w:rsidRDefault="00EE4132" w:rsidP="00EE4132">
      <w:pPr>
        <w:rPr>
          <w:rFonts w:cs="Arial"/>
          <w:bCs/>
          <w:szCs w:val="19"/>
          <w:lang w:val="en-GB"/>
        </w:rPr>
      </w:pPr>
      <w:r w:rsidRPr="00EE4132">
        <w:rPr>
          <w:rFonts w:cs="Arial"/>
          <w:bCs/>
          <w:szCs w:val="19"/>
          <w:lang w:val="en-GB"/>
        </w:rPr>
        <w:lastRenderedPageBreak/>
        <w:t>In the case of expen</w:t>
      </w:r>
      <w:r w:rsidR="00D1288C">
        <w:rPr>
          <w:rFonts w:cs="Arial"/>
          <w:bCs/>
          <w:szCs w:val="19"/>
          <w:lang w:val="en-GB"/>
        </w:rPr>
        <w:t>diture</w:t>
      </w:r>
      <w:r w:rsidRPr="00EE4132">
        <w:rPr>
          <w:rFonts w:cs="Arial"/>
          <w:bCs/>
          <w:szCs w:val="19"/>
          <w:lang w:val="en-GB"/>
        </w:rPr>
        <w:t xml:space="preserve">, average monthly values above average for Poland in 2020 were recorded in </w:t>
      </w:r>
      <w:r>
        <w:rPr>
          <w:rFonts w:cs="Arial"/>
          <w:bCs/>
          <w:szCs w:val="19"/>
          <w:lang w:val="en-GB"/>
        </w:rPr>
        <w:t>voivodships</w:t>
      </w:r>
      <w:r w:rsidRPr="00EE4132">
        <w:rPr>
          <w:rFonts w:cs="Arial"/>
          <w:bCs/>
          <w:szCs w:val="19"/>
          <w:lang w:val="en-GB"/>
        </w:rPr>
        <w:t xml:space="preserve">: </w:t>
      </w:r>
      <w:proofErr w:type="spellStart"/>
      <w:r w:rsidRPr="00EE4132">
        <w:rPr>
          <w:rFonts w:cs="Arial"/>
          <w:bCs/>
          <w:szCs w:val="19"/>
          <w:lang w:val="en-GB"/>
        </w:rPr>
        <w:t>Mazowieckie</w:t>
      </w:r>
      <w:proofErr w:type="spellEnd"/>
      <w:r w:rsidRPr="00EE4132">
        <w:rPr>
          <w:rFonts w:cs="Arial"/>
          <w:bCs/>
          <w:szCs w:val="19"/>
          <w:lang w:val="en-GB"/>
        </w:rPr>
        <w:t xml:space="preserve">, </w:t>
      </w:r>
      <w:proofErr w:type="spellStart"/>
      <w:r w:rsidRPr="00EE4132">
        <w:rPr>
          <w:rFonts w:cs="Arial"/>
          <w:bCs/>
          <w:szCs w:val="19"/>
          <w:lang w:val="en-GB"/>
        </w:rPr>
        <w:t>Dolnośląskie</w:t>
      </w:r>
      <w:proofErr w:type="spellEnd"/>
      <w:r w:rsidRPr="00EE4132">
        <w:rPr>
          <w:rFonts w:cs="Arial"/>
          <w:bCs/>
          <w:szCs w:val="19"/>
          <w:lang w:val="en-GB"/>
        </w:rPr>
        <w:t xml:space="preserve">, </w:t>
      </w:r>
      <w:proofErr w:type="spellStart"/>
      <w:r w:rsidRPr="00EE4132">
        <w:rPr>
          <w:rFonts w:cs="Arial"/>
          <w:bCs/>
          <w:szCs w:val="19"/>
          <w:lang w:val="en-GB"/>
        </w:rPr>
        <w:t>Pomorskie</w:t>
      </w:r>
      <w:proofErr w:type="spellEnd"/>
      <w:r w:rsidRPr="00EE4132">
        <w:rPr>
          <w:rFonts w:cs="Arial"/>
          <w:bCs/>
          <w:szCs w:val="19"/>
          <w:lang w:val="en-GB"/>
        </w:rPr>
        <w:t xml:space="preserve">, </w:t>
      </w:r>
      <w:proofErr w:type="spellStart"/>
      <w:r w:rsidRPr="00EE4132">
        <w:rPr>
          <w:rFonts w:cs="Arial"/>
          <w:bCs/>
          <w:szCs w:val="19"/>
          <w:lang w:val="en-GB"/>
        </w:rPr>
        <w:t>Opol</w:t>
      </w:r>
      <w:r>
        <w:rPr>
          <w:rFonts w:cs="Arial"/>
          <w:bCs/>
          <w:szCs w:val="19"/>
          <w:lang w:val="en-GB"/>
        </w:rPr>
        <w:t>skie</w:t>
      </w:r>
      <w:proofErr w:type="spellEnd"/>
      <w:r w:rsidRPr="00EE4132">
        <w:rPr>
          <w:rFonts w:cs="Arial"/>
          <w:bCs/>
          <w:szCs w:val="19"/>
          <w:lang w:val="en-GB"/>
        </w:rPr>
        <w:t xml:space="preserve">, </w:t>
      </w:r>
      <w:proofErr w:type="spellStart"/>
      <w:r>
        <w:rPr>
          <w:rFonts w:cs="Arial"/>
          <w:bCs/>
          <w:szCs w:val="19"/>
          <w:lang w:val="en-GB"/>
        </w:rPr>
        <w:t>Śląskie</w:t>
      </w:r>
      <w:proofErr w:type="spellEnd"/>
      <w:r w:rsidRPr="00EE4132">
        <w:rPr>
          <w:rFonts w:cs="Arial"/>
          <w:bCs/>
          <w:szCs w:val="19"/>
          <w:lang w:val="en-GB"/>
        </w:rPr>
        <w:t xml:space="preserve">, </w:t>
      </w:r>
      <w:proofErr w:type="spellStart"/>
      <w:r>
        <w:rPr>
          <w:rFonts w:cs="Arial"/>
          <w:bCs/>
          <w:szCs w:val="19"/>
          <w:lang w:val="en-GB"/>
        </w:rPr>
        <w:t>Zachodniopomorskie</w:t>
      </w:r>
      <w:proofErr w:type="spellEnd"/>
      <w:r w:rsidRPr="00EE4132">
        <w:rPr>
          <w:rFonts w:cs="Arial"/>
          <w:bCs/>
          <w:szCs w:val="19"/>
          <w:lang w:val="en-GB"/>
        </w:rPr>
        <w:t xml:space="preserve"> and </w:t>
      </w:r>
      <w:proofErr w:type="spellStart"/>
      <w:r>
        <w:rPr>
          <w:rFonts w:cs="Arial"/>
          <w:bCs/>
          <w:szCs w:val="19"/>
          <w:lang w:val="en-GB"/>
        </w:rPr>
        <w:t>Łódzkie</w:t>
      </w:r>
      <w:proofErr w:type="spellEnd"/>
      <w:r w:rsidRPr="00EE4132">
        <w:rPr>
          <w:rFonts w:cs="Arial"/>
          <w:bCs/>
          <w:szCs w:val="19"/>
          <w:lang w:val="en-GB"/>
        </w:rPr>
        <w:t xml:space="preserve">. As in the previous year, the highest average monthly </w:t>
      </w:r>
      <w:r>
        <w:rPr>
          <w:rFonts w:cs="Arial"/>
          <w:bCs/>
          <w:szCs w:val="19"/>
          <w:lang w:val="en-GB"/>
        </w:rPr>
        <w:t>expenditure</w:t>
      </w:r>
      <w:r w:rsidRPr="00EE4132">
        <w:rPr>
          <w:rFonts w:cs="Arial"/>
          <w:bCs/>
          <w:szCs w:val="19"/>
          <w:lang w:val="en-GB"/>
        </w:rPr>
        <w:t xml:space="preserve"> per </w:t>
      </w:r>
      <w:r>
        <w:rPr>
          <w:rFonts w:cs="Arial"/>
          <w:bCs/>
          <w:szCs w:val="19"/>
          <w:lang w:val="en-GB"/>
        </w:rPr>
        <w:t>capita</w:t>
      </w:r>
      <w:r w:rsidRPr="00EE4132">
        <w:rPr>
          <w:rFonts w:cs="Arial"/>
          <w:bCs/>
          <w:szCs w:val="19"/>
          <w:lang w:val="en-GB"/>
        </w:rPr>
        <w:t xml:space="preserve"> (PLN 1443) were </w:t>
      </w:r>
      <w:r>
        <w:rPr>
          <w:rFonts w:cs="Arial"/>
          <w:bCs/>
          <w:szCs w:val="19"/>
          <w:lang w:val="en-GB"/>
        </w:rPr>
        <w:t>noted</w:t>
      </w:r>
      <w:r w:rsidRPr="00EE4132">
        <w:rPr>
          <w:rFonts w:cs="Arial"/>
          <w:bCs/>
          <w:szCs w:val="19"/>
          <w:lang w:val="en-GB"/>
        </w:rPr>
        <w:t xml:space="preserve"> in the </w:t>
      </w:r>
      <w:proofErr w:type="spellStart"/>
      <w:r w:rsidRPr="00EE4132">
        <w:rPr>
          <w:rFonts w:cs="Arial"/>
          <w:bCs/>
          <w:szCs w:val="19"/>
          <w:lang w:val="en-GB"/>
        </w:rPr>
        <w:t>Mazowieckie</w:t>
      </w:r>
      <w:proofErr w:type="spellEnd"/>
      <w:r w:rsidRPr="00EE4132">
        <w:rPr>
          <w:rFonts w:cs="Arial"/>
          <w:bCs/>
          <w:szCs w:val="19"/>
          <w:lang w:val="en-GB"/>
        </w:rPr>
        <w:t xml:space="preserve"> voivodship and they were higher than the </w:t>
      </w:r>
      <w:r>
        <w:rPr>
          <w:rFonts w:cs="Arial"/>
          <w:bCs/>
          <w:szCs w:val="19"/>
          <w:lang w:val="en-GB"/>
        </w:rPr>
        <w:t xml:space="preserve">national </w:t>
      </w:r>
      <w:r w:rsidRPr="00EE4132">
        <w:rPr>
          <w:rFonts w:cs="Arial"/>
          <w:bCs/>
          <w:szCs w:val="19"/>
          <w:lang w:val="en-GB"/>
        </w:rPr>
        <w:t>average by 19.3% (</w:t>
      </w:r>
      <w:r>
        <w:rPr>
          <w:rFonts w:cs="Arial"/>
          <w:bCs/>
          <w:szCs w:val="19"/>
          <w:lang w:val="en-GB"/>
        </w:rPr>
        <w:t>of which by</w:t>
      </w:r>
      <w:r w:rsidRPr="00EE4132">
        <w:rPr>
          <w:rFonts w:cs="Arial"/>
          <w:bCs/>
          <w:szCs w:val="19"/>
          <w:lang w:val="en-GB"/>
        </w:rPr>
        <w:t xml:space="preserve"> 40.9% higher in the Warsaw Capital Region and lower by 11</w:t>
      </w:r>
      <w:r w:rsidR="00650698">
        <w:rPr>
          <w:rFonts w:cs="Arial"/>
          <w:bCs/>
          <w:szCs w:val="19"/>
          <w:lang w:val="en-GB"/>
        </w:rPr>
        <w:t>.</w:t>
      </w:r>
      <w:r w:rsidRPr="00EE4132">
        <w:rPr>
          <w:rFonts w:cs="Arial"/>
          <w:bCs/>
          <w:szCs w:val="19"/>
          <w:lang w:val="en-GB"/>
        </w:rPr>
        <w:t>8% in the remain</w:t>
      </w:r>
      <w:r>
        <w:rPr>
          <w:rFonts w:cs="Arial"/>
          <w:bCs/>
          <w:szCs w:val="19"/>
          <w:lang w:val="en-GB"/>
        </w:rPr>
        <w:t>ing part</w:t>
      </w:r>
      <w:r w:rsidRPr="00EE4132">
        <w:rPr>
          <w:rFonts w:cs="Arial"/>
          <w:bCs/>
          <w:szCs w:val="19"/>
          <w:lang w:val="en-GB"/>
        </w:rPr>
        <w:t xml:space="preserve"> of the </w:t>
      </w:r>
      <w:proofErr w:type="spellStart"/>
      <w:r w:rsidRPr="00EE4132">
        <w:rPr>
          <w:rFonts w:cs="Arial"/>
          <w:bCs/>
          <w:szCs w:val="19"/>
          <w:lang w:val="en-GB"/>
        </w:rPr>
        <w:t>Mazowieckie</w:t>
      </w:r>
      <w:proofErr w:type="spellEnd"/>
      <w:r w:rsidRPr="00EE4132">
        <w:rPr>
          <w:rFonts w:cs="Arial"/>
          <w:bCs/>
          <w:szCs w:val="19"/>
          <w:lang w:val="en-GB"/>
        </w:rPr>
        <w:t xml:space="preserve"> Voivodship). The lowest average expe</w:t>
      </w:r>
      <w:r>
        <w:rPr>
          <w:rFonts w:cs="Arial"/>
          <w:bCs/>
          <w:szCs w:val="19"/>
          <w:lang w:val="en-GB"/>
        </w:rPr>
        <w:t>nditure</w:t>
      </w:r>
      <w:r w:rsidRPr="00EE4132">
        <w:rPr>
          <w:rFonts w:cs="Arial"/>
          <w:bCs/>
          <w:szCs w:val="19"/>
          <w:lang w:val="en-GB"/>
        </w:rPr>
        <w:t xml:space="preserve"> </w:t>
      </w:r>
      <w:r>
        <w:rPr>
          <w:rFonts w:cs="Arial"/>
          <w:bCs/>
          <w:szCs w:val="19"/>
          <w:lang w:val="en-GB"/>
        </w:rPr>
        <w:t>per capita</w:t>
      </w:r>
      <w:r w:rsidRPr="00EE4132">
        <w:rPr>
          <w:rFonts w:cs="Arial"/>
          <w:bCs/>
          <w:szCs w:val="19"/>
          <w:lang w:val="en-GB"/>
        </w:rPr>
        <w:t xml:space="preserve"> </w:t>
      </w:r>
      <w:r w:rsidR="001D1AB1">
        <w:rPr>
          <w:rFonts w:cs="Arial"/>
          <w:bCs/>
          <w:szCs w:val="19"/>
          <w:lang w:val="en-GB"/>
        </w:rPr>
        <w:t>occurred</w:t>
      </w:r>
      <w:r w:rsidR="003639E6">
        <w:rPr>
          <w:rFonts w:cs="Arial"/>
          <w:bCs/>
          <w:szCs w:val="19"/>
          <w:lang w:val="en-GB"/>
        </w:rPr>
        <w:t xml:space="preserve"> </w:t>
      </w:r>
      <w:r w:rsidRPr="00EE4132">
        <w:rPr>
          <w:rFonts w:cs="Arial"/>
          <w:bCs/>
          <w:szCs w:val="19"/>
          <w:lang w:val="en-GB"/>
        </w:rPr>
        <w:t xml:space="preserve">in the </w:t>
      </w:r>
      <w:proofErr w:type="spellStart"/>
      <w:r w:rsidRPr="00EE4132">
        <w:rPr>
          <w:rFonts w:cs="Arial"/>
          <w:bCs/>
          <w:szCs w:val="19"/>
          <w:lang w:val="en-GB"/>
        </w:rPr>
        <w:t>Podkarpackie</w:t>
      </w:r>
      <w:proofErr w:type="spellEnd"/>
      <w:r w:rsidRPr="00EE4132">
        <w:rPr>
          <w:rFonts w:cs="Arial"/>
          <w:bCs/>
          <w:szCs w:val="19"/>
          <w:lang w:val="en-GB"/>
        </w:rPr>
        <w:t xml:space="preserve"> Voivodship (PLN 931) and </w:t>
      </w:r>
      <w:r>
        <w:rPr>
          <w:rFonts w:cs="Arial"/>
          <w:bCs/>
          <w:szCs w:val="19"/>
          <w:lang w:val="en-GB"/>
        </w:rPr>
        <w:t>in comparison with</w:t>
      </w:r>
      <w:r w:rsidRPr="00EE4132">
        <w:rPr>
          <w:rFonts w:cs="Arial"/>
          <w:bCs/>
          <w:szCs w:val="19"/>
          <w:lang w:val="en-GB"/>
        </w:rPr>
        <w:t xml:space="preserve"> the average for the whole country </w:t>
      </w:r>
      <w:r w:rsidR="001D1AB1">
        <w:rPr>
          <w:rFonts w:cs="Arial"/>
          <w:bCs/>
          <w:szCs w:val="19"/>
          <w:lang w:val="en-GB"/>
        </w:rPr>
        <w:t>was</w:t>
      </w:r>
      <w:r w:rsidRPr="00EE4132">
        <w:rPr>
          <w:rFonts w:cs="Arial"/>
          <w:bCs/>
          <w:szCs w:val="19"/>
          <w:lang w:val="en-GB"/>
        </w:rPr>
        <w:t xml:space="preserve"> lower by 23.0%</w:t>
      </w:r>
      <w:r w:rsidR="0061727D">
        <w:rPr>
          <w:rFonts w:cs="Arial"/>
          <w:bCs/>
          <w:szCs w:val="19"/>
          <w:lang w:val="en-GB"/>
        </w:rPr>
        <w:t xml:space="preserve"> as well as in the </w:t>
      </w:r>
      <w:proofErr w:type="spellStart"/>
      <w:r w:rsidR="0061727D">
        <w:rPr>
          <w:rFonts w:cs="Arial"/>
          <w:bCs/>
          <w:szCs w:val="19"/>
          <w:lang w:val="en-GB"/>
        </w:rPr>
        <w:t>Świętokrzyskie</w:t>
      </w:r>
      <w:proofErr w:type="spellEnd"/>
      <w:r w:rsidR="0061727D">
        <w:rPr>
          <w:rFonts w:cs="Arial"/>
          <w:bCs/>
          <w:szCs w:val="19"/>
          <w:lang w:val="en-GB"/>
        </w:rPr>
        <w:t xml:space="preserve"> Voivodship (lower by 17.8%).</w:t>
      </w:r>
    </w:p>
    <w:p w14:paraId="7EE94F39" w14:textId="77777777" w:rsidR="00994420" w:rsidRDefault="000D71AB" w:rsidP="009A352C">
      <w:pPr>
        <w:rPr>
          <w:rFonts w:cs="Arial"/>
          <w:szCs w:val="19"/>
          <w:lang w:val="en-GB"/>
        </w:rPr>
      </w:pPr>
      <w:r w:rsidRPr="00994420">
        <w:rPr>
          <w:rFonts w:cs="Arial"/>
          <w:szCs w:val="19"/>
          <w:lang w:val="en-GB"/>
        </w:rPr>
        <w:t xml:space="preserve">The difference between the highest and the lowest average expenditure per capita in voivodships </w:t>
      </w:r>
      <w:r w:rsidR="00EE4132">
        <w:rPr>
          <w:rFonts w:cs="Arial"/>
          <w:szCs w:val="19"/>
          <w:lang w:val="en-GB"/>
        </w:rPr>
        <w:t>in</w:t>
      </w:r>
      <w:r w:rsidRPr="00994420">
        <w:rPr>
          <w:rFonts w:cs="Arial"/>
          <w:szCs w:val="19"/>
          <w:lang w:val="en-GB"/>
        </w:rPr>
        <w:t xml:space="preserve">creased by </w:t>
      </w:r>
      <w:r w:rsidR="00EE4132">
        <w:rPr>
          <w:rFonts w:cs="Arial"/>
          <w:szCs w:val="19"/>
          <w:lang w:val="en-GB"/>
        </w:rPr>
        <w:t>4.8</w:t>
      </w:r>
      <w:r w:rsidRPr="00994420">
        <w:rPr>
          <w:rFonts w:cs="Arial"/>
          <w:szCs w:val="19"/>
          <w:lang w:val="en-GB"/>
        </w:rPr>
        <w:t xml:space="preserve"> percentage points in comparison </w:t>
      </w:r>
      <w:r w:rsidR="00EE4132">
        <w:rPr>
          <w:rFonts w:cs="Arial"/>
          <w:szCs w:val="19"/>
          <w:lang w:val="en-GB"/>
        </w:rPr>
        <w:t>with</w:t>
      </w:r>
      <w:r w:rsidRPr="00994420">
        <w:rPr>
          <w:rFonts w:cs="Arial"/>
          <w:szCs w:val="19"/>
          <w:lang w:val="en-GB"/>
        </w:rPr>
        <w:t xml:space="preserve"> 201</w:t>
      </w:r>
      <w:r w:rsidR="00EE4132">
        <w:rPr>
          <w:rFonts w:cs="Arial"/>
          <w:szCs w:val="19"/>
          <w:lang w:val="en-GB"/>
        </w:rPr>
        <w:t>9</w:t>
      </w:r>
      <w:r w:rsidRPr="00994420">
        <w:rPr>
          <w:rFonts w:cs="Arial"/>
          <w:szCs w:val="19"/>
          <w:lang w:val="en-GB"/>
        </w:rPr>
        <w:t xml:space="preserve"> year and amounted to </w:t>
      </w:r>
      <w:r w:rsidR="00EE4132">
        <w:rPr>
          <w:rFonts w:cs="Arial"/>
          <w:szCs w:val="19"/>
          <w:lang w:val="en-GB"/>
        </w:rPr>
        <w:t>42.3</w:t>
      </w:r>
      <w:r w:rsidR="001D1AB1">
        <w:rPr>
          <w:rFonts w:cs="Arial"/>
          <w:szCs w:val="19"/>
          <w:lang w:val="en-GB"/>
        </w:rPr>
        <w:t> </w:t>
      </w:r>
      <w:r w:rsidRPr="00994420">
        <w:rPr>
          <w:rFonts w:cs="Arial"/>
          <w:szCs w:val="19"/>
          <w:lang w:val="en-GB"/>
        </w:rPr>
        <w:t>percentage points.</w:t>
      </w:r>
    </w:p>
    <w:p w14:paraId="7EE94F3A" w14:textId="77777777" w:rsidR="009A352C" w:rsidRPr="00994420" w:rsidRDefault="009A352C" w:rsidP="009A352C">
      <w:pPr>
        <w:rPr>
          <w:rFonts w:cs="Arial"/>
          <w:szCs w:val="19"/>
          <w:lang w:val="en-GB"/>
        </w:rPr>
      </w:pPr>
    </w:p>
    <w:p w14:paraId="7EE94F3B" w14:textId="77777777" w:rsidR="00764D9C" w:rsidRDefault="0080273B" w:rsidP="00F46F5C">
      <w:pPr>
        <w:spacing w:before="0" w:line="240" w:lineRule="auto"/>
        <w:rPr>
          <w:i/>
          <w:spacing w:val="-2"/>
          <w:szCs w:val="19"/>
          <w:shd w:val="clear" w:color="auto" w:fill="FFFFFF"/>
        </w:rPr>
      </w:pPr>
      <w:r>
        <w:rPr>
          <w:i/>
          <w:noProof/>
          <w:lang w:eastAsia="pl-PL"/>
        </w:rPr>
        <mc:AlternateContent>
          <mc:Choice Requires="wps">
            <w:drawing>
              <wp:anchor distT="45720" distB="45720" distL="114300" distR="114300" simplePos="0" relativeHeight="251815936" behindDoc="1" locked="0" layoutInCell="1" allowOverlap="1" wp14:anchorId="7EE94FBC" wp14:editId="7EE94FBD">
                <wp:simplePos x="0" y="0"/>
                <wp:positionH relativeFrom="column">
                  <wp:posOffset>5210175</wp:posOffset>
                </wp:positionH>
                <wp:positionV relativeFrom="paragraph">
                  <wp:posOffset>1447800</wp:posOffset>
                </wp:positionV>
                <wp:extent cx="1725295" cy="1647190"/>
                <wp:effectExtent l="0" t="0" r="0" b="0"/>
                <wp:wrapTight wrapText="bothSides">
                  <wp:wrapPolygon edited="0">
                    <wp:start x="715" y="0"/>
                    <wp:lineTo x="715" y="21234"/>
                    <wp:lineTo x="20749" y="21234"/>
                    <wp:lineTo x="20749" y="0"/>
                    <wp:lineTo x="715" y="0"/>
                  </wp:wrapPolygon>
                </wp:wrapTight>
                <wp:docPr id="212" name="Pole tekstowe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647190"/>
                        </a:xfrm>
                        <a:prstGeom prst="rect">
                          <a:avLst/>
                        </a:prstGeom>
                        <a:noFill/>
                        <a:ln w="9525">
                          <a:noFill/>
                          <a:miter lim="800000"/>
                          <a:headEnd/>
                          <a:tailEnd/>
                        </a:ln>
                      </wps:spPr>
                      <wps:txbx>
                        <w:txbxContent>
                          <w:p w14:paraId="7EE9501C" w14:textId="77777777" w:rsidR="0024032F" w:rsidRPr="00A13CB9" w:rsidRDefault="0024032F" w:rsidP="00650698">
                            <w:pPr>
                              <w:pStyle w:val="tekstzboku"/>
                              <w:rPr>
                                <w:bCs w:val="0"/>
                                <w:i/>
                                <w:lang w:val="en-GB"/>
                              </w:rPr>
                            </w:pPr>
                            <w:r w:rsidRPr="00A13CB9">
                              <w:rPr>
                                <w:spacing w:val="-2"/>
                                <w:lang w:val="en-GB"/>
                              </w:rPr>
                              <w:t>The highest average monthly expenditure per capita in ho</w:t>
                            </w:r>
                            <w:r>
                              <w:rPr>
                                <w:spacing w:val="-2"/>
                                <w:lang w:val="en-GB"/>
                              </w:rPr>
                              <w:t>u</w:t>
                            </w:r>
                            <w:r w:rsidRPr="00A13CB9">
                              <w:rPr>
                                <w:spacing w:val="-2"/>
                                <w:lang w:val="en-GB"/>
                              </w:rPr>
                              <w:t xml:space="preserve">seholds occurred in </w:t>
                            </w:r>
                            <w:r>
                              <w:rPr>
                                <w:spacing w:val="-2"/>
                                <w:lang w:val="en-GB"/>
                              </w:rPr>
                              <w:t xml:space="preserve">the </w:t>
                            </w:r>
                            <w:proofErr w:type="spellStart"/>
                            <w:r w:rsidRPr="00A13CB9">
                              <w:rPr>
                                <w:spacing w:val="-2"/>
                                <w:lang w:val="en-GB"/>
                              </w:rPr>
                              <w:t>Mazowieckie</w:t>
                            </w:r>
                            <w:proofErr w:type="spellEnd"/>
                            <w:r w:rsidRPr="00A13CB9">
                              <w:rPr>
                                <w:spacing w:val="-2"/>
                                <w:lang w:val="en-GB"/>
                              </w:rPr>
                              <w:t xml:space="preserve"> Voivodship (PL</w:t>
                            </w:r>
                            <w:r>
                              <w:rPr>
                                <w:spacing w:val="-2"/>
                                <w:lang w:val="en-GB"/>
                              </w:rPr>
                              <w:t xml:space="preserve">N 1443) and the lowest in the </w:t>
                            </w:r>
                            <w:proofErr w:type="spellStart"/>
                            <w:r>
                              <w:rPr>
                                <w:spacing w:val="-2"/>
                                <w:lang w:val="en-GB"/>
                              </w:rPr>
                              <w:t>Podkarpackie</w:t>
                            </w:r>
                            <w:proofErr w:type="spellEnd"/>
                            <w:r w:rsidRPr="00A13CB9">
                              <w:rPr>
                                <w:spacing w:val="-2"/>
                                <w:lang w:val="en-GB"/>
                              </w:rPr>
                              <w:t xml:space="preserve"> Voivodship (PLN </w:t>
                            </w:r>
                            <w:r>
                              <w:rPr>
                                <w:spacing w:val="-2"/>
                                <w:lang w:val="en-GB"/>
                              </w:rPr>
                              <w:t>931</w:t>
                            </w:r>
                            <w:r w:rsidRPr="00A13CB9">
                              <w:rPr>
                                <w:spacing w:val="-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BC" id="Pole tekstowe 212" o:spid="_x0000_s1038" type="#_x0000_t202" style="position:absolute;margin-left:410.25pt;margin-top:114pt;width:135.85pt;height:129.7pt;z-index:-25150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" filled="f" stroked="f">
                <v:textbox>
                  <w:txbxContent>
                    <w:p w14:paraId="7EE9501C" w14:textId="77777777" w:rsidR="0024032F" w:rsidRPr="00A13CB9" w:rsidRDefault="0024032F" w:rsidP="00650698">
                      <w:pPr>
                        <w:pStyle w:val="tekstzboku"/>
                        <w:rPr>
                          <w:bCs w:val="0"/>
                          <w:i/>
                          <w:lang w:val="en-GB"/>
                        </w:rPr>
                      </w:pPr>
                      <w:r w:rsidRPr="00A13CB9">
                        <w:rPr>
                          <w:spacing w:val="-2"/>
                          <w:lang w:val="en-GB"/>
                        </w:rPr>
                        <w:t>The highest average monthly expenditure per capita in ho</w:t>
                      </w:r>
                      <w:r>
                        <w:rPr>
                          <w:spacing w:val="-2"/>
                          <w:lang w:val="en-GB"/>
                        </w:rPr>
                        <w:t>u</w:t>
                      </w:r>
                      <w:r w:rsidRPr="00A13CB9">
                        <w:rPr>
                          <w:spacing w:val="-2"/>
                          <w:lang w:val="en-GB"/>
                        </w:rPr>
                        <w:t xml:space="preserve">seholds occurred in </w:t>
                      </w:r>
                      <w:r>
                        <w:rPr>
                          <w:spacing w:val="-2"/>
                          <w:lang w:val="en-GB"/>
                        </w:rPr>
                        <w:t xml:space="preserve">the </w:t>
                      </w:r>
                      <w:proofErr w:type="spellStart"/>
                      <w:r w:rsidRPr="00A13CB9">
                        <w:rPr>
                          <w:spacing w:val="-2"/>
                          <w:lang w:val="en-GB"/>
                        </w:rPr>
                        <w:t>Mazowieckie</w:t>
                      </w:r>
                      <w:proofErr w:type="spellEnd"/>
                      <w:r w:rsidRPr="00A13CB9">
                        <w:rPr>
                          <w:spacing w:val="-2"/>
                          <w:lang w:val="en-GB"/>
                        </w:rPr>
                        <w:t xml:space="preserve"> Voivodship (PL</w:t>
                      </w:r>
                      <w:r>
                        <w:rPr>
                          <w:spacing w:val="-2"/>
                          <w:lang w:val="en-GB"/>
                        </w:rPr>
                        <w:t xml:space="preserve">N 1443) and the lowest in the </w:t>
                      </w:r>
                      <w:proofErr w:type="spellStart"/>
                      <w:r>
                        <w:rPr>
                          <w:spacing w:val="-2"/>
                          <w:lang w:val="en-GB"/>
                        </w:rPr>
                        <w:t>Podkarpackie</w:t>
                      </w:r>
                      <w:proofErr w:type="spellEnd"/>
                      <w:r w:rsidRPr="00A13CB9">
                        <w:rPr>
                          <w:spacing w:val="-2"/>
                          <w:lang w:val="en-GB"/>
                        </w:rPr>
                        <w:t xml:space="preserve"> Voivodship (PLN </w:t>
                      </w:r>
                      <w:r>
                        <w:rPr>
                          <w:spacing w:val="-2"/>
                          <w:lang w:val="en-GB"/>
                        </w:rPr>
                        <w:t>931</w:t>
                      </w:r>
                      <w:r w:rsidRPr="00A13CB9">
                        <w:rPr>
                          <w:spacing w:val="-2"/>
                          <w:lang w:val="en-GB"/>
                        </w:rPr>
                        <w:t>)</w:t>
                      </w:r>
                    </w:p>
                  </w:txbxContent>
                </v:textbox>
                <w10:wrap type="tight"/>
              </v:shape>
            </w:pict>
          </mc:Fallback>
        </mc:AlternateContent>
      </w:r>
      <w:r w:rsidR="00FD678E">
        <w:rPr>
          <w:i/>
          <w:noProof/>
          <w:spacing w:val="-2"/>
          <w:szCs w:val="19"/>
          <w:shd w:val="clear" w:color="auto" w:fill="FFFFFF"/>
          <w:lang w:eastAsia="pl-PL"/>
        </w:rPr>
        <w:drawing>
          <wp:inline distT="0" distB="0" distL="0" distR="0" wp14:anchorId="7EE94FBE" wp14:editId="7EE94FBF">
            <wp:extent cx="5122544" cy="5420426"/>
            <wp:effectExtent l="0" t="0" r="2540" b="889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pa 2 2019 zielony AN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122544" cy="5420426"/>
                    </a:xfrm>
                    <a:prstGeom prst="rect">
                      <a:avLst/>
                    </a:prstGeom>
                  </pic:spPr>
                </pic:pic>
              </a:graphicData>
            </a:graphic>
          </wp:inline>
        </w:drawing>
      </w:r>
    </w:p>
    <w:p w14:paraId="7EE94F3C" w14:textId="77777777" w:rsidR="00C0187E" w:rsidRDefault="00C0187E" w:rsidP="00EE4132">
      <w:pPr>
        <w:spacing w:before="240" w:line="240" w:lineRule="auto"/>
        <w:rPr>
          <w:rFonts w:ascii="Fira Sans SemiBold" w:hAnsi="Fira Sans SemiBold"/>
          <w:color w:val="001D77"/>
          <w:spacing w:val="-2"/>
          <w:szCs w:val="19"/>
          <w:shd w:val="clear" w:color="auto" w:fill="FFFFFF"/>
          <w:lang w:val="en-GB"/>
        </w:rPr>
      </w:pPr>
      <w:r>
        <w:rPr>
          <w:rFonts w:ascii="Fira Sans SemiBold" w:hAnsi="Fira Sans SemiBold"/>
          <w:color w:val="001D77"/>
          <w:spacing w:val="-2"/>
          <w:szCs w:val="19"/>
          <w:shd w:val="clear" w:color="auto" w:fill="FFFFFF"/>
          <w:lang w:val="en-GB"/>
        </w:rPr>
        <w:br w:type="page"/>
      </w:r>
    </w:p>
    <w:p w14:paraId="7EE94F3D" w14:textId="77777777" w:rsidR="00BB40E7" w:rsidRPr="004E23CC" w:rsidRDefault="00FD0CA4" w:rsidP="00EE4132">
      <w:pPr>
        <w:spacing w:before="240" w:line="240" w:lineRule="auto"/>
        <w:rPr>
          <w:rFonts w:ascii="Fira Sans SemiBold" w:hAnsi="Fira Sans SemiBold"/>
          <w:color w:val="001D77"/>
          <w:szCs w:val="19"/>
          <w:shd w:val="clear" w:color="auto" w:fill="FFFFFF"/>
          <w:lang w:val="en-GB"/>
        </w:rPr>
      </w:pPr>
      <w:r w:rsidRPr="004E23CC">
        <w:rPr>
          <w:noProof/>
          <w:lang w:eastAsia="pl-PL"/>
        </w:rPr>
        <w:lastRenderedPageBreak/>
        <mc:AlternateContent>
          <mc:Choice Requires="wps">
            <w:drawing>
              <wp:anchor distT="45720" distB="45720" distL="114300" distR="114300" simplePos="0" relativeHeight="251829248" behindDoc="1" locked="0" layoutInCell="1" allowOverlap="1" wp14:anchorId="7EE94FC0" wp14:editId="7EE94FC1">
                <wp:simplePos x="0" y="0"/>
                <wp:positionH relativeFrom="column">
                  <wp:posOffset>5200650</wp:posOffset>
                </wp:positionH>
                <wp:positionV relativeFrom="paragraph">
                  <wp:posOffset>95250</wp:posOffset>
                </wp:positionV>
                <wp:extent cx="1715770" cy="1571625"/>
                <wp:effectExtent l="0" t="0" r="0" b="0"/>
                <wp:wrapTight wrapText="bothSides">
                  <wp:wrapPolygon edited="0">
                    <wp:start x="719" y="0"/>
                    <wp:lineTo x="719" y="21207"/>
                    <wp:lineTo x="20865" y="21207"/>
                    <wp:lineTo x="20865" y="0"/>
                    <wp:lineTo x="719" y="0"/>
                  </wp:wrapPolygon>
                </wp:wrapTight>
                <wp:docPr id="55"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571625"/>
                        </a:xfrm>
                        <a:prstGeom prst="rect">
                          <a:avLst/>
                        </a:prstGeom>
                        <a:noFill/>
                        <a:ln w="9525">
                          <a:noFill/>
                          <a:miter lim="800000"/>
                          <a:headEnd/>
                          <a:tailEnd/>
                        </a:ln>
                      </wps:spPr>
                      <wps:txbx>
                        <w:txbxContent>
                          <w:p w14:paraId="7EE9501D" w14:textId="77777777" w:rsidR="0024032F" w:rsidRPr="00BB40E7" w:rsidRDefault="0024032F" w:rsidP="00BB40E7">
                            <w:pPr>
                              <w:pStyle w:val="tekstzboku"/>
                              <w:rPr>
                                <w:bCs w:val="0"/>
                                <w:lang w:val="en-GB"/>
                              </w:rPr>
                            </w:pPr>
                            <w:r w:rsidRPr="00BB40E7">
                              <w:rPr>
                                <w:lang w:val="en-GB"/>
                              </w:rPr>
                              <w:t>In 20</w:t>
                            </w:r>
                            <w:r>
                              <w:rPr>
                                <w:lang w:val="en-GB"/>
                              </w:rPr>
                              <w:t>20,</w:t>
                            </w:r>
                            <w:r w:rsidRPr="00BB40E7">
                              <w:rPr>
                                <w:lang w:val="en-GB"/>
                              </w:rPr>
                              <w:t xml:space="preserve"> the</w:t>
                            </w:r>
                            <w:r>
                              <w:rPr>
                                <w:lang w:val="en-GB"/>
                              </w:rPr>
                              <w:t>re was an in</w:t>
                            </w:r>
                            <w:r w:rsidRPr="00BB40E7">
                              <w:rPr>
                                <w:lang w:val="en-GB"/>
                              </w:rPr>
                              <w:t>creas</w:t>
                            </w:r>
                            <w:r>
                              <w:rPr>
                                <w:lang w:val="en-GB"/>
                              </w:rPr>
                              <w:t>e</w:t>
                            </w:r>
                            <w:r w:rsidRPr="00BB40E7">
                              <w:rPr>
                                <w:lang w:val="en-GB"/>
                              </w:rPr>
                              <w:t xml:space="preserve"> in consumption of the most basic foodstuffs, </w:t>
                            </w:r>
                            <w:r>
                              <w:rPr>
                                <w:lang w:val="en-GB"/>
                              </w:rPr>
                              <w:t xml:space="preserve">such </w:t>
                            </w:r>
                            <w:r w:rsidRPr="00BB40E7">
                              <w:rPr>
                                <w:lang w:val="en-GB"/>
                              </w:rPr>
                              <w:t xml:space="preserve">as: </w:t>
                            </w:r>
                            <w:r>
                              <w:rPr>
                                <w:lang w:val="en-GB"/>
                              </w:rPr>
                              <w:t xml:space="preserve">flour, butter, cheese and curd, milk, sugar, pasta and pasta products, cream, oils and fats, fruit, </w:t>
                            </w:r>
                            <w:r w:rsidRPr="00BB40E7">
                              <w:rPr>
                                <w:lang w:val="en-GB"/>
                              </w:rPr>
                              <w:t xml:space="preserve">vegetables, </w:t>
                            </w:r>
                            <w:r>
                              <w:rPr>
                                <w:lang w:val="en-GB"/>
                              </w:rPr>
                              <w:t>eggs and meat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C0" id="Pole tekstowe 31" o:spid="_x0000_s1039" type="#_x0000_t202" style="position:absolute;margin-left:409.5pt;margin-top:7.5pt;width:135.1pt;height:123.75pt;z-index:-25148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" filled="f" stroked="f">
                <v:textbox>
                  <w:txbxContent>
                    <w:p w14:paraId="7EE9501D" w14:textId="77777777" w:rsidR="0024032F" w:rsidRPr="00BB40E7" w:rsidRDefault="0024032F" w:rsidP="00BB40E7">
                      <w:pPr>
                        <w:pStyle w:val="tekstzboku"/>
                        <w:rPr>
                          <w:bCs w:val="0"/>
                          <w:lang w:val="en-GB"/>
                        </w:rPr>
                      </w:pPr>
                      <w:r w:rsidRPr="00BB40E7">
                        <w:rPr>
                          <w:lang w:val="en-GB"/>
                        </w:rPr>
                        <w:t>In 20</w:t>
                      </w:r>
                      <w:r>
                        <w:rPr>
                          <w:lang w:val="en-GB"/>
                        </w:rPr>
                        <w:t>20,</w:t>
                      </w:r>
                      <w:r w:rsidRPr="00BB40E7">
                        <w:rPr>
                          <w:lang w:val="en-GB"/>
                        </w:rPr>
                        <w:t xml:space="preserve"> the</w:t>
                      </w:r>
                      <w:r>
                        <w:rPr>
                          <w:lang w:val="en-GB"/>
                        </w:rPr>
                        <w:t>re was an in</w:t>
                      </w:r>
                      <w:r w:rsidRPr="00BB40E7">
                        <w:rPr>
                          <w:lang w:val="en-GB"/>
                        </w:rPr>
                        <w:t>creas</w:t>
                      </w:r>
                      <w:r>
                        <w:rPr>
                          <w:lang w:val="en-GB"/>
                        </w:rPr>
                        <w:t>e</w:t>
                      </w:r>
                      <w:r w:rsidRPr="00BB40E7">
                        <w:rPr>
                          <w:lang w:val="en-GB"/>
                        </w:rPr>
                        <w:t xml:space="preserve"> in consumption of the most basic foodstuffs, </w:t>
                      </w:r>
                      <w:r>
                        <w:rPr>
                          <w:lang w:val="en-GB"/>
                        </w:rPr>
                        <w:t xml:space="preserve">such </w:t>
                      </w:r>
                      <w:r w:rsidRPr="00BB40E7">
                        <w:rPr>
                          <w:lang w:val="en-GB"/>
                        </w:rPr>
                        <w:t xml:space="preserve">as: </w:t>
                      </w:r>
                      <w:r>
                        <w:rPr>
                          <w:lang w:val="en-GB"/>
                        </w:rPr>
                        <w:t xml:space="preserve">flour, butter, cheese and curd, milk, sugar, pasta and pasta products, cream, oils and fats, fruit, </w:t>
                      </w:r>
                      <w:r w:rsidRPr="00BB40E7">
                        <w:rPr>
                          <w:lang w:val="en-GB"/>
                        </w:rPr>
                        <w:t xml:space="preserve">vegetables, </w:t>
                      </w:r>
                      <w:r>
                        <w:rPr>
                          <w:lang w:val="en-GB"/>
                        </w:rPr>
                        <w:t>eggs and meat</w:t>
                      </w:r>
                    </w:p>
                  </w:txbxContent>
                </v:textbox>
                <w10:wrap type="tight"/>
              </v:shape>
            </w:pict>
          </mc:Fallback>
        </mc:AlternateContent>
      </w:r>
      <w:r w:rsidR="00BB40E7" w:rsidRPr="004E23CC">
        <w:rPr>
          <w:rFonts w:ascii="Fira Sans SemiBold" w:hAnsi="Fira Sans SemiBold"/>
          <w:color w:val="001D77"/>
          <w:szCs w:val="19"/>
          <w:shd w:val="clear" w:color="auto" w:fill="FFFFFF"/>
          <w:lang w:val="en-GB"/>
        </w:rPr>
        <w:t>Quantitative food consumption</w:t>
      </w:r>
    </w:p>
    <w:p w14:paraId="7EE94F3E" w14:textId="77777777" w:rsidR="00BB40E7" w:rsidRPr="00933A75" w:rsidRDefault="006C5D1A" w:rsidP="00E22461">
      <w:pPr>
        <w:rPr>
          <w:rFonts w:cs="Arial"/>
          <w:bCs/>
          <w:spacing w:val="-2"/>
          <w:szCs w:val="19"/>
          <w:lang w:val="en-GB"/>
        </w:rPr>
      </w:pPr>
      <w:r w:rsidRPr="00AD6802">
        <w:rPr>
          <w:rFonts w:cs="Arial"/>
          <w:bCs/>
          <w:spacing w:val="-2"/>
          <w:szCs w:val="19"/>
          <w:lang w:val="en-GB"/>
        </w:rPr>
        <w:t>In 20</w:t>
      </w:r>
      <w:r w:rsidR="00AD6802">
        <w:rPr>
          <w:rFonts w:cs="Arial"/>
          <w:bCs/>
          <w:spacing w:val="-2"/>
          <w:szCs w:val="19"/>
          <w:lang w:val="en-GB"/>
        </w:rPr>
        <w:t>20</w:t>
      </w:r>
      <w:r w:rsidR="00D1288C">
        <w:rPr>
          <w:rFonts w:cs="Arial"/>
          <w:bCs/>
          <w:spacing w:val="-2"/>
          <w:szCs w:val="19"/>
          <w:lang w:val="en-GB"/>
        </w:rPr>
        <w:t>,</w:t>
      </w:r>
      <w:r w:rsidRPr="00AD6802">
        <w:rPr>
          <w:rFonts w:cs="Arial"/>
          <w:bCs/>
          <w:spacing w:val="-2"/>
          <w:szCs w:val="19"/>
          <w:lang w:val="en-GB"/>
        </w:rPr>
        <w:t xml:space="preserve"> </w:t>
      </w:r>
      <w:r w:rsidR="00BB40E7" w:rsidRPr="00AD6802">
        <w:rPr>
          <w:rFonts w:cs="Arial"/>
          <w:bCs/>
          <w:spacing w:val="-2"/>
          <w:szCs w:val="19"/>
          <w:lang w:val="en-GB"/>
        </w:rPr>
        <w:t>the</w:t>
      </w:r>
      <w:r w:rsidR="00AD6802">
        <w:rPr>
          <w:rFonts w:cs="Arial"/>
          <w:bCs/>
          <w:spacing w:val="-2"/>
          <w:szCs w:val="19"/>
          <w:lang w:val="en-GB"/>
        </w:rPr>
        <w:t>re was an in</w:t>
      </w:r>
      <w:r w:rsidR="00BB40E7" w:rsidRPr="00AD6802">
        <w:rPr>
          <w:rFonts w:cs="Arial"/>
          <w:bCs/>
          <w:spacing w:val="-2"/>
          <w:szCs w:val="19"/>
          <w:lang w:val="en-GB"/>
        </w:rPr>
        <w:t>creas</w:t>
      </w:r>
      <w:r w:rsidR="00AD6802">
        <w:rPr>
          <w:rFonts w:cs="Arial"/>
          <w:bCs/>
          <w:spacing w:val="-2"/>
          <w:szCs w:val="19"/>
          <w:lang w:val="en-GB"/>
        </w:rPr>
        <w:t>e</w:t>
      </w:r>
      <w:r w:rsidR="00BB40E7" w:rsidRPr="00AD6802">
        <w:rPr>
          <w:rFonts w:cs="Arial"/>
          <w:bCs/>
          <w:spacing w:val="-2"/>
          <w:szCs w:val="19"/>
          <w:lang w:val="en-GB"/>
        </w:rPr>
        <w:t xml:space="preserve"> in consumption of the </w:t>
      </w:r>
      <w:r w:rsidR="00AD6802">
        <w:rPr>
          <w:rFonts w:cs="Arial"/>
          <w:bCs/>
          <w:spacing w:val="-2"/>
          <w:szCs w:val="19"/>
          <w:lang w:val="en-GB"/>
        </w:rPr>
        <w:t xml:space="preserve">majority of </w:t>
      </w:r>
      <w:r w:rsidR="00BB40E7" w:rsidRPr="00AD6802">
        <w:rPr>
          <w:rFonts w:cs="Arial"/>
          <w:bCs/>
          <w:spacing w:val="-2"/>
          <w:szCs w:val="19"/>
          <w:lang w:val="en-GB"/>
        </w:rPr>
        <w:t>basic foodstuffs.</w:t>
      </w:r>
      <w:r w:rsidR="007F25A3" w:rsidRPr="00AD6802">
        <w:rPr>
          <w:rFonts w:cs="Arial"/>
          <w:bCs/>
          <w:spacing w:val="-2"/>
          <w:szCs w:val="19"/>
          <w:lang w:val="en-GB"/>
        </w:rPr>
        <w:t xml:space="preserve"> T</w:t>
      </w:r>
      <w:r w:rsidR="007F25A3" w:rsidRPr="004D50DD">
        <w:rPr>
          <w:rFonts w:cs="Arial"/>
          <w:bCs/>
          <w:spacing w:val="-2"/>
          <w:szCs w:val="19"/>
          <w:lang w:val="en-GB"/>
        </w:rPr>
        <w:t>h</w:t>
      </w:r>
      <w:r w:rsidR="00AD6802">
        <w:rPr>
          <w:rFonts w:cs="Arial"/>
          <w:bCs/>
          <w:spacing w:val="-2"/>
          <w:szCs w:val="19"/>
          <w:lang w:val="en-GB"/>
        </w:rPr>
        <w:t xml:space="preserve">e </w:t>
      </w:r>
      <w:r w:rsidR="00781653">
        <w:rPr>
          <w:rFonts w:cs="Arial"/>
          <w:bCs/>
          <w:spacing w:val="-2"/>
          <w:szCs w:val="19"/>
          <w:lang w:val="en-GB"/>
        </w:rPr>
        <w:t xml:space="preserve">highest </w:t>
      </w:r>
      <w:r w:rsidR="00D1288C">
        <w:rPr>
          <w:rFonts w:cs="Arial"/>
          <w:bCs/>
          <w:spacing w:val="-2"/>
          <w:szCs w:val="19"/>
          <w:lang w:val="en-GB"/>
        </w:rPr>
        <w:t>growth</w:t>
      </w:r>
      <w:r w:rsidR="00AD6802">
        <w:rPr>
          <w:rFonts w:cs="Arial"/>
          <w:bCs/>
          <w:spacing w:val="-2"/>
          <w:szCs w:val="19"/>
          <w:lang w:val="en-GB"/>
        </w:rPr>
        <w:t xml:space="preserve"> </w:t>
      </w:r>
      <w:r w:rsidR="00933A75">
        <w:rPr>
          <w:rFonts w:cs="Arial"/>
          <w:bCs/>
          <w:spacing w:val="-2"/>
          <w:szCs w:val="19"/>
          <w:lang w:val="en-GB"/>
        </w:rPr>
        <w:t xml:space="preserve">was </w:t>
      </w:r>
      <w:r w:rsidR="00933A75" w:rsidRPr="00933A75">
        <w:rPr>
          <w:rFonts w:cs="Arial"/>
          <w:bCs/>
          <w:spacing w:val="-2"/>
          <w:szCs w:val="19"/>
          <w:lang w:val="en-GB"/>
        </w:rPr>
        <w:t>recorded in</w:t>
      </w:r>
      <w:r w:rsidR="00933A75">
        <w:rPr>
          <w:rFonts w:cs="Arial"/>
          <w:bCs/>
          <w:spacing w:val="-2"/>
          <w:szCs w:val="19"/>
          <w:lang w:val="en-GB"/>
        </w:rPr>
        <w:t>:</w:t>
      </w:r>
      <w:r w:rsidR="00933A75" w:rsidRPr="00933A75">
        <w:rPr>
          <w:rFonts w:cs="Arial"/>
          <w:bCs/>
          <w:spacing w:val="-2"/>
          <w:szCs w:val="19"/>
          <w:lang w:val="en-GB"/>
        </w:rPr>
        <w:t xml:space="preserve"> flour (by 18.6%), butter (by 14.1%), cheese and </w:t>
      </w:r>
      <w:r w:rsidR="00933A75">
        <w:rPr>
          <w:rFonts w:cs="Arial"/>
          <w:bCs/>
          <w:spacing w:val="-2"/>
          <w:szCs w:val="19"/>
          <w:lang w:val="en-GB"/>
        </w:rPr>
        <w:t>curd</w:t>
      </w:r>
      <w:r w:rsidR="004700B5">
        <w:rPr>
          <w:rFonts w:cs="Arial"/>
          <w:bCs/>
          <w:spacing w:val="-2"/>
          <w:szCs w:val="19"/>
          <w:lang w:val="en-GB"/>
        </w:rPr>
        <w:t xml:space="preserve"> (by 6.7%), milk (by </w:t>
      </w:r>
      <w:r w:rsidR="00933A75" w:rsidRPr="00933A75">
        <w:rPr>
          <w:rFonts w:cs="Arial"/>
          <w:bCs/>
          <w:spacing w:val="-2"/>
          <w:szCs w:val="19"/>
          <w:lang w:val="en-GB"/>
        </w:rPr>
        <w:t>6.6%), sugar as well as pasta and pasta products (5</w:t>
      </w:r>
      <w:r w:rsidR="00933A75">
        <w:rPr>
          <w:rFonts w:cs="Arial"/>
          <w:bCs/>
          <w:spacing w:val="-2"/>
          <w:szCs w:val="19"/>
          <w:lang w:val="en-GB"/>
        </w:rPr>
        <w:t>.</w:t>
      </w:r>
      <w:r w:rsidR="00933A75" w:rsidRPr="00933A75">
        <w:rPr>
          <w:rFonts w:cs="Arial"/>
          <w:bCs/>
          <w:spacing w:val="-2"/>
          <w:szCs w:val="19"/>
          <w:lang w:val="en-GB"/>
        </w:rPr>
        <w:t>0% each), cream</w:t>
      </w:r>
      <w:r w:rsidR="00933A75">
        <w:rPr>
          <w:rFonts w:cs="Arial"/>
          <w:bCs/>
          <w:spacing w:val="-2"/>
          <w:szCs w:val="19"/>
          <w:lang w:val="en-GB"/>
        </w:rPr>
        <w:t xml:space="preserve"> as well as</w:t>
      </w:r>
      <w:r w:rsidR="00933A75" w:rsidRPr="00933A75">
        <w:rPr>
          <w:rFonts w:cs="Arial"/>
          <w:bCs/>
          <w:spacing w:val="-2"/>
          <w:szCs w:val="19"/>
          <w:lang w:val="en-GB"/>
        </w:rPr>
        <w:t xml:space="preserve"> oils and fats (2.9% each), fruit (</w:t>
      </w:r>
      <w:r w:rsidR="00933A75">
        <w:rPr>
          <w:rFonts w:cs="Arial"/>
          <w:bCs/>
          <w:spacing w:val="-2"/>
          <w:szCs w:val="19"/>
          <w:lang w:val="en-GB"/>
        </w:rPr>
        <w:t xml:space="preserve">by </w:t>
      </w:r>
      <w:r w:rsidR="00933A75" w:rsidRPr="00933A75">
        <w:rPr>
          <w:rFonts w:cs="Arial"/>
          <w:bCs/>
          <w:spacing w:val="-2"/>
          <w:szCs w:val="19"/>
          <w:lang w:val="en-GB"/>
        </w:rPr>
        <w:t>1.8%), vegetables (</w:t>
      </w:r>
      <w:r w:rsidR="00933A75">
        <w:rPr>
          <w:rFonts w:cs="Arial"/>
          <w:bCs/>
          <w:spacing w:val="-2"/>
          <w:szCs w:val="19"/>
          <w:lang w:val="en-GB"/>
        </w:rPr>
        <w:t xml:space="preserve">by </w:t>
      </w:r>
      <w:r w:rsidR="00933A75" w:rsidRPr="00933A75">
        <w:rPr>
          <w:rFonts w:cs="Arial"/>
          <w:bCs/>
          <w:spacing w:val="-2"/>
          <w:szCs w:val="19"/>
          <w:lang w:val="en-GB"/>
        </w:rPr>
        <w:t>1.4%, with a simultaneous decrease in potato consumption by 2.5%), eggs (by 0.5%) and meat (by 0.2%).</w:t>
      </w:r>
      <w:r w:rsidR="00BB40E7" w:rsidRPr="004D50DD">
        <w:rPr>
          <w:rFonts w:cs="Arial"/>
          <w:bCs/>
          <w:spacing w:val="-2"/>
          <w:szCs w:val="19"/>
          <w:lang w:val="en-GB"/>
        </w:rPr>
        <w:t xml:space="preserve"> </w:t>
      </w:r>
      <w:r w:rsidR="00933A75" w:rsidRPr="00933A75">
        <w:rPr>
          <w:rFonts w:cs="Arial"/>
          <w:bCs/>
          <w:spacing w:val="-2"/>
          <w:szCs w:val="19"/>
          <w:lang w:val="en-GB"/>
        </w:rPr>
        <w:t xml:space="preserve">The consumption of fish and seafood remained </w:t>
      </w:r>
      <w:r w:rsidR="003876E9">
        <w:rPr>
          <w:rFonts w:cs="Arial"/>
          <w:bCs/>
          <w:spacing w:val="-2"/>
          <w:szCs w:val="19"/>
          <w:lang w:val="en-GB"/>
        </w:rPr>
        <w:t>at the same level</w:t>
      </w:r>
      <w:r w:rsidR="00933A75" w:rsidRPr="00933A75">
        <w:rPr>
          <w:rFonts w:cs="Arial"/>
          <w:bCs/>
          <w:spacing w:val="-2"/>
          <w:szCs w:val="19"/>
          <w:lang w:val="en-GB"/>
        </w:rPr>
        <w:t xml:space="preserve">, while a decrease was recorded in </w:t>
      </w:r>
      <w:r w:rsidR="00B730D5">
        <w:rPr>
          <w:rFonts w:cs="Arial"/>
          <w:bCs/>
          <w:spacing w:val="-2"/>
          <w:szCs w:val="19"/>
          <w:lang w:val="en-GB"/>
        </w:rPr>
        <w:t xml:space="preserve">the </w:t>
      </w:r>
      <w:r w:rsidR="00933A75" w:rsidRPr="00933A75">
        <w:rPr>
          <w:rFonts w:cs="Arial"/>
          <w:bCs/>
          <w:spacing w:val="-2"/>
          <w:szCs w:val="19"/>
          <w:lang w:val="en-GB"/>
        </w:rPr>
        <w:t>case of bread and cereal</w:t>
      </w:r>
      <w:r w:rsidR="003876E9">
        <w:rPr>
          <w:rFonts w:cs="Arial"/>
          <w:bCs/>
          <w:spacing w:val="-2"/>
          <w:szCs w:val="19"/>
          <w:lang w:val="en-GB"/>
        </w:rPr>
        <w:t>s</w:t>
      </w:r>
      <w:r w:rsidR="004700B5">
        <w:rPr>
          <w:rFonts w:cs="Arial"/>
          <w:bCs/>
          <w:spacing w:val="-2"/>
          <w:szCs w:val="19"/>
          <w:lang w:val="en-GB"/>
        </w:rPr>
        <w:t xml:space="preserve"> (by </w:t>
      </w:r>
      <w:r w:rsidR="00933A75" w:rsidRPr="00933A75">
        <w:rPr>
          <w:rFonts w:cs="Arial"/>
          <w:bCs/>
          <w:spacing w:val="-2"/>
          <w:szCs w:val="19"/>
          <w:lang w:val="en-GB"/>
        </w:rPr>
        <w:t xml:space="preserve">0.9%, </w:t>
      </w:r>
      <w:r w:rsidR="003876E9">
        <w:rPr>
          <w:rFonts w:cs="Arial"/>
          <w:bCs/>
          <w:spacing w:val="-2"/>
          <w:szCs w:val="19"/>
          <w:lang w:val="en-GB"/>
        </w:rPr>
        <w:t>of which</w:t>
      </w:r>
      <w:r w:rsidR="00933A75" w:rsidRPr="00933A75">
        <w:rPr>
          <w:rFonts w:cs="Arial"/>
          <w:bCs/>
          <w:spacing w:val="-2"/>
          <w:szCs w:val="19"/>
          <w:lang w:val="en-GB"/>
        </w:rPr>
        <w:t xml:space="preserve"> bread by 7.7%) and </w:t>
      </w:r>
      <w:r w:rsidR="003876E9">
        <w:rPr>
          <w:rFonts w:cs="Arial"/>
          <w:bCs/>
          <w:spacing w:val="-2"/>
          <w:szCs w:val="19"/>
          <w:lang w:val="en-GB"/>
        </w:rPr>
        <w:t>p</w:t>
      </w:r>
      <w:r w:rsidR="003876E9" w:rsidRPr="003876E9">
        <w:rPr>
          <w:rFonts w:cs="Arial"/>
          <w:bCs/>
          <w:spacing w:val="-2"/>
          <w:szCs w:val="19"/>
          <w:lang w:val="en-GB"/>
        </w:rPr>
        <w:t xml:space="preserve">rocessed meat and other meat preparations </w:t>
      </w:r>
      <w:r w:rsidR="00933A75" w:rsidRPr="00933A75">
        <w:rPr>
          <w:rFonts w:cs="Arial"/>
          <w:bCs/>
          <w:spacing w:val="-2"/>
          <w:szCs w:val="19"/>
          <w:lang w:val="en-GB"/>
        </w:rPr>
        <w:t xml:space="preserve">(by 0.5%). </w:t>
      </w:r>
      <w:r w:rsidR="0070279F">
        <w:rPr>
          <w:rFonts w:cs="Arial"/>
          <w:bCs/>
          <w:spacing w:val="-2"/>
          <w:szCs w:val="19"/>
          <w:lang w:val="en-GB"/>
        </w:rPr>
        <w:t>I</w:t>
      </w:r>
      <w:r w:rsidR="0070279F" w:rsidRPr="00933A75">
        <w:rPr>
          <w:rFonts w:cs="Arial"/>
          <w:bCs/>
          <w:spacing w:val="-2"/>
          <w:szCs w:val="19"/>
          <w:lang w:val="en-GB"/>
        </w:rPr>
        <w:t>n 2020</w:t>
      </w:r>
      <w:r w:rsidR="0070279F">
        <w:rPr>
          <w:rFonts w:cs="Arial"/>
          <w:bCs/>
          <w:spacing w:val="-2"/>
          <w:szCs w:val="19"/>
          <w:lang w:val="en-GB"/>
        </w:rPr>
        <w:t>, t</w:t>
      </w:r>
      <w:r w:rsidR="00933A75" w:rsidRPr="00933A75">
        <w:rPr>
          <w:rFonts w:cs="Arial"/>
          <w:bCs/>
          <w:spacing w:val="-2"/>
          <w:szCs w:val="19"/>
          <w:lang w:val="en-GB"/>
        </w:rPr>
        <w:t xml:space="preserve">he increase in the level of consumption of most </w:t>
      </w:r>
      <w:r w:rsidR="003876E9" w:rsidRPr="003876E9">
        <w:rPr>
          <w:rFonts w:cs="Arial"/>
          <w:bCs/>
          <w:spacing w:val="-2"/>
          <w:szCs w:val="19"/>
          <w:lang w:val="en-GB"/>
        </w:rPr>
        <w:t xml:space="preserve">basic foodstuffs </w:t>
      </w:r>
      <w:r w:rsidR="00933A75" w:rsidRPr="00933A75">
        <w:rPr>
          <w:rFonts w:cs="Arial"/>
          <w:bCs/>
          <w:spacing w:val="-2"/>
          <w:szCs w:val="19"/>
          <w:lang w:val="en-GB"/>
        </w:rPr>
        <w:t>and the decrease by 26.7% in expenditure on catering was due to the closure of restaurants</w:t>
      </w:r>
      <w:r w:rsidR="0070279F">
        <w:rPr>
          <w:rFonts w:cs="Arial"/>
          <w:bCs/>
          <w:spacing w:val="-2"/>
          <w:szCs w:val="19"/>
          <w:lang w:val="en-GB"/>
        </w:rPr>
        <w:t xml:space="preserve"> </w:t>
      </w:r>
      <w:r w:rsidR="0070279F" w:rsidRPr="0070279F">
        <w:rPr>
          <w:rFonts w:cs="Arial"/>
          <w:bCs/>
          <w:spacing w:val="-2"/>
          <w:szCs w:val="19"/>
          <w:lang w:val="en-GB"/>
        </w:rPr>
        <w:t xml:space="preserve">for a significant part of the year </w:t>
      </w:r>
      <w:r w:rsidR="00F12BCA">
        <w:rPr>
          <w:rFonts w:cs="Arial"/>
          <w:bCs/>
          <w:spacing w:val="-2"/>
          <w:szCs w:val="19"/>
          <w:lang w:val="en-GB"/>
        </w:rPr>
        <w:t>as well as</w:t>
      </w:r>
      <w:r w:rsidR="0070279F" w:rsidRPr="0070279F">
        <w:rPr>
          <w:rFonts w:cs="Arial"/>
          <w:bCs/>
          <w:spacing w:val="-2"/>
          <w:szCs w:val="19"/>
          <w:lang w:val="en-GB"/>
        </w:rPr>
        <w:t xml:space="preserve"> changes in the frequency, volume and structure of purchases made in connection with the COVID-19 pandemic. These changes </w:t>
      </w:r>
      <w:r w:rsidR="00F12BCA">
        <w:rPr>
          <w:rFonts w:cs="Arial"/>
          <w:bCs/>
          <w:spacing w:val="-2"/>
          <w:szCs w:val="19"/>
          <w:lang w:val="en-GB"/>
        </w:rPr>
        <w:t xml:space="preserve">resulted </w:t>
      </w:r>
      <w:r w:rsidR="0070279F" w:rsidRPr="0070279F">
        <w:rPr>
          <w:rFonts w:cs="Arial"/>
          <w:bCs/>
          <w:spacing w:val="-2"/>
          <w:szCs w:val="19"/>
          <w:lang w:val="en-GB"/>
        </w:rPr>
        <w:t>in a significant increase in the share of expenditure on food and non-alcoholic beverages in 2020.</w:t>
      </w:r>
      <w:r w:rsidR="003876E9">
        <w:rPr>
          <w:rFonts w:cs="Arial"/>
          <w:bCs/>
          <w:spacing w:val="-2"/>
          <w:szCs w:val="19"/>
          <w:lang w:val="en-GB"/>
        </w:rPr>
        <w:t xml:space="preserve"> </w:t>
      </w:r>
    </w:p>
    <w:p w14:paraId="7EE94F3F" w14:textId="77777777" w:rsidR="00BB40E7" w:rsidRPr="00C0187E" w:rsidRDefault="00BB40E7" w:rsidP="00BB40E7">
      <w:pPr>
        <w:rPr>
          <w:spacing w:val="-2"/>
          <w:szCs w:val="19"/>
          <w:shd w:val="clear" w:color="auto" w:fill="FFFFFF"/>
          <w:lang w:val="en-GB"/>
        </w:rPr>
      </w:pPr>
      <w:r w:rsidRPr="00C0187E">
        <w:rPr>
          <w:rFonts w:cs="Arial"/>
          <w:spacing w:val="-2"/>
          <w:szCs w:val="19"/>
          <w:lang w:val="en-GB"/>
        </w:rPr>
        <w:t xml:space="preserve">The level of consumption of most foodstuffs greatly depends on household income. As the wealth of households increases, so does the level of consumption of certain foodstuffs, as </w:t>
      </w:r>
      <w:r w:rsidRPr="00C0187E">
        <w:rPr>
          <w:rFonts w:cs="Arial"/>
          <w:bCs/>
          <w:spacing w:val="-2"/>
          <w:szCs w:val="19"/>
          <w:lang w:val="en-GB"/>
        </w:rPr>
        <w:t>bread and cereals</w:t>
      </w:r>
      <w:r w:rsidRPr="00C0187E">
        <w:rPr>
          <w:spacing w:val="-2"/>
          <w:szCs w:val="19"/>
          <w:shd w:val="clear" w:color="auto" w:fill="FFFFFF"/>
          <w:lang w:val="en-GB"/>
        </w:rPr>
        <w:t xml:space="preserve">, </w:t>
      </w:r>
      <w:r w:rsidRPr="00C0187E">
        <w:rPr>
          <w:rFonts w:cs="Arial"/>
          <w:bCs/>
          <w:spacing w:val="-2"/>
          <w:szCs w:val="19"/>
          <w:lang w:val="en-GB"/>
        </w:rPr>
        <w:t>meat</w:t>
      </w:r>
      <w:r w:rsidRPr="00C0187E">
        <w:rPr>
          <w:spacing w:val="-2"/>
          <w:szCs w:val="19"/>
          <w:shd w:val="clear" w:color="auto" w:fill="FFFFFF"/>
          <w:lang w:val="en-GB"/>
        </w:rPr>
        <w:t xml:space="preserve">, </w:t>
      </w:r>
      <w:r w:rsidRPr="00C0187E">
        <w:rPr>
          <w:rFonts w:cs="Arial"/>
          <w:bCs/>
          <w:spacing w:val="-2"/>
          <w:szCs w:val="19"/>
          <w:lang w:val="en-GB"/>
        </w:rPr>
        <w:t>vegetables</w:t>
      </w:r>
      <w:r w:rsidRPr="00C0187E">
        <w:rPr>
          <w:spacing w:val="-2"/>
          <w:szCs w:val="19"/>
          <w:shd w:val="clear" w:color="auto" w:fill="FFFFFF"/>
          <w:lang w:val="en-GB"/>
        </w:rPr>
        <w:t xml:space="preserve">, </w:t>
      </w:r>
      <w:r w:rsidRPr="00C0187E">
        <w:rPr>
          <w:rFonts w:cs="Arial"/>
          <w:bCs/>
          <w:spacing w:val="-2"/>
          <w:szCs w:val="19"/>
          <w:lang w:val="en-GB"/>
        </w:rPr>
        <w:t>fruit</w:t>
      </w:r>
      <w:r w:rsidRPr="00C0187E">
        <w:rPr>
          <w:spacing w:val="-2"/>
          <w:szCs w:val="19"/>
          <w:shd w:val="clear" w:color="auto" w:fill="FFFFFF"/>
          <w:lang w:val="en-GB"/>
        </w:rPr>
        <w:t xml:space="preserve">, </w:t>
      </w:r>
      <w:r w:rsidRPr="00C0187E">
        <w:rPr>
          <w:rFonts w:cs="Arial"/>
          <w:bCs/>
          <w:spacing w:val="-2"/>
          <w:szCs w:val="19"/>
          <w:lang w:val="en-GB"/>
        </w:rPr>
        <w:t xml:space="preserve">cheese and curd </w:t>
      </w:r>
      <w:r w:rsidR="003876E9" w:rsidRPr="00C0187E">
        <w:rPr>
          <w:spacing w:val="-2"/>
          <w:szCs w:val="19"/>
          <w:shd w:val="clear" w:color="auto" w:fill="FFFFFF"/>
          <w:lang w:val="en-GB"/>
        </w:rPr>
        <w:t>as well as</w:t>
      </w:r>
      <w:r w:rsidRPr="00C0187E">
        <w:rPr>
          <w:spacing w:val="-2"/>
          <w:szCs w:val="19"/>
          <w:shd w:val="clear" w:color="auto" w:fill="FFFFFF"/>
          <w:lang w:val="en-GB"/>
        </w:rPr>
        <w:t xml:space="preserve"> </w:t>
      </w:r>
      <w:r w:rsidRPr="00C0187E">
        <w:rPr>
          <w:rFonts w:cs="Arial"/>
          <w:spacing w:val="-2"/>
          <w:szCs w:val="19"/>
          <w:lang w:val="en-GB"/>
        </w:rPr>
        <w:t>mineral and spring water</w:t>
      </w:r>
      <w:r w:rsidRPr="00C0187E">
        <w:rPr>
          <w:spacing w:val="-2"/>
          <w:szCs w:val="19"/>
          <w:shd w:val="clear" w:color="auto" w:fill="FFFFFF"/>
          <w:lang w:val="en-GB"/>
        </w:rPr>
        <w:t>.</w:t>
      </w:r>
    </w:p>
    <w:p w14:paraId="7EE94F40" w14:textId="77777777" w:rsidR="00BB40E7" w:rsidRPr="00BB40E7" w:rsidRDefault="00BB40E7" w:rsidP="00BB40E7">
      <w:pPr>
        <w:rPr>
          <w:spacing w:val="-2"/>
          <w:szCs w:val="19"/>
          <w:shd w:val="clear" w:color="auto" w:fill="FFFFFF"/>
          <w:lang w:val="en-GB"/>
        </w:rPr>
      </w:pPr>
    </w:p>
    <w:p w14:paraId="7EE94F41" w14:textId="77777777" w:rsidR="00BB40E7" w:rsidRPr="00230699" w:rsidRDefault="004A2ACA" w:rsidP="00BB40E7">
      <w:pPr>
        <w:spacing w:line="240" w:lineRule="auto"/>
        <w:rPr>
          <w:spacing w:val="-2"/>
          <w:szCs w:val="19"/>
          <w:shd w:val="clear" w:color="auto" w:fill="FFFFFF"/>
        </w:rPr>
      </w:pPr>
      <w:r>
        <w:rPr>
          <w:noProof/>
          <w:lang w:eastAsia="pl-PL"/>
        </w:rPr>
        <w:drawing>
          <wp:inline distT="0" distB="0" distL="0" distR="0" wp14:anchorId="7EE94FC2" wp14:editId="7EE94FC3">
            <wp:extent cx="5122545" cy="2664000"/>
            <wp:effectExtent l="0" t="0" r="1905" b="3175"/>
            <wp:docPr id="22" name="Wykres 22">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EE94F42" w14:textId="77777777" w:rsidR="00BB40E7" w:rsidRDefault="00BB40E7" w:rsidP="00BB40E7">
      <w:pPr>
        <w:rPr>
          <w:spacing w:val="-2"/>
          <w:szCs w:val="19"/>
          <w:shd w:val="clear" w:color="auto" w:fill="FFFFFF"/>
        </w:rPr>
      </w:pPr>
    </w:p>
    <w:p w14:paraId="7EE94F43" w14:textId="77777777" w:rsidR="00BB40E7" w:rsidRDefault="00BB40E7" w:rsidP="00BB40E7">
      <w:pPr>
        <w:rPr>
          <w:rFonts w:cs="Arial"/>
          <w:spacing w:val="2"/>
          <w:szCs w:val="19"/>
          <w:lang w:val="en-GB"/>
        </w:rPr>
      </w:pPr>
      <w:r w:rsidRPr="006E1C16">
        <w:rPr>
          <w:rFonts w:cs="Arial"/>
          <w:bCs/>
          <w:spacing w:val="2"/>
          <w:szCs w:val="19"/>
          <w:lang w:val="en-GB"/>
        </w:rPr>
        <w:t xml:space="preserve">The level of </w:t>
      </w:r>
      <w:r w:rsidR="003876E9">
        <w:rPr>
          <w:rFonts w:cs="Arial"/>
          <w:bCs/>
          <w:spacing w:val="2"/>
          <w:szCs w:val="19"/>
          <w:lang w:val="en-GB"/>
        </w:rPr>
        <w:t xml:space="preserve">food </w:t>
      </w:r>
      <w:r w:rsidRPr="006E1C16">
        <w:rPr>
          <w:rFonts w:cs="Arial"/>
          <w:bCs/>
          <w:spacing w:val="2"/>
          <w:szCs w:val="19"/>
          <w:lang w:val="en-GB"/>
        </w:rPr>
        <w:t xml:space="preserve">consumption is also affected by </w:t>
      </w:r>
      <w:r w:rsidR="003876E9">
        <w:rPr>
          <w:rFonts w:cs="Arial"/>
          <w:bCs/>
          <w:spacing w:val="2"/>
          <w:szCs w:val="19"/>
          <w:lang w:val="en-GB"/>
        </w:rPr>
        <w:t>dietary</w:t>
      </w:r>
      <w:r w:rsidRPr="006E1C16">
        <w:rPr>
          <w:rFonts w:cs="Arial"/>
          <w:bCs/>
          <w:spacing w:val="2"/>
          <w:szCs w:val="19"/>
          <w:lang w:val="en-GB"/>
        </w:rPr>
        <w:t xml:space="preserve"> habits, prices of foodstuff</w:t>
      </w:r>
      <w:r w:rsidR="003876E9">
        <w:rPr>
          <w:rFonts w:cs="Arial"/>
          <w:bCs/>
          <w:spacing w:val="2"/>
          <w:szCs w:val="19"/>
          <w:lang w:val="en-GB"/>
        </w:rPr>
        <w:t>s</w:t>
      </w:r>
      <w:r w:rsidRPr="006E1C16">
        <w:rPr>
          <w:rFonts w:cs="Arial"/>
          <w:bCs/>
          <w:spacing w:val="2"/>
          <w:szCs w:val="19"/>
          <w:lang w:val="en-GB"/>
        </w:rPr>
        <w:t xml:space="preserve"> </w:t>
      </w:r>
      <w:r w:rsidR="003876E9">
        <w:rPr>
          <w:rFonts w:cs="Arial"/>
          <w:bCs/>
          <w:spacing w:val="2"/>
          <w:szCs w:val="19"/>
          <w:lang w:val="en-GB"/>
        </w:rPr>
        <w:t>and</w:t>
      </w:r>
      <w:r w:rsidRPr="006E1C16">
        <w:rPr>
          <w:rFonts w:cs="Arial"/>
          <w:bCs/>
          <w:spacing w:val="2"/>
          <w:szCs w:val="19"/>
          <w:lang w:val="en-GB"/>
        </w:rPr>
        <w:t xml:space="preserve"> a</w:t>
      </w:r>
      <w:r w:rsidR="001D1AB1">
        <w:rPr>
          <w:rFonts w:cs="Arial"/>
          <w:bCs/>
          <w:spacing w:val="2"/>
          <w:szCs w:val="19"/>
          <w:lang w:val="en-GB"/>
        </w:rPr>
        <w:t> </w:t>
      </w:r>
      <w:r w:rsidRPr="006E1C16">
        <w:rPr>
          <w:rFonts w:cs="Arial"/>
          <w:bCs/>
          <w:spacing w:val="2"/>
          <w:szCs w:val="19"/>
          <w:lang w:val="en-GB"/>
        </w:rPr>
        <w:t>place of residence.</w:t>
      </w:r>
      <w:r w:rsidRPr="006E1C16">
        <w:rPr>
          <w:rFonts w:cs="Arial"/>
          <w:spacing w:val="2"/>
          <w:szCs w:val="19"/>
          <w:lang w:val="en-GB"/>
        </w:rPr>
        <w:t xml:space="preserve"> Households in rural areas compared with households in urban areas are characterised by a slightly different model of nutrition.</w:t>
      </w:r>
    </w:p>
    <w:p w14:paraId="7EE94F44" w14:textId="77777777" w:rsidR="003B1A4C" w:rsidRDefault="00D1288C" w:rsidP="00BB40E7">
      <w:pPr>
        <w:rPr>
          <w:rFonts w:cs="Arial"/>
          <w:spacing w:val="2"/>
          <w:szCs w:val="19"/>
          <w:lang w:val="en-GB"/>
        </w:rPr>
      </w:pPr>
      <w:r>
        <w:rPr>
          <w:rFonts w:cs="Arial"/>
          <w:spacing w:val="2"/>
          <w:szCs w:val="19"/>
          <w:lang w:val="en-GB"/>
        </w:rPr>
        <w:t>A</w:t>
      </w:r>
      <w:r w:rsidR="003B1A4C">
        <w:rPr>
          <w:rFonts w:cs="Arial"/>
          <w:spacing w:val="2"/>
          <w:szCs w:val="19"/>
          <w:lang w:val="en-GB"/>
        </w:rPr>
        <w:t>n</w:t>
      </w:r>
      <w:r w:rsidR="003B1A4C" w:rsidRPr="003B1A4C">
        <w:rPr>
          <w:rFonts w:cs="Arial"/>
          <w:spacing w:val="2"/>
          <w:szCs w:val="19"/>
          <w:lang w:val="en-GB"/>
        </w:rPr>
        <w:t xml:space="preserve"> increase in the </w:t>
      </w:r>
      <w:r w:rsidR="00F12BCA" w:rsidRPr="00F12BCA">
        <w:rPr>
          <w:rFonts w:cs="Arial"/>
          <w:spacing w:val="2"/>
          <w:szCs w:val="19"/>
          <w:lang w:val="en-GB"/>
        </w:rPr>
        <w:t xml:space="preserve">value of monthly </w:t>
      </w:r>
      <w:r w:rsidR="003B1A4C" w:rsidRPr="003B1A4C">
        <w:rPr>
          <w:rFonts w:cs="Arial"/>
          <w:spacing w:val="2"/>
          <w:szCs w:val="19"/>
          <w:lang w:val="en-GB"/>
        </w:rPr>
        <w:t xml:space="preserve">consumption </w:t>
      </w:r>
      <w:r w:rsidR="00757E3A" w:rsidRPr="003B1A4C">
        <w:rPr>
          <w:rFonts w:cs="Arial"/>
          <w:spacing w:val="2"/>
          <w:szCs w:val="19"/>
          <w:lang w:val="en-GB"/>
        </w:rPr>
        <w:t xml:space="preserve">per </w:t>
      </w:r>
      <w:r w:rsidR="00757E3A">
        <w:rPr>
          <w:rFonts w:cs="Arial"/>
          <w:spacing w:val="2"/>
          <w:szCs w:val="19"/>
          <w:lang w:val="en-GB"/>
        </w:rPr>
        <w:t>capita</w:t>
      </w:r>
      <w:r w:rsidR="00757E3A" w:rsidRPr="003B1A4C">
        <w:rPr>
          <w:rFonts w:cs="Arial"/>
          <w:spacing w:val="2"/>
          <w:szCs w:val="19"/>
          <w:lang w:val="en-GB"/>
        </w:rPr>
        <w:t xml:space="preserve"> </w:t>
      </w:r>
      <w:r w:rsidR="003B1A4C" w:rsidRPr="003B1A4C">
        <w:rPr>
          <w:rFonts w:cs="Arial"/>
          <w:spacing w:val="2"/>
          <w:szCs w:val="19"/>
          <w:lang w:val="en-GB"/>
        </w:rPr>
        <w:t xml:space="preserve">of vegetables </w:t>
      </w:r>
      <w:r>
        <w:rPr>
          <w:rFonts w:cs="Arial"/>
          <w:spacing w:val="2"/>
          <w:szCs w:val="19"/>
          <w:lang w:val="en-GB"/>
        </w:rPr>
        <w:t>(</w:t>
      </w:r>
      <w:r w:rsidRPr="003B1A4C">
        <w:rPr>
          <w:rFonts w:cs="Arial"/>
          <w:spacing w:val="2"/>
          <w:szCs w:val="19"/>
          <w:lang w:val="en-GB"/>
        </w:rPr>
        <w:t>by 0.4 kg</w:t>
      </w:r>
      <w:r>
        <w:rPr>
          <w:rFonts w:cs="Arial"/>
          <w:spacing w:val="2"/>
          <w:szCs w:val="19"/>
          <w:lang w:val="en-GB"/>
        </w:rPr>
        <w:t>)</w:t>
      </w:r>
      <w:r w:rsidRPr="003B1A4C">
        <w:rPr>
          <w:rFonts w:cs="Arial"/>
          <w:spacing w:val="2"/>
          <w:szCs w:val="19"/>
          <w:lang w:val="en-GB"/>
        </w:rPr>
        <w:t xml:space="preserve"> </w:t>
      </w:r>
      <w:r w:rsidR="003B1A4C" w:rsidRPr="003B1A4C">
        <w:rPr>
          <w:rFonts w:cs="Arial"/>
          <w:spacing w:val="2"/>
          <w:szCs w:val="19"/>
          <w:lang w:val="en-GB"/>
        </w:rPr>
        <w:t xml:space="preserve">and fruit </w:t>
      </w:r>
      <w:r>
        <w:rPr>
          <w:rFonts w:cs="Arial"/>
          <w:spacing w:val="2"/>
          <w:szCs w:val="19"/>
          <w:lang w:val="en-GB"/>
        </w:rPr>
        <w:t xml:space="preserve">(by </w:t>
      </w:r>
      <w:r w:rsidRPr="003B1A4C">
        <w:rPr>
          <w:rFonts w:cs="Arial"/>
          <w:spacing w:val="2"/>
          <w:szCs w:val="19"/>
          <w:lang w:val="en-GB"/>
        </w:rPr>
        <w:t>0.2</w:t>
      </w:r>
      <w:r w:rsidR="001D1AB1">
        <w:rPr>
          <w:rFonts w:cs="Arial"/>
          <w:spacing w:val="2"/>
          <w:szCs w:val="19"/>
          <w:lang w:val="en-GB"/>
        </w:rPr>
        <w:t> </w:t>
      </w:r>
      <w:r w:rsidRPr="003B1A4C">
        <w:rPr>
          <w:rFonts w:cs="Arial"/>
          <w:spacing w:val="2"/>
          <w:szCs w:val="19"/>
          <w:lang w:val="en-GB"/>
        </w:rPr>
        <w:t>kg</w:t>
      </w:r>
      <w:r>
        <w:rPr>
          <w:rFonts w:cs="Arial"/>
          <w:spacing w:val="2"/>
          <w:szCs w:val="19"/>
          <w:lang w:val="en-GB"/>
        </w:rPr>
        <w:t>)</w:t>
      </w:r>
      <w:r w:rsidRPr="003B1A4C">
        <w:rPr>
          <w:rFonts w:cs="Arial"/>
          <w:spacing w:val="2"/>
          <w:szCs w:val="19"/>
          <w:lang w:val="en-GB"/>
        </w:rPr>
        <w:t xml:space="preserve"> </w:t>
      </w:r>
      <w:r w:rsidR="003B1A4C" w:rsidRPr="003B1A4C">
        <w:rPr>
          <w:rFonts w:cs="Arial"/>
          <w:spacing w:val="2"/>
          <w:szCs w:val="19"/>
          <w:lang w:val="en-GB"/>
        </w:rPr>
        <w:t xml:space="preserve">in </w:t>
      </w:r>
      <w:r w:rsidR="003B1A4C">
        <w:rPr>
          <w:rFonts w:cs="Arial"/>
          <w:spacing w:val="2"/>
          <w:szCs w:val="19"/>
          <w:lang w:val="en-GB"/>
        </w:rPr>
        <w:t>urban areas</w:t>
      </w:r>
      <w:r w:rsidR="003B1A4C" w:rsidRPr="003B1A4C">
        <w:rPr>
          <w:rFonts w:cs="Arial"/>
          <w:spacing w:val="2"/>
          <w:szCs w:val="19"/>
          <w:lang w:val="en-GB"/>
        </w:rPr>
        <w:t xml:space="preserve"> </w:t>
      </w:r>
      <w:r>
        <w:rPr>
          <w:rFonts w:cs="Arial"/>
          <w:spacing w:val="2"/>
          <w:szCs w:val="19"/>
          <w:lang w:val="en-GB"/>
        </w:rPr>
        <w:t>is a</w:t>
      </w:r>
      <w:r w:rsidRPr="003B1A4C">
        <w:rPr>
          <w:rFonts w:cs="Arial"/>
          <w:spacing w:val="2"/>
          <w:szCs w:val="19"/>
          <w:lang w:val="en-GB"/>
        </w:rPr>
        <w:t xml:space="preserve"> positive phenomenon</w:t>
      </w:r>
      <w:r w:rsidR="003B1A4C" w:rsidRPr="003B1A4C">
        <w:rPr>
          <w:rFonts w:cs="Arial"/>
          <w:spacing w:val="2"/>
          <w:szCs w:val="19"/>
          <w:lang w:val="en-GB"/>
        </w:rPr>
        <w:t>.</w:t>
      </w:r>
    </w:p>
    <w:p w14:paraId="7EE94F45" w14:textId="77777777" w:rsidR="00DF67FC" w:rsidRPr="00BB40E7" w:rsidRDefault="00DF67FC" w:rsidP="00BB40E7">
      <w:pPr>
        <w:rPr>
          <w:spacing w:val="-2"/>
          <w:szCs w:val="19"/>
          <w:shd w:val="clear" w:color="auto" w:fill="FFFFFF"/>
          <w:lang w:val="en-GB"/>
        </w:rPr>
      </w:pPr>
    </w:p>
    <w:p w14:paraId="7EE94F46" w14:textId="77777777" w:rsidR="00BB40E7" w:rsidRPr="00230699" w:rsidRDefault="00323D3D" w:rsidP="00BB40E7">
      <w:pPr>
        <w:spacing w:line="240" w:lineRule="auto"/>
        <w:rPr>
          <w:spacing w:val="-2"/>
          <w:szCs w:val="19"/>
          <w:shd w:val="clear" w:color="auto" w:fill="FFFFFF"/>
        </w:rPr>
      </w:pPr>
      <w:r>
        <w:rPr>
          <w:noProof/>
          <w:lang w:eastAsia="pl-PL"/>
        </w:rPr>
        <w:drawing>
          <wp:inline distT="0" distB="0" distL="0" distR="0" wp14:anchorId="7EE94FC4" wp14:editId="7EE94FC5">
            <wp:extent cx="5122545" cy="2664000"/>
            <wp:effectExtent l="0" t="0" r="1905" b="3175"/>
            <wp:docPr id="23" name="Wykres 23">
              <a:extLst xmlns:a="http://schemas.openxmlformats.org/drawingml/2006/main">
                <a:ext uri="{FF2B5EF4-FFF2-40B4-BE49-F238E27FC236}">
                  <a16:creationId xmlns:a16="http://schemas.microsoft.com/office/drawing/2014/main" id="{00000000-0008-0000-0A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E94F47" w14:textId="77777777" w:rsidR="00BB40E7" w:rsidRPr="00C0187E" w:rsidRDefault="0080273B" w:rsidP="00BB40E7">
      <w:pPr>
        <w:spacing w:before="240" w:line="240" w:lineRule="auto"/>
        <w:rPr>
          <w:rFonts w:ascii="Fira Sans SemiBold" w:hAnsi="Fira Sans SemiBold"/>
          <w:color w:val="001D77"/>
          <w:szCs w:val="19"/>
          <w:shd w:val="clear" w:color="auto" w:fill="FFFFFF"/>
          <w:lang w:val="en-GB"/>
        </w:rPr>
      </w:pPr>
      <w:r w:rsidRPr="00C0187E">
        <w:rPr>
          <w:noProof/>
          <w:lang w:eastAsia="pl-PL"/>
        </w:rPr>
        <w:lastRenderedPageBreak/>
        <mc:AlternateContent>
          <mc:Choice Requires="wps">
            <w:drawing>
              <wp:anchor distT="45720" distB="45720" distL="114300" distR="114300" simplePos="0" relativeHeight="251830272" behindDoc="1" locked="0" layoutInCell="1" allowOverlap="1" wp14:anchorId="7EE94FC6" wp14:editId="7EE94FC7">
                <wp:simplePos x="0" y="0"/>
                <wp:positionH relativeFrom="column">
                  <wp:posOffset>5213350</wp:posOffset>
                </wp:positionH>
                <wp:positionV relativeFrom="paragraph">
                  <wp:posOffset>82550</wp:posOffset>
                </wp:positionV>
                <wp:extent cx="1725295" cy="2438400"/>
                <wp:effectExtent l="0" t="0" r="0" b="0"/>
                <wp:wrapTight wrapText="bothSides">
                  <wp:wrapPolygon edited="0">
                    <wp:start x="715" y="0"/>
                    <wp:lineTo x="715" y="21431"/>
                    <wp:lineTo x="20749" y="21431"/>
                    <wp:lineTo x="20749" y="0"/>
                    <wp:lineTo x="715" y="0"/>
                  </wp:wrapPolygon>
                </wp:wrapTight>
                <wp:docPr id="54"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438400"/>
                        </a:xfrm>
                        <a:prstGeom prst="rect">
                          <a:avLst/>
                        </a:prstGeom>
                        <a:noFill/>
                        <a:ln w="9525">
                          <a:noFill/>
                          <a:miter lim="800000"/>
                          <a:headEnd/>
                          <a:tailEnd/>
                        </a:ln>
                      </wps:spPr>
                      <wps:txbx>
                        <w:txbxContent>
                          <w:p w14:paraId="7EE9501E" w14:textId="77777777" w:rsidR="0024032F" w:rsidRPr="00BB40E7" w:rsidRDefault="0024032F" w:rsidP="00BB40E7">
                            <w:pPr>
                              <w:spacing w:after="0"/>
                              <w:rPr>
                                <w:rFonts w:eastAsia="Times New Roman" w:cs="Times New Roman"/>
                                <w:bCs/>
                                <w:color w:val="001D77"/>
                                <w:sz w:val="18"/>
                                <w:szCs w:val="18"/>
                                <w:lang w:val="en-GB" w:eastAsia="pl-PL"/>
                              </w:rPr>
                            </w:pPr>
                            <w:r w:rsidRPr="00FE5689">
                              <w:rPr>
                                <w:rFonts w:eastAsia="Times New Roman" w:cs="Arial"/>
                                <w:color w:val="001D77"/>
                                <w:sz w:val="18"/>
                                <w:szCs w:val="19"/>
                                <w:lang w:val="en-GB" w:eastAsia="pl-PL"/>
                              </w:rPr>
                              <w:t xml:space="preserve">In 2020, due to the COVID-19 pandemic, and thus the transition to work and </w:t>
                            </w:r>
                            <w:r>
                              <w:rPr>
                                <w:rFonts w:eastAsia="Times New Roman" w:cs="Arial"/>
                                <w:color w:val="001D77"/>
                                <w:sz w:val="18"/>
                                <w:szCs w:val="19"/>
                                <w:lang w:val="en-GB" w:eastAsia="pl-PL"/>
                              </w:rPr>
                              <w:t>learning</w:t>
                            </w:r>
                            <w:r w:rsidRPr="00FE5689">
                              <w:rPr>
                                <w:rFonts w:eastAsia="Times New Roman" w:cs="Arial"/>
                                <w:color w:val="001D77"/>
                                <w:sz w:val="18"/>
                                <w:szCs w:val="19"/>
                                <w:lang w:val="en-GB" w:eastAsia="pl-PL"/>
                              </w:rPr>
                              <w:t xml:space="preserve"> remotely (this also applies to other interpersonal contacts), there was an increase in the level of household equipment, including the following goods: printer, device with access </w:t>
                            </w:r>
                            <w:r>
                              <w:rPr>
                                <w:rFonts w:eastAsia="Times New Roman" w:cs="Arial"/>
                                <w:color w:val="001D77"/>
                                <w:sz w:val="18"/>
                                <w:szCs w:val="19"/>
                                <w:lang w:val="en-GB" w:eastAsia="pl-PL"/>
                              </w:rPr>
                              <w:t xml:space="preserve">to the </w:t>
                            </w:r>
                            <w:r w:rsidRPr="00FE5689">
                              <w:rPr>
                                <w:rFonts w:eastAsia="Times New Roman" w:cs="Arial"/>
                                <w:color w:val="001D77"/>
                                <w:sz w:val="18"/>
                                <w:szCs w:val="19"/>
                                <w:lang w:val="en-GB" w:eastAsia="pl-PL"/>
                              </w:rPr>
                              <w:t xml:space="preserve">Internet </w:t>
                            </w:r>
                            <w:r>
                              <w:rPr>
                                <w:rFonts w:eastAsia="Times New Roman" w:cs="Arial"/>
                                <w:color w:val="001D77"/>
                                <w:sz w:val="18"/>
                                <w:szCs w:val="19"/>
                                <w:lang w:val="en-GB" w:eastAsia="pl-PL"/>
                              </w:rPr>
                              <w:t xml:space="preserve">(of which </w:t>
                            </w:r>
                            <w:r w:rsidRPr="00FE5689">
                              <w:rPr>
                                <w:rFonts w:eastAsia="Times New Roman" w:cs="Arial"/>
                                <w:color w:val="001D77"/>
                                <w:sz w:val="18"/>
                                <w:szCs w:val="19"/>
                                <w:lang w:val="en-GB" w:eastAsia="pl-PL"/>
                              </w:rPr>
                              <w:t>personal computer</w:t>
                            </w:r>
                            <w:r>
                              <w:rPr>
                                <w:rFonts w:eastAsia="Times New Roman" w:cs="Arial"/>
                                <w:color w:val="001D77"/>
                                <w:sz w:val="18"/>
                                <w:szCs w:val="19"/>
                                <w:lang w:val="en-GB" w:eastAsia="pl-PL"/>
                              </w:rPr>
                              <w:t xml:space="preserve"> and smartphone)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C6" id="Pole tekstowe 30" o:spid="_x0000_s1040" type="#_x0000_t202" style="position:absolute;margin-left:410.5pt;margin-top:6.5pt;width:135.85pt;height:192pt;z-index:-25148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" filled="f" stroked="f">
                <v:textbox>
                  <w:txbxContent>
                    <w:p w14:paraId="7EE9501E" w14:textId="77777777" w:rsidR="0024032F" w:rsidRPr="00BB40E7" w:rsidRDefault="0024032F" w:rsidP="00BB40E7">
                      <w:pPr>
                        <w:spacing w:after="0"/>
                        <w:rPr>
                          <w:rFonts w:eastAsia="Times New Roman" w:cs="Times New Roman"/>
                          <w:bCs/>
                          <w:color w:val="001D77"/>
                          <w:sz w:val="18"/>
                          <w:szCs w:val="18"/>
                          <w:lang w:val="en-GB" w:eastAsia="pl-PL"/>
                        </w:rPr>
                      </w:pPr>
                      <w:r w:rsidRPr="00FE5689">
                        <w:rPr>
                          <w:rFonts w:eastAsia="Times New Roman" w:cs="Arial"/>
                          <w:color w:val="001D77"/>
                          <w:sz w:val="18"/>
                          <w:szCs w:val="19"/>
                          <w:lang w:val="en-GB" w:eastAsia="pl-PL"/>
                        </w:rPr>
                        <w:t xml:space="preserve">In 2020, due to the COVID-19 pandemic, and thus the transition to work and </w:t>
                      </w:r>
                      <w:r>
                        <w:rPr>
                          <w:rFonts w:eastAsia="Times New Roman" w:cs="Arial"/>
                          <w:color w:val="001D77"/>
                          <w:sz w:val="18"/>
                          <w:szCs w:val="19"/>
                          <w:lang w:val="en-GB" w:eastAsia="pl-PL"/>
                        </w:rPr>
                        <w:t>learning</w:t>
                      </w:r>
                      <w:r w:rsidRPr="00FE5689">
                        <w:rPr>
                          <w:rFonts w:eastAsia="Times New Roman" w:cs="Arial"/>
                          <w:color w:val="001D77"/>
                          <w:sz w:val="18"/>
                          <w:szCs w:val="19"/>
                          <w:lang w:val="en-GB" w:eastAsia="pl-PL"/>
                        </w:rPr>
                        <w:t xml:space="preserve"> remotely (this also applies to other interpersonal contacts), there was an increase in the level of household equipment, including the following goods: printer, device with access </w:t>
                      </w:r>
                      <w:r>
                        <w:rPr>
                          <w:rFonts w:eastAsia="Times New Roman" w:cs="Arial"/>
                          <w:color w:val="001D77"/>
                          <w:sz w:val="18"/>
                          <w:szCs w:val="19"/>
                          <w:lang w:val="en-GB" w:eastAsia="pl-PL"/>
                        </w:rPr>
                        <w:t xml:space="preserve">to the </w:t>
                      </w:r>
                      <w:r w:rsidRPr="00FE5689">
                        <w:rPr>
                          <w:rFonts w:eastAsia="Times New Roman" w:cs="Arial"/>
                          <w:color w:val="001D77"/>
                          <w:sz w:val="18"/>
                          <w:szCs w:val="19"/>
                          <w:lang w:val="en-GB" w:eastAsia="pl-PL"/>
                        </w:rPr>
                        <w:t xml:space="preserve">Internet </w:t>
                      </w:r>
                      <w:r>
                        <w:rPr>
                          <w:rFonts w:eastAsia="Times New Roman" w:cs="Arial"/>
                          <w:color w:val="001D77"/>
                          <w:sz w:val="18"/>
                          <w:szCs w:val="19"/>
                          <w:lang w:val="en-GB" w:eastAsia="pl-PL"/>
                        </w:rPr>
                        <w:t xml:space="preserve">(of which </w:t>
                      </w:r>
                      <w:r w:rsidRPr="00FE5689">
                        <w:rPr>
                          <w:rFonts w:eastAsia="Times New Roman" w:cs="Arial"/>
                          <w:color w:val="001D77"/>
                          <w:sz w:val="18"/>
                          <w:szCs w:val="19"/>
                          <w:lang w:val="en-GB" w:eastAsia="pl-PL"/>
                        </w:rPr>
                        <w:t>personal computer</w:t>
                      </w:r>
                      <w:r>
                        <w:rPr>
                          <w:rFonts w:eastAsia="Times New Roman" w:cs="Arial"/>
                          <w:color w:val="001D77"/>
                          <w:sz w:val="18"/>
                          <w:szCs w:val="19"/>
                          <w:lang w:val="en-GB" w:eastAsia="pl-PL"/>
                        </w:rPr>
                        <w:t xml:space="preserve"> and smartphone)</w:t>
                      </w:r>
                    </w:p>
                  </w:txbxContent>
                </v:textbox>
                <w10:wrap type="tight"/>
              </v:shape>
            </w:pict>
          </mc:Fallback>
        </mc:AlternateContent>
      </w:r>
      <w:r w:rsidR="00BB40E7" w:rsidRPr="00C0187E">
        <w:rPr>
          <w:rFonts w:ascii="Fira Sans SemiBold" w:hAnsi="Fira Sans SemiBold"/>
          <w:color w:val="001D77"/>
          <w:szCs w:val="19"/>
          <w:shd w:val="clear" w:color="auto" w:fill="FFFFFF"/>
          <w:lang w:val="en-GB"/>
        </w:rPr>
        <w:t>The equipment of household</w:t>
      </w:r>
      <w:r w:rsidR="007F25A3" w:rsidRPr="00C0187E">
        <w:rPr>
          <w:rFonts w:ascii="Fira Sans SemiBold" w:hAnsi="Fira Sans SemiBold"/>
          <w:color w:val="001D77"/>
          <w:szCs w:val="19"/>
          <w:shd w:val="clear" w:color="auto" w:fill="FFFFFF"/>
          <w:lang w:val="en-GB"/>
        </w:rPr>
        <w:t>s</w:t>
      </w:r>
      <w:r w:rsidR="00BB40E7" w:rsidRPr="00C0187E">
        <w:rPr>
          <w:rFonts w:ascii="Fira Sans SemiBold" w:hAnsi="Fira Sans SemiBold"/>
          <w:color w:val="001D77"/>
          <w:szCs w:val="19"/>
          <w:shd w:val="clear" w:color="auto" w:fill="FFFFFF"/>
          <w:lang w:val="en-GB"/>
        </w:rPr>
        <w:t xml:space="preserve"> with durable goods</w:t>
      </w:r>
    </w:p>
    <w:p w14:paraId="7EE94F48" w14:textId="77777777" w:rsidR="00BB40E7" w:rsidRPr="00BB40E7" w:rsidRDefault="000D3623" w:rsidP="00BB40E7">
      <w:pPr>
        <w:rPr>
          <w:spacing w:val="-2"/>
          <w:szCs w:val="19"/>
          <w:shd w:val="clear" w:color="auto" w:fill="FFFFFF"/>
          <w:lang w:val="en-GB"/>
        </w:rPr>
      </w:pPr>
      <w:r w:rsidRPr="000D3623">
        <w:rPr>
          <w:rFonts w:cs="Arial"/>
          <w:bCs/>
          <w:szCs w:val="19"/>
          <w:lang w:val="en-GB"/>
        </w:rPr>
        <w:t xml:space="preserve">In 2020, there was an increase in the level of household </w:t>
      </w:r>
      <w:r w:rsidR="003C7300" w:rsidRPr="000D3623">
        <w:rPr>
          <w:rFonts w:cs="Arial"/>
          <w:bCs/>
          <w:szCs w:val="19"/>
          <w:lang w:val="en-GB"/>
        </w:rPr>
        <w:t>equip</w:t>
      </w:r>
      <w:r w:rsidR="003C7300">
        <w:rPr>
          <w:rFonts w:cs="Arial"/>
          <w:bCs/>
          <w:szCs w:val="19"/>
          <w:lang w:val="en-GB"/>
        </w:rPr>
        <w:t>ment</w:t>
      </w:r>
      <w:r w:rsidR="003C7300" w:rsidRPr="000D3623">
        <w:rPr>
          <w:rFonts w:cs="Arial"/>
          <w:bCs/>
          <w:szCs w:val="19"/>
          <w:lang w:val="en-GB"/>
        </w:rPr>
        <w:t xml:space="preserve"> </w:t>
      </w:r>
      <w:r w:rsidRPr="000D3623">
        <w:rPr>
          <w:rFonts w:cs="Arial"/>
          <w:bCs/>
          <w:szCs w:val="19"/>
          <w:lang w:val="en-GB"/>
        </w:rPr>
        <w:t xml:space="preserve">with printer (by 17.1%), dishwasher (by 14.0%), smartphone (by 9.6%), device with </w:t>
      </w:r>
      <w:r w:rsidR="009F72BC" w:rsidRPr="000D3623">
        <w:rPr>
          <w:rFonts w:cs="Arial"/>
          <w:bCs/>
          <w:szCs w:val="19"/>
          <w:lang w:val="en-GB"/>
        </w:rPr>
        <w:t xml:space="preserve">access </w:t>
      </w:r>
      <w:r w:rsidR="009F72BC">
        <w:rPr>
          <w:rFonts w:cs="Arial"/>
          <w:bCs/>
          <w:szCs w:val="19"/>
          <w:lang w:val="en-GB"/>
        </w:rPr>
        <w:t xml:space="preserve">to the </w:t>
      </w:r>
      <w:r w:rsidRPr="000D3623">
        <w:rPr>
          <w:rFonts w:cs="Arial"/>
          <w:bCs/>
          <w:szCs w:val="19"/>
          <w:lang w:val="en-GB"/>
        </w:rPr>
        <w:t xml:space="preserve">Internet (by 6.1%), passenger car (by 5.3%) and personal computer (by 5.2%). </w:t>
      </w:r>
      <w:r w:rsidR="009F72BC">
        <w:rPr>
          <w:rFonts w:cs="Arial"/>
          <w:bCs/>
          <w:szCs w:val="19"/>
          <w:lang w:val="en-GB"/>
        </w:rPr>
        <w:t>In comparison with</w:t>
      </w:r>
      <w:r w:rsidRPr="000D3623">
        <w:rPr>
          <w:rFonts w:cs="Arial"/>
          <w:bCs/>
          <w:szCs w:val="19"/>
          <w:lang w:val="en-GB"/>
        </w:rPr>
        <w:t xml:space="preserve"> 2019, </w:t>
      </w:r>
      <w:r w:rsidR="009F72BC">
        <w:rPr>
          <w:rFonts w:cs="Arial"/>
          <w:bCs/>
          <w:szCs w:val="19"/>
          <w:lang w:val="en-GB"/>
        </w:rPr>
        <w:t>dynamics</w:t>
      </w:r>
      <w:r w:rsidRPr="000D3623">
        <w:rPr>
          <w:rFonts w:cs="Arial"/>
          <w:bCs/>
          <w:szCs w:val="19"/>
          <w:lang w:val="en-GB"/>
        </w:rPr>
        <w:t xml:space="preserve"> w</w:t>
      </w:r>
      <w:r w:rsidR="009F72BC">
        <w:rPr>
          <w:rFonts w:cs="Arial"/>
          <w:bCs/>
          <w:szCs w:val="19"/>
          <w:lang w:val="en-GB"/>
        </w:rPr>
        <w:t>ere</w:t>
      </w:r>
      <w:r w:rsidRPr="000D3623">
        <w:rPr>
          <w:rFonts w:cs="Arial"/>
          <w:bCs/>
          <w:szCs w:val="19"/>
          <w:lang w:val="en-GB"/>
        </w:rPr>
        <w:t xml:space="preserve"> higher (except for device with access</w:t>
      </w:r>
      <w:r w:rsidR="009F72BC">
        <w:rPr>
          <w:rFonts w:cs="Arial"/>
          <w:bCs/>
          <w:szCs w:val="19"/>
          <w:lang w:val="en-GB"/>
        </w:rPr>
        <w:t xml:space="preserve"> to the</w:t>
      </w:r>
      <w:r w:rsidRPr="000D3623">
        <w:rPr>
          <w:rFonts w:cs="Arial"/>
          <w:bCs/>
          <w:szCs w:val="19"/>
          <w:lang w:val="en-GB"/>
        </w:rPr>
        <w:t xml:space="preserve"> </w:t>
      </w:r>
      <w:r w:rsidR="009F72BC" w:rsidRPr="000D3623">
        <w:rPr>
          <w:rFonts w:cs="Arial"/>
          <w:bCs/>
          <w:szCs w:val="19"/>
          <w:lang w:val="en-GB"/>
        </w:rPr>
        <w:t>Internet</w:t>
      </w:r>
      <w:r w:rsidR="00F12BCA">
        <w:rPr>
          <w:rFonts w:cs="Arial"/>
          <w:bCs/>
          <w:szCs w:val="19"/>
          <w:lang w:val="en-GB"/>
        </w:rPr>
        <w:t>, where</w:t>
      </w:r>
      <w:r w:rsidRPr="000D3623">
        <w:rPr>
          <w:rFonts w:cs="Arial"/>
          <w:bCs/>
          <w:szCs w:val="19"/>
          <w:lang w:val="en-GB"/>
        </w:rPr>
        <w:t xml:space="preserve"> </w:t>
      </w:r>
      <w:r w:rsidR="009F72BC">
        <w:rPr>
          <w:rFonts w:cs="Arial"/>
          <w:bCs/>
          <w:szCs w:val="19"/>
          <w:lang w:val="en-GB"/>
        </w:rPr>
        <w:t>dynamics</w:t>
      </w:r>
      <w:r w:rsidRPr="000D3623">
        <w:rPr>
          <w:rFonts w:cs="Arial"/>
          <w:bCs/>
          <w:szCs w:val="19"/>
          <w:lang w:val="en-GB"/>
        </w:rPr>
        <w:t xml:space="preserve"> remained at the </w:t>
      </w:r>
      <w:r w:rsidR="009F72BC">
        <w:rPr>
          <w:rFonts w:cs="Arial"/>
          <w:bCs/>
          <w:szCs w:val="19"/>
          <w:lang w:val="en-GB"/>
        </w:rPr>
        <w:t xml:space="preserve">same </w:t>
      </w:r>
      <w:r w:rsidRPr="000D3623">
        <w:rPr>
          <w:rFonts w:cs="Arial"/>
          <w:bCs/>
          <w:szCs w:val="19"/>
          <w:lang w:val="en-GB"/>
        </w:rPr>
        <w:t>level</w:t>
      </w:r>
      <w:r w:rsidR="009F72BC">
        <w:rPr>
          <w:rFonts w:cs="Arial"/>
          <w:bCs/>
          <w:szCs w:val="19"/>
          <w:lang w:val="en-GB"/>
        </w:rPr>
        <w:t xml:space="preserve"> as in </w:t>
      </w:r>
      <w:r w:rsidR="009F72BC" w:rsidRPr="000D3623">
        <w:rPr>
          <w:rFonts w:cs="Arial"/>
          <w:bCs/>
          <w:szCs w:val="19"/>
          <w:lang w:val="en-GB"/>
        </w:rPr>
        <w:t>2019</w:t>
      </w:r>
      <w:r w:rsidRPr="000D3623">
        <w:rPr>
          <w:rFonts w:cs="Arial"/>
          <w:bCs/>
          <w:szCs w:val="19"/>
          <w:lang w:val="en-GB"/>
        </w:rPr>
        <w:t xml:space="preserve">). For some goods the direction of changes reversed, resulting in a decrease in the level of household equipment with </w:t>
      </w:r>
      <w:r w:rsidR="009F72BC">
        <w:rPr>
          <w:rFonts w:cs="Arial"/>
          <w:bCs/>
          <w:szCs w:val="19"/>
          <w:lang w:val="en-GB"/>
        </w:rPr>
        <w:t>motorcycle,</w:t>
      </w:r>
      <w:r w:rsidRPr="000D3623">
        <w:rPr>
          <w:rFonts w:cs="Arial"/>
          <w:bCs/>
          <w:szCs w:val="19"/>
          <w:lang w:val="en-GB"/>
        </w:rPr>
        <w:t xml:space="preserve"> scooters, </w:t>
      </w:r>
      <w:r w:rsidR="009F72BC" w:rsidRPr="000D3623">
        <w:rPr>
          <w:rFonts w:cs="Arial"/>
          <w:bCs/>
          <w:szCs w:val="19"/>
          <w:lang w:val="en-GB"/>
        </w:rPr>
        <w:t xml:space="preserve">motorbikes </w:t>
      </w:r>
      <w:r w:rsidRPr="000D3623">
        <w:rPr>
          <w:rFonts w:cs="Arial"/>
          <w:bCs/>
          <w:szCs w:val="19"/>
          <w:lang w:val="en-GB"/>
        </w:rPr>
        <w:t>(decrease by 25.0%</w:t>
      </w:r>
      <w:r w:rsidR="00757E3A">
        <w:rPr>
          <w:rFonts w:cs="Arial"/>
          <w:bCs/>
          <w:szCs w:val="19"/>
          <w:lang w:val="en-GB"/>
        </w:rPr>
        <w:t xml:space="preserve"> in</w:t>
      </w:r>
      <w:r w:rsidR="00F12BCA" w:rsidRPr="00F12BCA">
        <w:rPr>
          <w:rFonts w:cs="Arial"/>
          <w:bCs/>
          <w:szCs w:val="19"/>
          <w:lang w:val="en-GB"/>
        </w:rPr>
        <w:t xml:space="preserve"> </w:t>
      </w:r>
      <w:r w:rsidR="00757E3A">
        <w:rPr>
          <w:rFonts w:cs="Arial"/>
          <w:bCs/>
          <w:szCs w:val="19"/>
          <w:lang w:val="en-GB"/>
        </w:rPr>
        <w:t xml:space="preserve">the </w:t>
      </w:r>
      <w:r w:rsidR="00F12BCA" w:rsidRPr="00F12BCA">
        <w:rPr>
          <w:rFonts w:cs="Arial"/>
          <w:bCs/>
          <w:szCs w:val="19"/>
          <w:lang w:val="en-GB"/>
        </w:rPr>
        <w:t xml:space="preserve">number of </w:t>
      </w:r>
      <w:r w:rsidR="00650698">
        <w:rPr>
          <w:rFonts w:cs="Arial"/>
          <w:bCs/>
          <w:szCs w:val="19"/>
          <w:lang w:val="en-GB"/>
        </w:rPr>
        <w:t>households</w:t>
      </w:r>
      <w:r w:rsidR="00F12BCA" w:rsidRPr="00F12BCA">
        <w:rPr>
          <w:rFonts w:cs="Arial"/>
          <w:bCs/>
          <w:szCs w:val="19"/>
          <w:lang w:val="en-GB"/>
        </w:rPr>
        <w:t xml:space="preserve"> owning them</w:t>
      </w:r>
      <w:r w:rsidRPr="000D3623">
        <w:rPr>
          <w:rFonts w:cs="Arial"/>
          <w:bCs/>
          <w:szCs w:val="19"/>
          <w:lang w:val="en-GB"/>
        </w:rPr>
        <w:t>) and game</w:t>
      </w:r>
      <w:r w:rsidR="004700B5">
        <w:rPr>
          <w:rFonts w:cs="Arial"/>
          <w:bCs/>
          <w:szCs w:val="19"/>
          <w:lang w:val="en-GB"/>
        </w:rPr>
        <w:t xml:space="preserve"> console (decrease by 4.2%). It </w:t>
      </w:r>
      <w:r w:rsidRPr="000D3623">
        <w:rPr>
          <w:rFonts w:cs="Arial"/>
          <w:bCs/>
          <w:szCs w:val="19"/>
          <w:lang w:val="en-GB"/>
        </w:rPr>
        <w:t xml:space="preserve">should be noted that in </w:t>
      </w:r>
      <w:r w:rsidR="00B730D5">
        <w:rPr>
          <w:rFonts w:cs="Arial"/>
          <w:bCs/>
          <w:szCs w:val="19"/>
          <w:lang w:val="en-GB"/>
        </w:rPr>
        <w:t xml:space="preserve">the </w:t>
      </w:r>
      <w:r w:rsidRPr="000D3623">
        <w:rPr>
          <w:rFonts w:cs="Arial"/>
          <w:bCs/>
          <w:szCs w:val="19"/>
          <w:lang w:val="en-GB"/>
        </w:rPr>
        <w:t xml:space="preserve">case of devices with </w:t>
      </w:r>
      <w:r w:rsidR="00B730D5" w:rsidRPr="000D3623">
        <w:rPr>
          <w:rFonts w:cs="Arial"/>
          <w:bCs/>
          <w:szCs w:val="19"/>
          <w:lang w:val="en-GB"/>
        </w:rPr>
        <w:t xml:space="preserve">access </w:t>
      </w:r>
      <w:r w:rsidR="00B730D5">
        <w:rPr>
          <w:rFonts w:cs="Arial"/>
          <w:bCs/>
          <w:szCs w:val="19"/>
          <w:lang w:val="en-GB"/>
        </w:rPr>
        <w:t xml:space="preserve">to the </w:t>
      </w:r>
      <w:r w:rsidRPr="000D3623">
        <w:rPr>
          <w:rFonts w:cs="Arial"/>
          <w:bCs/>
          <w:szCs w:val="19"/>
          <w:lang w:val="en-GB"/>
        </w:rPr>
        <w:t xml:space="preserve">Internet, the highest </w:t>
      </w:r>
      <w:r w:rsidR="00950ADE">
        <w:rPr>
          <w:rFonts w:cs="Arial"/>
          <w:bCs/>
          <w:szCs w:val="19"/>
          <w:lang w:val="en-GB"/>
        </w:rPr>
        <w:t>rise</w:t>
      </w:r>
      <w:r w:rsidRPr="000D3623">
        <w:rPr>
          <w:rFonts w:cs="Arial"/>
          <w:bCs/>
          <w:szCs w:val="19"/>
          <w:lang w:val="en-GB"/>
        </w:rPr>
        <w:t xml:space="preserve"> </w:t>
      </w:r>
      <w:r w:rsidR="00B730D5">
        <w:rPr>
          <w:rFonts w:cs="Arial"/>
          <w:bCs/>
          <w:szCs w:val="19"/>
          <w:lang w:val="en-GB"/>
        </w:rPr>
        <w:t>in comparison with</w:t>
      </w:r>
      <w:r w:rsidRPr="000D3623">
        <w:rPr>
          <w:rFonts w:cs="Arial"/>
          <w:bCs/>
          <w:szCs w:val="19"/>
          <w:lang w:val="en-GB"/>
        </w:rPr>
        <w:t xml:space="preserve"> 2019 was recorded in the group of retirees and pensioners (by 18.8%), </w:t>
      </w:r>
      <w:r w:rsidR="00B730D5">
        <w:rPr>
          <w:rFonts w:cs="Arial"/>
          <w:bCs/>
          <w:szCs w:val="19"/>
          <w:lang w:val="en-GB"/>
        </w:rPr>
        <w:t>where</w:t>
      </w:r>
      <w:r w:rsidRPr="000D3623">
        <w:rPr>
          <w:rFonts w:cs="Arial"/>
          <w:bCs/>
          <w:szCs w:val="19"/>
          <w:lang w:val="en-GB"/>
        </w:rPr>
        <w:t xml:space="preserve"> </w:t>
      </w:r>
      <w:r w:rsidR="00B730D5">
        <w:rPr>
          <w:rFonts w:cs="Arial"/>
          <w:bCs/>
          <w:szCs w:val="19"/>
          <w:lang w:val="en-GB"/>
        </w:rPr>
        <w:t xml:space="preserve">an </w:t>
      </w:r>
      <w:r w:rsidRPr="000D3623">
        <w:rPr>
          <w:rFonts w:cs="Arial"/>
          <w:bCs/>
          <w:szCs w:val="19"/>
          <w:lang w:val="en-GB"/>
        </w:rPr>
        <w:t xml:space="preserve">increase in </w:t>
      </w:r>
      <w:r w:rsidR="00B730D5">
        <w:rPr>
          <w:rFonts w:cs="Arial"/>
          <w:bCs/>
          <w:szCs w:val="19"/>
          <w:lang w:val="en-GB"/>
        </w:rPr>
        <w:t xml:space="preserve">equipping with </w:t>
      </w:r>
      <w:r w:rsidRPr="000D3623">
        <w:rPr>
          <w:rFonts w:cs="Arial"/>
          <w:bCs/>
          <w:szCs w:val="19"/>
          <w:lang w:val="en-GB"/>
        </w:rPr>
        <w:t xml:space="preserve">smartphone was of particular importance (by 27.9%). </w:t>
      </w:r>
    </w:p>
    <w:p w14:paraId="7EE94F49" w14:textId="77777777" w:rsidR="00BB40E7" w:rsidRDefault="00BA3B45" w:rsidP="00BB40E7">
      <w:pPr>
        <w:rPr>
          <w:rFonts w:cs="Arial"/>
          <w:szCs w:val="19"/>
          <w:lang w:val="en-GB"/>
        </w:rPr>
      </w:pPr>
      <w:r w:rsidRPr="006E1C16">
        <w:rPr>
          <w:rFonts w:cs="Arial"/>
          <w:bCs/>
          <w:szCs w:val="19"/>
          <w:lang w:val="en-GB"/>
        </w:rPr>
        <w:t>The</w:t>
      </w:r>
      <w:r w:rsidR="00B730D5">
        <w:rPr>
          <w:rFonts w:cs="Arial"/>
          <w:bCs/>
          <w:szCs w:val="19"/>
          <w:lang w:val="en-GB"/>
        </w:rPr>
        <w:t xml:space="preserve"> level of</w:t>
      </w:r>
      <w:r w:rsidRPr="006E1C16">
        <w:rPr>
          <w:rFonts w:cs="Arial"/>
          <w:bCs/>
          <w:szCs w:val="19"/>
          <w:lang w:val="en-GB"/>
        </w:rPr>
        <w:t xml:space="preserve"> </w:t>
      </w:r>
      <w:r w:rsidR="00B730D5" w:rsidRPr="006E1C16">
        <w:rPr>
          <w:rFonts w:cs="Arial"/>
          <w:bCs/>
          <w:szCs w:val="19"/>
          <w:lang w:val="en-GB"/>
        </w:rPr>
        <w:t xml:space="preserve">household </w:t>
      </w:r>
      <w:r w:rsidRPr="006E1C16">
        <w:rPr>
          <w:rFonts w:cs="Arial"/>
          <w:bCs/>
          <w:szCs w:val="19"/>
          <w:lang w:val="en-GB"/>
        </w:rPr>
        <w:t>equipment</w:t>
      </w:r>
      <w:r w:rsidR="00BB40E7" w:rsidRPr="006E1C16">
        <w:rPr>
          <w:rFonts w:cs="Arial"/>
          <w:bCs/>
          <w:szCs w:val="19"/>
          <w:lang w:val="en-GB"/>
        </w:rPr>
        <w:t xml:space="preserve"> with durable goods largely depends on </w:t>
      </w:r>
      <w:r w:rsidR="00B730D5">
        <w:rPr>
          <w:rFonts w:cs="Arial"/>
          <w:bCs/>
          <w:szCs w:val="19"/>
          <w:lang w:val="en-GB"/>
        </w:rPr>
        <w:t>their</w:t>
      </w:r>
      <w:r w:rsidR="00BB40E7" w:rsidRPr="006E1C16">
        <w:rPr>
          <w:rFonts w:cs="Arial"/>
          <w:bCs/>
          <w:szCs w:val="19"/>
          <w:lang w:val="en-GB"/>
        </w:rPr>
        <w:t xml:space="preserve"> financial situation.</w:t>
      </w:r>
    </w:p>
    <w:p w14:paraId="7EE94F4A" w14:textId="77777777" w:rsidR="00BB40E7" w:rsidRPr="005C7565" w:rsidRDefault="005B630A" w:rsidP="00BB40E7">
      <w:pPr>
        <w:rPr>
          <w:szCs w:val="19"/>
          <w:shd w:val="clear" w:color="auto" w:fill="FFFFFF"/>
          <w:lang w:val="en-GB"/>
        </w:rPr>
      </w:pPr>
      <w:r w:rsidRPr="005C7565">
        <w:rPr>
          <w:rFonts w:cs="Arial"/>
          <w:bCs/>
          <w:szCs w:val="19"/>
          <w:lang w:val="en-GB"/>
        </w:rPr>
        <w:t>The richest households (5th quintile group) were much better equipped than the poorest households (1st quintile group). It should be emphasised, however, that the differences in the degree of equipment between 5th and 1st quintile group</w:t>
      </w:r>
      <w:r w:rsidR="00B730D5">
        <w:rPr>
          <w:rFonts w:cs="Arial"/>
          <w:bCs/>
          <w:szCs w:val="19"/>
          <w:lang w:val="en-GB"/>
        </w:rPr>
        <w:t>s</w:t>
      </w:r>
      <w:r w:rsidRPr="005C7565">
        <w:rPr>
          <w:rFonts w:cs="Arial"/>
          <w:bCs/>
          <w:szCs w:val="19"/>
          <w:lang w:val="en-GB"/>
        </w:rPr>
        <w:t xml:space="preserve"> decreased in comparison </w:t>
      </w:r>
      <w:r w:rsidR="00B730D5">
        <w:rPr>
          <w:rFonts w:cs="Arial"/>
          <w:bCs/>
          <w:szCs w:val="19"/>
          <w:lang w:val="en-GB"/>
        </w:rPr>
        <w:t>with</w:t>
      </w:r>
      <w:r w:rsidRPr="005C7565">
        <w:rPr>
          <w:rFonts w:cs="Arial"/>
          <w:bCs/>
          <w:szCs w:val="19"/>
          <w:lang w:val="en-GB"/>
        </w:rPr>
        <w:t xml:space="preserve"> 201</w:t>
      </w:r>
      <w:r w:rsidR="00B730D5">
        <w:rPr>
          <w:rFonts w:cs="Arial"/>
          <w:bCs/>
          <w:szCs w:val="19"/>
          <w:lang w:val="en-GB"/>
        </w:rPr>
        <w:t>9</w:t>
      </w:r>
      <w:r w:rsidRPr="005C7565">
        <w:rPr>
          <w:rFonts w:cs="Arial"/>
          <w:bCs/>
          <w:szCs w:val="19"/>
          <w:lang w:val="en-GB"/>
        </w:rPr>
        <w:t xml:space="preserve">, the most </w:t>
      </w:r>
      <w:r w:rsidR="00BA5071">
        <w:rPr>
          <w:rFonts w:cs="Arial"/>
          <w:bCs/>
          <w:szCs w:val="19"/>
          <w:lang w:val="en-GB"/>
        </w:rPr>
        <w:t>– by 5.7 percentage points – in the case of passenger car and 5.1 percentage points –</w:t>
      </w:r>
      <w:r w:rsidRPr="005C7565">
        <w:rPr>
          <w:rFonts w:cs="Arial"/>
          <w:bCs/>
          <w:szCs w:val="19"/>
          <w:lang w:val="en-GB"/>
        </w:rPr>
        <w:t xml:space="preserve"> dishwasher</w:t>
      </w:r>
      <w:r w:rsidR="00BA5071">
        <w:rPr>
          <w:rFonts w:cs="Arial"/>
          <w:bCs/>
          <w:szCs w:val="19"/>
          <w:lang w:val="en-GB"/>
        </w:rPr>
        <w:t xml:space="preserve">. </w:t>
      </w:r>
      <w:r w:rsidRPr="005C7565">
        <w:rPr>
          <w:rFonts w:cs="Arial"/>
          <w:bCs/>
          <w:szCs w:val="19"/>
          <w:lang w:val="en-GB"/>
        </w:rPr>
        <w:t xml:space="preserve">For other goods the changes were </w:t>
      </w:r>
      <w:r w:rsidR="00BA5071">
        <w:rPr>
          <w:rFonts w:cs="Arial"/>
          <w:bCs/>
          <w:szCs w:val="19"/>
          <w:lang w:val="en-GB"/>
        </w:rPr>
        <w:t>insignificant</w:t>
      </w:r>
      <w:r w:rsidRPr="005C7565">
        <w:rPr>
          <w:rFonts w:cs="Arial"/>
          <w:bCs/>
          <w:szCs w:val="19"/>
          <w:lang w:val="en-GB"/>
        </w:rPr>
        <w:t>.</w:t>
      </w:r>
      <w:r w:rsidRPr="005C7565">
        <w:rPr>
          <w:szCs w:val="19"/>
          <w:shd w:val="clear" w:color="auto" w:fill="FFFFFF"/>
          <w:lang w:val="en-GB"/>
        </w:rPr>
        <w:t xml:space="preserve"> </w:t>
      </w:r>
    </w:p>
    <w:p w14:paraId="7EE94F4B" w14:textId="77777777" w:rsidR="005B630A" w:rsidRPr="005C7565" w:rsidRDefault="005B630A" w:rsidP="00BB40E7">
      <w:pPr>
        <w:rPr>
          <w:szCs w:val="19"/>
          <w:shd w:val="clear" w:color="auto" w:fill="FFFFFF"/>
          <w:lang w:val="en-GB"/>
        </w:rPr>
      </w:pPr>
    </w:p>
    <w:p w14:paraId="7EE94F4C" w14:textId="77777777" w:rsidR="00BB40E7" w:rsidRPr="005C7565" w:rsidRDefault="007E0193" w:rsidP="00BB40E7">
      <w:pPr>
        <w:spacing w:line="240" w:lineRule="auto"/>
        <w:rPr>
          <w:szCs w:val="19"/>
          <w:shd w:val="clear" w:color="auto" w:fill="FFFFFF"/>
        </w:rPr>
      </w:pPr>
      <w:r>
        <w:rPr>
          <w:noProof/>
          <w:lang w:eastAsia="pl-PL"/>
        </w:rPr>
        <w:drawing>
          <wp:inline distT="0" distB="0" distL="0" distR="0" wp14:anchorId="7EE94FC8" wp14:editId="7EE94FC9">
            <wp:extent cx="5122545" cy="2698750"/>
            <wp:effectExtent l="0" t="0" r="1905" b="6350"/>
            <wp:docPr id="27" name="Wykres 27">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E94F4D" w14:textId="77777777" w:rsidR="00BB40E7" w:rsidRPr="005C7565" w:rsidRDefault="00BB40E7" w:rsidP="00BB40E7">
      <w:pPr>
        <w:spacing w:line="240" w:lineRule="auto"/>
        <w:rPr>
          <w:szCs w:val="19"/>
          <w:shd w:val="clear" w:color="auto" w:fill="FFFFFF"/>
        </w:rPr>
      </w:pPr>
    </w:p>
    <w:p w14:paraId="7EE94F4E" w14:textId="77777777" w:rsidR="00BB40E7" w:rsidRPr="004712DB" w:rsidRDefault="00BA5071" w:rsidP="00BB40E7">
      <w:pPr>
        <w:rPr>
          <w:spacing w:val="-2"/>
          <w:szCs w:val="19"/>
          <w:shd w:val="clear" w:color="auto" w:fill="FFFFFF"/>
          <w:lang w:val="en-GB"/>
        </w:rPr>
      </w:pPr>
      <w:r>
        <w:rPr>
          <w:rFonts w:cs="Arial"/>
          <w:bCs/>
          <w:spacing w:val="-2"/>
          <w:szCs w:val="19"/>
          <w:lang w:val="en-GB"/>
        </w:rPr>
        <w:t xml:space="preserve">In terms of equipping with </w:t>
      </w:r>
      <w:r w:rsidR="00892D89">
        <w:rPr>
          <w:rFonts w:cs="Arial"/>
          <w:bCs/>
          <w:spacing w:val="-2"/>
          <w:szCs w:val="19"/>
          <w:lang w:val="en-GB"/>
        </w:rPr>
        <w:t>new generation</w:t>
      </w:r>
      <w:r w:rsidR="00BB40E7" w:rsidRPr="005C7565">
        <w:rPr>
          <w:rFonts w:cs="Arial"/>
          <w:bCs/>
          <w:spacing w:val="-2"/>
          <w:szCs w:val="19"/>
          <w:lang w:val="en-GB"/>
        </w:rPr>
        <w:t xml:space="preserve"> devices</w:t>
      </w:r>
      <w:r>
        <w:rPr>
          <w:rFonts w:cs="Arial"/>
          <w:bCs/>
          <w:spacing w:val="-2"/>
          <w:szCs w:val="19"/>
          <w:lang w:val="en-GB"/>
        </w:rPr>
        <w:t>,</w:t>
      </w:r>
      <w:r w:rsidR="00BB40E7" w:rsidRPr="005C7565">
        <w:rPr>
          <w:rFonts w:cs="Arial"/>
          <w:bCs/>
          <w:spacing w:val="-2"/>
          <w:szCs w:val="19"/>
          <w:lang w:val="en-GB"/>
        </w:rPr>
        <w:t xml:space="preserve"> such as device with the access to the Internet</w:t>
      </w:r>
      <w:r w:rsidR="00BB40E7" w:rsidRPr="005C7565">
        <w:rPr>
          <w:rStyle w:val="Odwoanieprzypisudolnego"/>
          <w:rFonts w:cs="Arial"/>
          <w:spacing w:val="-2"/>
          <w:szCs w:val="19"/>
          <w:lang w:val="en-GB"/>
        </w:rPr>
        <w:footnoteReference w:id="8"/>
      </w:r>
      <w:r w:rsidR="003A77DA">
        <w:rPr>
          <w:rFonts w:cs="Arial"/>
          <w:bCs/>
          <w:spacing w:val="-2"/>
          <w:szCs w:val="19"/>
          <w:lang w:val="en-GB"/>
        </w:rPr>
        <w:t xml:space="preserve">, </w:t>
      </w:r>
      <w:r w:rsidR="00BB40E7" w:rsidRPr="005C7565">
        <w:rPr>
          <w:rFonts w:cs="Arial"/>
          <w:bCs/>
          <w:spacing w:val="-2"/>
          <w:szCs w:val="19"/>
          <w:lang w:val="en-GB"/>
        </w:rPr>
        <w:t>o</w:t>
      </w:r>
      <w:r w:rsidR="003A77DA">
        <w:rPr>
          <w:rFonts w:cs="Arial"/>
          <w:bCs/>
          <w:spacing w:val="-2"/>
          <w:szCs w:val="19"/>
          <w:lang w:val="en-GB"/>
        </w:rPr>
        <w:t>f which</w:t>
      </w:r>
      <w:r w:rsidR="00BB40E7" w:rsidRPr="005C7565">
        <w:rPr>
          <w:rFonts w:cs="Arial"/>
          <w:bCs/>
          <w:spacing w:val="-2"/>
          <w:szCs w:val="19"/>
          <w:lang w:val="en-GB"/>
        </w:rPr>
        <w:t xml:space="preserve"> smartphone</w:t>
      </w:r>
      <w:r w:rsidR="00BB40E7" w:rsidRPr="005C7565">
        <w:rPr>
          <w:rStyle w:val="Odwoanieprzypisudolnego"/>
          <w:rFonts w:cs="Arial"/>
          <w:spacing w:val="-2"/>
          <w:szCs w:val="19"/>
          <w:lang w:val="en-GB"/>
        </w:rPr>
        <w:footnoteReference w:id="9"/>
      </w:r>
      <w:r>
        <w:rPr>
          <w:rFonts w:cs="Arial"/>
          <w:bCs/>
          <w:spacing w:val="-2"/>
          <w:szCs w:val="19"/>
          <w:lang w:val="en-GB"/>
        </w:rPr>
        <w:t>, h</w:t>
      </w:r>
      <w:r w:rsidRPr="005C7565">
        <w:rPr>
          <w:rFonts w:cs="Arial"/>
          <w:bCs/>
          <w:spacing w:val="-2"/>
          <w:szCs w:val="19"/>
          <w:lang w:val="en-GB"/>
        </w:rPr>
        <w:t xml:space="preserve">ouseholds in urban areas were </w:t>
      </w:r>
      <w:r>
        <w:rPr>
          <w:rFonts w:cs="Arial"/>
          <w:bCs/>
          <w:spacing w:val="-2"/>
          <w:szCs w:val="19"/>
          <w:lang w:val="en-GB"/>
        </w:rPr>
        <w:t>in a better situation</w:t>
      </w:r>
      <w:r w:rsidRPr="005C7565">
        <w:rPr>
          <w:rFonts w:cs="Arial"/>
          <w:bCs/>
          <w:spacing w:val="-2"/>
          <w:szCs w:val="19"/>
          <w:lang w:val="en-GB"/>
        </w:rPr>
        <w:t xml:space="preserve"> </w:t>
      </w:r>
      <w:r w:rsidR="00BB40E7" w:rsidRPr="005C7565">
        <w:rPr>
          <w:rFonts w:cs="Arial"/>
          <w:bCs/>
          <w:spacing w:val="-2"/>
          <w:szCs w:val="19"/>
          <w:lang w:val="en-GB"/>
        </w:rPr>
        <w:t>than households in rural areas</w:t>
      </w:r>
      <w:r w:rsidR="00BB40E7" w:rsidRPr="005C7565">
        <w:rPr>
          <w:rFonts w:cs="Arial"/>
          <w:spacing w:val="-2"/>
          <w:szCs w:val="19"/>
          <w:lang w:val="en-GB"/>
        </w:rPr>
        <w:t xml:space="preserve">. In </w:t>
      </w:r>
      <w:r>
        <w:rPr>
          <w:rFonts w:cs="Arial"/>
          <w:spacing w:val="-2"/>
          <w:szCs w:val="19"/>
          <w:lang w:val="en-GB"/>
        </w:rPr>
        <w:t xml:space="preserve">the </w:t>
      </w:r>
      <w:r w:rsidR="00BB40E7" w:rsidRPr="005C7565">
        <w:rPr>
          <w:rFonts w:cs="Arial"/>
          <w:spacing w:val="-2"/>
          <w:szCs w:val="19"/>
          <w:lang w:val="en-GB"/>
        </w:rPr>
        <w:t xml:space="preserve">case of plasma or LCD TV set and dishwasher there </w:t>
      </w:r>
      <w:r>
        <w:rPr>
          <w:rFonts w:cs="Arial"/>
          <w:spacing w:val="-2"/>
          <w:szCs w:val="19"/>
          <w:lang w:val="en-GB"/>
        </w:rPr>
        <w:t>were</w:t>
      </w:r>
      <w:r w:rsidR="00BB40E7" w:rsidRPr="005C7565">
        <w:rPr>
          <w:rFonts w:cs="Arial"/>
          <w:spacing w:val="-2"/>
          <w:szCs w:val="19"/>
          <w:lang w:val="en-GB"/>
        </w:rPr>
        <w:t xml:space="preserve"> </w:t>
      </w:r>
      <w:r>
        <w:rPr>
          <w:rFonts w:cs="Arial"/>
          <w:spacing w:val="-2"/>
          <w:szCs w:val="19"/>
          <w:lang w:val="en-GB"/>
        </w:rPr>
        <w:t>in</w:t>
      </w:r>
      <w:r w:rsidR="00BB40E7" w:rsidRPr="005C7565">
        <w:rPr>
          <w:rFonts w:cs="Arial"/>
          <w:spacing w:val="-2"/>
          <w:szCs w:val="19"/>
          <w:lang w:val="en-GB"/>
        </w:rPr>
        <w:t xml:space="preserve">significant </w:t>
      </w:r>
      <w:r>
        <w:rPr>
          <w:rFonts w:cs="Arial"/>
          <w:spacing w:val="-2"/>
          <w:szCs w:val="19"/>
          <w:lang w:val="en-GB"/>
        </w:rPr>
        <w:t>differences, while</w:t>
      </w:r>
      <w:r w:rsidR="00BB40E7" w:rsidRPr="005C7565">
        <w:rPr>
          <w:rFonts w:cs="Arial"/>
          <w:spacing w:val="-2"/>
          <w:szCs w:val="19"/>
          <w:lang w:val="en-GB"/>
        </w:rPr>
        <w:t xml:space="preserve"> much </w:t>
      </w:r>
      <w:r w:rsidR="00F5255B" w:rsidRPr="005C7565">
        <w:rPr>
          <w:rFonts w:cs="Arial"/>
          <w:spacing w:val="-2"/>
          <w:szCs w:val="19"/>
          <w:lang w:val="en-GB"/>
        </w:rPr>
        <w:t>higher</w:t>
      </w:r>
      <w:r w:rsidR="00BB40E7" w:rsidRPr="005C7565">
        <w:rPr>
          <w:rFonts w:cs="Arial"/>
          <w:spacing w:val="-2"/>
          <w:szCs w:val="19"/>
          <w:lang w:val="en-GB"/>
        </w:rPr>
        <w:t xml:space="preserve"> percentage of households in rural areas had </w:t>
      </w:r>
      <w:r w:rsidR="00F12BCA" w:rsidRPr="005C7565">
        <w:rPr>
          <w:rFonts w:cs="Arial"/>
          <w:spacing w:val="-2"/>
          <w:szCs w:val="19"/>
          <w:lang w:val="en-GB"/>
        </w:rPr>
        <w:t xml:space="preserve">bicycle </w:t>
      </w:r>
      <w:r w:rsidR="004700B5">
        <w:rPr>
          <w:rFonts w:cs="Arial"/>
          <w:spacing w:val="-2"/>
          <w:szCs w:val="19"/>
          <w:lang w:val="en-GB"/>
        </w:rPr>
        <w:t>(by </w:t>
      </w:r>
      <w:r w:rsidR="00F12BCA">
        <w:rPr>
          <w:rFonts w:cs="Arial"/>
          <w:spacing w:val="-2"/>
          <w:szCs w:val="19"/>
          <w:lang w:val="en-GB"/>
        </w:rPr>
        <w:t xml:space="preserve">25.0 percentage points), </w:t>
      </w:r>
      <w:r w:rsidR="00BB40E7" w:rsidRPr="005C7565">
        <w:rPr>
          <w:rFonts w:cs="Arial"/>
          <w:spacing w:val="-2"/>
          <w:szCs w:val="19"/>
          <w:lang w:val="en-GB"/>
        </w:rPr>
        <w:t>passenger car</w:t>
      </w:r>
      <w:r w:rsidR="00F12BCA">
        <w:rPr>
          <w:rFonts w:cs="Arial"/>
          <w:spacing w:val="-2"/>
          <w:szCs w:val="19"/>
          <w:lang w:val="en-GB"/>
        </w:rPr>
        <w:t xml:space="preserve"> (by 14.1 percentage points) or</w:t>
      </w:r>
      <w:r w:rsidR="00BB40E7" w:rsidRPr="005C7565">
        <w:rPr>
          <w:rFonts w:cs="Arial"/>
          <w:spacing w:val="-2"/>
          <w:szCs w:val="19"/>
          <w:lang w:val="en-GB"/>
        </w:rPr>
        <w:t xml:space="preserve"> </w:t>
      </w:r>
      <w:r>
        <w:rPr>
          <w:rFonts w:cs="Arial"/>
          <w:bCs/>
          <w:szCs w:val="19"/>
          <w:lang w:val="en-GB"/>
        </w:rPr>
        <w:t>motorcycle,</w:t>
      </w:r>
      <w:r w:rsidRPr="000D3623">
        <w:rPr>
          <w:rFonts w:cs="Arial"/>
          <w:bCs/>
          <w:szCs w:val="19"/>
          <w:lang w:val="en-GB"/>
        </w:rPr>
        <w:t xml:space="preserve"> scooters, motorbikes </w:t>
      </w:r>
      <w:r w:rsidR="00F12BCA">
        <w:rPr>
          <w:rFonts w:cs="Arial"/>
          <w:bCs/>
          <w:szCs w:val="19"/>
          <w:lang w:val="en-GB"/>
        </w:rPr>
        <w:t xml:space="preserve">(by 5.4 percentage </w:t>
      </w:r>
      <w:r w:rsidR="00AD0863">
        <w:rPr>
          <w:rFonts w:cs="Arial"/>
          <w:bCs/>
          <w:szCs w:val="19"/>
          <w:lang w:val="en-GB"/>
        </w:rPr>
        <w:t>points</w:t>
      </w:r>
      <w:r w:rsidR="00F12BCA">
        <w:rPr>
          <w:rFonts w:cs="Arial"/>
          <w:bCs/>
          <w:szCs w:val="19"/>
          <w:lang w:val="en-GB"/>
        </w:rPr>
        <w:t>)</w:t>
      </w:r>
      <w:r w:rsidR="00BB40E7" w:rsidRPr="005C7565">
        <w:rPr>
          <w:rFonts w:cs="Arial"/>
          <w:spacing w:val="-2"/>
          <w:szCs w:val="19"/>
          <w:lang w:val="en-GB"/>
        </w:rPr>
        <w:t xml:space="preserve">. </w:t>
      </w:r>
      <w:r>
        <w:rPr>
          <w:spacing w:val="-2"/>
          <w:szCs w:val="19"/>
          <w:shd w:val="clear" w:color="auto" w:fill="FFFFFF"/>
          <w:lang w:val="en-GB"/>
        </w:rPr>
        <w:t>In comparison with</w:t>
      </w:r>
      <w:r w:rsidR="00BB40E7" w:rsidRPr="005C7565">
        <w:rPr>
          <w:spacing w:val="-2"/>
          <w:szCs w:val="19"/>
          <w:shd w:val="clear" w:color="auto" w:fill="FFFFFF"/>
          <w:lang w:val="en-GB"/>
        </w:rPr>
        <w:t xml:space="preserve"> 201</w:t>
      </w:r>
      <w:r>
        <w:rPr>
          <w:spacing w:val="-2"/>
          <w:szCs w:val="19"/>
          <w:shd w:val="clear" w:color="auto" w:fill="FFFFFF"/>
          <w:lang w:val="en-GB"/>
        </w:rPr>
        <w:t>9</w:t>
      </w:r>
      <w:r w:rsidR="00BB40E7" w:rsidRPr="005C7565">
        <w:rPr>
          <w:spacing w:val="-2"/>
          <w:szCs w:val="19"/>
          <w:shd w:val="clear" w:color="auto" w:fill="FFFFFF"/>
          <w:lang w:val="en-GB"/>
        </w:rPr>
        <w:t xml:space="preserve">, the differences </w:t>
      </w:r>
      <w:r w:rsidR="001A602C">
        <w:rPr>
          <w:spacing w:val="-2"/>
          <w:szCs w:val="19"/>
          <w:shd w:val="clear" w:color="auto" w:fill="FFFFFF"/>
          <w:lang w:val="en-GB"/>
        </w:rPr>
        <w:t xml:space="preserve">between urban and rural areas </w:t>
      </w:r>
      <w:r w:rsidR="00BB40E7" w:rsidRPr="005C7565">
        <w:rPr>
          <w:spacing w:val="-2"/>
          <w:szCs w:val="19"/>
          <w:shd w:val="clear" w:color="auto" w:fill="FFFFFF"/>
          <w:lang w:val="en-GB"/>
        </w:rPr>
        <w:t xml:space="preserve">in </w:t>
      </w:r>
      <w:r w:rsidR="00892D89">
        <w:rPr>
          <w:spacing w:val="-2"/>
          <w:szCs w:val="19"/>
          <w:shd w:val="clear" w:color="auto" w:fill="FFFFFF"/>
          <w:lang w:val="en-GB"/>
        </w:rPr>
        <w:t>the level of equip</w:t>
      </w:r>
      <w:r w:rsidR="00F5255B">
        <w:rPr>
          <w:spacing w:val="-2"/>
          <w:szCs w:val="19"/>
          <w:shd w:val="clear" w:color="auto" w:fill="FFFFFF"/>
          <w:lang w:val="en-GB"/>
        </w:rPr>
        <w:t>ment</w:t>
      </w:r>
      <w:r w:rsidR="00BB40E7" w:rsidRPr="005C7565">
        <w:rPr>
          <w:spacing w:val="-2"/>
          <w:szCs w:val="19"/>
          <w:shd w:val="clear" w:color="auto" w:fill="FFFFFF"/>
          <w:lang w:val="en-GB"/>
        </w:rPr>
        <w:t xml:space="preserve"> </w:t>
      </w:r>
      <w:r w:rsidR="00892D89">
        <w:rPr>
          <w:spacing w:val="-2"/>
          <w:szCs w:val="19"/>
          <w:shd w:val="clear" w:color="auto" w:fill="FFFFFF"/>
          <w:lang w:val="en-GB"/>
        </w:rPr>
        <w:t xml:space="preserve">with </w:t>
      </w:r>
      <w:r w:rsidR="00892D89">
        <w:rPr>
          <w:rFonts w:cs="Arial"/>
          <w:bCs/>
          <w:spacing w:val="-2"/>
          <w:szCs w:val="19"/>
          <w:lang w:val="en-GB"/>
        </w:rPr>
        <w:t>new generation</w:t>
      </w:r>
      <w:r w:rsidR="00892D89" w:rsidRPr="005C7565">
        <w:rPr>
          <w:rFonts w:cs="Arial"/>
          <w:bCs/>
          <w:spacing w:val="-2"/>
          <w:szCs w:val="19"/>
          <w:lang w:val="en-GB"/>
        </w:rPr>
        <w:t xml:space="preserve"> devices</w:t>
      </w:r>
      <w:r w:rsidR="00892D89" w:rsidRPr="005C7565">
        <w:rPr>
          <w:spacing w:val="-2"/>
          <w:szCs w:val="19"/>
          <w:shd w:val="clear" w:color="auto" w:fill="FFFFFF"/>
          <w:lang w:val="en-GB"/>
        </w:rPr>
        <w:t xml:space="preserve"> </w:t>
      </w:r>
      <w:r w:rsidR="00BB40E7" w:rsidRPr="005C7565">
        <w:rPr>
          <w:spacing w:val="-2"/>
          <w:szCs w:val="19"/>
          <w:shd w:val="clear" w:color="auto" w:fill="FFFFFF"/>
          <w:lang w:val="en-GB"/>
        </w:rPr>
        <w:t xml:space="preserve">decreased slightly in favour of </w:t>
      </w:r>
      <w:r w:rsidR="000D7AC4" w:rsidRPr="005C7565">
        <w:rPr>
          <w:spacing w:val="-2"/>
          <w:szCs w:val="19"/>
          <w:shd w:val="clear" w:color="auto" w:fill="FFFFFF"/>
          <w:lang w:val="en-GB"/>
        </w:rPr>
        <w:t>rural areas</w:t>
      </w:r>
      <w:r w:rsidR="00DF67FC" w:rsidRPr="005C7565">
        <w:rPr>
          <w:spacing w:val="-2"/>
          <w:szCs w:val="19"/>
          <w:shd w:val="clear" w:color="auto" w:fill="FFFFFF"/>
          <w:lang w:val="en-GB"/>
        </w:rPr>
        <w:t>.</w:t>
      </w:r>
      <w:r w:rsidR="00892D89" w:rsidRPr="00892D89">
        <w:rPr>
          <w:noProof/>
          <w:lang w:val="en-GB" w:eastAsia="pl-PL"/>
        </w:rPr>
        <w:t xml:space="preserve"> </w:t>
      </w:r>
    </w:p>
    <w:p w14:paraId="7EE94F4F" w14:textId="77777777" w:rsidR="00BB40E7" w:rsidRPr="00892D89" w:rsidRDefault="00BB40E7" w:rsidP="00BB40E7">
      <w:pPr>
        <w:rPr>
          <w:spacing w:val="-4"/>
          <w:szCs w:val="19"/>
          <w:shd w:val="clear" w:color="auto" w:fill="FFFFFF"/>
          <w:lang w:val="en-GB"/>
        </w:rPr>
      </w:pPr>
    </w:p>
    <w:p w14:paraId="7EE94F50" w14:textId="77777777" w:rsidR="00BB40E7" w:rsidRPr="00035A6C" w:rsidRDefault="0080273B" w:rsidP="00BB40E7">
      <w:pPr>
        <w:spacing w:line="240" w:lineRule="auto"/>
        <w:rPr>
          <w:spacing w:val="-4"/>
          <w:szCs w:val="19"/>
          <w:shd w:val="clear" w:color="auto" w:fill="FFFFFF"/>
          <w:lang w:val="en-GB"/>
        </w:rPr>
      </w:pPr>
      <w:r>
        <w:rPr>
          <w:noProof/>
          <w:lang w:eastAsia="pl-PL"/>
        </w:rPr>
        <w:lastRenderedPageBreak/>
        <mc:AlternateContent>
          <mc:Choice Requires="wps">
            <w:drawing>
              <wp:anchor distT="45720" distB="45720" distL="114300" distR="114300" simplePos="0" relativeHeight="251833344" behindDoc="1" locked="0" layoutInCell="1" allowOverlap="1" wp14:anchorId="7EE94FCA" wp14:editId="7EE94FCB">
                <wp:simplePos x="0" y="0"/>
                <wp:positionH relativeFrom="column">
                  <wp:posOffset>5267325</wp:posOffset>
                </wp:positionH>
                <wp:positionV relativeFrom="paragraph">
                  <wp:posOffset>551815</wp:posOffset>
                </wp:positionV>
                <wp:extent cx="1781175" cy="1685925"/>
                <wp:effectExtent l="0" t="0" r="0" b="0"/>
                <wp:wrapTight wrapText="bothSides">
                  <wp:wrapPolygon edited="0">
                    <wp:start x="693" y="0"/>
                    <wp:lineTo x="693" y="21234"/>
                    <wp:lineTo x="20791" y="21234"/>
                    <wp:lineTo x="20791" y="0"/>
                    <wp:lineTo x="693" y="0"/>
                  </wp:wrapPolygon>
                </wp:wrapTight>
                <wp:docPr id="53"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685925"/>
                        </a:xfrm>
                        <a:prstGeom prst="rect">
                          <a:avLst/>
                        </a:prstGeom>
                        <a:noFill/>
                        <a:ln w="9525">
                          <a:noFill/>
                          <a:miter lim="800000"/>
                          <a:headEnd/>
                          <a:tailEnd/>
                        </a:ln>
                      </wps:spPr>
                      <wps:txbx>
                        <w:txbxContent>
                          <w:p w14:paraId="7EE9501F" w14:textId="77777777" w:rsidR="0024032F" w:rsidRPr="00BB40E7" w:rsidRDefault="0024032F" w:rsidP="00BB40E7">
                            <w:pPr>
                              <w:pStyle w:val="tekstzboku"/>
                              <w:rPr>
                                <w:lang w:val="en-GB"/>
                              </w:rPr>
                            </w:pPr>
                            <w:r w:rsidRPr="00703057">
                              <w:rPr>
                                <w:rFonts w:cs="Arial"/>
                                <w:sz w:val="19"/>
                                <w:szCs w:val="19"/>
                                <w:lang w:val="en-GB"/>
                              </w:rPr>
                              <w:t>In rural areas</w:t>
                            </w:r>
                            <w:r>
                              <w:rPr>
                                <w:rFonts w:cs="Arial"/>
                                <w:sz w:val="19"/>
                                <w:szCs w:val="19"/>
                                <w:lang w:val="en-GB"/>
                              </w:rPr>
                              <w:t xml:space="preserve"> there is</w:t>
                            </w:r>
                            <w:r w:rsidRPr="00703057">
                              <w:rPr>
                                <w:rFonts w:cs="Arial"/>
                                <w:sz w:val="19"/>
                                <w:szCs w:val="19"/>
                                <w:lang w:val="en-GB"/>
                              </w:rPr>
                              <w:t xml:space="preserve"> a</w:t>
                            </w:r>
                            <w:r>
                              <w:rPr>
                                <w:rFonts w:cs="Arial"/>
                                <w:sz w:val="19"/>
                                <w:szCs w:val="19"/>
                                <w:lang w:val="en-GB"/>
                              </w:rPr>
                              <w:t> higher</w:t>
                            </w:r>
                            <w:r w:rsidRPr="00703057">
                              <w:rPr>
                                <w:rFonts w:cs="Arial"/>
                                <w:sz w:val="19"/>
                                <w:szCs w:val="19"/>
                                <w:lang w:val="en-GB"/>
                              </w:rPr>
                              <w:t xml:space="preserve"> percentage of households own</w:t>
                            </w:r>
                            <w:r>
                              <w:rPr>
                                <w:rFonts w:cs="Arial"/>
                                <w:sz w:val="19"/>
                                <w:szCs w:val="19"/>
                                <w:lang w:val="en-GB"/>
                              </w:rPr>
                              <w:t>ing</w:t>
                            </w:r>
                            <w:r w:rsidRPr="00703057">
                              <w:rPr>
                                <w:rFonts w:cs="Arial"/>
                                <w:sz w:val="19"/>
                                <w:szCs w:val="19"/>
                                <w:lang w:val="en-GB"/>
                              </w:rPr>
                              <w:t xml:space="preserve"> bicycle</w:t>
                            </w:r>
                            <w:r>
                              <w:rPr>
                                <w:rFonts w:cs="Arial"/>
                                <w:sz w:val="19"/>
                                <w:szCs w:val="19"/>
                                <w:lang w:val="en-GB"/>
                              </w:rPr>
                              <w:t>, passenger</w:t>
                            </w:r>
                            <w:r w:rsidRPr="00703057">
                              <w:rPr>
                                <w:rFonts w:cs="Arial"/>
                                <w:sz w:val="19"/>
                                <w:szCs w:val="19"/>
                                <w:lang w:val="en-GB"/>
                              </w:rPr>
                              <w:t xml:space="preserve"> car</w:t>
                            </w:r>
                            <w:r>
                              <w:rPr>
                                <w:rFonts w:cs="Arial"/>
                                <w:sz w:val="19"/>
                                <w:szCs w:val="19"/>
                                <w:lang w:val="en-GB"/>
                              </w:rPr>
                              <w:t xml:space="preserve"> or</w:t>
                            </w:r>
                            <w:r w:rsidRPr="00703057">
                              <w:rPr>
                                <w:rFonts w:cs="Arial"/>
                                <w:sz w:val="19"/>
                                <w:szCs w:val="19"/>
                                <w:lang w:val="en-GB"/>
                              </w:rPr>
                              <w:t xml:space="preserve"> </w:t>
                            </w:r>
                            <w:r>
                              <w:rPr>
                                <w:rFonts w:cs="Arial"/>
                                <w:bCs w:val="0"/>
                                <w:szCs w:val="19"/>
                                <w:lang w:val="en-GB"/>
                              </w:rPr>
                              <w:t>motorcycle,</w:t>
                            </w:r>
                            <w:r w:rsidRPr="000D3623">
                              <w:rPr>
                                <w:rFonts w:cs="Arial"/>
                                <w:bCs w:val="0"/>
                                <w:szCs w:val="19"/>
                                <w:lang w:val="en-GB"/>
                              </w:rPr>
                              <w:t xml:space="preserve"> scooters, motorbikes</w:t>
                            </w:r>
                            <w:r w:rsidRPr="00703057">
                              <w:rPr>
                                <w:rFonts w:cs="Arial"/>
                                <w:sz w:val="19"/>
                                <w:szCs w:val="19"/>
                                <w:lang w:val="en-GB"/>
                              </w:rPr>
                              <w:t xml:space="preserve">, while urban households </w:t>
                            </w:r>
                            <w:r>
                              <w:rPr>
                                <w:rFonts w:cs="Arial"/>
                                <w:sz w:val="19"/>
                                <w:szCs w:val="19"/>
                                <w:lang w:val="en-GB"/>
                              </w:rPr>
                              <w:t>were</w:t>
                            </w:r>
                            <w:r w:rsidRPr="00703057">
                              <w:rPr>
                                <w:rFonts w:cs="Arial"/>
                                <w:sz w:val="19"/>
                                <w:szCs w:val="19"/>
                                <w:lang w:val="en-GB"/>
                              </w:rPr>
                              <w:t xml:space="preserve"> better equipped with new generation </w:t>
                            </w:r>
                            <w:r>
                              <w:rPr>
                                <w:rFonts w:cs="Arial"/>
                                <w:sz w:val="19"/>
                                <w:szCs w:val="19"/>
                                <w:lang w:val="en-GB"/>
                              </w:rPr>
                              <w:t>devices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CA" id="Pole tekstowe 28" o:spid="_x0000_s1041" type="#_x0000_t202" style="position:absolute;margin-left:414.75pt;margin-top:43.45pt;width:140.25pt;height:132.75pt;z-index:-25148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" filled="f" stroked="f">
                <v:textbox>
                  <w:txbxContent>
                    <w:p w14:paraId="7EE9501F" w14:textId="77777777" w:rsidR="0024032F" w:rsidRPr="00BB40E7" w:rsidRDefault="0024032F" w:rsidP="00BB40E7">
                      <w:pPr>
                        <w:pStyle w:val="tekstzboku"/>
                        <w:rPr>
                          <w:lang w:val="en-GB"/>
                        </w:rPr>
                      </w:pPr>
                      <w:r w:rsidRPr="00703057">
                        <w:rPr>
                          <w:rFonts w:cs="Arial"/>
                          <w:sz w:val="19"/>
                          <w:szCs w:val="19"/>
                          <w:lang w:val="en-GB"/>
                        </w:rPr>
                        <w:t>In rural areas</w:t>
                      </w:r>
                      <w:r>
                        <w:rPr>
                          <w:rFonts w:cs="Arial"/>
                          <w:sz w:val="19"/>
                          <w:szCs w:val="19"/>
                          <w:lang w:val="en-GB"/>
                        </w:rPr>
                        <w:t xml:space="preserve"> there is</w:t>
                      </w:r>
                      <w:r w:rsidRPr="00703057">
                        <w:rPr>
                          <w:rFonts w:cs="Arial"/>
                          <w:sz w:val="19"/>
                          <w:szCs w:val="19"/>
                          <w:lang w:val="en-GB"/>
                        </w:rPr>
                        <w:t xml:space="preserve"> a</w:t>
                      </w:r>
                      <w:r>
                        <w:rPr>
                          <w:rFonts w:cs="Arial"/>
                          <w:sz w:val="19"/>
                          <w:szCs w:val="19"/>
                          <w:lang w:val="en-GB"/>
                        </w:rPr>
                        <w:t> higher</w:t>
                      </w:r>
                      <w:r w:rsidRPr="00703057">
                        <w:rPr>
                          <w:rFonts w:cs="Arial"/>
                          <w:sz w:val="19"/>
                          <w:szCs w:val="19"/>
                          <w:lang w:val="en-GB"/>
                        </w:rPr>
                        <w:t xml:space="preserve"> percentage of households own</w:t>
                      </w:r>
                      <w:r>
                        <w:rPr>
                          <w:rFonts w:cs="Arial"/>
                          <w:sz w:val="19"/>
                          <w:szCs w:val="19"/>
                          <w:lang w:val="en-GB"/>
                        </w:rPr>
                        <w:t>ing</w:t>
                      </w:r>
                      <w:r w:rsidRPr="00703057">
                        <w:rPr>
                          <w:rFonts w:cs="Arial"/>
                          <w:sz w:val="19"/>
                          <w:szCs w:val="19"/>
                          <w:lang w:val="en-GB"/>
                        </w:rPr>
                        <w:t xml:space="preserve"> bicycle</w:t>
                      </w:r>
                      <w:r>
                        <w:rPr>
                          <w:rFonts w:cs="Arial"/>
                          <w:sz w:val="19"/>
                          <w:szCs w:val="19"/>
                          <w:lang w:val="en-GB"/>
                        </w:rPr>
                        <w:t>, passenger</w:t>
                      </w:r>
                      <w:r w:rsidRPr="00703057">
                        <w:rPr>
                          <w:rFonts w:cs="Arial"/>
                          <w:sz w:val="19"/>
                          <w:szCs w:val="19"/>
                          <w:lang w:val="en-GB"/>
                        </w:rPr>
                        <w:t xml:space="preserve"> car</w:t>
                      </w:r>
                      <w:r>
                        <w:rPr>
                          <w:rFonts w:cs="Arial"/>
                          <w:sz w:val="19"/>
                          <w:szCs w:val="19"/>
                          <w:lang w:val="en-GB"/>
                        </w:rPr>
                        <w:t xml:space="preserve"> or</w:t>
                      </w:r>
                      <w:r w:rsidRPr="00703057">
                        <w:rPr>
                          <w:rFonts w:cs="Arial"/>
                          <w:sz w:val="19"/>
                          <w:szCs w:val="19"/>
                          <w:lang w:val="en-GB"/>
                        </w:rPr>
                        <w:t xml:space="preserve"> </w:t>
                      </w:r>
                      <w:r>
                        <w:rPr>
                          <w:rFonts w:cs="Arial"/>
                          <w:bCs w:val="0"/>
                          <w:szCs w:val="19"/>
                          <w:lang w:val="en-GB"/>
                        </w:rPr>
                        <w:t>motorcycle,</w:t>
                      </w:r>
                      <w:r w:rsidRPr="000D3623">
                        <w:rPr>
                          <w:rFonts w:cs="Arial"/>
                          <w:bCs w:val="0"/>
                          <w:szCs w:val="19"/>
                          <w:lang w:val="en-GB"/>
                        </w:rPr>
                        <w:t xml:space="preserve"> scooters, motorbikes</w:t>
                      </w:r>
                      <w:r w:rsidRPr="00703057">
                        <w:rPr>
                          <w:rFonts w:cs="Arial"/>
                          <w:sz w:val="19"/>
                          <w:szCs w:val="19"/>
                          <w:lang w:val="en-GB"/>
                        </w:rPr>
                        <w:t xml:space="preserve">, while urban households </w:t>
                      </w:r>
                      <w:r>
                        <w:rPr>
                          <w:rFonts w:cs="Arial"/>
                          <w:sz w:val="19"/>
                          <w:szCs w:val="19"/>
                          <w:lang w:val="en-GB"/>
                        </w:rPr>
                        <w:t>were</w:t>
                      </w:r>
                      <w:r w:rsidRPr="00703057">
                        <w:rPr>
                          <w:rFonts w:cs="Arial"/>
                          <w:sz w:val="19"/>
                          <w:szCs w:val="19"/>
                          <w:lang w:val="en-GB"/>
                        </w:rPr>
                        <w:t xml:space="preserve"> better equipped with new generation </w:t>
                      </w:r>
                      <w:r>
                        <w:rPr>
                          <w:rFonts w:cs="Arial"/>
                          <w:sz w:val="19"/>
                          <w:szCs w:val="19"/>
                          <w:lang w:val="en-GB"/>
                        </w:rPr>
                        <w:t>devices</w:t>
                      </w:r>
                    </w:p>
                  </w:txbxContent>
                </v:textbox>
                <w10:wrap type="tight"/>
              </v:shape>
            </w:pict>
          </mc:Fallback>
        </mc:AlternateContent>
      </w:r>
      <w:r w:rsidR="007E0193">
        <w:rPr>
          <w:noProof/>
          <w:lang w:eastAsia="pl-PL"/>
        </w:rPr>
        <w:drawing>
          <wp:inline distT="0" distB="0" distL="0" distR="0" wp14:anchorId="7EE94FCC" wp14:editId="7EE94FCD">
            <wp:extent cx="5122545" cy="2592000"/>
            <wp:effectExtent l="0" t="0" r="1905" b="0"/>
            <wp:docPr id="31" name="Wykres 31">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E94F51" w14:textId="77777777" w:rsidR="004E23CC" w:rsidRDefault="004E23CC" w:rsidP="00BB40E7">
      <w:pPr>
        <w:spacing w:before="240" w:line="240" w:lineRule="auto"/>
        <w:rPr>
          <w:rFonts w:ascii="Fira Sans SemiBold" w:hAnsi="Fira Sans SemiBold"/>
          <w:color w:val="001D77"/>
          <w:szCs w:val="19"/>
          <w:shd w:val="clear" w:color="auto" w:fill="FFFFFF"/>
          <w:lang w:val="en-GB"/>
        </w:rPr>
      </w:pPr>
    </w:p>
    <w:p w14:paraId="7EE94F52" w14:textId="77777777" w:rsidR="00BB40E7" w:rsidRPr="004700B5" w:rsidRDefault="0080273B" w:rsidP="00BB40E7">
      <w:pPr>
        <w:spacing w:before="240" w:line="240" w:lineRule="auto"/>
        <w:rPr>
          <w:rFonts w:ascii="Fira Sans SemiBold" w:hAnsi="Fira Sans SemiBold"/>
          <w:color w:val="001D77"/>
          <w:szCs w:val="19"/>
          <w:shd w:val="clear" w:color="auto" w:fill="FFFFFF"/>
          <w:lang w:val="en-GB"/>
        </w:rPr>
      </w:pPr>
      <w:r w:rsidRPr="004700B5">
        <w:rPr>
          <w:noProof/>
          <w:lang w:eastAsia="pl-PL"/>
        </w:rPr>
        <mc:AlternateContent>
          <mc:Choice Requires="wps">
            <w:drawing>
              <wp:anchor distT="45720" distB="45720" distL="114300" distR="114300" simplePos="0" relativeHeight="251831296" behindDoc="1" locked="0" layoutInCell="1" allowOverlap="1" wp14:anchorId="7EE94FCE" wp14:editId="7EE94FCF">
                <wp:simplePos x="0" y="0"/>
                <wp:positionH relativeFrom="column">
                  <wp:posOffset>5210175</wp:posOffset>
                </wp:positionH>
                <wp:positionV relativeFrom="paragraph">
                  <wp:posOffset>170815</wp:posOffset>
                </wp:positionV>
                <wp:extent cx="1725295" cy="1876425"/>
                <wp:effectExtent l="0" t="0" r="0" b="0"/>
                <wp:wrapTight wrapText="bothSides">
                  <wp:wrapPolygon edited="0">
                    <wp:start x="715" y="0"/>
                    <wp:lineTo x="715" y="21271"/>
                    <wp:lineTo x="20749" y="21271"/>
                    <wp:lineTo x="20749" y="0"/>
                    <wp:lineTo x="715" y="0"/>
                  </wp:wrapPolygon>
                </wp:wrapTight>
                <wp:docPr id="52"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876425"/>
                        </a:xfrm>
                        <a:prstGeom prst="rect">
                          <a:avLst/>
                        </a:prstGeom>
                        <a:noFill/>
                        <a:ln w="9525">
                          <a:noFill/>
                          <a:miter lim="800000"/>
                          <a:headEnd/>
                          <a:tailEnd/>
                        </a:ln>
                      </wps:spPr>
                      <wps:txbx>
                        <w:txbxContent>
                          <w:p w14:paraId="7EE95020" w14:textId="77777777" w:rsidR="0024032F" w:rsidRPr="007E0E31" w:rsidRDefault="0024032F" w:rsidP="00BB40E7">
                            <w:pPr>
                              <w:spacing w:after="0"/>
                              <w:rPr>
                                <w:rFonts w:eastAsia="Times New Roman" w:cs="Times New Roman"/>
                                <w:bCs/>
                                <w:color w:val="001D77"/>
                                <w:sz w:val="18"/>
                                <w:szCs w:val="18"/>
                                <w:lang w:val="en-GB" w:eastAsia="pl-PL"/>
                              </w:rPr>
                            </w:pPr>
                            <w:r w:rsidRPr="007E0E31">
                              <w:rPr>
                                <w:rFonts w:eastAsia="Times New Roman" w:cs="Times New Roman"/>
                                <w:bCs/>
                                <w:color w:val="001D77"/>
                                <w:sz w:val="18"/>
                                <w:szCs w:val="18"/>
                                <w:lang w:val="en-GB" w:eastAsia="pl-PL"/>
                              </w:rPr>
                              <w:t>In 20</w:t>
                            </w:r>
                            <w:r>
                              <w:rPr>
                                <w:rFonts w:eastAsia="Times New Roman" w:cs="Times New Roman"/>
                                <w:bCs/>
                                <w:color w:val="001D77"/>
                                <w:sz w:val="18"/>
                                <w:szCs w:val="18"/>
                                <w:lang w:val="en-GB" w:eastAsia="pl-PL"/>
                              </w:rPr>
                              <w:t>20</w:t>
                            </w:r>
                            <w:r w:rsidRPr="007E0E31">
                              <w:rPr>
                                <w:rFonts w:eastAsia="Times New Roman" w:cs="Times New Roman"/>
                                <w:bCs/>
                                <w:color w:val="001D77"/>
                                <w:sz w:val="18"/>
                                <w:szCs w:val="18"/>
                                <w:lang w:val="en-GB" w:eastAsia="pl-PL"/>
                              </w:rPr>
                              <w:t xml:space="preserve">, the dwelling conditions of households improved slightly. </w:t>
                            </w:r>
                            <w:r w:rsidRPr="007E0E31">
                              <w:rPr>
                                <w:rFonts w:cs="Arial"/>
                                <w:bCs/>
                                <w:color w:val="001D77"/>
                                <w:szCs w:val="19"/>
                                <w:lang w:val="en-GB"/>
                              </w:rPr>
                              <w:t>T</w:t>
                            </w:r>
                            <w:r>
                              <w:rPr>
                                <w:rFonts w:cs="Arial"/>
                                <w:bCs/>
                                <w:color w:val="001D77"/>
                                <w:szCs w:val="19"/>
                                <w:lang w:val="en-GB"/>
                              </w:rPr>
                              <w:t>he average household occupied a </w:t>
                            </w:r>
                            <w:r w:rsidRPr="007E0E31">
                              <w:rPr>
                                <w:rFonts w:cs="Arial"/>
                                <w:bCs/>
                                <w:color w:val="001D77"/>
                                <w:szCs w:val="19"/>
                                <w:lang w:val="en-GB"/>
                              </w:rPr>
                              <w:t>d</w:t>
                            </w:r>
                            <w:r>
                              <w:rPr>
                                <w:rFonts w:cs="Arial"/>
                                <w:bCs/>
                                <w:color w:val="001D77"/>
                                <w:szCs w:val="19"/>
                                <w:lang w:val="en-GB"/>
                              </w:rPr>
                              <w:t>welling with a floor area of 81.9</w:t>
                            </w:r>
                            <w:r w:rsidRPr="007E0E31">
                              <w:rPr>
                                <w:rFonts w:cs="Arial"/>
                                <w:bCs/>
                                <w:color w:val="001D77"/>
                                <w:szCs w:val="19"/>
                                <w:lang w:val="en-GB"/>
                              </w:rPr>
                              <w:t xml:space="preserve"> m</w:t>
                            </w:r>
                            <w:r w:rsidRPr="007E0E31">
                              <w:rPr>
                                <w:rFonts w:cs="Arial"/>
                                <w:bCs/>
                                <w:color w:val="001D77"/>
                                <w:szCs w:val="19"/>
                                <w:vertAlign w:val="superscript"/>
                                <w:lang w:val="en-GB"/>
                              </w:rPr>
                              <w:t>2</w:t>
                            </w:r>
                            <w:r>
                              <w:rPr>
                                <w:rFonts w:cs="Arial"/>
                                <w:color w:val="001D77"/>
                                <w:szCs w:val="19"/>
                                <w:lang w:val="en-GB"/>
                              </w:rPr>
                              <w:t xml:space="preserve">, </w:t>
                            </w:r>
                            <w:r w:rsidRPr="007E0E31">
                              <w:rPr>
                                <w:rFonts w:cs="Arial"/>
                                <w:color w:val="001D77"/>
                                <w:szCs w:val="19"/>
                                <w:lang w:val="en-GB"/>
                              </w:rPr>
                              <w:t>which consisted of 3 rooms.</w:t>
                            </w:r>
                            <w:r>
                              <w:rPr>
                                <w:rFonts w:cs="Arial"/>
                                <w:color w:val="001D77"/>
                                <w:szCs w:val="19"/>
                                <w:lang w:val="en-GB"/>
                              </w:rPr>
                              <w:t xml:space="preserve"> </w:t>
                            </w:r>
                            <w:r w:rsidRPr="00B22CE7">
                              <w:rPr>
                                <w:rFonts w:cs="Arial"/>
                                <w:color w:val="001D77"/>
                                <w:szCs w:val="19"/>
                                <w:lang w:val="en-GB"/>
                              </w:rPr>
                              <w:t xml:space="preserve">The systematic increase in the average size of a </w:t>
                            </w:r>
                            <w:r>
                              <w:rPr>
                                <w:rFonts w:cs="Arial"/>
                                <w:color w:val="001D77"/>
                                <w:szCs w:val="19"/>
                                <w:lang w:val="en-GB"/>
                              </w:rPr>
                              <w:t>dwelling ha</w:t>
                            </w:r>
                            <w:r w:rsidRPr="00B22CE7">
                              <w:rPr>
                                <w:rFonts w:cs="Arial"/>
                                <w:color w:val="001D77"/>
                                <w:szCs w:val="19"/>
                                <w:lang w:val="en-GB"/>
                              </w:rPr>
                              <w:t>s continued since 2013</w:t>
                            </w:r>
                          </w:p>
                          <w:p w14:paraId="7EE95021" w14:textId="77777777" w:rsidR="0024032F" w:rsidRPr="007E0E31" w:rsidRDefault="0024032F" w:rsidP="00BB40E7">
                            <w:pPr>
                              <w:rPr>
                                <w:color w:val="001D77"/>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CE" id="Pole tekstowe 26" o:spid="_x0000_s1042" type="#_x0000_t202" style="position:absolute;margin-left:410.25pt;margin-top:13.45pt;width:135.85pt;height:147.75pt;z-index:-25148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" filled="f" stroked="f">
                <v:textbox>
                  <w:txbxContent>
                    <w:p w14:paraId="7EE95020" w14:textId="77777777" w:rsidR="0024032F" w:rsidRPr="007E0E31" w:rsidRDefault="0024032F" w:rsidP="00BB40E7">
                      <w:pPr>
                        <w:spacing w:after="0"/>
                        <w:rPr>
                          <w:rFonts w:eastAsia="Times New Roman" w:cs="Times New Roman"/>
                          <w:bCs/>
                          <w:color w:val="001D77"/>
                          <w:sz w:val="18"/>
                          <w:szCs w:val="18"/>
                          <w:lang w:val="en-GB" w:eastAsia="pl-PL"/>
                        </w:rPr>
                      </w:pPr>
                      <w:r w:rsidRPr="007E0E31">
                        <w:rPr>
                          <w:rFonts w:eastAsia="Times New Roman" w:cs="Times New Roman"/>
                          <w:bCs/>
                          <w:color w:val="001D77"/>
                          <w:sz w:val="18"/>
                          <w:szCs w:val="18"/>
                          <w:lang w:val="en-GB" w:eastAsia="pl-PL"/>
                        </w:rPr>
                        <w:t>In 20</w:t>
                      </w:r>
                      <w:r>
                        <w:rPr>
                          <w:rFonts w:eastAsia="Times New Roman" w:cs="Times New Roman"/>
                          <w:bCs/>
                          <w:color w:val="001D77"/>
                          <w:sz w:val="18"/>
                          <w:szCs w:val="18"/>
                          <w:lang w:val="en-GB" w:eastAsia="pl-PL"/>
                        </w:rPr>
                        <w:t>20</w:t>
                      </w:r>
                      <w:r w:rsidRPr="007E0E31">
                        <w:rPr>
                          <w:rFonts w:eastAsia="Times New Roman" w:cs="Times New Roman"/>
                          <w:bCs/>
                          <w:color w:val="001D77"/>
                          <w:sz w:val="18"/>
                          <w:szCs w:val="18"/>
                          <w:lang w:val="en-GB" w:eastAsia="pl-PL"/>
                        </w:rPr>
                        <w:t xml:space="preserve">, the dwelling conditions of households improved slightly. </w:t>
                      </w:r>
                      <w:r w:rsidRPr="007E0E31">
                        <w:rPr>
                          <w:rFonts w:cs="Arial"/>
                          <w:bCs/>
                          <w:color w:val="001D77"/>
                          <w:szCs w:val="19"/>
                          <w:lang w:val="en-GB"/>
                        </w:rPr>
                        <w:t>T</w:t>
                      </w:r>
                      <w:r>
                        <w:rPr>
                          <w:rFonts w:cs="Arial"/>
                          <w:bCs/>
                          <w:color w:val="001D77"/>
                          <w:szCs w:val="19"/>
                          <w:lang w:val="en-GB"/>
                        </w:rPr>
                        <w:t>he average household occupied a </w:t>
                      </w:r>
                      <w:r w:rsidRPr="007E0E31">
                        <w:rPr>
                          <w:rFonts w:cs="Arial"/>
                          <w:bCs/>
                          <w:color w:val="001D77"/>
                          <w:szCs w:val="19"/>
                          <w:lang w:val="en-GB"/>
                        </w:rPr>
                        <w:t>d</w:t>
                      </w:r>
                      <w:r>
                        <w:rPr>
                          <w:rFonts w:cs="Arial"/>
                          <w:bCs/>
                          <w:color w:val="001D77"/>
                          <w:szCs w:val="19"/>
                          <w:lang w:val="en-GB"/>
                        </w:rPr>
                        <w:t>welling with a floor area of 81.9</w:t>
                      </w:r>
                      <w:r w:rsidRPr="007E0E31">
                        <w:rPr>
                          <w:rFonts w:cs="Arial"/>
                          <w:bCs/>
                          <w:color w:val="001D77"/>
                          <w:szCs w:val="19"/>
                          <w:lang w:val="en-GB"/>
                        </w:rPr>
                        <w:t xml:space="preserve"> m</w:t>
                      </w:r>
                      <w:r w:rsidRPr="007E0E31">
                        <w:rPr>
                          <w:rFonts w:cs="Arial"/>
                          <w:bCs/>
                          <w:color w:val="001D77"/>
                          <w:szCs w:val="19"/>
                          <w:vertAlign w:val="superscript"/>
                          <w:lang w:val="en-GB"/>
                        </w:rPr>
                        <w:t>2</w:t>
                      </w:r>
                      <w:r>
                        <w:rPr>
                          <w:rFonts w:cs="Arial"/>
                          <w:color w:val="001D77"/>
                          <w:szCs w:val="19"/>
                          <w:lang w:val="en-GB"/>
                        </w:rPr>
                        <w:t xml:space="preserve">, </w:t>
                      </w:r>
                      <w:r w:rsidRPr="007E0E31">
                        <w:rPr>
                          <w:rFonts w:cs="Arial"/>
                          <w:color w:val="001D77"/>
                          <w:szCs w:val="19"/>
                          <w:lang w:val="en-GB"/>
                        </w:rPr>
                        <w:t>which consisted of 3 rooms.</w:t>
                      </w:r>
                      <w:r>
                        <w:rPr>
                          <w:rFonts w:cs="Arial"/>
                          <w:color w:val="001D77"/>
                          <w:szCs w:val="19"/>
                          <w:lang w:val="en-GB"/>
                        </w:rPr>
                        <w:t xml:space="preserve"> </w:t>
                      </w:r>
                      <w:r w:rsidRPr="00B22CE7">
                        <w:rPr>
                          <w:rFonts w:cs="Arial"/>
                          <w:color w:val="001D77"/>
                          <w:szCs w:val="19"/>
                          <w:lang w:val="en-GB"/>
                        </w:rPr>
                        <w:t xml:space="preserve">The systematic increase in the average size of a </w:t>
                      </w:r>
                      <w:r>
                        <w:rPr>
                          <w:rFonts w:cs="Arial"/>
                          <w:color w:val="001D77"/>
                          <w:szCs w:val="19"/>
                          <w:lang w:val="en-GB"/>
                        </w:rPr>
                        <w:t>dwelling ha</w:t>
                      </w:r>
                      <w:r w:rsidRPr="00B22CE7">
                        <w:rPr>
                          <w:rFonts w:cs="Arial"/>
                          <w:color w:val="001D77"/>
                          <w:szCs w:val="19"/>
                          <w:lang w:val="en-GB"/>
                        </w:rPr>
                        <w:t>s continued since 2013</w:t>
                      </w:r>
                    </w:p>
                    <w:p w14:paraId="7EE95021" w14:textId="77777777" w:rsidR="0024032F" w:rsidRPr="007E0E31" w:rsidRDefault="0024032F" w:rsidP="00BB40E7">
                      <w:pPr>
                        <w:rPr>
                          <w:color w:val="001D77"/>
                          <w:lang w:val="en-GB"/>
                        </w:rPr>
                      </w:pPr>
                    </w:p>
                  </w:txbxContent>
                </v:textbox>
                <w10:wrap type="tight"/>
              </v:shape>
            </w:pict>
          </mc:Fallback>
        </mc:AlternateContent>
      </w:r>
      <w:r w:rsidR="00BB40E7" w:rsidRPr="004700B5">
        <w:rPr>
          <w:rFonts w:ascii="Fira Sans SemiBold" w:hAnsi="Fira Sans SemiBold"/>
          <w:color w:val="001D77"/>
          <w:szCs w:val="19"/>
          <w:shd w:val="clear" w:color="auto" w:fill="FFFFFF"/>
          <w:lang w:val="en-GB"/>
        </w:rPr>
        <w:t>Dwelling conditions</w:t>
      </w:r>
    </w:p>
    <w:p w14:paraId="7EE94F53" w14:textId="77777777" w:rsidR="00BB40E7" w:rsidRPr="00290FBD" w:rsidRDefault="00526CC8" w:rsidP="00AD1C4D">
      <w:pPr>
        <w:spacing w:line="238" w:lineRule="exact"/>
        <w:rPr>
          <w:rFonts w:cs="Arial"/>
          <w:spacing w:val="-4"/>
          <w:szCs w:val="19"/>
          <w:lang w:val="en-GB"/>
        </w:rPr>
      </w:pPr>
      <w:r>
        <w:rPr>
          <w:rFonts w:cs="Arial"/>
          <w:bCs/>
          <w:spacing w:val="-4"/>
          <w:szCs w:val="19"/>
          <w:lang w:val="en-GB"/>
        </w:rPr>
        <w:t>T</w:t>
      </w:r>
      <w:r w:rsidR="00BB40E7" w:rsidRPr="00290FBD">
        <w:rPr>
          <w:rFonts w:cs="Arial"/>
          <w:bCs/>
          <w:spacing w:val="-4"/>
          <w:szCs w:val="19"/>
          <w:lang w:val="en-GB"/>
        </w:rPr>
        <w:t xml:space="preserve">he average household </w:t>
      </w:r>
      <w:r>
        <w:rPr>
          <w:rFonts w:cs="Arial"/>
          <w:bCs/>
          <w:spacing w:val="-4"/>
          <w:szCs w:val="19"/>
          <w:lang w:val="en-GB"/>
        </w:rPr>
        <w:t>i</w:t>
      </w:r>
      <w:r w:rsidR="00E95940" w:rsidRPr="00290FBD">
        <w:rPr>
          <w:rFonts w:cs="Arial"/>
          <w:bCs/>
          <w:spacing w:val="-4"/>
          <w:szCs w:val="19"/>
          <w:lang w:val="en-GB"/>
        </w:rPr>
        <w:t>n 20</w:t>
      </w:r>
      <w:r>
        <w:rPr>
          <w:rFonts w:cs="Arial"/>
          <w:bCs/>
          <w:spacing w:val="-4"/>
          <w:szCs w:val="19"/>
          <w:lang w:val="en-GB"/>
        </w:rPr>
        <w:t xml:space="preserve">20 </w:t>
      </w:r>
      <w:r w:rsidR="00BB40E7" w:rsidRPr="00290FBD">
        <w:rPr>
          <w:rFonts w:cs="Arial"/>
          <w:bCs/>
          <w:spacing w:val="-4"/>
          <w:szCs w:val="19"/>
          <w:lang w:val="en-GB"/>
        </w:rPr>
        <w:t xml:space="preserve">occupied a dwelling with a floor area of </w:t>
      </w:r>
      <w:r>
        <w:rPr>
          <w:rFonts w:cs="Arial"/>
          <w:bCs/>
          <w:spacing w:val="-4"/>
          <w:szCs w:val="19"/>
          <w:lang w:val="en-GB"/>
        </w:rPr>
        <w:t>81.9</w:t>
      </w:r>
      <w:r w:rsidR="00BB40E7" w:rsidRPr="00290FBD">
        <w:rPr>
          <w:rFonts w:cs="Arial"/>
          <w:bCs/>
          <w:spacing w:val="-4"/>
          <w:szCs w:val="19"/>
          <w:lang w:val="en-GB"/>
        </w:rPr>
        <w:t xml:space="preserve"> m</w:t>
      </w:r>
      <w:r w:rsidR="00BB40E7" w:rsidRPr="00290FBD">
        <w:rPr>
          <w:rFonts w:cs="Arial"/>
          <w:bCs/>
          <w:spacing w:val="-4"/>
          <w:szCs w:val="19"/>
          <w:vertAlign w:val="superscript"/>
          <w:lang w:val="en-GB"/>
        </w:rPr>
        <w:t>2</w:t>
      </w:r>
      <w:r w:rsidR="00BB40E7" w:rsidRPr="00290FBD">
        <w:rPr>
          <w:rFonts w:cs="Arial"/>
          <w:spacing w:val="-4"/>
          <w:szCs w:val="19"/>
          <w:lang w:val="en-GB"/>
        </w:rPr>
        <w:t xml:space="preserve"> (in 201</w:t>
      </w:r>
      <w:r>
        <w:rPr>
          <w:rFonts w:cs="Arial"/>
          <w:spacing w:val="-4"/>
          <w:szCs w:val="19"/>
          <w:lang w:val="en-GB"/>
        </w:rPr>
        <w:t>9</w:t>
      </w:r>
      <w:r w:rsidR="00BB40E7" w:rsidRPr="00290FBD">
        <w:rPr>
          <w:rFonts w:cs="Arial"/>
          <w:spacing w:val="-4"/>
          <w:szCs w:val="19"/>
          <w:lang w:val="en-GB"/>
        </w:rPr>
        <w:t xml:space="preserve"> – </w:t>
      </w:r>
      <w:r>
        <w:rPr>
          <w:rFonts w:cs="Arial"/>
          <w:spacing w:val="-4"/>
          <w:szCs w:val="19"/>
          <w:lang w:val="en-GB"/>
        </w:rPr>
        <w:t>80</w:t>
      </w:r>
      <w:r w:rsidR="00BB40E7" w:rsidRPr="00290FBD">
        <w:rPr>
          <w:rFonts w:cs="Arial"/>
          <w:spacing w:val="-4"/>
          <w:szCs w:val="19"/>
          <w:lang w:val="en-GB"/>
        </w:rPr>
        <w:t>.4 m</w:t>
      </w:r>
      <w:r w:rsidR="00BB40E7" w:rsidRPr="00290FBD">
        <w:rPr>
          <w:rFonts w:cs="Arial"/>
          <w:spacing w:val="-4"/>
          <w:szCs w:val="19"/>
          <w:vertAlign w:val="superscript"/>
          <w:lang w:val="en-GB"/>
        </w:rPr>
        <w:t>2</w:t>
      </w:r>
      <w:r w:rsidR="00BB40E7" w:rsidRPr="00290FBD">
        <w:rPr>
          <w:rFonts w:cs="Arial"/>
          <w:spacing w:val="-4"/>
          <w:szCs w:val="19"/>
          <w:lang w:val="en-GB"/>
        </w:rPr>
        <w:t>)</w:t>
      </w:r>
      <w:r>
        <w:rPr>
          <w:rFonts w:cs="Arial"/>
          <w:spacing w:val="-4"/>
          <w:szCs w:val="19"/>
          <w:lang w:val="en-GB"/>
        </w:rPr>
        <w:t>,</w:t>
      </w:r>
      <w:r w:rsidR="00BB40E7" w:rsidRPr="00290FBD">
        <w:rPr>
          <w:rFonts w:cs="Arial"/>
          <w:spacing w:val="-4"/>
          <w:szCs w:val="19"/>
          <w:lang w:val="en-GB"/>
        </w:rPr>
        <w:t xml:space="preserve"> which consisted of 3 rooms. </w:t>
      </w:r>
      <w:r w:rsidRPr="00526CC8">
        <w:rPr>
          <w:rFonts w:cs="Arial"/>
          <w:bCs/>
          <w:spacing w:val="-4"/>
          <w:szCs w:val="19"/>
          <w:lang w:val="en-GB"/>
        </w:rPr>
        <w:t>There was an average of 29.2 m</w:t>
      </w:r>
      <w:r w:rsidRPr="00AD006F">
        <w:rPr>
          <w:rFonts w:cs="Arial"/>
          <w:bCs/>
          <w:spacing w:val="-4"/>
          <w:szCs w:val="19"/>
          <w:vertAlign w:val="superscript"/>
          <w:lang w:val="en-GB"/>
        </w:rPr>
        <w:t>2</w:t>
      </w:r>
      <w:r w:rsidRPr="00526CC8">
        <w:rPr>
          <w:rFonts w:cs="Arial"/>
          <w:bCs/>
          <w:spacing w:val="-4"/>
          <w:szCs w:val="19"/>
          <w:lang w:val="en-GB"/>
        </w:rPr>
        <w:t xml:space="preserve"> of usable </w:t>
      </w:r>
      <w:r w:rsidR="00AD006F">
        <w:rPr>
          <w:rFonts w:cs="Arial"/>
          <w:bCs/>
          <w:spacing w:val="-4"/>
          <w:szCs w:val="19"/>
          <w:lang w:val="en-GB"/>
        </w:rPr>
        <w:t>floor area</w:t>
      </w:r>
      <w:r w:rsidRPr="00526CC8">
        <w:rPr>
          <w:rFonts w:cs="Arial"/>
          <w:bCs/>
          <w:spacing w:val="-4"/>
          <w:szCs w:val="19"/>
          <w:lang w:val="en-GB"/>
        </w:rPr>
        <w:t xml:space="preserve"> and 1 room per </w:t>
      </w:r>
      <w:r w:rsidR="00AD006F">
        <w:rPr>
          <w:rFonts w:cs="Arial"/>
          <w:bCs/>
          <w:spacing w:val="-4"/>
          <w:szCs w:val="19"/>
          <w:lang w:val="en-GB"/>
        </w:rPr>
        <w:t>capita in the household</w:t>
      </w:r>
      <w:r w:rsidRPr="00526CC8">
        <w:rPr>
          <w:rFonts w:cs="Arial"/>
          <w:bCs/>
          <w:spacing w:val="-4"/>
          <w:szCs w:val="19"/>
          <w:lang w:val="en-GB"/>
        </w:rPr>
        <w:t xml:space="preserve"> (in 2019 </w:t>
      </w:r>
      <w:r w:rsidR="00AD006F">
        <w:rPr>
          <w:rFonts w:cs="Arial"/>
          <w:bCs/>
          <w:spacing w:val="-4"/>
          <w:szCs w:val="19"/>
          <w:lang w:val="en-GB"/>
        </w:rPr>
        <w:t>–</w:t>
      </w:r>
      <w:r w:rsidRPr="00526CC8">
        <w:rPr>
          <w:rFonts w:cs="Arial"/>
          <w:bCs/>
          <w:spacing w:val="-4"/>
          <w:szCs w:val="19"/>
          <w:lang w:val="en-GB"/>
        </w:rPr>
        <w:t xml:space="preserve"> 28.7 m</w:t>
      </w:r>
      <w:r w:rsidRPr="00AD006F">
        <w:rPr>
          <w:rFonts w:cs="Arial"/>
          <w:bCs/>
          <w:spacing w:val="-4"/>
          <w:szCs w:val="19"/>
          <w:vertAlign w:val="superscript"/>
          <w:lang w:val="en-GB"/>
        </w:rPr>
        <w:t>2</w:t>
      </w:r>
      <w:r w:rsidRPr="00526CC8">
        <w:rPr>
          <w:rFonts w:cs="Arial"/>
          <w:bCs/>
          <w:spacing w:val="-4"/>
          <w:szCs w:val="19"/>
          <w:lang w:val="en-GB"/>
        </w:rPr>
        <w:t xml:space="preserve"> and 1 room).</w:t>
      </w:r>
    </w:p>
    <w:p w14:paraId="7EE94F54" w14:textId="77777777" w:rsidR="00AD006F" w:rsidRDefault="00AD006F" w:rsidP="00AD1C4D">
      <w:pPr>
        <w:rPr>
          <w:rFonts w:cs="Arial"/>
          <w:szCs w:val="19"/>
          <w:lang w:val="en-GB"/>
        </w:rPr>
      </w:pPr>
      <w:r w:rsidRPr="00AD006F">
        <w:rPr>
          <w:rFonts w:cs="Arial"/>
          <w:szCs w:val="19"/>
          <w:lang w:val="en-GB"/>
        </w:rPr>
        <w:t xml:space="preserve">The largest average usable floor area of dwellings was held by households </w:t>
      </w:r>
      <w:r>
        <w:rPr>
          <w:rFonts w:cs="Arial"/>
          <w:szCs w:val="19"/>
          <w:lang w:val="en-GB"/>
        </w:rPr>
        <w:t>of farmers –</w:t>
      </w:r>
      <w:r w:rsidRPr="00AD006F">
        <w:rPr>
          <w:rFonts w:cs="Arial"/>
          <w:szCs w:val="19"/>
          <w:lang w:val="en-GB"/>
        </w:rPr>
        <w:t xml:space="preserve"> 132.0</w:t>
      </w:r>
      <w:r w:rsidR="00F5255B">
        <w:rPr>
          <w:rFonts w:cs="Arial"/>
          <w:szCs w:val="19"/>
          <w:lang w:val="en-GB"/>
        </w:rPr>
        <w:t> m</w:t>
      </w:r>
      <w:r w:rsidRPr="00AD006F">
        <w:rPr>
          <w:rFonts w:cs="Arial"/>
          <w:szCs w:val="19"/>
          <w:vertAlign w:val="superscript"/>
          <w:lang w:val="en-GB"/>
        </w:rPr>
        <w:t>2</w:t>
      </w:r>
      <w:r w:rsidRPr="00AD006F">
        <w:rPr>
          <w:rFonts w:cs="Arial"/>
          <w:szCs w:val="19"/>
          <w:lang w:val="en-GB"/>
        </w:rPr>
        <w:t xml:space="preserve">, </w:t>
      </w:r>
      <w:r>
        <w:rPr>
          <w:rFonts w:cs="Arial"/>
          <w:szCs w:val="19"/>
          <w:lang w:val="en-GB"/>
        </w:rPr>
        <w:t>while</w:t>
      </w:r>
      <w:r w:rsidRPr="00AD006F">
        <w:rPr>
          <w:rFonts w:cs="Arial"/>
          <w:szCs w:val="19"/>
          <w:lang w:val="en-GB"/>
        </w:rPr>
        <w:t xml:space="preserve"> the smallest</w:t>
      </w:r>
      <w:r>
        <w:rPr>
          <w:rFonts w:cs="Arial"/>
          <w:szCs w:val="19"/>
          <w:lang w:val="en-GB"/>
        </w:rPr>
        <w:t xml:space="preserve"> by</w:t>
      </w:r>
      <w:r w:rsidRPr="00AD006F">
        <w:rPr>
          <w:rFonts w:cs="Arial"/>
          <w:szCs w:val="19"/>
          <w:lang w:val="en-GB"/>
        </w:rPr>
        <w:t xml:space="preserve"> households of pensioners </w:t>
      </w:r>
      <w:r>
        <w:rPr>
          <w:rFonts w:cs="Arial"/>
          <w:szCs w:val="19"/>
          <w:lang w:val="en-GB"/>
        </w:rPr>
        <w:t>–</w:t>
      </w:r>
      <w:r w:rsidRPr="00AD006F">
        <w:rPr>
          <w:rFonts w:cs="Arial"/>
          <w:szCs w:val="19"/>
          <w:lang w:val="en-GB"/>
        </w:rPr>
        <w:t xml:space="preserve"> 66.2 m</w:t>
      </w:r>
      <w:r w:rsidRPr="00AD006F">
        <w:rPr>
          <w:rFonts w:cs="Arial"/>
          <w:szCs w:val="19"/>
          <w:vertAlign w:val="superscript"/>
          <w:lang w:val="en-GB"/>
        </w:rPr>
        <w:t>2</w:t>
      </w:r>
      <w:r w:rsidRPr="00AD006F">
        <w:rPr>
          <w:rFonts w:cs="Arial"/>
          <w:szCs w:val="19"/>
          <w:lang w:val="en-GB"/>
        </w:rPr>
        <w:t xml:space="preserve">. </w:t>
      </w:r>
      <w:r>
        <w:rPr>
          <w:rFonts w:cs="Arial"/>
          <w:szCs w:val="19"/>
          <w:lang w:val="en-GB"/>
        </w:rPr>
        <w:t>In comparison with</w:t>
      </w:r>
      <w:r w:rsidRPr="00AD006F">
        <w:rPr>
          <w:rFonts w:cs="Arial"/>
          <w:szCs w:val="19"/>
          <w:lang w:val="en-GB"/>
        </w:rPr>
        <w:t xml:space="preserve"> 2019, the</w:t>
      </w:r>
      <w:r w:rsidR="00AD0863">
        <w:rPr>
          <w:rFonts w:cs="Arial"/>
          <w:szCs w:val="19"/>
          <w:lang w:val="en-GB"/>
        </w:rPr>
        <w:t xml:space="preserve"> highest increase in </w:t>
      </w:r>
      <w:r w:rsidR="00AD0863" w:rsidRPr="00AD006F">
        <w:rPr>
          <w:rFonts w:cs="Arial"/>
          <w:szCs w:val="19"/>
          <w:lang w:val="en-GB"/>
        </w:rPr>
        <w:t xml:space="preserve">the floor </w:t>
      </w:r>
      <w:r w:rsidR="00AD0863">
        <w:rPr>
          <w:rFonts w:cs="Arial"/>
          <w:szCs w:val="19"/>
          <w:lang w:val="en-GB"/>
        </w:rPr>
        <w:t>area</w:t>
      </w:r>
      <w:r w:rsidR="00AD0863" w:rsidRPr="00AD006F">
        <w:rPr>
          <w:rFonts w:cs="Arial"/>
          <w:szCs w:val="19"/>
          <w:lang w:val="en-GB"/>
        </w:rPr>
        <w:t xml:space="preserve"> of the dwelling</w:t>
      </w:r>
      <w:r w:rsidR="00AD0863">
        <w:rPr>
          <w:rFonts w:cs="Arial"/>
          <w:szCs w:val="19"/>
          <w:lang w:val="en-GB"/>
        </w:rPr>
        <w:t>s</w:t>
      </w:r>
      <w:r w:rsidR="00AD0863" w:rsidRPr="00AD006F">
        <w:rPr>
          <w:rFonts w:cs="Arial"/>
          <w:szCs w:val="19"/>
          <w:lang w:val="en-GB"/>
        </w:rPr>
        <w:t xml:space="preserve"> </w:t>
      </w:r>
      <w:r w:rsidR="00AD0863">
        <w:rPr>
          <w:rFonts w:cs="Arial"/>
          <w:szCs w:val="19"/>
          <w:lang w:val="en-GB"/>
        </w:rPr>
        <w:t>occupied</w:t>
      </w:r>
      <w:r w:rsidR="00AD0863" w:rsidRPr="00AD006F">
        <w:rPr>
          <w:rFonts w:cs="Arial"/>
          <w:szCs w:val="19"/>
          <w:lang w:val="en-GB"/>
        </w:rPr>
        <w:t xml:space="preserve"> </w:t>
      </w:r>
      <w:r w:rsidR="00AD0863">
        <w:rPr>
          <w:rFonts w:cs="Arial"/>
          <w:szCs w:val="19"/>
          <w:lang w:val="en-GB"/>
        </w:rPr>
        <w:t>by</w:t>
      </w:r>
      <w:r w:rsidR="00AD0863" w:rsidRPr="00AD006F">
        <w:rPr>
          <w:rFonts w:cs="Arial"/>
          <w:szCs w:val="19"/>
          <w:lang w:val="en-GB"/>
        </w:rPr>
        <w:t xml:space="preserve"> households</w:t>
      </w:r>
      <w:r w:rsidR="00AD0863">
        <w:rPr>
          <w:rFonts w:cs="Arial"/>
          <w:szCs w:val="19"/>
          <w:lang w:val="en-GB"/>
        </w:rPr>
        <w:t xml:space="preserve"> occurred in the households of</w:t>
      </w:r>
      <w:r w:rsidRPr="00AD006F">
        <w:rPr>
          <w:rFonts w:cs="Arial"/>
          <w:szCs w:val="19"/>
          <w:lang w:val="en-GB"/>
        </w:rPr>
        <w:t xml:space="preserve"> employees</w:t>
      </w:r>
      <w:r w:rsidR="00AD0863">
        <w:rPr>
          <w:rFonts w:cs="Arial"/>
          <w:szCs w:val="19"/>
          <w:lang w:val="en-GB"/>
        </w:rPr>
        <w:t xml:space="preserve"> (by 2.3 </w:t>
      </w:r>
      <w:r w:rsidR="001A602C" w:rsidRPr="00AD006F">
        <w:rPr>
          <w:rFonts w:cs="Arial"/>
          <w:szCs w:val="19"/>
          <w:lang w:val="en-GB"/>
        </w:rPr>
        <w:t>m</w:t>
      </w:r>
      <w:r w:rsidR="001A602C" w:rsidRPr="00AD006F">
        <w:rPr>
          <w:rFonts w:cs="Arial"/>
          <w:szCs w:val="19"/>
          <w:vertAlign w:val="superscript"/>
          <w:lang w:val="en-GB"/>
        </w:rPr>
        <w:t>2</w:t>
      </w:r>
      <w:r w:rsidR="00AD0863">
        <w:rPr>
          <w:rFonts w:cs="Arial"/>
          <w:szCs w:val="19"/>
          <w:lang w:val="en-GB"/>
        </w:rPr>
        <w:t xml:space="preserve">), while the highest </w:t>
      </w:r>
      <w:r w:rsidRPr="00AD006F">
        <w:rPr>
          <w:rFonts w:cs="Arial"/>
          <w:szCs w:val="19"/>
          <w:lang w:val="en-GB"/>
        </w:rPr>
        <w:t xml:space="preserve">decrease </w:t>
      </w:r>
      <w:r w:rsidR="00AD0863">
        <w:rPr>
          <w:rFonts w:cs="Arial"/>
          <w:szCs w:val="19"/>
          <w:lang w:val="en-GB"/>
        </w:rPr>
        <w:t xml:space="preserve">– </w:t>
      </w:r>
      <w:r w:rsidRPr="00AD006F">
        <w:rPr>
          <w:rFonts w:cs="Arial"/>
          <w:szCs w:val="19"/>
          <w:lang w:val="en-GB"/>
        </w:rPr>
        <w:t>in</w:t>
      </w:r>
      <w:r w:rsidR="00AD0863">
        <w:rPr>
          <w:rFonts w:cs="Arial"/>
          <w:szCs w:val="19"/>
          <w:lang w:val="en-GB"/>
        </w:rPr>
        <w:t xml:space="preserve"> </w:t>
      </w:r>
      <w:r w:rsidRPr="00AD006F">
        <w:rPr>
          <w:rFonts w:cs="Arial"/>
          <w:szCs w:val="19"/>
          <w:lang w:val="en-GB"/>
        </w:rPr>
        <w:t xml:space="preserve">households of </w:t>
      </w:r>
      <w:r w:rsidR="00AD0863">
        <w:rPr>
          <w:rFonts w:cs="Arial"/>
          <w:szCs w:val="19"/>
          <w:lang w:val="en-GB"/>
        </w:rPr>
        <w:t xml:space="preserve">farmers (by 2.6 </w:t>
      </w:r>
      <w:r w:rsidR="001A602C" w:rsidRPr="00AD006F">
        <w:rPr>
          <w:rFonts w:cs="Arial"/>
          <w:szCs w:val="19"/>
          <w:lang w:val="en-GB"/>
        </w:rPr>
        <w:t>m</w:t>
      </w:r>
      <w:r w:rsidR="001A602C" w:rsidRPr="00AD006F">
        <w:rPr>
          <w:rFonts w:cs="Arial"/>
          <w:szCs w:val="19"/>
          <w:vertAlign w:val="superscript"/>
          <w:lang w:val="en-GB"/>
        </w:rPr>
        <w:t>2</w:t>
      </w:r>
      <w:r w:rsidR="00AD0863">
        <w:rPr>
          <w:rFonts w:cs="Arial"/>
          <w:szCs w:val="19"/>
          <w:lang w:val="en-GB"/>
        </w:rPr>
        <w:t>)</w:t>
      </w:r>
      <w:r w:rsidRPr="00AD006F">
        <w:rPr>
          <w:rFonts w:cs="Arial"/>
          <w:szCs w:val="19"/>
          <w:lang w:val="en-GB"/>
        </w:rPr>
        <w:t xml:space="preserve">. </w:t>
      </w:r>
    </w:p>
    <w:p w14:paraId="7EE94F55" w14:textId="77777777" w:rsidR="00BB40E7" w:rsidRPr="006E1C16" w:rsidRDefault="00BB40E7" w:rsidP="00AD1C4D">
      <w:pPr>
        <w:spacing w:line="238" w:lineRule="exact"/>
        <w:rPr>
          <w:rFonts w:cs="Arial"/>
          <w:szCs w:val="19"/>
          <w:lang w:val="en-GB"/>
        </w:rPr>
      </w:pPr>
      <w:r w:rsidRPr="006E1C16">
        <w:rPr>
          <w:rFonts w:cs="Arial"/>
          <w:szCs w:val="19"/>
          <w:lang w:val="en-GB"/>
        </w:rPr>
        <w:t xml:space="preserve">The largest usable floor area per </w:t>
      </w:r>
      <w:r w:rsidR="000D7AC4">
        <w:rPr>
          <w:rFonts w:cs="Arial"/>
          <w:szCs w:val="19"/>
          <w:lang w:val="en-GB"/>
        </w:rPr>
        <w:t>capita</w:t>
      </w:r>
      <w:r w:rsidRPr="006E1C16">
        <w:rPr>
          <w:rFonts w:cs="Arial"/>
          <w:szCs w:val="19"/>
          <w:lang w:val="en-GB"/>
        </w:rPr>
        <w:t xml:space="preserve"> was in th</w:t>
      </w:r>
      <w:r>
        <w:rPr>
          <w:rFonts w:cs="Arial"/>
          <w:szCs w:val="19"/>
          <w:lang w:val="en-GB"/>
        </w:rPr>
        <w:t xml:space="preserve">e households of </w:t>
      </w:r>
      <w:r w:rsidR="00F06D8F">
        <w:rPr>
          <w:rFonts w:cs="Arial"/>
          <w:szCs w:val="19"/>
          <w:lang w:val="en-GB"/>
        </w:rPr>
        <w:t>retirees</w:t>
      </w:r>
      <w:r>
        <w:rPr>
          <w:rFonts w:cs="Arial"/>
          <w:szCs w:val="19"/>
          <w:lang w:val="en-GB"/>
        </w:rPr>
        <w:t xml:space="preserve"> and </w:t>
      </w:r>
      <w:r w:rsidR="00F06D8F">
        <w:rPr>
          <w:rFonts w:cs="Arial"/>
          <w:szCs w:val="19"/>
          <w:lang w:val="en-GB"/>
        </w:rPr>
        <w:t xml:space="preserve">pensioners </w:t>
      </w:r>
      <w:r>
        <w:rPr>
          <w:rFonts w:cs="Arial"/>
          <w:szCs w:val="19"/>
          <w:lang w:val="en-GB"/>
        </w:rPr>
        <w:t>(</w:t>
      </w:r>
      <w:r w:rsidR="00F06D8F">
        <w:rPr>
          <w:rFonts w:cs="Arial"/>
          <w:szCs w:val="19"/>
          <w:lang w:val="en-GB"/>
        </w:rPr>
        <w:t>40.3</w:t>
      </w:r>
      <w:r w:rsidRPr="006E1C16">
        <w:rPr>
          <w:rFonts w:cs="Arial"/>
          <w:szCs w:val="19"/>
          <w:lang w:val="en-GB"/>
        </w:rPr>
        <w:t> m</w:t>
      </w:r>
      <w:r w:rsidRPr="006E1C16">
        <w:rPr>
          <w:rFonts w:cs="Arial"/>
          <w:szCs w:val="19"/>
          <w:vertAlign w:val="superscript"/>
          <w:lang w:val="en-GB"/>
        </w:rPr>
        <w:t>2</w:t>
      </w:r>
      <w:r w:rsidR="00F06D8F">
        <w:rPr>
          <w:rFonts w:cs="Arial"/>
          <w:szCs w:val="19"/>
          <w:lang w:val="en-GB"/>
        </w:rPr>
        <w:t xml:space="preserve"> each</w:t>
      </w:r>
      <w:r w:rsidRPr="006E1C16">
        <w:rPr>
          <w:rFonts w:cs="Arial"/>
          <w:szCs w:val="19"/>
          <w:lang w:val="en-GB"/>
        </w:rPr>
        <w:t>)</w:t>
      </w:r>
      <w:r w:rsidR="00F06D8F">
        <w:rPr>
          <w:rFonts w:cs="Arial"/>
          <w:szCs w:val="19"/>
          <w:lang w:val="en-GB"/>
        </w:rPr>
        <w:t>,</w:t>
      </w:r>
      <w:r w:rsidRPr="006E1C16">
        <w:rPr>
          <w:rFonts w:cs="Arial"/>
          <w:szCs w:val="19"/>
          <w:lang w:val="en-GB"/>
        </w:rPr>
        <w:t xml:space="preserve"> which is </w:t>
      </w:r>
      <w:r w:rsidR="00F06D8F">
        <w:rPr>
          <w:rFonts w:cs="Arial"/>
          <w:szCs w:val="19"/>
          <w:lang w:val="en-GB"/>
        </w:rPr>
        <w:t>related</w:t>
      </w:r>
      <w:r w:rsidRPr="006E1C16">
        <w:rPr>
          <w:rFonts w:cs="Arial"/>
          <w:szCs w:val="19"/>
          <w:lang w:val="en-GB"/>
        </w:rPr>
        <w:t xml:space="preserve"> to a </w:t>
      </w:r>
      <w:r w:rsidR="00F06D8F">
        <w:rPr>
          <w:rFonts w:cs="Arial"/>
          <w:szCs w:val="19"/>
          <w:lang w:val="en-GB"/>
        </w:rPr>
        <w:t>smaller</w:t>
      </w:r>
      <w:r w:rsidRPr="006E1C16">
        <w:rPr>
          <w:rFonts w:cs="Arial"/>
          <w:szCs w:val="19"/>
          <w:lang w:val="en-GB"/>
        </w:rPr>
        <w:t xml:space="preserve"> number of persons in the household</w:t>
      </w:r>
      <w:r w:rsidR="00F06D8F">
        <w:rPr>
          <w:rFonts w:cs="Arial"/>
          <w:szCs w:val="19"/>
          <w:lang w:val="en-GB"/>
        </w:rPr>
        <w:t>, while</w:t>
      </w:r>
      <w:r w:rsidRPr="006E1C16">
        <w:rPr>
          <w:rFonts w:cs="Arial"/>
          <w:szCs w:val="19"/>
          <w:lang w:val="en-GB"/>
        </w:rPr>
        <w:t xml:space="preserve"> </w:t>
      </w:r>
      <w:r w:rsidR="00F06D8F">
        <w:rPr>
          <w:rFonts w:cs="Arial"/>
          <w:szCs w:val="19"/>
          <w:lang w:val="en-GB"/>
        </w:rPr>
        <w:t>t</w:t>
      </w:r>
      <w:r w:rsidRPr="006E1C16">
        <w:rPr>
          <w:rFonts w:cs="Arial"/>
          <w:szCs w:val="19"/>
          <w:lang w:val="en-GB"/>
        </w:rPr>
        <w:t>he smallest</w:t>
      </w:r>
      <w:r w:rsidR="00F5255B">
        <w:rPr>
          <w:rFonts w:cs="Arial"/>
          <w:szCs w:val="19"/>
          <w:lang w:val="en-GB"/>
        </w:rPr>
        <w:t xml:space="preserve"> </w:t>
      </w:r>
      <w:r w:rsidR="00F5255B" w:rsidRPr="006E1C16">
        <w:rPr>
          <w:rFonts w:cs="Arial"/>
          <w:szCs w:val="19"/>
          <w:lang w:val="en-GB"/>
        </w:rPr>
        <w:t xml:space="preserve">usable floor area per </w:t>
      </w:r>
      <w:r w:rsidR="00F5255B">
        <w:rPr>
          <w:rFonts w:cs="Arial"/>
          <w:szCs w:val="19"/>
          <w:lang w:val="en-GB"/>
        </w:rPr>
        <w:t>capita</w:t>
      </w:r>
      <w:r w:rsidRPr="006E1C16">
        <w:rPr>
          <w:rFonts w:cs="Arial"/>
          <w:szCs w:val="19"/>
          <w:lang w:val="en-GB"/>
        </w:rPr>
        <w:t xml:space="preserve"> </w:t>
      </w:r>
      <w:r w:rsidR="00F06D8F">
        <w:rPr>
          <w:rFonts w:cs="Arial"/>
          <w:szCs w:val="19"/>
          <w:lang w:val="en-GB"/>
        </w:rPr>
        <w:t>– in</w:t>
      </w:r>
      <w:r w:rsidRPr="006E1C16">
        <w:rPr>
          <w:rFonts w:cs="Arial"/>
          <w:szCs w:val="19"/>
          <w:lang w:val="en-GB"/>
        </w:rPr>
        <w:t xml:space="preserve"> t</w:t>
      </w:r>
      <w:r>
        <w:rPr>
          <w:rFonts w:cs="Arial"/>
          <w:szCs w:val="19"/>
          <w:lang w:val="en-GB"/>
        </w:rPr>
        <w:t>he households of employees (2</w:t>
      </w:r>
      <w:r w:rsidR="00F06D8F">
        <w:rPr>
          <w:rFonts w:cs="Arial"/>
          <w:szCs w:val="19"/>
          <w:lang w:val="en-GB"/>
        </w:rPr>
        <w:t>5</w:t>
      </w:r>
      <w:r>
        <w:rPr>
          <w:rFonts w:cs="Arial"/>
          <w:szCs w:val="19"/>
          <w:lang w:val="en-GB"/>
        </w:rPr>
        <w:t>.</w:t>
      </w:r>
      <w:r w:rsidR="00F06D8F">
        <w:rPr>
          <w:rFonts w:cs="Arial"/>
          <w:szCs w:val="19"/>
          <w:lang w:val="en-GB"/>
        </w:rPr>
        <w:t>4</w:t>
      </w:r>
      <w:r w:rsidRPr="006E1C16">
        <w:rPr>
          <w:rFonts w:cs="Arial"/>
          <w:szCs w:val="19"/>
          <w:lang w:val="en-GB"/>
        </w:rPr>
        <w:t xml:space="preserve"> m</w:t>
      </w:r>
      <w:r w:rsidRPr="006E1C16">
        <w:rPr>
          <w:rFonts w:cs="Arial"/>
          <w:szCs w:val="19"/>
          <w:vertAlign w:val="superscript"/>
          <w:lang w:val="en-GB"/>
        </w:rPr>
        <w:t>2</w:t>
      </w:r>
      <w:r w:rsidRPr="006E1C16">
        <w:rPr>
          <w:rFonts w:cs="Arial"/>
          <w:szCs w:val="19"/>
          <w:lang w:val="en-GB"/>
        </w:rPr>
        <w:t>).</w:t>
      </w:r>
    </w:p>
    <w:p w14:paraId="7EE94F56" w14:textId="77777777" w:rsidR="00BB40E7" w:rsidRPr="00290FBD" w:rsidRDefault="00BB40E7" w:rsidP="00AD1C4D">
      <w:pPr>
        <w:spacing w:line="238" w:lineRule="exact"/>
        <w:rPr>
          <w:rFonts w:cs="Arial"/>
          <w:spacing w:val="-2"/>
          <w:szCs w:val="19"/>
          <w:lang w:val="en-GB"/>
        </w:rPr>
      </w:pPr>
      <w:r w:rsidRPr="00290FBD">
        <w:rPr>
          <w:rFonts w:cs="Arial"/>
          <w:spacing w:val="-2"/>
          <w:szCs w:val="19"/>
          <w:lang w:val="en-GB"/>
        </w:rPr>
        <w:t xml:space="preserve">The area of dwellings occupied by households was </w:t>
      </w:r>
      <w:r w:rsidR="00F06D8F">
        <w:rPr>
          <w:rFonts w:cs="Arial"/>
          <w:spacing w:val="-2"/>
          <w:szCs w:val="19"/>
          <w:lang w:val="en-GB"/>
        </w:rPr>
        <w:t>also differentiated according to the</w:t>
      </w:r>
      <w:r w:rsidRPr="00290FBD">
        <w:rPr>
          <w:rFonts w:cs="Arial"/>
          <w:spacing w:val="-2"/>
          <w:szCs w:val="19"/>
          <w:lang w:val="en-GB"/>
        </w:rPr>
        <w:t xml:space="preserve"> level of their income. </w:t>
      </w:r>
      <w:r w:rsidR="00F06D8F">
        <w:rPr>
          <w:rFonts w:cs="Arial"/>
          <w:spacing w:val="-2"/>
          <w:szCs w:val="19"/>
          <w:lang w:val="en-GB"/>
        </w:rPr>
        <w:t>In the case of the h</w:t>
      </w:r>
      <w:r w:rsidRPr="00290FBD">
        <w:rPr>
          <w:rFonts w:cs="Arial"/>
          <w:spacing w:val="-2"/>
          <w:szCs w:val="19"/>
          <w:lang w:val="en-GB"/>
        </w:rPr>
        <w:t>ouseholds with the highest income (5th quintile</w:t>
      </w:r>
      <w:r w:rsidR="00D71B29">
        <w:rPr>
          <w:rFonts w:cs="Arial"/>
          <w:spacing w:val="-2"/>
          <w:szCs w:val="19"/>
          <w:lang w:val="en-GB"/>
        </w:rPr>
        <w:t xml:space="preserve"> group</w:t>
      </w:r>
      <w:r w:rsidRPr="00290FBD">
        <w:rPr>
          <w:rFonts w:cs="Arial"/>
          <w:spacing w:val="-2"/>
          <w:szCs w:val="19"/>
          <w:lang w:val="en-GB"/>
        </w:rPr>
        <w:t xml:space="preserve">) occupied </w:t>
      </w:r>
      <w:r w:rsidR="00F06D8F">
        <w:rPr>
          <w:rFonts w:cs="Arial"/>
          <w:spacing w:val="-2"/>
          <w:szCs w:val="19"/>
          <w:lang w:val="en-GB"/>
        </w:rPr>
        <w:t xml:space="preserve">area was </w:t>
      </w:r>
      <w:r w:rsidRPr="00290FBD">
        <w:rPr>
          <w:rFonts w:cs="Arial"/>
          <w:spacing w:val="-2"/>
          <w:szCs w:val="19"/>
          <w:lang w:val="en-GB"/>
        </w:rPr>
        <w:t>slightly smaller (</w:t>
      </w:r>
      <w:r w:rsidR="00E33004">
        <w:rPr>
          <w:rFonts w:cs="Arial"/>
          <w:spacing w:val="-2"/>
          <w:szCs w:val="19"/>
          <w:lang w:val="en-GB"/>
        </w:rPr>
        <w:t>80.3</w:t>
      </w:r>
      <w:r w:rsidRPr="00290FBD">
        <w:rPr>
          <w:rFonts w:cs="Arial"/>
          <w:spacing w:val="-2"/>
          <w:szCs w:val="19"/>
          <w:lang w:val="en-GB"/>
        </w:rPr>
        <w:t xml:space="preserve"> m</w:t>
      </w:r>
      <w:r w:rsidRPr="00290FBD">
        <w:rPr>
          <w:rFonts w:cs="Arial"/>
          <w:spacing w:val="-2"/>
          <w:szCs w:val="19"/>
          <w:vertAlign w:val="superscript"/>
          <w:lang w:val="en-GB"/>
        </w:rPr>
        <w:t>2</w:t>
      </w:r>
      <w:r w:rsidRPr="00290FBD">
        <w:rPr>
          <w:rFonts w:cs="Arial"/>
          <w:spacing w:val="-2"/>
          <w:szCs w:val="19"/>
          <w:lang w:val="en-GB"/>
        </w:rPr>
        <w:t>) than households with the lowest income (1st quintile</w:t>
      </w:r>
      <w:r w:rsidR="00D71B29">
        <w:rPr>
          <w:rFonts w:cs="Arial"/>
          <w:spacing w:val="-2"/>
          <w:szCs w:val="19"/>
          <w:lang w:val="en-GB"/>
        </w:rPr>
        <w:t xml:space="preserve"> group</w:t>
      </w:r>
      <w:r w:rsidRPr="00290FBD">
        <w:rPr>
          <w:rFonts w:cs="Arial"/>
          <w:spacing w:val="-2"/>
          <w:szCs w:val="19"/>
          <w:lang w:val="en-GB"/>
        </w:rPr>
        <w:t xml:space="preserve">) – </w:t>
      </w:r>
      <w:r w:rsidR="00E33004">
        <w:rPr>
          <w:rFonts w:cs="Arial"/>
          <w:spacing w:val="-2"/>
          <w:szCs w:val="19"/>
          <w:lang w:val="en-GB"/>
        </w:rPr>
        <w:t>86.6</w:t>
      </w:r>
      <w:r w:rsidRPr="00290FBD">
        <w:rPr>
          <w:rFonts w:cs="Arial"/>
          <w:spacing w:val="-2"/>
          <w:szCs w:val="19"/>
          <w:lang w:val="en-GB"/>
        </w:rPr>
        <w:t xml:space="preserve"> m</w:t>
      </w:r>
      <w:r w:rsidRPr="00290FBD">
        <w:rPr>
          <w:rFonts w:cs="Arial"/>
          <w:spacing w:val="-2"/>
          <w:szCs w:val="19"/>
          <w:shd w:val="clear" w:color="auto" w:fill="FFFFFF" w:themeFill="background1"/>
          <w:vertAlign w:val="superscript"/>
          <w:lang w:val="en-GB"/>
        </w:rPr>
        <w:t>2</w:t>
      </w:r>
      <w:r w:rsidRPr="00290FBD">
        <w:rPr>
          <w:rFonts w:cs="Arial"/>
          <w:spacing w:val="-2"/>
          <w:szCs w:val="19"/>
          <w:shd w:val="clear" w:color="auto" w:fill="FFFFFF" w:themeFill="background1"/>
          <w:lang w:val="en-GB"/>
        </w:rPr>
        <w:t xml:space="preserve">, </w:t>
      </w:r>
      <w:r w:rsidR="00E33004">
        <w:rPr>
          <w:rFonts w:cs="Arial"/>
          <w:spacing w:val="-2"/>
          <w:szCs w:val="19"/>
          <w:shd w:val="clear" w:color="auto" w:fill="FFFFFF" w:themeFill="background1"/>
          <w:lang w:val="en-GB"/>
        </w:rPr>
        <w:t>however,</w:t>
      </w:r>
      <w:r w:rsidRPr="00290FBD">
        <w:rPr>
          <w:rFonts w:cs="Arial"/>
          <w:spacing w:val="-2"/>
          <w:szCs w:val="19"/>
          <w:shd w:val="clear" w:color="auto" w:fill="FFFFFF" w:themeFill="background1"/>
          <w:lang w:val="en-GB"/>
        </w:rPr>
        <w:t xml:space="preserve"> their members had </w:t>
      </w:r>
      <w:r w:rsidR="00E33004">
        <w:rPr>
          <w:rFonts w:cs="Arial"/>
          <w:spacing w:val="-2"/>
          <w:szCs w:val="19"/>
          <w:shd w:val="clear" w:color="auto" w:fill="FFFFFF" w:themeFill="background1"/>
          <w:lang w:val="en-GB"/>
        </w:rPr>
        <w:t xml:space="preserve">much </w:t>
      </w:r>
      <w:r w:rsidR="00226C26">
        <w:rPr>
          <w:rFonts w:cs="Arial"/>
          <w:spacing w:val="-2"/>
          <w:szCs w:val="19"/>
          <w:shd w:val="clear" w:color="auto" w:fill="FFFFFF" w:themeFill="background1"/>
          <w:lang w:val="en-GB"/>
        </w:rPr>
        <w:t>greater</w:t>
      </w:r>
      <w:r w:rsidRPr="00290FBD">
        <w:rPr>
          <w:rFonts w:cs="Arial"/>
          <w:spacing w:val="-2"/>
          <w:szCs w:val="19"/>
          <w:shd w:val="clear" w:color="auto" w:fill="FFFFFF" w:themeFill="background1"/>
          <w:lang w:val="en-GB"/>
        </w:rPr>
        <w:t xml:space="preserve"> floor </w:t>
      </w:r>
      <w:r w:rsidR="00E33004">
        <w:rPr>
          <w:rFonts w:cs="Arial"/>
          <w:spacing w:val="-2"/>
          <w:szCs w:val="19"/>
          <w:shd w:val="clear" w:color="auto" w:fill="FFFFFF" w:themeFill="background1"/>
          <w:lang w:val="en-GB"/>
        </w:rPr>
        <w:t xml:space="preserve">area </w:t>
      </w:r>
      <w:r w:rsidRPr="00290FBD">
        <w:rPr>
          <w:rFonts w:cs="Arial"/>
          <w:spacing w:val="-2"/>
          <w:szCs w:val="19"/>
          <w:shd w:val="clear" w:color="auto" w:fill="FFFFFF" w:themeFill="background1"/>
          <w:lang w:val="en-GB"/>
        </w:rPr>
        <w:t xml:space="preserve">per </w:t>
      </w:r>
      <w:r w:rsidR="000D7AC4" w:rsidRPr="00290FBD">
        <w:rPr>
          <w:rFonts w:cs="Arial"/>
          <w:spacing w:val="-2"/>
          <w:szCs w:val="19"/>
          <w:shd w:val="clear" w:color="auto" w:fill="FFFFFF" w:themeFill="background1"/>
          <w:lang w:val="en-GB"/>
        </w:rPr>
        <w:t>capita</w:t>
      </w:r>
      <w:r w:rsidRPr="00290FBD">
        <w:rPr>
          <w:rFonts w:cs="Arial"/>
          <w:spacing w:val="-2"/>
          <w:szCs w:val="19"/>
          <w:shd w:val="clear" w:color="auto" w:fill="FFFFFF" w:themeFill="background1"/>
          <w:lang w:val="en-GB"/>
        </w:rPr>
        <w:t xml:space="preserve"> (</w:t>
      </w:r>
      <w:r w:rsidR="00E33004" w:rsidRPr="00290FBD">
        <w:rPr>
          <w:rFonts w:cs="Arial"/>
          <w:spacing w:val="-2"/>
          <w:szCs w:val="19"/>
          <w:shd w:val="clear" w:color="auto" w:fill="FFFFFF" w:themeFill="background1"/>
          <w:lang w:val="en-GB"/>
        </w:rPr>
        <w:t xml:space="preserve">respectively </w:t>
      </w:r>
      <w:r w:rsidRPr="00290FBD">
        <w:rPr>
          <w:rFonts w:cs="Arial"/>
          <w:spacing w:val="-2"/>
          <w:szCs w:val="19"/>
          <w:shd w:val="clear" w:color="auto" w:fill="FFFFFF" w:themeFill="background1"/>
          <w:lang w:val="en-GB"/>
        </w:rPr>
        <w:t>37.</w:t>
      </w:r>
      <w:r w:rsidR="00E33004">
        <w:rPr>
          <w:rFonts w:cs="Arial"/>
          <w:spacing w:val="-2"/>
          <w:szCs w:val="19"/>
          <w:shd w:val="clear" w:color="auto" w:fill="FFFFFF" w:themeFill="background1"/>
          <w:lang w:val="en-GB"/>
        </w:rPr>
        <w:t>5</w:t>
      </w:r>
      <w:r w:rsidRPr="00290FBD">
        <w:rPr>
          <w:rFonts w:cs="Arial"/>
          <w:spacing w:val="-2"/>
          <w:szCs w:val="19"/>
          <w:shd w:val="clear" w:color="auto" w:fill="FFFFFF" w:themeFill="background1"/>
          <w:lang w:val="en-GB"/>
        </w:rPr>
        <w:t> m</w:t>
      </w:r>
      <w:r w:rsidRPr="00290FBD">
        <w:rPr>
          <w:rFonts w:cs="Arial"/>
          <w:spacing w:val="-2"/>
          <w:szCs w:val="19"/>
          <w:vertAlign w:val="superscript"/>
          <w:lang w:val="en-GB"/>
        </w:rPr>
        <w:t>2</w:t>
      </w:r>
      <w:r w:rsidRPr="00290FBD">
        <w:rPr>
          <w:rFonts w:cs="Arial"/>
          <w:spacing w:val="-2"/>
          <w:szCs w:val="19"/>
          <w:shd w:val="clear" w:color="auto" w:fill="FFFFFF" w:themeFill="background1"/>
          <w:lang w:val="en-GB"/>
        </w:rPr>
        <w:t xml:space="preserve"> </w:t>
      </w:r>
      <w:r w:rsidR="00E33004">
        <w:rPr>
          <w:rFonts w:cs="Arial"/>
          <w:spacing w:val="-2"/>
          <w:szCs w:val="19"/>
          <w:shd w:val="clear" w:color="auto" w:fill="FFFFFF" w:themeFill="background1"/>
          <w:lang w:val="en-GB"/>
        </w:rPr>
        <w:t>versus</w:t>
      </w:r>
      <w:r w:rsidRPr="00290FBD">
        <w:rPr>
          <w:rFonts w:cs="Arial"/>
          <w:spacing w:val="-2"/>
          <w:szCs w:val="19"/>
          <w:shd w:val="clear" w:color="auto" w:fill="FFFFFF" w:themeFill="background1"/>
          <w:lang w:val="en-GB"/>
        </w:rPr>
        <w:t xml:space="preserve"> </w:t>
      </w:r>
      <w:r w:rsidR="00E33004">
        <w:rPr>
          <w:rFonts w:cs="Arial"/>
          <w:spacing w:val="-2"/>
          <w:szCs w:val="19"/>
          <w:shd w:val="clear" w:color="auto" w:fill="FFFFFF" w:themeFill="background1"/>
          <w:lang w:val="en-GB"/>
        </w:rPr>
        <w:t>23.4</w:t>
      </w:r>
      <w:r w:rsidRPr="00290FBD">
        <w:rPr>
          <w:rFonts w:cs="Arial"/>
          <w:spacing w:val="-2"/>
          <w:szCs w:val="19"/>
          <w:shd w:val="clear" w:color="auto" w:fill="FFFFFF" w:themeFill="background1"/>
          <w:lang w:val="en-GB"/>
        </w:rPr>
        <w:t xml:space="preserve"> m</w:t>
      </w:r>
      <w:r w:rsidRPr="00290FBD">
        <w:rPr>
          <w:rFonts w:cs="Arial"/>
          <w:spacing w:val="-2"/>
          <w:szCs w:val="19"/>
          <w:vertAlign w:val="superscript"/>
          <w:lang w:val="en-GB"/>
        </w:rPr>
        <w:t>2</w:t>
      </w:r>
      <w:r w:rsidRPr="00290FBD">
        <w:rPr>
          <w:rFonts w:cs="Arial"/>
          <w:spacing w:val="-2"/>
          <w:szCs w:val="19"/>
          <w:shd w:val="clear" w:color="auto" w:fill="FFFFFF" w:themeFill="background1"/>
          <w:lang w:val="en-GB"/>
        </w:rPr>
        <w:t>)</w:t>
      </w:r>
      <w:r w:rsidRPr="00290FBD">
        <w:rPr>
          <w:rStyle w:val="Odwoanieprzypisudolnego"/>
          <w:rFonts w:cs="Arial"/>
          <w:spacing w:val="-2"/>
          <w:szCs w:val="19"/>
          <w:lang w:val="en-GB"/>
        </w:rPr>
        <w:footnoteReference w:id="10"/>
      </w:r>
      <w:r w:rsidRPr="00290FBD">
        <w:rPr>
          <w:rFonts w:cs="Arial"/>
          <w:spacing w:val="-2"/>
          <w:szCs w:val="19"/>
          <w:shd w:val="clear" w:color="auto" w:fill="FFFFFF" w:themeFill="background1"/>
          <w:lang w:val="en-GB"/>
        </w:rPr>
        <w:t>.</w:t>
      </w:r>
      <w:r w:rsidR="00F5255B">
        <w:rPr>
          <w:rFonts w:cs="Arial"/>
          <w:spacing w:val="-2"/>
          <w:szCs w:val="19"/>
          <w:shd w:val="clear" w:color="auto" w:fill="FFFFFF" w:themeFill="background1"/>
          <w:lang w:val="en-GB"/>
        </w:rPr>
        <w:t xml:space="preserve"> </w:t>
      </w:r>
    </w:p>
    <w:p w14:paraId="7EE94F57" w14:textId="77777777" w:rsidR="00E33004" w:rsidRDefault="00E33004" w:rsidP="00AD1C4D">
      <w:pPr>
        <w:rPr>
          <w:rFonts w:cs="Arial"/>
          <w:bCs/>
          <w:szCs w:val="19"/>
          <w:lang w:val="en-GB"/>
        </w:rPr>
      </w:pPr>
      <w:r w:rsidRPr="00E33004">
        <w:rPr>
          <w:rFonts w:cs="Arial"/>
          <w:bCs/>
          <w:szCs w:val="19"/>
          <w:lang w:val="en-GB"/>
        </w:rPr>
        <w:t>The equip</w:t>
      </w:r>
      <w:r w:rsidR="003C7300">
        <w:rPr>
          <w:rFonts w:cs="Arial"/>
          <w:bCs/>
          <w:szCs w:val="19"/>
          <w:lang w:val="en-GB"/>
        </w:rPr>
        <w:t xml:space="preserve">ment </w:t>
      </w:r>
      <w:r w:rsidRPr="00E33004">
        <w:rPr>
          <w:rFonts w:cs="Arial"/>
          <w:bCs/>
          <w:szCs w:val="19"/>
          <w:lang w:val="en-GB"/>
        </w:rPr>
        <w:t xml:space="preserve">of </w:t>
      </w:r>
      <w:r>
        <w:rPr>
          <w:rFonts w:cs="Arial"/>
          <w:bCs/>
          <w:szCs w:val="19"/>
          <w:lang w:val="en-GB"/>
        </w:rPr>
        <w:t>dwellings</w:t>
      </w:r>
      <w:r w:rsidRPr="00E33004">
        <w:rPr>
          <w:rFonts w:cs="Arial"/>
          <w:bCs/>
          <w:szCs w:val="19"/>
          <w:lang w:val="en-GB"/>
        </w:rPr>
        <w:t xml:space="preserve"> with technical and sanitary installations is systematically improving. </w:t>
      </w:r>
      <w:r>
        <w:rPr>
          <w:rFonts w:cs="Arial"/>
          <w:bCs/>
          <w:szCs w:val="19"/>
          <w:lang w:val="en-GB"/>
        </w:rPr>
        <w:t>Dwellings equipped with running</w:t>
      </w:r>
      <w:r w:rsidRPr="00E33004">
        <w:rPr>
          <w:rFonts w:cs="Arial"/>
          <w:bCs/>
          <w:szCs w:val="19"/>
          <w:lang w:val="en-GB"/>
        </w:rPr>
        <w:t xml:space="preserve"> water accounted for 99.9% of all households, with a flush</w:t>
      </w:r>
      <w:r>
        <w:rPr>
          <w:rFonts w:cs="Arial"/>
          <w:bCs/>
          <w:szCs w:val="19"/>
          <w:lang w:val="en-GB"/>
        </w:rPr>
        <w:t>ing</w:t>
      </w:r>
      <w:r w:rsidRPr="00E33004">
        <w:rPr>
          <w:rFonts w:cs="Arial"/>
          <w:bCs/>
          <w:szCs w:val="19"/>
          <w:lang w:val="en-GB"/>
        </w:rPr>
        <w:t xml:space="preserve"> toilet </w:t>
      </w:r>
      <w:r>
        <w:rPr>
          <w:rFonts w:cs="Arial"/>
          <w:bCs/>
          <w:szCs w:val="19"/>
          <w:lang w:val="en-GB"/>
        </w:rPr>
        <w:t>–</w:t>
      </w:r>
      <w:r w:rsidRPr="00E33004">
        <w:rPr>
          <w:rFonts w:cs="Arial"/>
          <w:bCs/>
          <w:szCs w:val="19"/>
          <w:lang w:val="en-GB"/>
        </w:rPr>
        <w:t xml:space="preserve"> 98.9% and </w:t>
      </w:r>
      <w:r>
        <w:rPr>
          <w:rFonts w:cs="Arial"/>
          <w:bCs/>
          <w:szCs w:val="19"/>
          <w:lang w:val="en-GB"/>
        </w:rPr>
        <w:t xml:space="preserve">with </w:t>
      </w:r>
      <w:r w:rsidRPr="00E33004">
        <w:rPr>
          <w:rFonts w:cs="Arial"/>
          <w:bCs/>
          <w:szCs w:val="19"/>
          <w:lang w:val="en-GB"/>
        </w:rPr>
        <w:t xml:space="preserve">a bathroom </w:t>
      </w:r>
      <w:r>
        <w:rPr>
          <w:rFonts w:cs="Arial"/>
          <w:bCs/>
          <w:szCs w:val="19"/>
          <w:lang w:val="en-GB"/>
        </w:rPr>
        <w:t>–</w:t>
      </w:r>
      <w:r w:rsidRPr="00E33004">
        <w:rPr>
          <w:rFonts w:cs="Arial"/>
          <w:bCs/>
          <w:szCs w:val="19"/>
          <w:lang w:val="en-GB"/>
        </w:rPr>
        <w:t xml:space="preserve"> 98.7%.</w:t>
      </w:r>
    </w:p>
    <w:p w14:paraId="7EE94F58" w14:textId="77777777" w:rsidR="00E33004" w:rsidRDefault="00AD0863" w:rsidP="00AD1C4D">
      <w:pPr>
        <w:rPr>
          <w:rFonts w:cs="Arial"/>
          <w:szCs w:val="19"/>
          <w:lang w:val="en-GB"/>
        </w:rPr>
      </w:pPr>
      <w:r>
        <w:rPr>
          <w:rFonts w:cs="Arial"/>
          <w:szCs w:val="19"/>
          <w:lang w:val="en-GB"/>
        </w:rPr>
        <w:t>As in the previous years</w:t>
      </w:r>
      <w:r w:rsidR="00E33004" w:rsidRPr="00E33004">
        <w:rPr>
          <w:rFonts w:cs="Arial"/>
          <w:szCs w:val="19"/>
          <w:lang w:val="en-GB"/>
        </w:rPr>
        <w:t>, the best equipped with technical and sanitary installations (</w:t>
      </w:r>
      <w:r w:rsidR="00E33004">
        <w:rPr>
          <w:rFonts w:cs="Arial"/>
          <w:szCs w:val="19"/>
          <w:lang w:val="en-GB"/>
        </w:rPr>
        <w:t>except</w:t>
      </w:r>
      <w:r w:rsidR="00E33004" w:rsidRPr="00E33004">
        <w:rPr>
          <w:rFonts w:cs="Arial"/>
          <w:szCs w:val="19"/>
          <w:lang w:val="en-GB"/>
        </w:rPr>
        <w:t xml:space="preserve"> gas and central heating) were the </w:t>
      </w:r>
      <w:r w:rsidR="00E33004">
        <w:rPr>
          <w:rFonts w:cs="Arial"/>
          <w:szCs w:val="19"/>
          <w:lang w:val="en-GB"/>
        </w:rPr>
        <w:t>dwellings</w:t>
      </w:r>
      <w:r w:rsidR="00E33004" w:rsidRPr="00E33004">
        <w:rPr>
          <w:rFonts w:cs="Arial"/>
          <w:szCs w:val="19"/>
          <w:lang w:val="en-GB"/>
        </w:rPr>
        <w:t xml:space="preserve"> of self-employed outside farm</w:t>
      </w:r>
      <w:r w:rsidR="00E33004">
        <w:rPr>
          <w:rFonts w:cs="Arial"/>
          <w:szCs w:val="19"/>
          <w:lang w:val="en-GB"/>
        </w:rPr>
        <w:t>ing</w:t>
      </w:r>
      <w:r w:rsidR="00E33004" w:rsidRPr="00E33004">
        <w:rPr>
          <w:rFonts w:cs="Arial"/>
          <w:szCs w:val="19"/>
          <w:lang w:val="en-GB"/>
        </w:rPr>
        <w:t xml:space="preserve">, and the worst </w:t>
      </w:r>
      <w:r w:rsidR="00E33004">
        <w:rPr>
          <w:rFonts w:cs="Arial"/>
          <w:szCs w:val="19"/>
          <w:lang w:val="en-GB"/>
        </w:rPr>
        <w:t>–</w:t>
      </w:r>
      <w:r w:rsidR="00E33004" w:rsidRPr="00E33004">
        <w:rPr>
          <w:rFonts w:cs="Arial"/>
          <w:szCs w:val="19"/>
          <w:lang w:val="en-GB"/>
        </w:rPr>
        <w:t xml:space="preserve"> households of pensioners.</w:t>
      </w:r>
    </w:p>
    <w:p w14:paraId="7EE94F59" w14:textId="77777777" w:rsidR="00BB40E7" w:rsidRDefault="00BB40E7" w:rsidP="00AD1C4D">
      <w:pPr>
        <w:rPr>
          <w:rFonts w:cs="Arial"/>
          <w:szCs w:val="19"/>
          <w:lang w:val="en-GB"/>
        </w:rPr>
      </w:pPr>
      <w:r w:rsidRPr="006E1C16">
        <w:rPr>
          <w:rFonts w:cs="Arial"/>
          <w:szCs w:val="19"/>
          <w:lang w:val="en-GB"/>
        </w:rPr>
        <w:t xml:space="preserve">Households in urban areas were slightly better equipped with sanitary and technical installations (except gas) </w:t>
      </w:r>
      <w:r w:rsidR="001D40F5">
        <w:rPr>
          <w:rFonts w:cs="Arial"/>
          <w:szCs w:val="19"/>
          <w:lang w:val="en-GB"/>
        </w:rPr>
        <w:t>than households in rural areas.</w:t>
      </w:r>
    </w:p>
    <w:p w14:paraId="7EE94F5A" w14:textId="77777777" w:rsidR="00BB40E7" w:rsidRDefault="00FD0CA4" w:rsidP="00BB40E7">
      <w:pPr>
        <w:spacing w:line="240" w:lineRule="auto"/>
        <w:jc w:val="both"/>
        <w:rPr>
          <w:spacing w:val="-2"/>
          <w:szCs w:val="19"/>
          <w:shd w:val="clear" w:color="auto" w:fill="FFFFFF"/>
          <w:lang w:val="en-GB"/>
        </w:rPr>
      </w:pPr>
      <w:r w:rsidRPr="002D6870">
        <w:rPr>
          <w:noProof/>
          <w:lang w:eastAsia="pl-PL"/>
        </w:rPr>
        <w:lastRenderedPageBreak/>
        <mc:AlternateContent>
          <mc:Choice Requires="wps">
            <w:drawing>
              <wp:anchor distT="45720" distB="45720" distL="114300" distR="114300" simplePos="0" relativeHeight="251834368" behindDoc="1" locked="0" layoutInCell="1" allowOverlap="1" wp14:anchorId="7EE94FD0" wp14:editId="7EE94FD1">
                <wp:simplePos x="0" y="0"/>
                <wp:positionH relativeFrom="column">
                  <wp:posOffset>5219700</wp:posOffset>
                </wp:positionH>
                <wp:positionV relativeFrom="paragraph">
                  <wp:posOffset>933450</wp:posOffset>
                </wp:positionV>
                <wp:extent cx="1725295" cy="1562100"/>
                <wp:effectExtent l="0" t="0" r="0" b="0"/>
                <wp:wrapTight wrapText="bothSides">
                  <wp:wrapPolygon edited="0">
                    <wp:start x="715" y="0"/>
                    <wp:lineTo x="715" y="21337"/>
                    <wp:lineTo x="20749" y="21337"/>
                    <wp:lineTo x="20749" y="0"/>
                    <wp:lineTo x="715" y="0"/>
                  </wp:wrapPolygon>
                </wp:wrapTight>
                <wp:docPr id="51"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62100"/>
                        </a:xfrm>
                        <a:prstGeom prst="rect">
                          <a:avLst/>
                        </a:prstGeom>
                        <a:noFill/>
                        <a:ln w="9525">
                          <a:noFill/>
                          <a:miter lim="800000"/>
                          <a:headEnd/>
                          <a:tailEnd/>
                        </a:ln>
                      </wps:spPr>
                      <wps:txbx>
                        <w:txbxContent>
                          <w:p w14:paraId="7EE95022" w14:textId="77777777" w:rsidR="0024032F" w:rsidRPr="007E0E31" w:rsidRDefault="0024032F" w:rsidP="00BB40E7">
                            <w:pPr>
                              <w:rPr>
                                <w:color w:val="001D77"/>
                                <w:szCs w:val="18"/>
                                <w:lang w:val="en-GB"/>
                              </w:rPr>
                            </w:pPr>
                            <w:r w:rsidRPr="007E0E31">
                              <w:rPr>
                                <w:rFonts w:cs="Arial"/>
                                <w:color w:val="001D77"/>
                                <w:szCs w:val="19"/>
                                <w:lang w:val="en-GB"/>
                              </w:rPr>
                              <w:t>Households in urban areas were slightly better equipped with sanitary and technical installations (except gas) than households in rural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D0" id="Pole tekstowe 25" o:spid="_x0000_s1043" type="#_x0000_t202" style="position:absolute;left:0;text-align:left;margin-left:411pt;margin-top:73.5pt;width:135.85pt;height:123pt;z-index:-25148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" filled="f" stroked="f">
                <v:textbox>
                  <w:txbxContent>
                    <w:p w14:paraId="7EE95022" w14:textId="77777777" w:rsidR="0024032F" w:rsidRPr="007E0E31" w:rsidRDefault="0024032F" w:rsidP="00BB40E7">
                      <w:pPr>
                        <w:rPr>
                          <w:color w:val="001D77"/>
                          <w:szCs w:val="18"/>
                          <w:lang w:val="en-GB"/>
                        </w:rPr>
                      </w:pPr>
                      <w:r w:rsidRPr="007E0E31">
                        <w:rPr>
                          <w:rFonts w:cs="Arial"/>
                          <w:color w:val="001D77"/>
                          <w:szCs w:val="19"/>
                          <w:lang w:val="en-GB"/>
                        </w:rPr>
                        <w:t>Households in urban areas were slightly better equipped with sanitary and technical installations (except gas) than households in rural areas</w:t>
                      </w:r>
                    </w:p>
                  </w:txbxContent>
                </v:textbox>
                <w10:wrap type="tight"/>
              </v:shape>
            </w:pict>
          </mc:Fallback>
        </mc:AlternateContent>
      </w:r>
      <w:r w:rsidR="007E0193">
        <w:rPr>
          <w:noProof/>
          <w:lang w:eastAsia="pl-PL"/>
        </w:rPr>
        <w:drawing>
          <wp:inline distT="0" distB="0" distL="0" distR="0" wp14:anchorId="7EE94FD2" wp14:editId="7EE94FD3">
            <wp:extent cx="5122545" cy="2626995"/>
            <wp:effectExtent l="0" t="0" r="0" b="0"/>
            <wp:docPr id="32" name="Wykres 32">
              <a:extLst xmlns:a="http://schemas.openxmlformats.org/drawingml/2006/main">
                <a:ext uri="{FF2B5EF4-FFF2-40B4-BE49-F238E27FC236}">
                  <a16:creationId xmlns:a16="http://schemas.microsoft.com/office/drawing/2014/main" id="{00000000-0008-0000-0D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E94F5B" w14:textId="77777777" w:rsidR="002D6870" w:rsidRPr="007E0193" w:rsidRDefault="002D6870" w:rsidP="00BB40E7">
      <w:pPr>
        <w:spacing w:line="240" w:lineRule="auto"/>
        <w:jc w:val="both"/>
        <w:rPr>
          <w:spacing w:val="-2"/>
          <w:szCs w:val="19"/>
          <w:shd w:val="clear" w:color="auto" w:fill="FFFFFF"/>
          <w:lang w:val="en-GB"/>
        </w:rPr>
      </w:pPr>
    </w:p>
    <w:p w14:paraId="7EE94F5C" w14:textId="77777777" w:rsidR="00BB40E7" w:rsidRDefault="003C7300" w:rsidP="002D6870">
      <w:pPr>
        <w:rPr>
          <w:rFonts w:cs="Arial"/>
          <w:bCs/>
          <w:spacing w:val="2"/>
          <w:szCs w:val="19"/>
          <w:lang w:val="en-GB"/>
        </w:rPr>
      </w:pPr>
      <w:r>
        <w:rPr>
          <w:rFonts w:cs="Arial"/>
          <w:bCs/>
          <w:spacing w:val="2"/>
          <w:szCs w:val="19"/>
          <w:lang w:val="en-GB"/>
        </w:rPr>
        <w:t>T</w:t>
      </w:r>
      <w:r w:rsidR="00534B2A">
        <w:rPr>
          <w:rFonts w:cs="Arial"/>
          <w:bCs/>
          <w:spacing w:val="2"/>
          <w:szCs w:val="19"/>
          <w:lang w:val="en-GB"/>
        </w:rPr>
        <w:t xml:space="preserve">here is clear relationship </w:t>
      </w:r>
      <w:r>
        <w:rPr>
          <w:rFonts w:cs="Arial"/>
          <w:bCs/>
          <w:spacing w:val="2"/>
          <w:szCs w:val="19"/>
          <w:lang w:val="en-GB"/>
        </w:rPr>
        <w:t xml:space="preserve">between </w:t>
      </w:r>
      <w:r w:rsidRPr="00AD1C4D">
        <w:rPr>
          <w:rFonts w:cs="Arial"/>
          <w:bCs/>
          <w:spacing w:val="2"/>
          <w:szCs w:val="19"/>
          <w:lang w:val="en-GB"/>
        </w:rPr>
        <w:t>household’s</w:t>
      </w:r>
      <w:r>
        <w:rPr>
          <w:rFonts w:cs="Arial"/>
          <w:bCs/>
          <w:spacing w:val="2"/>
          <w:szCs w:val="19"/>
          <w:lang w:val="en-GB"/>
        </w:rPr>
        <w:t xml:space="preserve"> income and t</w:t>
      </w:r>
      <w:r w:rsidR="00BB40E7" w:rsidRPr="002D6870">
        <w:rPr>
          <w:rFonts w:cs="Arial"/>
          <w:bCs/>
          <w:spacing w:val="2"/>
          <w:szCs w:val="19"/>
          <w:lang w:val="en-GB"/>
        </w:rPr>
        <w:t xml:space="preserve">he equipment </w:t>
      </w:r>
      <w:r w:rsidR="00BB40E7" w:rsidRPr="00AD1C4D">
        <w:rPr>
          <w:rFonts w:cs="Arial"/>
          <w:bCs/>
          <w:spacing w:val="2"/>
          <w:szCs w:val="19"/>
          <w:lang w:val="en-GB"/>
        </w:rPr>
        <w:t>of dwellings in sanitary and technical install</w:t>
      </w:r>
      <w:r w:rsidR="00BC16CA" w:rsidRPr="00AD1C4D">
        <w:rPr>
          <w:rFonts w:cs="Arial"/>
          <w:bCs/>
          <w:spacing w:val="2"/>
          <w:szCs w:val="19"/>
          <w:lang w:val="en-GB"/>
        </w:rPr>
        <w:t>ations</w:t>
      </w:r>
      <w:r w:rsidR="00BB40E7" w:rsidRPr="00AD1C4D">
        <w:rPr>
          <w:rFonts w:cs="Arial"/>
          <w:bCs/>
          <w:spacing w:val="2"/>
          <w:szCs w:val="19"/>
          <w:lang w:val="en-GB"/>
        </w:rPr>
        <w:t xml:space="preserve">, excluding gas, which </w:t>
      </w:r>
      <w:r w:rsidR="00D856F5" w:rsidRPr="00AD1C4D">
        <w:rPr>
          <w:rFonts w:cs="Arial"/>
          <w:bCs/>
          <w:spacing w:val="2"/>
          <w:szCs w:val="19"/>
          <w:lang w:val="en-GB"/>
        </w:rPr>
        <w:t>was</w:t>
      </w:r>
      <w:r w:rsidR="00BB40E7" w:rsidRPr="00AD1C4D">
        <w:rPr>
          <w:rFonts w:cs="Arial"/>
          <w:bCs/>
          <w:spacing w:val="2"/>
          <w:szCs w:val="19"/>
          <w:lang w:val="en-GB"/>
        </w:rPr>
        <w:t xml:space="preserve"> use</w:t>
      </w:r>
      <w:r w:rsidR="00D856F5" w:rsidRPr="00AD1C4D">
        <w:rPr>
          <w:rFonts w:cs="Arial"/>
          <w:bCs/>
          <w:spacing w:val="2"/>
          <w:szCs w:val="19"/>
          <w:lang w:val="en-GB"/>
        </w:rPr>
        <w:t>d by</w:t>
      </w:r>
      <w:r w:rsidR="00BB40E7" w:rsidRPr="00AD1C4D">
        <w:rPr>
          <w:rFonts w:cs="Arial"/>
          <w:bCs/>
          <w:spacing w:val="2"/>
          <w:szCs w:val="19"/>
          <w:lang w:val="en-GB"/>
        </w:rPr>
        <w:t xml:space="preserve"> the richest households</w:t>
      </w:r>
      <w:r w:rsidR="00D856F5" w:rsidRPr="00AD1C4D">
        <w:rPr>
          <w:rFonts w:cs="Arial"/>
          <w:bCs/>
          <w:spacing w:val="2"/>
          <w:szCs w:val="19"/>
          <w:lang w:val="en-GB"/>
        </w:rPr>
        <w:t xml:space="preserve"> the least</w:t>
      </w:r>
      <w:r w:rsidR="00290FBD" w:rsidRPr="00AD1C4D">
        <w:rPr>
          <w:rFonts w:cs="Arial"/>
          <w:bCs/>
          <w:spacing w:val="2"/>
          <w:szCs w:val="19"/>
          <w:lang w:val="en-GB"/>
        </w:rPr>
        <w:t xml:space="preserve"> (5</w:t>
      </w:r>
      <w:r w:rsidR="00BC16CA" w:rsidRPr="00AD1C4D">
        <w:rPr>
          <w:rFonts w:cs="Arial"/>
          <w:bCs/>
          <w:spacing w:val="2"/>
          <w:szCs w:val="19"/>
          <w:lang w:val="en-GB"/>
        </w:rPr>
        <w:t>th</w:t>
      </w:r>
      <w:r w:rsidR="00290FBD" w:rsidRPr="00AD1C4D">
        <w:rPr>
          <w:rFonts w:cs="Arial"/>
          <w:bCs/>
          <w:spacing w:val="2"/>
          <w:szCs w:val="19"/>
          <w:lang w:val="en-GB"/>
        </w:rPr>
        <w:t> </w:t>
      </w:r>
      <w:r w:rsidR="00BB40E7" w:rsidRPr="00AD1C4D">
        <w:rPr>
          <w:rFonts w:cs="Arial"/>
          <w:bCs/>
          <w:spacing w:val="2"/>
          <w:szCs w:val="19"/>
          <w:lang w:val="en-GB"/>
        </w:rPr>
        <w:t>quintile group).</w:t>
      </w:r>
      <w:r w:rsidR="00BB40E7" w:rsidRPr="00AD1C4D">
        <w:rPr>
          <w:rFonts w:cs="Arial"/>
          <w:spacing w:val="2"/>
          <w:szCs w:val="19"/>
          <w:lang w:val="en-GB"/>
        </w:rPr>
        <w:t xml:space="preserve"> </w:t>
      </w:r>
      <w:r w:rsidR="00BB40E7" w:rsidRPr="00AD1C4D">
        <w:rPr>
          <w:rFonts w:cs="Arial"/>
          <w:bCs/>
          <w:spacing w:val="2"/>
          <w:szCs w:val="19"/>
          <w:lang w:val="en-GB"/>
        </w:rPr>
        <w:t>The most significant difference in this area between 1st and 5th quintile group</w:t>
      </w:r>
      <w:r>
        <w:rPr>
          <w:rFonts w:cs="Arial"/>
          <w:bCs/>
          <w:spacing w:val="2"/>
          <w:szCs w:val="19"/>
          <w:lang w:val="en-GB"/>
        </w:rPr>
        <w:t xml:space="preserve"> </w:t>
      </w:r>
      <w:r w:rsidR="00BB40E7" w:rsidRPr="00AD1C4D">
        <w:rPr>
          <w:rFonts w:cs="Arial"/>
          <w:bCs/>
          <w:spacing w:val="2"/>
          <w:szCs w:val="19"/>
          <w:lang w:val="en-GB"/>
        </w:rPr>
        <w:t>in favour of the richest</w:t>
      </w:r>
      <w:r>
        <w:rPr>
          <w:rFonts w:cs="Arial"/>
          <w:bCs/>
          <w:spacing w:val="2"/>
          <w:szCs w:val="19"/>
          <w:lang w:val="en-GB"/>
        </w:rPr>
        <w:t xml:space="preserve"> households</w:t>
      </w:r>
      <w:r w:rsidR="00BB40E7" w:rsidRPr="00AD1C4D">
        <w:rPr>
          <w:rFonts w:cs="Arial"/>
          <w:bCs/>
          <w:spacing w:val="2"/>
          <w:szCs w:val="19"/>
          <w:lang w:val="en-GB"/>
        </w:rPr>
        <w:t xml:space="preserve"> concerned the equipment with central heating (</w:t>
      </w:r>
      <w:r>
        <w:rPr>
          <w:rFonts w:cs="Arial"/>
          <w:bCs/>
          <w:spacing w:val="2"/>
          <w:szCs w:val="19"/>
          <w:lang w:val="en-GB"/>
        </w:rPr>
        <w:t>6.9</w:t>
      </w:r>
      <w:r w:rsidR="00BB40E7" w:rsidRPr="00AD1C4D">
        <w:rPr>
          <w:rFonts w:cs="Arial"/>
          <w:bCs/>
          <w:spacing w:val="2"/>
          <w:szCs w:val="19"/>
          <w:lang w:val="en-GB"/>
        </w:rPr>
        <w:t> </w:t>
      </w:r>
      <w:r w:rsidR="00BB40E7" w:rsidRPr="00AD1C4D">
        <w:rPr>
          <w:rFonts w:cs="Arial"/>
          <w:spacing w:val="2"/>
          <w:szCs w:val="19"/>
          <w:lang w:val="en-GB"/>
        </w:rPr>
        <w:t>percentage points</w:t>
      </w:r>
      <w:r w:rsidR="00BB40E7" w:rsidRPr="00AD1C4D">
        <w:rPr>
          <w:rFonts w:cs="Arial"/>
          <w:bCs/>
          <w:spacing w:val="2"/>
          <w:szCs w:val="19"/>
          <w:lang w:val="en-GB"/>
        </w:rPr>
        <w:t>), bathroom (</w:t>
      </w:r>
      <w:r>
        <w:rPr>
          <w:rFonts w:cs="Arial"/>
          <w:bCs/>
          <w:spacing w:val="2"/>
          <w:szCs w:val="19"/>
          <w:lang w:val="en-GB"/>
        </w:rPr>
        <w:t>3.0</w:t>
      </w:r>
      <w:r w:rsidR="00BB40E7" w:rsidRPr="00AD1C4D">
        <w:rPr>
          <w:rFonts w:cs="Arial"/>
          <w:bCs/>
          <w:spacing w:val="2"/>
          <w:szCs w:val="19"/>
          <w:lang w:val="en-GB"/>
        </w:rPr>
        <w:t xml:space="preserve"> percentage points) and flushing toilet (</w:t>
      </w:r>
      <w:r>
        <w:rPr>
          <w:rFonts w:cs="Arial"/>
          <w:bCs/>
          <w:spacing w:val="2"/>
          <w:szCs w:val="19"/>
          <w:lang w:val="en-GB"/>
        </w:rPr>
        <w:t>2.5</w:t>
      </w:r>
      <w:r w:rsidR="00BB40E7" w:rsidRPr="00AD1C4D">
        <w:rPr>
          <w:rFonts w:cs="Arial"/>
          <w:bCs/>
          <w:spacing w:val="2"/>
          <w:szCs w:val="19"/>
          <w:lang w:val="en-GB"/>
        </w:rPr>
        <w:t xml:space="preserve"> percentage point</w:t>
      </w:r>
      <w:r w:rsidR="00BC16CA" w:rsidRPr="00AD1C4D">
        <w:rPr>
          <w:rFonts w:cs="Arial"/>
          <w:bCs/>
          <w:spacing w:val="2"/>
          <w:szCs w:val="19"/>
          <w:lang w:val="en-GB"/>
        </w:rPr>
        <w:t>s</w:t>
      </w:r>
      <w:r w:rsidR="00BB40E7" w:rsidRPr="00AD1C4D">
        <w:rPr>
          <w:rFonts w:cs="Arial"/>
          <w:bCs/>
          <w:spacing w:val="2"/>
          <w:szCs w:val="19"/>
          <w:lang w:val="en-GB"/>
        </w:rPr>
        <w:t>).</w:t>
      </w:r>
      <w:r>
        <w:rPr>
          <w:rFonts w:cs="Arial"/>
          <w:bCs/>
          <w:spacing w:val="2"/>
          <w:szCs w:val="19"/>
          <w:lang w:val="en-GB"/>
        </w:rPr>
        <w:t xml:space="preserve"> These</w:t>
      </w:r>
      <w:r w:rsidR="00BB40E7" w:rsidRPr="00AD1C4D">
        <w:rPr>
          <w:rFonts w:cs="Arial"/>
          <w:bCs/>
          <w:spacing w:val="2"/>
          <w:szCs w:val="19"/>
          <w:lang w:val="en-GB"/>
        </w:rPr>
        <w:t xml:space="preserve"> </w:t>
      </w:r>
      <w:r>
        <w:rPr>
          <w:rFonts w:cs="Arial"/>
          <w:bCs/>
          <w:spacing w:val="2"/>
          <w:szCs w:val="19"/>
          <w:lang w:val="en-GB"/>
        </w:rPr>
        <w:t>d</w:t>
      </w:r>
      <w:r w:rsidR="00BB40E7" w:rsidRPr="00AD1C4D">
        <w:rPr>
          <w:rFonts w:cs="Arial"/>
          <w:bCs/>
          <w:spacing w:val="2"/>
          <w:szCs w:val="19"/>
          <w:lang w:val="en-GB"/>
        </w:rPr>
        <w:t xml:space="preserve">ifferences decreased in comparison </w:t>
      </w:r>
      <w:r>
        <w:rPr>
          <w:rFonts w:cs="Arial"/>
          <w:bCs/>
          <w:spacing w:val="2"/>
          <w:szCs w:val="19"/>
          <w:lang w:val="en-GB"/>
        </w:rPr>
        <w:t>with</w:t>
      </w:r>
      <w:r w:rsidR="00BB40E7" w:rsidRPr="00AD1C4D">
        <w:rPr>
          <w:rFonts w:cs="Arial"/>
          <w:bCs/>
          <w:spacing w:val="2"/>
          <w:szCs w:val="19"/>
          <w:lang w:val="en-GB"/>
        </w:rPr>
        <w:t xml:space="preserve"> 201</w:t>
      </w:r>
      <w:r>
        <w:rPr>
          <w:rFonts w:cs="Arial"/>
          <w:bCs/>
          <w:spacing w:val="2"/>
          <w:szCs w:val="19"/>
          <w:lang w:val="en-GB"/>
        </w:rPr>
        <w:t>9</w:t>
      </w:r>
      <w:r w:rsidR="00BB40E7" w:rsidRPr="00AD1C4D">
        <w:rPr>
          <w:rFonts w:cs="Arial"/>
          <w:bCs/>
          <w:spacing w:val="2"/>
          <w:szCs w:val="19"/>
          <w:lang w:val="en-GB"/>
        </w:rPr>
        <w:t>.</w:t>
      </w:r>
    </w:p>
    <w:p w14:paraId="7EE94F5D" w14:textId="77777777" w:rsidR="00C6617C" w:rsidRPr="00AD1C4D" w:rsidRDefault="00C6617C" w:rsidP="002D6870">
      <w:pPr>
        <w:rPr>
          <w:rFonts w:cs="Arial"/>
          <w:bCs/>
          <w:spacing w:val="2"/>
          <w:szCs w:val="19"/>
          <w:lang w:val="en-GB"/>
        </w:rPr>
      </w:pPr>
    </w:p>
    <w:p w14:paraId="7EE94F5E" w14:textId="77777777" w:rsidR="00BB40E7" w:rsidRPr="00230699" w:rsidRDefault="007E0193" w:rsidP="00BB40E7">
      <w:pPr>
        <w:spacing w:line="240" w:lineRule="auto"/>
        <w:jc w:val="both"/>
        <w:rPr>
          <w:spacing w:val="-2"/>
          <w:szCs w:val="19"/>
          <w:shd w:val="clear" w:color="auto" w:fill="FFFFFF"/>
        </w:rPr>
      </w:pPr>
      <w:r>
        <w:rPr>
          <w:noProof/>
          <w:lang w:eastAsia="pl-PL"/>
        </w:rPr>
        <w:drawing>
          <wp:inline distT="0" distB="0" distL="0" distR="0" wp14:anchorId="7EE94FD4" wp14:editId="7EE94FD5">
            <wp:extent cx="5122545" cy="2626995"/>
            <wp:effectExtent l="0" t="0" r="0" b="0"/>
            <wp:docPr id="33" name="Wykres 33">
              <a:extLst xmlns:a="http://schemas.openxmlformats.org/drawingml/2006/main">
                <a:ext uri="{FF2B5EF4-FFF2-40B4-BE49-F238E27FC236}">
                  <a16:creationId xmlns:a16="http://schemas.microsoft.com/office/drawing/2014/main" id="{00000000-0008-0000-0E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E94F5F" w14:textId="77777777" w:rsidR="00BB40E7" w:rsidRPr="00230699" w:rsidRDefault="00BB40E7" w:rsidP="00BB40E7">
      <w:pPr>
        <w:spacing w:before="240"/>
        <w:rPr>
          <w:spacing w:val="-2"/>
          <w:szCs w:val="19"/>
          <w:shd w:val="clear" w:color="auto" w:fill="FFFFFF"/>
        </w:rPr>
      </w:pPr>
    </w:p>
    <w:p w14:paraId="7EE94F60" w14:textId="77777777" w:rsidR="00BB40E7" w:rsidRPr="004700B5" w:rsidRDefault="0080273B" w:rsidP="00AD1C4D">
      <w:pPr>
        <w:spacing w:before="240" w:line="240" w:lineRule="auto"/>
        <w:rPr>
          <w:rFonts w:ascii="Fira Sans SemiBold" w:hAnsi="Fira Sans SemiBold"/>
          <w:color w:val="001D77"/>
          <w:szCs w:val="19"/>
          <w:shd w:val="clear" w:color="auto" w:fill="FFFFFF"/>
          <w:lang w:val="en-GB"/>
        </w:rPr>
      </w:pPr>
      <w:r w:rsidRPr="004700B5">
        <w:rPr>
          <w:noProof/>
          <w:lang w:eastAsia="pl-PL"/>
        </w:rPr>
        <mc:AlternateContent>
          <mc:Choice Requires="wps">
            <w:drawing>
              <wp:anchor distT="45720" distB="45720" distL="114300" distR="114300" simplePos="0" relativeHeight="251832320" behindDoc="1" locked="0" layoutInCell="1" allowOverlap="1" wp14:anchorId="7EE94FD6" wp14:editId="7EE94FD7">
                <wp:simplePos x="0" y="0"/>
                <wp:positionH relativeFrom="column">
                  <wp:posOffset>5210175</wp:posOffset>
                </wp:positionH>
                <wp:positionV relativeFrom="paragraph">
                  <wp:posOffset>154305</wp:posOffset>
                </wp:positionV>
                <wp:extent cx="1725295" cy="1276350"/>
                <wp:effectExtent l="0" t="0" r="0" b="0"/>
                <wp:wrapTight wrapText="bothSides">
                  <wp:wrapPolygon edited="0">
                    <wp:start x="715" y="0"/>
                    <wp:lineTo x="715" y="21278"/>
                    <wp:lineTo x="20749" y="21278"/>
                    <wp:lineTo x="20749" y="0"/>
                    <wp:lineTo x="715" y="0"/>
                  </wp:wrapPolygon>
                </wp:wrapTight>
                <wp:docPr id="50"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76350"/>
                        </a:xfrm>
                        <a:prstGeom prst="rect">
                          <a:avLst/>
                        </a:prstGeom>
                        <a:noFill/>
                        <a:ln w="9525">
                          <a:noFill/>
                          <a:miter lim="800000"/>
                          <a:headEnd/>
                          <a:tailEnd/>
                        </a:ln>
                      </wps:spPr>
                      <wps:txbx>
                        <w:txbxContent>
                          <w:p w14:paraId="7EE95023" w14:textId="77777777" w:rsidR="0024032F" w:rsidRPr="007E0E31" w:rsidRDefault="0024032F" w:rsidP="00BB40E7">
                            <w:pPr>
                              <w:spacing w:after="0"/>
                              <w:rPr>
                                <w:rFonts w:eastAsia="Times New Roman" w:cs="Times New Roman"/>
                                <w:bCs/>
                                <w:color w:val="001D77"/>
                                <w:sz w:val="18"/>
                                <w:szCs w:val="18"/>
                                <w:lang w:val="en-GB" w:eastAsia="pl-PL"/>
                              </w:rPr>
                            </w:pPr>
                            <w:r w:rsidRPr="007E0E31">
                              <w:rPr>
                                <w:color w:val="001D77"/>
                                <w:spacing w:val="-2"/>
                                <w:szCs w:val="19"/>
                                <w:lang w:val="en-US"/>
                              </w:rPr>
                              <w:t xml:space="preserve">The subjective </w:t>
                            </w:r>
                            <w:r>
                              <w:rPr>
                                <w:color w:val="001D77"/>
                                <w:spacing w:val="-2"/>
                                <w:szCs w:val="19"/>
                                <w:lang w:val="en-US"/>
                              </w:rPr>
                              <w:t>evaluation</w:t>
                            </w:r>
                            <w:r w:rsidRPr="007E0E31">
                              <w:rPr>
                                <w:color w:val="001D77"/>
                                <w:spacing w:val="-2"/>
                                <w:szCs w:val="19"/>
                                <w:lang w:val="en-US"/>
                              </w:rPr>
                              <w:t xml:space="preserve"> of the financial situation of households constantly improv</w:t>
                            </w:r>
                            <w:r>
                              <w:rPr>
                                <w:color w:val="001D77"/>
                                <w:spacing w:val="-2"/>
                                <w:szCs w:val="19"/>
                                <w:lang w:val="en-US"/>
                              </w:rPr>
                              <w: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D6" id="Pole tekstowe 23" o:spid="_x0000_s1044" type="#_x0000_t202" style="position:absolute;margin-left:410.25pt;margin-top:12.15pt;width:135.85pt;height:100.5pt;z-index:-25148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" filled="f" stroked="f">
                <v:textbox>
                  <w:txbxContent>
                    <w:p w14:paraId="7EE95023" w14:textId="77777777" w:rsidR="0024032F" w:rsidRPr="007E0E31" w:rsidRDefault="0024032F" w:rsidP="00BB40E7">
                      <w:pPr>
                        <w:spacing w:after="0"/>
                        <w:rPr>
                          <w:rFonts w:eastAsia="Times New Roman" w:cs="Times New Roman"/>
                          <w:bCs/>
                          <w:color w:val="001D77"/>
                          <w:sz w:val="18"/>
                          <w:szCs w:val="18"/>
                          <w:lang w:val="en-GB" w:eastAsia="pl-PL"/>
                        </w:rPr>
                      </w:pPr>
                      <w:r w:rsidRPr="007E0E31">
                        <w:rPr>
                          <w:color w:val="001D77"/>
                          <w:spacing w:val="-2"/>
                          <w:szCs w:val="19"/>
                          <w:lang w:val="en-US"/>
                        </w:rPr>
                        <w:t xml:space="preserve">The subjective </w:t>
                      </w:r>
                      <w:r>
                        <w:rPr>
                          <w:color w:val="001D77"/>
                          <w:spacing w:val="-2"/>
                          <w:szCs w:val="19"/>
                          <w:lang w:val="en-US"/>
                        </w:rPr>
                        <w:t>evaluation</w:t>
                      </w:r>
                      <w:r w:rsidRPr="007E0E31">
                        <w:rPr>
                          <w:color w:val="001D77"/>
                          <w:spacing w:val="-2"/>
                          <w:szCs w:val="19"/>
                          <w:lang w:val="en-US"/>
                        </w:rPr>
                        <w:t xml:space="preserve"> of the financial situation of households constantly improv</w:t>
                      </w:r>
                      <w:r>
                        <w:rPr>
                          <w:color w:val="001D77"/>
                          <w:spacing w:val="-2"/>
                          <w:szCs w:val="19"/>
                          <w:lang w:val="en-US"/>
                        </w:rPr>
                        <w:t>es</w:t>
                      </w:r>
                    </w:p>
                  </w:txbxContent>
                </v:textbox>
                <w10:wrap type="tight"/>
              </v:shape>
            </w:pict>
          </mc:Fallback>
        </mc:AlternateContent>
      </w:r>
      <w:r w:rsidR="00BB40E7" w:rsidRPr="004700B5">
        <w:rPr>
          <w:rFonts w:ascii="Fira Sans SemiBold" w:hAnsi="Fira Sans SemiBold"/>
          <w:color w:val="001D77"/>
          <w:szCs w:val="19"/>
          <w:shd w:val="clear" w:color="auto" w:fill="FFFFFF"/>
          <w:lang w:val="en-GB"/>
        </w:rPr>
        <w:t xml:space="preserve">A subjective evaluation of the financial situation of households </w:t>
      </w:r>
    </w:p>
    <w:p w14:paraId="7EE94F61" w14:textId="77777777" w:rsidR="00BB40E7" w:rsidRPr="006E1C16" w:rsidRDefault="00BB40E7" w:rsidP="00AD1C4D">
      <w:pPr>
        <w:pStyle w:val="HTML-wstpniesformatowany"/>
        <w:spacing w:after="280"/>
        <w:rPr>
          <w:rFonts w:ascii="Fira Sans" w:hAnsi="Fira Sans"/>
          <w:spacing w:val="-2"/>
          <w:sz w:val="19"/>
          <w:szCs w:val="19"/>
          <w:lang w:val="en-US"/>
        </w:rPr>
      </w:pPr>
      <w:r w:rsidRPr="00FA3A0F">
        <w:rPr>
          <w:rFonts w:ascii="Fira Sans" w:hAnsi="Fira Sans"/>
          <w:spacing w:val="-2"/>
          <w:sz w:val="19"/>
          <w:szCs w:val="19"/>
          <w:lang w:val="en-US"/>
        </w:rPr>
        <w:t xml:space="preserve">In all socio-economic groups, the subjective </w:t>
      </w:r>
      <w:r w:rsidR="003C7300" w:rsidRPr="00FA3A0F">
        <w:rPr>
          <w:rFonts w:ascii="Fira Sans" w:hAnsi="Fira Sans"/>
          <w:spacing w:val="-2"/>
          <w:sz w:val="19"/>
          <w:szCs w:val="19"/>
          <w:lang w:val="en-US"/>
        </w:rPr>
        <w:t>evaluation</w:t>
      </w:r>
      <w:r w:rsidRPr="00FA3A0F">
        <w:rPr>
          <w:rFonts w:ascii="Fira Sans" w:hAnsi="Fira Sans"/>
          <w:spacing w:val="-2"/>
          <w:sz w:val="19"/>
          <w:szCs w:val="19"/>
          <w:lang w:val="en-US"/>
        </w:rPr>
        <w:t xml:space="preserve"> of the financial situation of households </w:t>
      </w:r>
      <w:r w:rsidR="002413CA" w:rsidRPr="002413CA">
        <w:rPr>
          <w:rFonts w:ascii="Fira Sans" w:hAnsi="Fira Sans"/>
          <w:spacing w:val="-2"/>
          <w:sz w:val="19"/>
          <w:szCs w:val="19"/>
          <w:lang w:val="en-US"/>
        </w:rPr>
        <w:t xml:space="preserve">was </w:t>
      </w:r>
      <w:r w:rsidR="003C7300">
        <w:rPr>
          <w:rFonts w:ascii="Fira Sans" w:hAnsi="Fira Sans"/>
          <w:spacing w:val="-2"/>
          <w:sz w:val="19"/>
          <w:szCs w:val="19"/>
          <w:lang w:val="en-US"/>
        </w:rPr>
        <w:t>systematically</w:t>
      </w:r>
      <w:r w:rsidRPr="002413CA">
        <w:rPr>
          <w:rFonts w:ascii="Fira Sans" w:hAnsi="Fira Sans"/>
          <w:spacing w:val="-2"/>
          <w:sz w:val="19"/>
          <w:szCs w:val="19"/>
          <w:lang w:val="en-US"/>
        </w:rPr>
        <w:t xml:space="preserve"> improving.</w:t>
      </w:r>
      <w:r>
        <w:rPr>
          <w:rFonts w:ascii="Fira Sans" w:hAnsi="Fira Sans"/>
          <w:spacing w:val="-2"/>
          <w:sz w:val="19"/>
          <w:szCs w:val="19"/>
          <w:lang w:val="en-US"/>
        </w:rPr>
        <w:t xml:space="preserve"> In 20</w:t>
      </w:r>
      <w:r w:rsidR="003C7300">
        <w:rPr>
          <w:rFonts w:ascii="Fira Sans" w:hAnsi="Fira Sans"/>
          <w:spacing w:val="-2"/>
          <w:sz w:val="19"/>
          <w:szCs w:val="19"/>
          <w:lang w:val="en-US"/>
        </w:rPr>
        <w:t>20</w:t>
      </w:r>
      <w:r w:rsidRPr="006E1C16">
        <w:rPr>
          <w:rFonts w:ascii="Fira Sans" w:hAnsi="Fira Sans"/>
          <w:spacing w:val="-2"/>
          <w:sz w:val="19"/>
          <w:szCs w:val="19"/>
          <w:lang w:val="en-US"/>
        </w:rPr>
        <w:t>, there was a further increase in the percentage of households assessing their financial situation a</w:t>
      </w:r>
      <w:r>
        <w:rPr>
          <w:rFonts w:ascii="Fira Sans" w:hAnsi="Fira Sans"/>
          <w:spacing w:val="-2"/>
          <w:sz w:val="19"/>
          <w:szCs w:val="19"/>
          <w:lang w:val="en-US"/>
        </w:rPr>
        <w:t>s good or rather good (</w:t>
      </w:r>
      <w:r w:rsidR="00E22528">
        <w:rPr>
          <w:rFonts w:ascii="Fira Sans" w:hAnsi="Fira Sans"/>
          <w:spacing w:val="-2"/>
          <w:sz w:val="19"/>
          <w:szCs w:val="19"/>
          <w:lang w:val="en-US"/>
        </w:rPr>
        <w:t>51.6</w:t>
      </w:r>
      <w:r w:rsidRPr="006E1C16">
        <w:rPr>
          <w:rFonts w:ascii="Fira Sans" w:hAnsi="Fira Sans"/>
          <w:spacing w:val="-2"/>
          <w:sz w:val="19"/>
          <w:szCs w:val="19"/>
          <w:lang w:val="en-US"/>
        </w:rPr>
        <w:t>% of house</w:t>
      </w:r>
      <w:r>
        <w:rPr>
          <w:rFonts w:ascii="Fira Sans" w:hAnsi="Fira Sans"/>
          <w:spacing w:val="-2"/>
          <w:sz w:val="19"/>
          <w:szCs w:val="19"/>
          <w:lang w:val="en-US"/>
        </w:rPr>
        <w:t>holds compared to 4</w:t>
      </w:r>
      <w:r w:rsidR="00E22528">
        <w:rPr>
          <w:rFonts w:ascii="Fira Sans" w:hAnsi="Fira Sans"/>
          <w:spacing w:val="-2"/>
          <w:sz w:val="19"/>
          <w:szCs w:val="19"/>
          <w:lang w:val="en-US"/>
        </w:rPr>
        <w:t>8.6</w:t>
      </w:r>
      <w:r>
        <w:rPr>
          <w:rFonts w:ascii="Fira Sans" w:hAnsi="Fira Sans"/>
          <w:spacing w:val="-2"/>
          <w:sz w:val="19"/>
          <w:szCs w:val="19"/>
          <w:lang w:val="en-US"/>
        </w:rPr>
        <w:t>% in 201</w:t>
      </w:r>
      <w:r w:rsidR="00E22528">
        <w:rPr>
          <w:rFonts w:ascii="Fira Sans" w:hAnsi="Fira Sans"/>
          <w:spacing w:val="-2"/>
          <w:sz w:val="19"/>
          <w:szCs w:val="19"/>
          <w:lang w:val="en-US"/>
        </w:rPr>
        <w:t>9</w:t>
      </w:r>
      <w:r w:rsidRPr="006E1C16">
        <w:rPr>
          <w:rFonts w:ascii="Fira Sans" w:hAnsi="Fira Sans"/>
          <w:spacing w:val="-2"/>
          <w:sz w:val="19"/>
          <w:szCs w:val="19"/>
          <w:lang w:val="en-US"/>
        </w:rPr>
        <w:t xml:space="preserve">) and decrease in the percentage of households perceiving it as </w:t>
      </w:r>
      <w:r>
        <w:rPr>
          <w:rFonts w:ascii="Fira Sans" w:hAnsi="Fira Sans"/>
          <w:spacing w:val="-2"/>
          <w:sz w:val="19"/>
          <w:szCs w:val="19"/>
          <w:lang w:val="en-US"/>
        </w:rPr>
        <w:t xml:space="preserve">bad or </w:t>
      </w:r>
      <w:r w:rsidRPr="006E1C16">
        <w:rPr>
          <w:rFonts w:ascii="Fira Sans" w:hAnsi="Fira Sans"/>
          <w:spacing w:val="-2"/>
          <w:sz w:val="19"/>
          <w:szCs w:val="19"/>
          <w:lang w:val="en-US"/>
        </w:rPr>
        <w:t>ra</w:t>
      </w:r>
      <w:r>
        <w:rPr>
          <w:rFonts w:ascii="Fira Sans" w:hAnsi="Fira Sans"/>
          <w:spacing w:val="-2"/>
          <w:sz w:val="19"/>
          <w:szCs w:val="19"/>
          <w:lang w:val="en-US"/>
        </w:rPr>
        <w:t>ther bad (</w:t>
      </w:r>
      <w:r w:rsidR="00E22528">
        <w:rPr>
          <w:rFonts w:ascii="Fira Sans" w:hAnsi="Fira Sans"/>
          <w:spacing w:val="-2"/>
          <w:sz w:val="19"/>
          <w:szCs w:val="19"/>
          <w:lang w:val="en-US"/>
        </w:rPr>
        <w:t>5.8</w:t>
      </w:r>
      <w:r>
        <w:rPr>
          <w:rFonts w:ascii="Fira Sans" w:hAnsi="Fira Sans"/>
          <w:spacing w:val="-2"/>
          <w:sz w:val="19"/>
          <w:szCs w:val="19"/>
          <w:lang w:val="en-US"/>
        </w:rPr>
        <w:t xml:space="preserve">% compared to </w:t>
      </w:r>
      <w:r w:rsidR="00E22528">
        <w:rPr>
          <w:rFonts w:ascii="Fira Sans" w:hAnsi="Fira Sans"/>
          <w:spacing w:val="-2"/>
          <w:sz w:val="19"/>
          <w:szCs w:val="19"/>
          <w:lang w:val="en-US"/>
        </w:rPr>
        <w:t>7.0</w:t>
      </w:r>
      <w:r>
        <w:rPr>
          <w:rFonts w:ascii="Fira Sans" w:hAnsi="Fira Sans"/>
          <w:spacing w:val="-2"/>
          <w:sz w:val="19"/>
          <w:szCs w:val="19"/>
          <w:lang w:val="en-US"/>
        </w:rPr>
        <w:t>% in 201</w:t>
      </w:r>
      <w:r w:rsidR="00E22528">
        <w:rPr>
          <w:rFonts w:ascii="Fira Sans" w:hAnsi="Fira Sans"/>
          <w:spacing w:val="-2"/>
          <w:sz w:val="19"/>
          <w:szCs w:val="19"/>
          <w:lang w:val="en-US"/>
        </w:rPr>
        <w:t>9</w:t>
      </w:r>
      <w:r w:rsidRPr="006E1C16">
        <w:rPr>
          <w:rFonts w:ascii="Fira Sans" w:hAnsi="Fira Sans"/>
          <w:spacing w:val="-2"/>
          <w:sz w:val="19"/>
          <w:szCs w:val="19"/>
          <w:lang w:val="en-US"/>
        </w:rPr>
        <w:t xml:space="preserve">). </w:t>
      </w:r>
      <w:r w:rsidR="00E22528">
        <w:rPr>
          <w:rFonts w:ascii="Fira Sans" w:hAnsi="Fira Sans" w:cs="Arial"/>
          <w:sz w:val="19"/>
          <w:szCs w:val="19"/>
          <w:lang w:val="en-GB"/>
        </w:rPr>
        <w:t>H</w:t>
      </w:r>
      <w:r w:rsidR="00E22528" w:rsidRPr="006E1C16">
        <w:rPr>
          <w:rFonts w:ascii="Fira Sans" w:hAnsi="Fira Sans" w:cs="Arial"/>
          <w:sz w:val="19"/>
          <w:szCs w:val="19"/>
          <w:lang w:val="en-GB"/>
        </w:rPr>
        <w:t>ouseh</w:t>
      </w:r>
      <w:r w:rsidR="00E22528">
        <w:rPr>
          <w:rFonts w:ascii="Fira Sans" w:hAnsi="Fira Sans" w:cs="Arial"/>
          <w:sz w:val="19"/>
          <w:szCs w:val="19"/>
          <w:lang w:val="en-GB"/>
        </w:rPr>
        <w:t xml:space="preserve">olds of the self-employed outside farming </w:t>
      </w:r>
      <w:r w:rsidRPr="006E1C16">
        <w:rPr>
          <w:rFonts w:ascii="Fira Sans" w:hAnsi="Fira Sans" w:cs="Arial"/>
          <w:sz w:val="19"/>
          <w:szCs w:val="19"/>
          <w:lang w:val="en-GB"/>
        </w:rPr>
        <w:t>assess</w:t>
      </w:r>
      <w:r w:rsidR="00E22528">
        <w:rPr>
          <w:rFonts w:ascii="Fira Sans" w:hAnsi="Fira Sans" w:cs="Arial"/>
          <w:sz w:val="19"/>
          <w:szCs w:val="19"/>
          <w:lang w:val="en-GB"/>
        </w:rPr>
        <w:t>ed their</w:t>
      </w:r>
      <w:r w:rsidRPr="006E1C16">
        <w:rPr>
          <w:rFonts w:ascii="Fira Sans" w:hAnsi="Fira Sans" w:cs="Arial"/>
          <w:sz w:val="19"/>
          <w:szCs w:val="19"/>
          <w:lang w:val="en-GB"/>
        </w:rPr>
        <w:t xml:space="preserve"> financial situation the most favourabl</w:t>
      </w:r>
      <w:r w:rsidR="00E22528">
        <w:rPr>
          <w:rFonts w:ascii="Fira Sans" w:hAnsi="Fira Sans" w:cs="Arial"/>
          <w:sz w:val="19"/>
          <w:szCs w:val="19"/>
          <w:lang w:val="en-GB"/>
        </w:rPr>
        <w:t>y</w:t>
      </w:r>
      <w:r w:rsidRPr="006E1C16">
        <w:rPr>
          <w:rFonts w:ascii="Fira Sans" w:hAnsi="Fira Sans" w:cs="Arial"/>
          <w:sz w:val="19"/>
          <w:szCs w:val="19"/>
          <w:lang w:val="en-GB"/>
        </w:rPr>
        <w:t xml:space="preserve"> </w:t>
      </w:r>
      <w:r>
        <w:rPr>
          <w:rFonts w:ascii="Fira Sans" w:hAnsi="Fira Sans" w:cs="Arial"/>
          <w:sz w:val="19"/>
          <w:szCs w:val="19"/>
          <w:lang w:val="en-GB"/>
        </w:rPr>
        <w:t>(73.4</w:t>
      </w:r>
      <w:r w:rsidRPr="006E1C16">
        <w:rPr>
          <w:rFonts w:ascii="Fira Sans" w:hAnsi="Fira Sans" w:cs="Arial"/>
          <w:sz w:val="19"/>
          <w:szCs w:val="19"/>
          <w:lang w:val="en-GB"/>
        </w:rPr>
        <w:t xml:space="preserve">% </w:t>
      </w:r>
      <w:r>
        <w:rPr>
          <w:rFonts w:ascii="Fira Sans" w:hAnsi="Fira Sans"/>
          <w:spacing w:val="-2"/>
          <w:sz w:val="19"/>
          <w:szCs w:val="19"/>
          <w:lang w:val="en-US"/>
        </w:rPr>
        <w:t>positive assessments</w:t>
      </w:r>
      <w:r w:rsidR="00E22528">
        <w:rPr>
          <w:rFonts w:ascii="Fira Sans" w:hAnsi="Fira Sans"/>
          <w:spacing w:val="-2"/>
          <w:sz w:val="19"/>
          <w:szCs w:val="19"/>
          <w:lang w:val="en-US"/>
        </w:rPr>
        <w:t>, no changes in comparison with 2019</w:t>
      </w:r>
      <w:r w:rsidRPr="006E1C16">
        <w:rPr>
          <w:rFonts w:ascii="Fira Sans" w:hAnsi="Fira Sans" w:cs="Arial"/>
          <w:sz w:val="19"/>
          <w:szCs w:val="19"/>
          <w:lang w:val="en-GB"/>
        </w:rPr>
        <w:t xml:space="preserve">) whereas </w:t>
      </w:r>
      <w:r w:rsidR="00E22528" w:rsidRPr="006E1C16">
        <w:rPr>
          <w:rFonts w:ascii="Fira Sans" w:hAnsi="Fira Sans" w:cs="Arial"/>
          <w:sz w:val="19"/>
          <w:szCs w:val="19"/>
          <w:lang w:val="en-GB"/>
        </w:rPr>
        <w:t xml:space="preserve">households of pensioners </w:t>
      </w:r>
      <w:r w:rsidRPr="006E1C16">
        <w:rPr>
          <w:rFonts w:ascii="Fira Sans" w:hAnsi="Fira Sans" w:cs="Arial"/>
          <w:sz w:val="19"/>
          <w:szCs w:val="19"/>
          <w:lang w:val="en-GB"/>
        </w:rPr>
        <w:t>assess</w:t>
      </w:r>
      <w:r w:rsidR="00E22528">
        <w:rPr>
          <w:rFonts w:ascii="Fira Sans" w:hAnsi="Fira Sans" w:cs="Arial"/>
          <w:sz w:val="19"/>
          <w:szCs w:val="19"/>
          <w:lang w:val="en-GB"/>
        </w:rPr>
        <w:t>ed their situation the worst</w:t>
      </w:r>
      <w:r w:rsidRPr="006E1C16">
        <w:rPr>
          <w:rFonts w:ascii="Fira Sans" w:hAnsi="Fira Sans" w:cs="Arial"/>
          <w:sz w:val="19"/>
          <w:szCs w:val="19"/>
          <w:lang w:val="en-GB"/>
        </w:rPr>
        <w:t xml:space="preserve"> </w:t>
      </w:r>
      <w:r>
        <w:rPr>
          <w:rFonts w:ascii="Fira Sans" w:hAnsi="Fira Sans" w:cs="Arial"/>
          <w:sz w:val="19"/>
          <w:szCs w:val="19"/>
          <w:lang w:val="en-GB"/>
        </w:rPr>
        <w:t>(</w:t>
      </w:r>
      <w:r w:rsidR="00E22528">
        <w:rPr>
          <w:rFonts w:ascii="Fira Sans" w:hAnsi="Fira Sans" w:cs="Arial"/>
          <w:sz w:val="19"/>
          <w:szCs w:val="19"/>
          <w:lang w:val="en-GB"/>
        </w:rPr>
        <w:t>23.5</w:t>
      </w:r>
      <w:r w:rsidRPr="006E1C16">
        <w:rPr>
          <w:rFonts w:ascii="Fira Sans" w:hAnsi="Fira Sans" w:cs="Arial"/>
          <w:sz w:val="19"/>
          <w:szCs w:val="19"/>
          <w:lang w:val="en-GB"/>
        </w:rPr>
        <w:t xml:space="preserve">% </w:t>
      </w:r>
      <w:r>
        <w:rPr>
          <w:rFonts w:ascii="Fira Sans" w:hAnsi="Fira Sans"/>
          <w:spacing w:val="-2"/>
          <w:sz w:val="19"/>
          <w:szCs w:val="19"/>
          <w:lang w:val="en-US"/>
        </w:rPr>
        <w:t xml:space="preserve">positive assessments compared </w:t>
      </w:r>
      <w:r w:rsidR="00E22528">
        <w:rPr>
          <w:rFonts w:ascii="Fira Sans" w:hAnsi="Fira Sans"/>
          <w:spacing w:val="-2"/>
          <w:sz w:val="19"/>
          <w:szCs w:val="19"/>
          <w:lang w:val="en-US"/>
        </w:rPr>
        <w:t>with</w:t>
      </w:r>
      <w:r>
        <w:rPr>
          <w:rFonts w:ascii="Fira Sans" w:hAnsi="Fira Sans"/>
          <w:spacing w:val="-2"/>
          <w:sz w:val="19"/>
          <w:szCs w:val="19"/>
          <w:lang w:val="en-US"/>
        </w:rPr>
        <w:t xml:space="preserve"> </w:t>
      </w:r>
      <w:r w:rsidR="00E22528">
        <w:rPr>
          <w:rFonts w:ascii="Fira Sans" w:hAnsi="Fira Sans"/>
          <w:spacing w:val="-2"/>
          <w:sz w:val="19"/>
          <w:szCs w:val="19"/>
          <w:lang w:val="en-US"/>
        </w:rPr>
        <w:t>22</w:t>
      </w:r>
      <w:r>
        <w:rPr>
          <w:rFonts w:ascii="Fira Sans" w:hAnsi="Fira Sans"/>
          <w:spacing w:val="-2"/>
          <w:sz w:val="19"/>
          <w:szCs w:val="19"/>
          <w:lang w:val="en-US"/>
        </w:rPr>
        <w:t>.</w:t>
      </w:r>
      <w:r w:rsidR="00E22528">
        <w:rPr>
          <w:rFonts w:ascii="Fira Sans" w:hAnsi="Fira Sans"/>
          <w:spacing w:val="-2"/>
          <w:sz w:val="19"/>
          <w:szCs w:val="19"/>
          <w:lang w:val="en-US"/>
        </w:rPr>
        <w:t>4</w:t>
      </w:r>
      <w:r>
        <w:rPr>
          <w:rFonts w:ascii="Fira Sans" w:hAnsi="Fira Sans"/>
          <w:spacing w:val="-2"/>
          <w:sz w:val="19"/>
          <w:szCs w:val="19"/>
          <w:lang w:val="en-US"/>
        </w:rPr>
        <w:t>% in 201</w:t>
      </w:r>
      <w:r w:rsidR="00E22528">
        <w:rPr>
          <w:rFonts w:ascii="Fira Sans" w:hAnsi="Fira Sans"/>
          <w:spacing w:val="-2"/>
          <w:sz w:val="19"/>
          <w:szCs w:val="19"/>
          <w:lang w:val="en-US"/>
        </w:rPr>
        <w:t>9</w:t>
      </w:r>
      <w:r>
        <w:rPr>
          <w:rFonts w:ascii="Fira Sans" w:hAnsi="Fira Sans"/>
          <w:spacing w:val="-2"/>
          <w:sz w:val="19"/>
          <w:szCs w:val="19"/>
          <w:lang w:val="en-US"/>
        </w:rPr>
        <w:t>).</w:t>
      </w:r>
    </w:p>
    <w:p w14:paraId="7EE94F62" w14:textId="77777777" w:rsidR="00BB40E7" w:rsidRPr="00230699" w:rsidRDefault="007E0193" w:rsidP="00BB40E7">
      <w:pPr>
        <w:spacing w:line="240" w:lineRule="auto"/>
        <w:jc w:val="both"/>
        <w:rPr>
          <w:spacing w:val="-2"/>
          <w:szCs w:val="19"/>
          <w:shd w:val="clear" w:color="auto" w:fill="FFFFFF"/>
        </w:rPr>
      </w:pPr>
      <w:r>
        <w:rPr>
          <w:noProof/>
          <w:lang w:eastAsia="pl-PL"/>
        </w:rPr>
        <w:lastRenderedPageBreak/>
        <w:drawing>
          <wp:inline distT="0" distB="0" distL="0" distR="0" wp14:anchorId="7EE94FD8" wp14:editId="7EE94FD9">
            <wp:extent cx="5122545" cy="4138295"/>
            <wp:effectExtent l="0" t="0" r="0" b="0"/>
            <wp:docPr id="34" name="Wykres 34">
              <a:extLst xmlns:a="http://schemas.openxmlformats.org/drawingml/2006/main">
                <a:ext uri="{FF2B5EF4-FFF2-40B4-BE49-F238E27FC236}">
                  <a16:creationId xmlns:a16="http://schemas.microsoft.com/office/drawing/2014/main" id="{00000000-0008-0000-0F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EE94F63" w14:textId="77777777" w:rsidR="00BB40E7" w:rsidRDefault="00BB40E7" w:rsidP="00BB40E7">
      <w:pPr>
        <w:spacing w:line="240" w:lineRule="auto"/>
        <w:rPr>
          <w:spacing w:val="-2"/>
          <w:sz w:val="18"/>
          <w:szCs w:val="19"/>
          <w:shd w:val="clear" w:color="auto" w:fill="FFFFFF"/>
        </w:rPr>
      </w:pPr>
    </w:p>
    <w:p w14:paraId="7EE94F64" w14:textId="77777777" w:rsidR="00BB40E7" w:rsidRPr="00060989" w:rsidRDefault="00BB40E7" w:rsidP="00BB40E7">
      <w:pPr>
        <w:rPr>
          <w:rFonts w:cs="Arial"/>
          <w:spacing w:val="-2"/>
          <w:szCs w:val="19"/>
          <w:lang w:val="en-GB"/>
        </w:rPr>
      </w:pPr>
      <w:r w:rsidRPr="00060989">
        <w:rPr>
          <w:rFonts w:cs="Arial"/>
          <w:spacing w:val="-2"/>
          <w:szCs w:val="19"/>
          <w:lang w:val="en-GB"/>
        </w:rPr>
        <w:t>The subjective evaluation of the financial situation</w:t>
      </w:r>
      <w:r w:rsidR="00D856F5" w:rsidRPr="00060989">
        <w:rPr>
          <w:rFonts w:cs="Arial"/>
          <w:spacing w:val="-2"/>
          <w:szCs w:val="19"/>
          <w:lang w:val="en-GB"/>
        </w:rPr>
        <w:t xml:space="preserve"> </w:t>
      </w:r>
      <w:r w:rsidR="00E22528">
        <w:rPr>
          <w:rFonts w:cs="Arial"/>
          <w:spacing w:val="-2"/>
          <w:szCs w:val="19"/>
          <w:lang w:val="en-GB"/>
        </w:rPr>
        <w:t xml:space="preserve">of households </w:t>
      </w:r>
      <w:r w:rsidR="00D856F5" w:rsidRPr="00060989">
        <w:rPr>
          <w:rFonts w:cs="Arial"/>
          <w:spacing w:val="-2"/>
          <w:szCs w:val="19"/>
          <w:lang w:val="en-GB"/>
        </w:rPr>
        <w:t>depends</w:t>
      </w:r>
      <w:r w:rsidRPr="00060989">
        <w:rPr>
          <w:rFonts w:cs="Arial"/>
          <w:spacing w:val="-2"/>
          <w:szCs w:val="19"/>
          <w:lang w:val="en-GB"/>
        </w:rPr>
        <w:t xml:space="preserve"> to a large extent on the place of residence</w:t>
      </w:r>
      <w:r w:rsidR="00F82B68">
        <w:rPr>
          <w:rFonts w:cs="Arial"/>
          <w:spacing w:val="-2"/>
          <w:szCs w:val="19"/>
          <w:lang w:val="en-GB"/>
        </w:rPr>
        <w:t xml:space="preserve"> of a household</w:t>
      </w:r>
      <w:r w:rsidRPr="00060989">
        <w:rPr>
          <w:rFonts w:cs="Arial"/>
          <w:spacing w:val="-2"/>
          <w:szCs w:val="19"/>
          <w:lang w:val="en-GB"/>
        </w:rPr>
        <w:t>. Households in rural areas assess</w:t>
      </w:r>
      <w:r w:rsidR="00F82B68">
        <w:rPr>
          <w:rFonts w:cs="Arial"/>
          <w:spacing w:val="-2"/>
          <w:szCs w:val="19"/>
          <w:lang w:val="en-GB"/>
        </w:rPr>
        <w:t>ed</w:t>
      </w:r>
      <w:r w:rsidRPr="00060989">
        <w:rPr>
          <w:rFonts w:cs="Arial"/>
          <w:spacing w:val="-2"/>
          <w:szCs w:val="19"/>
          <w:lang w:val="en-GB"/>
        </w:rPr>
        <w:t xml:space="preserve"> their financial situation worse than urban residents, </w:t>
      </w:r>
      <w:r w:rsidR="00F82B68">
        <w:rPr>
          <w:rFonts w:cs="Arial"/>
          <w:spacing w:val="-2"/>
          <w:szCs w:val="19"/>
          <w:lang w:val="en-GB"/>
        </w:rPr>
        <w:t>especially</w:t>
      </w:r>
      <w:r w:rsidRPr="00060989">
        <w:rPr>
          <w:rFonts w:cs="Arial"/>
          <w:spacing w:val="-2"/>
          <w:szCs w:val="19"/>
          <w:lang w:val="en-GB"/>
        </w:rPr>
        <w:t xml:space="preserve"> those from cities with a population of 500 thousand or more, however</w:t>
      </w:r>
      <w:r w:rsidR="00FA3A0F">
        <w:rPr>
          <w:rFonts w:cs="Arial"/>
          <w:spacing w:val="-2"/>
          <w:szCs w:val="19"/>
          <w:lang w:val="en-GB"/>
        </w:rPr>
        <w:t>,</w:t>
      </w:r>
      <w:r w:rsidRPr="00060989">
        <w:rPr>
          <w:rFonts w:cs="Arial"/>
          <w:spacing w:val="-2"/>
          <w:szCs w:val="19"/>
          <w:lang w:val="en-GB"/>
        </w:rPr>
        <w:t xml:space="preserve"> for both groups of household</w:t>
      </w:r>
      <w:r w:rsidR="00D856F5" w:rsidRPr="00060989">
        <w:rPr>
          <w:rFonts w:cs="Arial"/>
          <w:spacing w:val="-2"/>
          <w:szCs w:val="19"/>
          <w:lang w:val="en-GB"/>
        </w:rPr>
        <w:t>s</w:t>
      </w:r>
      <w:r w:rsidRPr="00060989">
        <w:rPr>
          <w:rFonts w:cs="Arial"/>
          <w:spacing w:val="-2"/>
          <w:szCs w:val="19"/>
          <w:lang w:val="en-GB"/>
        </w:rPr>
        <w:t xml:space="preserve"> the assessments significantly improved in comparison </w:t>
      </w:r>
      <w:r w:rsidR="00F82B68">
        <w:rPr>
          <w:rFonts w:cs="Arial"/>
          <w:spacing w:val="-2"/>
          <w:szCs w:val="19"/>
          <w:lang w:val="en-GB"/>
        </w:rPr>
        <w:t>with</w:t>
      </w:r>
      <w:r w:rsidRPr="00060989">
        <w:rPr>
          <w:rFonts w:cs="Arial"/>
          <w:spacing w:val="-2"/>
          <w:szCs w:val="19"/>
          <w:lang w:val="en-GB"/>
        </w:rPr>
        <w:t xml:space="preserve"> 201</w:t>
      </w:r>
      <w:r w:rsidR="00F82B68">
        <w:rPr>
          <w:rFonts w:cs="Arial"/>
          <w:spacing w:val="-2"/>
          <w:szCs w:val="19"/>
          <w:lang w:val="en-GB"/>
        </w:rPr>
        <w:t>9</w:t>
      </w:r>
      <w:r w:rsidRPr="00060989">
        <w:rPr>
          <w:rFonts w:cs="Arial"/>
          <w:spacing w:val="-2"/>
          <w:szCs w:val="19"/>
          <w:lang w:val="en-GB"/>
        </w:rPr>
        <w:t xml:space="preserve">. </w:t>
      </w:r>
      <w:r w:rsidR="00F82B68">
        <w:rPr>
          <w:rFonts w:cs="Arial"/>
          <w:spacing w:val="-2"/>
          <w:szCs w:val="19"/>
          <w:lang w:val="en-GB"/>
        </w:rPr>
        <w:t>60.9</w:t>
      </w:r>
      <w:r w:rsidRPr="00060989">
        <w:rPr>
          <w:rFonts w:cs="Arial"/>
          <w:spacing w:val="-2"/>
          <w:szCs w:val="19"/>
          <w:lang w:val="en-GB"/>
        </w:rPr>
        <w:t xml:space="preserve">% </w:t>
      </w:r>
      <w:r w:rsidR="00F82B68">
        <w:rPr>
          <w:rFonts w:cs="Arial"/>
          <w:spacing w:val="-2"/>
          <w:szCs w:val="19"/>
          <w:lang w:val="en-GB"/>
        </w:rPr>
        <w:t xml:space="preserve">of </w:t>
      </w:r>
      <w:r w:rsidRPr="00060989">
        <w:rPr>
          <w:rFonts w:cs="Arial"/>
          <w:spacing w:val="-2"/>
          <w:szCs w:val="19"/>
          <w:lang w:val="en-GB"/>
        </w:rPr>
        <w:t>household in cities with a population of 500 thousand or more and 4</w:t>
      </w:r>
      <w:r w:rsidR="00F82B68">
        <w:rPr>
          <w:rFonts w:cs="Arial"/>
          <w:spacing w:val="-2"/>
          <w:szCs w:val="19"/>
          <w:lang w:val="en-GB"/>
        </w:rPr>
        <w:t>7.2</w:t>
      </w:r>
      <w:r w:rsidRPr="00060989">
        <w:rPr>
          <w:rFonts w:cs="Arial"/>
          <w:spacing w:val="-2"/>
          <w:szCs w:val="19"/>
          <w:lang w:val="en-GB"/>
        </w:rPr>
        <w:t>% household</w:t>
      </w:r>
      <w:r w:rsidR="00D856F5" w:rsidRPr="00060989">
        <w:rPr>
          <w:rFonts w:cs="Arial"/>
          <w:spacing w:val="-2"/>
          <w:szCs w:val="19"/>
          <w:lang w:val="en-GB"/>
        </w:rPr>
        <w:t>s</w:t>
      </w:r>
      <w:r w:rsidRPr="00060989">
        <w:rPr>
          <w:rFonts w:cs="Arial"/>
          <w:spacing w:val="-2"/>
          <w:szCs w:val="19"/>
          <w:lang w:val="en-GB"/>
        </w:rPr>
        <w:t xml:space="preserve"> in rural areas </w:t>
      </w:r>
      <w:r w:rsidR="00F82B68">
        <w:rPr>
          <w:rFonts w:cs="Arial"/>
          <w:spacing w:val="-2"/>
          <w:szCs w:val="19"/>
          <w:lang w:val="en-GB"/>
        </w:rPr>
        <w:t>assessed</w:t>
      </w:r>
      <w:r w:rsidRPr="00060989">
        <w:rPr>
          <w:rFonts w:cs="Arial"/>
          <w:spacing w:val="-2"/>
          <w:szCs w:val="19"/>
          <w:lang w:val="en-GB"/>
        </w:rPr>
        <w:t xml:space="preserve"> their financial situation as good or rather good (in 201</w:t>
      </w:r>
      <w:r w:rsidR="00F82B68">
        <w:rPr>
          <w:rFonts w:cs="Arial"/>
          <w:spacing w:val="-2"/>
          <w:szCs w:val="19"/>
          <w:lang w:val="en-GB"/>
        </w:rPr>
        <w:t>9</w:t>
      </w:r>
      <w:r w:rsidRPr="00060989">
        <w:rPr>
          <w:rFonts w:cs="Arial"/>
          <w:spacing w:val="-2"/>
          <w:szCs w:val="19"/>
          <w:lang w:val="en-GB"/>
        </w:rPr>
        <w:t xml:space="preserve"> it was 5</w:t>
      </w:r>
      <w:r w:rsidR="00F82B68">
        <w:rPr>
          <w:rFonts w:cs="Arial"/>
          <w:spacing w:val="-2"/>
          <w:szCs w:val="19"/>
          <w:lang w:val="en-GB"/>
        </w:rPr>
        <w:t>7</w:t>
      </w:r>
      <w:r w:rsidRPr="00060989">
        <w:rPr>
          <w:rFonts w:cs="Arial"/>
          <w:spacing w:val="-2"/>
          <w:szCs w:val="19"/>
          <w:lang w:val="en-GB"/>
        </w:rPr>
        <w:t xml:space="preserve">.0% and </w:t>
      </w:r>
      <w:r w:rsidR="00F82B68">
        <w:rPr>
          <w:rFonts w:cs="Arial"/>
          <w:spacing w:val="-2"/>
          <w:szCs w:val="19"/>
          <w:lang w:val="en-GB"/>
        </w:rPr>
        <w:t>44</w:t>
      </w:r>
      <w:r w:rsidRPr="00060989">
        <w:rPr>
          <w:rFonts w:cs="Arial"/>
          <w:spacing w:val="-2"/>
          <w:szCs w:val="19"/>
          <w:lang w:val="en-GB"/>
        </w:rPr>
        <w:t>.3% respectively).</w:t>
      </w:r>
    </w:p>
    <w:p w14:paraId="7EE94F65" w14:textId="77777777" w:rsidR="00BB40E7" w:rsidRPr="00BB40E7" w:rsidRDefault="00BB40E7" w:rsidP="00BB40E7">
      <w:pPr>
        <w:rPr>
          <w:spacing w:val="-2"/>
          <w:szCs w:val="19"/>
          <w:shd w:val="clear" w:color="auto" w:fill="FFFFFF"/>
          <w:lang w:val="en-GB"/>
        </w:rPr>
      </w:pPr>
    </w:p>
    <w:p w14:paraId="7EE94F66" w14:textId="77777777" w:rsidR="000E17FE" w:rsidRDefault="007E0193" w:rsidP="00BB40E7">
      <w:pPr>
        <w:spacing w:line="240" w:lineRule="auto"/>
        <w:rPr>
          <w:spacing w:val="-2"/>
          <w:szCs w:val="19"/>
          <w:shd w:val="clear" w:color="auto" w:fill="FFFFFF"/>
        </w:rPr>
      </w:pPr>
      <w:r>
        <w:rPr>
          <w:noProof/>
          <w:lang w:eastAsia="pl-PL"/>
        </w:rPr>
        <w:drawing>
          <wp:inline distT="0" distB="0" distL="0" distR="0" wp14:anchorId="7EE94FDA" wp14:editId="7EE94FDB">
            <wp:extent cx="5122545" cy="3430270"/>
            <wp:effectExtent l="0" t="0" r="0" b="0"/>
            <wp:docPr id="35" name="Wykres 35">
              <a:extLst xmlns:a="http://schemas.openxmlformats.org/drawingml/2006/main">
                <a:ext uri="{FF2B5EF4-FFF2-40B4-BE49-F238E27FC236}">
                  <a16:creationId xmlns:a16="http://schemas.microsoft.com/office/drawing/2014/main" id="{00000000-0008-0000-1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E94F67" w14:textId="77777777" w:rsidR="00F82B68" w:rsidRDefault="00F82B68" w:rsidP="00F82B68">
      <w:pPr>
        <w:rPr>
          <w:spacing w:val="-2"/>
          <w:szCs w:val="19"/>
          <w:shd w:val="clear" w:color="auto" w:fill="FFFFFF"/>
          <w:lang w:val="en-GB"/>
        </w:rPr>
      </w:pPr>
    </w:p>
    <w:p w14:paraId="7EE94F68" w14:textId="2C14C157" w:rsidR="00F82B68" w:rsidRPr="00F82B68" w:rsidRDefault="00F82B68" w:rsidP="00F82B68">
      <w:pPr>
        <w:rPr>
          <w:spacing w:val="-2"/>
          <w:szCs w:val="19"/>
          <w:shd w:val="clear" w:color="auto" w:fill="FFFFFF"/>
          <w:lang w:val="en-GB"/>
        </w:rPr>
      </w:pPr>
      <w:r w:rsidRPr="00F82B68">
        <w:rPr>
          <w:spacing w:val="-2"/>
          <w:szCs w:val="19"/>
          <w:shd w:val="clear" w:color="auto" w:fill="FFFFFF"/>
          <w:lang w:val="en-GB"/>
        </w:rPr>
        <w:lastRenderedPageBreak/>
        <w:t>As a result of the COVID-19 pandemic</w:t>
      </w:r>
      <w:r w:rsidR="00650698" w:rsidRPr="00017628">
        <w:rPr>
          <w:rStyle w:val="Odwoanieprzypisudolnego"/>
          <w:szCs w:val="19"/>
          <w:shd w:val="clear" w:color="auto" w:fill="FFFFFF"/>
        </w:rPr>
        <w:footnoteReference w:id="11"/>
      </w:r>
      <w:r w:rsidRPr="00F82B68">
        <w:rPr>
          <w:spacing w:val="-2"/>
          <w:szCs w:val="19"/>
          <w:shd w:val="clear" w:color="auto" w:fill="FFFFFF"/>
          <w:lang w:val="en-GB"/>
        </w:rPr>
        <w:t xml:space="preserve">, </w:t>
      </w:r>
      <w:r w:rsidR="002C301A">
        <w:rPr>
          <w:spacing w:val="-2"/>
          <w:szCs w:val="19"/>
          <w:shd w:val="clear" w:color="auto" w:fill="FFFFFF"/>
          <w:lang w:val="en-GB"/>
        </w:rPr>
        <w:t>a part of</w:t>
      </w:r>
      <w:r w:rsidRPr="00F82B68">
        <w:rPr>
          <w:spacing w:val="-2"/>
          <w:szCs w:val="19"/>
          <w:shd w:val="clear" w:color="auto" w:fill="FFFFFF"/>
          <w:lang w:val="en-GB"/>
        </w:rPr>
        <w:t xml:space="preserve"> households were forced to make decisions on: </w:t>
      </w:r>
      <w:r w:rsidR="002C301A">
        <w:rPr>
          <w:spacing w:val="-2"/>
          <w:szCs w:val="19"/>
          <w:shd w:val="clear" w:color="auto" w:fill="FFFFFF"/>
          <w:lang w:val="en-GB"/>
        </w:rPr>
        <w:t>reducing</w:t>
      </w:r>
      <w:r w:rsidRPr="00F82B68">
        <w:rPr>
          <w:spacing w:val="-2"/>
          <w:szCs w:val="19"/>
          <w:shd w:val="clear" w:color="auto" w:fill="FFFFFF"/>
          <w:lang w:val="en-GB"/>
        </w:rPr>
        <w:t xml:space="preserve"> </w:t>
      </w:r>
      <w:r w:rsidR="002C301A">
        <w:rPr>
          <w:spacing w:val="-2"/>
          <w:szCs w:val="19"/>
          <w:shd w:val="clear" w:color="auto" w:fill="FFFFFF"/>
          <w:lang w:val="en-GB"/>
        </w:rPr>
        <w:t>expenditure</w:t>
      </w:r>
      <w:r w:rsidRPr="00F82B68">
        <w:rPr>
          <w:spacing w:val="-2"/>
          <w:szCs w:val="19"/>
          <w:shd w:val="clear" w:color="auto" w:fill="FFFFFF"/>
          <w:lang w:val="en-GB"/>
        </w:rPr>
        <w:t xml:space="preserve">, using savings, taking out </w:t>
      </w:r>
      <w:r w:rsidR="002C301A" w:rsidRPr="00F82B68">
        <w:rPr>
          <w:spacing w:val="-2"/>
          <w:szCs w:val="19"/>
          <w:shd w:val="clear" w:color="auto" w:fill="FFFFFF"/>
          <w:lang w:val="en-GB"/>
        </w:rPr>
        <w:t xml:space="preserve">credits </w:t>
      </w:r>
      <w:r w:rsidRPr="00F82B68">
        <w:rPr>
          <w:spacing w:val="-2"/>
          <w:szCs w:val="19"/>
          <w:shd w:val="clear" w:color="auto" w:fill="FFFFFF"/>
          <w:lang w:val="en-GB"/>
        </w:rPr>
        <w:t>and</w:t>
      </w:r>
      <w:r w:rsidR="002C301A" w:rsidRPr="002C301A">
        <w:rPr>
          <w:spacing w:val="-2"/>
          <w:szCs w:val="19"/>
          <w:shd w:val="clear" w:color="auto" w:fill="FFFFFF"/>
          <w:lang w:val="en-GB"/>
        </w:rPr>
        <w:t xml:space="preserve"> </w:t>
      </w:r>
      <w:r w:rsidR="002C301A" w:rsidRPr="00F82B68">
        <w:rPr>
          <w:spacing w:val="-2"/>
          <w:szCs w:val="19"/>
          <w:shd w:val="clear" w:color="auto" w:fill="FFFFFF"/>
          <w:lang w:val="en-GB"/>
        </w:rPr>
        <w:t>loans</w:t>
      </w:r>
      <w:r w:rsidRPr="00F82B68">
        <w:rPr>
          <w:spacing w:val="-2"/>
          <w:szCs w:val="19"/>
          <w:shd w:val="clear" w:color="auto" w:fill="FFFFFF"/>
          <w:lang w:val="en-GB"/>
        </w:rPr>
        <w:t xml:space="preserve">, selling some assets, resigning from </w:t>
      </w:r>
      <w:r w:rsidR="002C301A" w:rsidRPr="002C301A">
        <w:rPr>
          <w:spacing w:val="-2"/>
          <w:szCs w:val="19"/>
          <w:shd w:val="clear" w:color="auto" w:fill="FFFFFF"/>
          <w:lang w:val="en-GB"/>
        </w:rPr>
        <w:t>repayment of fixed financial liabilities</w:t>
      </w:r>
      <w:r w:rsidR="002C301A">
        <w:rPr>
          <w:spacing w:val="-2"/>
          <w:szCs w:val="19"/>
          <w:shd w:val="clear" w:color="auto" w:fill="FFFFFF"/>
          <w:lang w:val="en-GB"/>
        </w:rPr>
        <w:t xml:space="preserve"> </w:t>
      </w:r>
      <w:r w:rsidR="002C301A" w:rsidRPr="00F82B68">
        <w:rPr>
          <w:spacing w:val="-2"/>
          <w:szCs w:val="19"/>
          <w:shd w:val="clear" w:color="auto" w:fill="FFFFFF"/>
          <w:lang w:val="en-GB"/>
        </w:rPr>
        <w:t>or</w:t>
      </w:r>
      <w:r w:rsidRPr="00F82B68">
        <w:rPr>
          <w:spacing w:val="-2"/>
          <w:szCs w:val="19"/>
          <w:shd w:val="clear" w:color="auto" w:fill="FFFFFF"/>
          <w:lang w:val="en-GB"/>
        </w:rPr>
        <w:t xml:space="preserve"> providing financial support to family and friends. The most frequent decision taken by households was to reduce expenditure, which was done to a </w:t>
      </w:r>
      <w:r w:rsidR="002C301A">
        <w:rPr>
          <w:spacing w:val="-2"/>
          <w:szCs w:val="19"/>
          <w:shd w:val="clear" w:color="auto" w:fill="FFFFFF"/>
          <w:lang w:val="en-GB"/>
        </w:rPr>
        <w:t>different extent</w:t>
      </w:r>
      <w:r w:rsidR="00431A5C">
        <w:rPr>
          <w:spacing w:val="-2"/>
          <w:szCs w:val="19"/>
          <w:shd w:val="clear" w:color="auto" w:fill="FFFFFF"/>
          <w:lang w:val="en-GB"/>
        </w:rPr>
        <w:t xml:space="preserve"> by 37.2</w:t>
      </w:r>
      <w:r w:rsidRPr="00F82B68">
        <w:rPr>
          <w:spacing w:val="-2"/>
          <w:szCs w:val="19"/>
          <w:shd w:val="clear" w:color="auto" w:fill="FFFFFF"/>
          <w:lang w:val="en-GB"/>
        </w:rPr>
        <w:t xml:space="preserve">% of households (the remaining decisions were taken much less frequently). The situation of </w:t>
      </w:r>
      <w:r w:rsidR="00914D4C" w:rsidRPr="00F82B68">
        <w:rPr>
          <w:spacing w:val="-2"/>
          <w:szCs w:val="19"/>
          <w:shd w:val="clear" w:color="auto" w:fill="FFFFFF"/>
          <w:lang w:val="en-GB"/>
        </w:rPr>
        <w:t xml:space="preserve">households </w:t>
      </w:r>
      <w:r w:rsidR="00914D4C">
        <w:rPr>
          <w:spacing w:val="-2"/>
          <w:szCs w:val="19"/>
          <w:shd w:val="clear" w:color="auto" w:fill="FFFFFF"/>
          <w:lang w:val="en-GB"/>
        </w:rPr>
        <w:t xml:space="preserve">of the </w:t>
      </w:r>
      <w:r w:rsidRPr="00F82B68">
        <w:rPr>
          <w:spacing w:val="-2"/>
          <w:szCs w:val="19"/>
          <w:shd w:val="clear" w:color="auto" w:fill="FFFFFF"/>
          <w:lang w:val="en-GB"/>
        </w:rPr>
        <w:t xml:space="preserve">self-employed was the most severely affected by the pandemic. Almost every second of them had to </w:t>
      </w:r>
      <w:r w:rsidR="0057123A">
        <w:rPr>
          <w:spacing w:val="-2"/>
          <w:szCs w:val="19"/>
          <w:shd w:val="clear" w:color="auto" w:fill="FFFFFF"/>
          <w:lang w:val="en-GB"/>
        </w:rPr>
        <w:t>reduce</w:t>
      </w:r>
      <w:r w:rsidRPr="00F82B68">
        <w:rPr>
          <w:spacing w:val="-2"/>
          <w:szCs w:val="19"/>
          <w:shd w:val="clear" w:color="auto" w:fill="FFFFFF"/>
          <w:lang w:val="en-GB"/>
        </w:rPr>
        <w:t xml:space="preserve"> their expen</w:t>
      </w:r>
      <w:r w:rsidR="0057123A">
        <w:rPr>
          <w:spacing w:val="-2"/>
          <w:szCs w:val="19"/>
          <w:shd w:val="clear" w:color="auto" w:fill="FFFFFF"/>
          <w:lang w:val="en-GB"/>
        </w:rPr>
        <w:t>diture</w:t>
      </w:r>
      <w:r w:rsidRPr="00F82B68">
        <w:rPr>
          <w:spacing w:val="-2"/>
          <w:szCs w:val="19"/>
          <w:shd w:val="clear" w:color="auto" w:fill="FFFFFF"/>
          <w:lang w:val="en-GB"/>
        </w:rPr>
        <w:t xml:space="preserve"> and as much as 6.9% to a significant extent. </w:t>
      </w:r>
      <w:r w:rsidR="00494F4F">
        <w:rPr>
          <w:spacing w:val="-2"/>
          <w:szCs w:val="19"/>
          <w:shd w:val="clear" w:color="auto" w:fill="FFFFFF"/>
          <w:lang w:val="en-GB"/>
        </w:rPr>
        <w:t>I</w:t>
      </w:r>
      <w:r w:rsidRPr="00F82B68">
        <w:rPr>
          <w:spacing w:val="-2"/>
          <w:szCs w:val="19"/>
          <w:shd w:val="clear" w:color="auto" w:fill="FFFFFF"/>
          <w:lang w:val="en-GB"/>
        </w:rPr>
        <w:t>n the best situation</w:t>
      </w:r>
      <w:r w:rsidR="00494F4F">
        <w:rPr>
          <w:spacing w:val="-2"/>
          <w:szCs w:val="19"/>
          <w:shd w:val="clear" w:color="auto" w:fill="FFFFFF"/>
          <w:lang w:val="en-GB"/>
        </w:rPr>
        <w:t xml:space="preserve"> in terms of the necessity to reduce expenditure</w:t>
      </w:r>
      <w:r w:rsidR="00494F4F" w:rsidRPr="00494F4F">
        <w:rPr>
          <w:spacing w:val="-2"/>
          <w:szCs w:val="19"/>
          <w:shd w:val="clear" w:color="auto" w:fill="FFFFFF"/>
          <w:lang w:val="en-GB"/>
        </w:rPr>
        <w:t xml:space="preserve"> </w:t>
      </w:r>
      <w:r w:rsidR="00494F4F" w:rsidRPr="00F82B68">
        <w:rPr>
          <w:spacing w:val="-2"/>
          <w:szCs w:val="19"/>
          <w:shd w:val="clear" w:color="auto" w:fill="FFFFFF"/>
          <w:lang w:val="en-GB"/>
        </w:rPr>
        <w:t xml:space="preserve">were </w:t>
      </w:r>
      <w:r w:rsidR="00494F4F">
        <w:rPr>
          <w:spacing w:val="-2"/>
          <w:szCs w:val="19"/>
          <w:shd w:val="clear" w:color="auto" w:fill="FFFFFF"/>
          <w:lang w:val="en-GB"/>
        </w:rPr>
        <w:t>h</w:t>
      </w:r>
      <w:r w:rsidR="00494F4F" w:rsidRPr="00F82B68">
        <w:rPr>
          <w:spacing w:val="-2"/>
          <w:szCs w:val="19"/>
          <w:shd w:val="clear" w:color="auto" w:fill="FFFFFF"/>
          <w:lang w:val="en-GB"/>
        </w:rPr>
        <w:t xml:space="preserve">ouseholds </w:t>
      </w:r>
      <w:r w:rsidR="00494F4F">
        <w:rPr>
          <w:spacing w:val="-2"/>
          <w:szCs w:val="19"/>
          <w:shd w:val="clear" w:color="auto" w:fill="FFFFFF"/>
          <w:lang w:val="en-GB"/>
        </w:rPr>
        <w:t>of r</w:t>
      </w:r>
      <w:r w:rsidR="00494F4F" w:rsidRPr="00F82B68">
        <w:rPr>
          <w:spacing w:val="-2"/>
          <w:szCs w:val="19"/>
          <w:shd w:val="clear" w:color="auto" w:fill="FFFFFF"/>
          <w:lang w:val="en-GB"/>
        </w:rPr>
        <w:t>etirees</w:t>
      </w:r>
      <w:r w:rsidRPr="00F82B68">
        <w:rPr>
          <w:spacing w:val="-2"/>
          <w:szCs w:val="19"/>
          <w:shd w:val="clear" w:color="auto" w:fill="FFFFFF"/>
          <w:lang w:val="en-GB"/>
        </w:rPr>
        <w:t xml:space="preserve">, where expenditure was </w:t>
      </w:r>
      <w:r w:rsidR="0057123A">
        <w:rPr>
          <w:spacing w:val="-2"/>
          <w:szCs w:val="19"/>
          <w:shd w:val="clear" w:color="auto" w:fill="FFFFFF"/>
          <w:lang w:val="en-GB"/>
        </w:rPr>
        <w:t>reduced</w:t>
      </w:r>
      <w:r w:rsidRPr="00F82B68">
        <w:rPr>
          <w:spacing w:val="-2"/>
          <w:szCs w:val="19"/>
          <w:shd w:val="clear" w:color="auto" w:fill="FFFFFF"/>
          <w:lang w:val="en-GB"/>
        </w:rPr>
        <w:t xml:space="preserve"> by 29.5% of households.</w:t>
      </w:r>
      <w:r w:rsidR="002C301A">
        <w:rPr>
          <w:spacing w:val="-2"/>
          <w:szCs w:val="19"/>
          <w:shd w:val="clear" w:color="auto" w:fill="FFFFFF"/>
          <w:lang w:val="en-GB"/>
        </w:rPr>
        <w:t xml:space="preserve"> </w:t>
      </w:r>
    </w:p>
    <w:p w14:paraId="7EE94F69" w14:textId="77777777" w:rsidR="00F82B68" w:rsidRPr="00F82B68" w:rsidRDefault="00F82B68" w:rsidP="00F82B68">
      <w:pPr>
        <w:rPr>
          <w:noProof/>
          <w:spacing w:val="-2"/>
          <w:szCs w:val="19"/>
          <w:lang w:val="en-GB"/>
        </w:rPr>
      </w:pPr>
    </w:p>
    <w:p w14:paraId="7EE94F6A" w14:textId="77777777" w:rsidR="00F82B68" w:rsidRDefault="0057123A" w:rsidP="00F82B68">
      <w:pPr>
        <w:pStyle w:val="Tytu"/>
        <w:spacing w:before="120" w:after="120"/>
        <w:rPr>
          <w:rFonts w:ascii="Fira Sans" w:hAnsi="Fira Sans"/>
          <w:spacing w:val="-2"/>
          <w:sz w:val="19"/>
          <w:szCs w:val="19"/>
          <w:shd w:val="clear" w:color="auto" w:fill="FFFFFF"/>
        </w:rPr>
      </w:pPr>
      <w:r>
        <w:rPr>
          <w:noProof/>
          <w:lang w:eastAsia="pl-PL"/>
        </w:rPr>
        <w:drawing>
          <wp:inline distT="0" distB="0" distL="0" distR="0" wp14:anchorId="7EE94FDC" wp14:editId="7EE94FDD">
            <wp:extent cx="5096292" cy="4104000"/>
            <wp:effectExtent l="0" t="0" r="0" b="0"/>
            <wp:docPr id="17" name="Wykres 17">
              <a:extLst xmlns:a="http://schemas.openxmlformats.org/drawingml/2006/main">
                <a:ext uri="{FF2B5EF4-FFF2-40B4-BE49-F238E27FC236}">
                  <a16:creationId xmlns:a16="http://schemas.microsoft.com/office/drawing/2014/main" id="{21404848-5A49-481D-A0A5-3136A8EEE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E94F6B" w14:textId="77777777" w:rsidR="00F82B68" w:rsidRDefault="00F82B68" w:rsidP="00F82B68">
      <w:pPr>
        <w:rPr>
          <w:spacing w:val="-2"/>
          <w:szCs w:val="19"/>
          <w:shd w:val="clear" w:color="auto" w:fill="FFFFFF"/>
        </w:rPr>
      </w:pPr>
    </w:p>
    <w:p w14:paraId="7EE94F6C" w14:textId="77777777" w:rsidR="00F82B68" w:rsidRPr="006D63CB" w:rsidRDefault="006D63CB" w:rsidP="00F82B68">
      <w:pPr>
        <w:rPr>
          <w:spacing w:val="-2"/>
          <w:szCs w:val="19"/>
          <w:shd w:val="clear" w:color="auto" w:fill="FFFFFF"/>
          <w:lang w:val="en-GB"/>
        </w:rPr>
      </w:pPr>
      <w:r w:rsidRPr="006D63CB">
        <w:rPr>
          <w:spacing w:val="-2"/>
          <w:szCs w:val="19"/>
          <w:shd w:val="clear" w:color="auto" w:fill="FFFFFF"/>
          <w:lang w:val="en-GB"/>
        </w:rPr>
        <w:t xml:space="preserve">The percentage of households in which, as a result of the COVID-19 pandemic, according to the subjective opinion of respondents </w:t>
      </w:r>
      <w:r>
        <w:rPr>
          <w:spacing w:val="-2"/>
          <w:szCs w:val="19"/>
          <w:shd w:val="clear" w:color="auto" w:fill="FFFFFF"/>
          <w:lang w:val="en-GB"/>
        </w:rPr>
        <w:t xml:space="preserve">total income </w:t>
      </w:r>
      <w:r w:rsidRPr="006D63CB">
        <w:rPr>
          <w:spacing w:val="-2"/>
          <w:szCs w:val="19"/>
          <w:shd w:val="clear" w:color="auto" w:fill="FFFFFF"/>
          <w:lang w:val="en-GB"/>
        </w:rPr>
        <w:t xml:space="preserve">remained at the same or similar level </w:t>
      </w:r>
      <w:r>
        <w:rPr>
          <w:spacing w:val="-2"/>
          <w:szCs w:val="19"/>
          <w:shd w:val="clear" w:color="auto" w:fill="FFFFFF"/>
          <w:lang w:val="en-GB"/>
        </w:rPr>
        <w:t>amounted to</w:t>
      </w:r>
      <w:r w:rsidRPr="006D63CB">
        <w:rPr>
          <w:spacing w:val="-2"/>
          <w:szCs w:val="19"/>
          <w:shd w:val="clear" w:color="auto" w:fill="FFFFFF"/>
          <w:lang w:val="en-GB"/>
        </w:rPr>
        <w:t xml:space="preserve"> 74.8%, and the percentage of households where income</w:t>
      </w:r>
      <w:r>
        <w:rPr>
          <w:spacing w:val="-2"/>
          <w:szCs w:val="19"/>
          <w:shd w:val="clear" w:color="auto" w:fill="FFFFFF"/>
          <w:lang w:val="en-GB"/>
        </w:rPr>
        <w:t xml:space="preserve"> </w:t>
      </w:r>
      <w:r w:rsidRPr="006D63CB">
        <w:rPr>
          <w:spacing w:val="-2"/>
          <w:szCs w:val="19"/>
          <w:shd w:val="clear" w:color="auto" w:fill="FFFFFF"/>
          <w:lang w:val="en-GB"/>
        </w:rPr>
        <w:t xml:space="preserve">decreased significantly </w:t>
      </w:r>
      <w:r w:rsidR="00494F4F">
        <w:rPr>
          <w:spacing w:val="-2"/>
          <w:szCs w:val="19"/>
          <w:shd w:val="clear" w:color="auto" w:fill="FFFFFF"/>
          <w:lang w:val="en-GB"/>
        </w:rPr>
        <w:t xml:space="preserve">– 8.2% </w:t>
      </w:r>
      <w:r w:rsidRPr="006D63CB">
        <w:rPr>
          <w:spacing w:val="-2"/>
          <w:szCs w:val="19"/>
          <w:shd w:val="clear" w:color="auto" w:fill="FFFFFF"/>
          <w:lang w:val="en-GB"/>
        </w:rPr>
        <w:t xml:space="preserve">or </w:t>
      </w:r>
      <w:r>
        <w:rPr>
          <w:spacing w:val="-2"/>
          <w:szCs w:val="19"/>
          <w:shd w:val="clear" w:color="auto" w:fill="FFFFFF"/>
          <w:lang w:val="en-GB"/>
        </w:rPr>
        <w:t>insignificantly</w:t>
      </w:r>
      <w:r w:rsidRPr="006D63CB">
        <w:rPr>
          <w:spacing w:val="-2"/>
          <w:szCs w:val="19"/>
          <w:shd w:val="clear" w:color="auto" w:fill="FFFFFF"/>
          <w:lang w:val="en-GB"/>
        </w:rPr>
        <w:t xml:space="preserve"> </w:t>
      </w:r>
      <w:r>
        <w:rPr>
          <w:spacing w:val="-2"/>
          <w:szCs w:val="19"/>
          <w:shd w:val="clear" w:color="auto" w:fill="FFFFFF"/>
          <w:lang w:val="en-GB"/>
        </w:rPr>
        <w:t>–</w:t>
      </w:r>
      <w:r w:rsidRPr="006D63CB">
        <w:rPr>
          <w:spacing w:val="-2"/>
          <w:szCs w:val="19"/>
          <w:shd w:val="clear" w:color="auto" w:fill="FFFFFF"/>
          <w:lang w:val="en-GB"/>
        </w:rPr>
        <w:t xml:space="preserve"> </w:t>
      </w:r>
      <w:r w:rsidR="00494F4F">
        <w:rPr>
          <w:spacing w:val="-2"/>
          <w:szCs w:val="19"/>
          <w:shd w:val="clear" w:color="auto" w:fill="FFFFFF"/>
          <w:lang w:val="en-GB"/>
        </w:rPr>
        <w:t>15.7</w:t>
      </w:r>
      <w:r w:rsidRPr="006D63CB">
        <w:rPr>
          <w:spacing w:val="-2"/>
          <w:szCs w:val="19"/>
          <w:shd w:val="clear" w:color="auto" w:fill="FFFFFF"/>
          <w:lang w:val="en-GB"/>
        </w:rPr>
        <w:t xml:space="preserve">%. </w:t>
      </w:r>
      <w:r w:rsidR="006145B6">
        <w:rPr>
          <w:spacing w:val="-2"/>
          <w:szCs w:val="19"/>
          <w:shd w:val="clear" w:color="auto" w:fill="FFFFFF"/>
          <w:lang w:val="en-GB"/>
        </w:rPr>
        <w:t xml:space="preserve">The increase in income </w:t>
      </w:r>
      <w:r w:rsidR="006145B6" w:rsidRPr="006D63CB">
        <w:rPr>
          <w:spacing w:val="-2"/>
          <w:szCs w:val="19"/>
          <w:shd w:val="clear" w:color="auto" w:fill="FFFFFF"/>
          <w:lang w:val="en-GB"/>
        </w:rPr>
        <w:t xml:space="preserve">according to the subjective </w:t>
      </w:r>
      <w:r w:rsidR="003A77DA">
        <w:rPr>
          <w:spacing w:val="-2"/>
          <w:szCs w:val="19"/>
          <w:shd w:val="clear" w:color="auto" w:fill="FFFFFF"/>
          <w:lang w:val="en-GB"/>
        </w:rPr>
        <w:t>evaluation</w:t>
      </w:r>
      <w:r w:rsidR="006145B6" w:rsidRPr="006D63CB">
        <w:rPr>
          <w:spacing w:val="-2"/>
          <w:szCs w:val="19"/>
          <w:shd w:val="clear" w:color="auto" w:fill="FFFFFF"/>
          <w:lang w:val="en-GB"/>
        </w:rPr>
        <w:t xml:space="preserve"> of respondents </w:t>
      </w:r>
      <w:r w:rsidR="006145B6">
        <w:rPr>
          <w:spacing w:val="-2"/>
          <w:szCs w:val="19"/>
          <w:shd w:val="clear" w:color="auto" w:fill="FFFFFF"/>
          <w:lang w:val="en-GB"/>
        </w:rPr>
        <w:t xml:space="preserve">was recorded for 1.3% of households. </w:t>
      </w:r>
      <w:r w:rsidRPr="006D63CB">
        <w:rPr>
          <w:spacing w:val="-2"/>
          <w:szCs w:val="19"/>
          <w:shd w:val="clear" w:color="auto" w:fill="FFFFFF"/>
          <w:lang w:val="en-GB"/>
        </w:rPr>
        <w:t xml:space="preserve">When analysing the situation in individual socio-economic groups, it can be noticed that </w:t>
      </w:r>
      <w:r w:rsidR="00880EE7">
        <w:rPr>
          <w:spacing w:val="-2"/>
          <w:szCs w:val="19"/>
          <w:shd w:val="clear" w:color="auto" w:fill="FFFFFF"/>
          <w:lang w:val="en-GB"/>
        </w:rPr>
        <w:t>the le</w:t>
      </w:r>
      <w:r w:rsidR="00200CC1">
        <w:rPr>
          <w:spacing w:val="-2"/>
          <w:szCs w:val="19"/>
          <w:shd w:val="clear" w:color="auto" w:fill="FFFFFF"/>
          <w:lang w:val="en-GB"/>
        </w:rPr>
        <w:t>a</w:t>
      </w:r>
      <w:r w:rsidR="00880EE7">
        <w:rPr>
          <w:spacing w:val="-2"/>
          <w:szCs w:val="19"/>
          <w:shd w:val="clear" w:color="auto" w:fill="FFFFFF"/>
          <w:lang w:val="en-GB"/>
        </w:rPr>
        <w:t xml:space="preserve">st affected by the decline </w:t>
      </w:r>
      <w:r w:rsidR="000A34EB">
        <w:rPr>
          <w:spacing w:val="-2"/>
          <w:szCs w:val="19"/>
          <w:shd w:val="clear" w:color="auto" w:fill="FFFFFF"/>
          <w:lang w:val="en-GB"/>
        </w:rPr>
        <w:t>in income</w:t>
      </w:r>
      <w:r w:rsidR="000A34EB" w:rsidRPr="006D63CB">
        <w:rPr>
          <w:spacing w:val="-2"/>
          <w:szCs w:val="19"/>
          <w:shd w:val="clear" w:color="auto" w:fill="FFFFFF"/>
          <w:lang w:val="en-GB"/>
        </w:rPr>
        <w:t xml:space="preserve"> were the households of retirees </w:t>
      </w:r>
      <w:r w:rsidR="000A34EB">
        <w:rPr>
          <w:spacing w:val="-2"/>
          <w:szCs w:val="19"/>
          <w:shd w:val="clear" w:color="auto" w:fill="FFFFFF"/>
          <w:lang w:val="en-GB"/>
        </w:rPr>
        <w:t>–</w:t>
      </w:r>
      <w:r w:rsidRPr="006D63CB">
        <w:rPr>
          <w:spacing w:val="-2"/>
          <w:szCs w:val="19"/>
          <w:shd w:val="clear" w:color="auto" w:fill="FFFFFF"/>
          <w:lang w:val="en-GB"/>
        </w:rPr>
        <w:t xml:space="preserve"> their</w:t>
      </w:r>
      <w:r w:rsidR="000A34EB">
        <w:rPr>
          <w:spacing w:val="-2"/>
          <w:szCs w:val="19"/>
          <w:shd w:val="clear" w:color="auto" w:fill="FFFFFF"/>
          <w:lang w:val="en-GB"/>
        </w:rPr>
        <w:t xml:space="preserve"> </w:t>
      </w:r>
      <w:r w:rsidRPr="006D63CB">
        <w:rPr>
          <w:spacing w:val="-2"/>
          <w:szCs w:val="19"/>
          <w:shd w:val="clear" w:color="auto" w:fill="FFFFFF"/>
          <w:lang w:val="en-GB"/>
        </w:rPr>
        <w:t xml:space="preserve">income </w:t>
      </w:r>
      <w:r w:rsidR="000A34EB">
        <w:rPr>
          <w:spacing w:val="-2"/>
          <w:szCs w:val="19"/>
          <w:shd w:val="clear" w:color="auto" w:fill="FFFFFF"/>
          <w:lang w:val="en-GB"/>
        </w:rPr>
        <w:t xml:space="preserve">in the vast majority </w:t>
      </w:r>
      <w:r w:rsidRPr="006D63CB">
        <w:rPr>
          <w:spacing w:val="-2"/>
          <w:szCs w:val="19"/>
          <w:shd w:val="clear" w:color="auto" w:fill="FFFFFF"/>
          <w:lang w:val="en-GB"/>
        </w:rPr>
        <w:t xml:space="preserve">remained at the same or similar level (91.2% of households). </w:t>
      </w:r>
      <w:r w:rsidR="000A34EB" w:rsidRPr="006D63CB">
        <w:rPr>
          <w:spacing w:val="-2"/>
          <w:szCs w:val="19"/>
          <w:shd w:val="clear" w:color="auto" w:fill="FFFFFF"/>
          <w:lang w:val="en-GB"/>
        </w:rPr>
        <w:t>I</w:t>
      </w:r>
      <w:r w:rsidRPr="006D63CB">
        <w:rPr>
          <w:spacing w:val="-2"/>
          <w:szCs w:val="19"/>
          <w:shd w:val="clear" w:color="auto" w:fill="FFFFFF"/>
          <w:lang w:val="en-GB"/>
        </w:rPr>
        <w:t>n</w:t>
      </w:r>
      <w:r w:rsidR="000A34EB">
        <w:rPr>
          <w:spacing w:val="-2"/>
          <w:szCs w:val="19"/>
          <w:shd w:val="clear" w:color="auto" w:fill="FFFFFF"/>
          <w:lang w:val="en-GB"/>
        </w:rPr>
        <w:t xml:space="preserve"> </w:t>
      </w:r>
      <w:r w:rsidRPr="006D63CB">
        <w:rPr>
          <w:spacing w:val="-2"/>
          <w:szCs w:val="19"/>
          <w:shd w:val="clear" w:color="auto" w:fill="FFFFFF"/>
          <w:lang w:val="en-GB"/>
        </w:rPr>
        <w:t>the most difficult situation</w:t>
      </w:r>
      <w:r w:rsidR="000A34EB">
        <w:rPr>
          <w:spacing w:val="-2"/>
          <w:szCs w:val="19"/>
          <w:shd w:val="clear" w:color="auto" w:fill="FFFFFF"/>
          <w:lang w:val="en-GB"/>
        </w:rPr>
        <w:t xml:space="preserve"> regarding a decrease in income compared with the previous year</w:t>
      </w:r>
      <w:r w:rsidR="000A34EB" w:rsidRPr="000A34EB">
        <w:rPr>
          <w:spacing w:val="-2"/>
          <w:szCs w:val="19"/>
          <w:shd w:val="clear" w:color="auto" w:fill="FFFFFF"/>
          <w:lang w:val="en-GB"/>
        </w:rPr>
        <w:t xml:space="preserve"> </w:t>
      </w:r>
      <w:r w:rsidR="000A34EB" w:rsidRPr="006D63CB">
        <w:rPr>
          <w:spacing w:val="-2"/>
          <w:szCs w:val="19"/>
          <w:shd w:val="clear" w:color="auto" w:fill="FFFFFF"/>
          <w:lang w:val="en-GB"/>
        </w:rPr>
        <w:t>were</w:t>
      </w:r>
      <w:r w:rsidR="000A34EB" w:rsidRPr="000A34EB">
        <w:rPr>
          <w:spacing w:val="-2"/>
          <w:szCs w:val="19"/>
          <w:shd w:val="clear" w:color="auto" w:fill="FFFFFF"/>
          <w:lang w:val="en-GB"/>
        </w:rPr>
        <w:t xml:space="preserve"> </w:t>
      </w:r>
      <w:r w:rsidR="000A34EB">
        <w:rPr>
          <w:spacing w:val="-2"/>
          <w:szCs w:val="19"/>
          <w:shd w:val="clear" w:color="auto" w:fill="FFFFFF"/>
          <w:lang w:val="en-GB"/>
        </w:rPr>
        <w:t>t</w:t>
      </w:r>
      <w:r w:rsidR="000A34EB" w:rsidRPr="006D63CB">
        <w:rPr>
          <w:spacing w:val="-2"/>
          <w:szCs w:val="19"/>
          <w:shd w:val="clear" w:color="auto" w:fill="FFFFFF"/>
          <w:lang w:val="en-GB"/>
        </w:rPr>
        <w:t>he households of the self-employed outside farm</w:t>
      </w:r>
      <w:r w:rsidR="000A34EB">
        <w:rPr>
          <w:spacing w:val="-2"/>
          <w:szCs w:val="19"/>
          <w:shd w:val="clear" w:color="auto" w:fill="FFFFFF"/>
          <w:lang w:val="en-GB"/>
        </w:rPr>
        <w:t>ing</w:t>
      </w:r>
      <w:r w:rsidRPr="006D63CB">
        <w:rPr>
          <w:spacing w:val="-2"/>
          <w:szCs w:val="19"/>
          <w:shd w:val="clear" w:color="auto" w:fill="FFFFFF"/>
          <w:lang w:val="en-GB"/>
        </w:rPr>
        <w:t xml:space="preserve">, </w:t>
      </w:r>
      <w:r w:rsidR="00F4414D" w:rsidRPr="00F4414D">
        <w:rPr>
          <w:spacing w:val="-2"/>
          <w:szCs w:val="19"/>
          <w:shd w:val="clear" w:color="auto" w:fill="FFFFFF"/>
          <w:lang w:val="en-GB"/>
        </w:rPr>
        <w:t xml:space="preserve">among </w:t>
      </w:r>
      <w:r w:rsidR="00F4414D">
        <w:rPr>
          <w:spacing w:val="-2"/>
          <w:szCs w:val="19"/>
          <w:shd w:val="clear" w:color="auto" w:fill="FFFFFF"/>
          <w:lang w:val="en-GB"/>
        </w:rPr>
        <w:t>which</w:t>
      </w:r>
      <w:r w:rsidR="00F4414D" w:rsidRPr="00F4414D">
        <w:rPr>
          <w:spacing w:val="-2"/>
          <w:szCs w:val="19"/>
          <w:shd w:val="clear" w:color="auto" w:fill="FFFFFF"/>
          <w:lang w:val="en-GB"/>
        </w:rPr>
        <w:t xml:space="preserve"> 51.3% experienced a significant (20.8%) or insignificant (30.5%) </w:t>
      </w:r>
      <w:r w:rsidR="00F4414D">
        <w:rPr>
          <w:spacing w:val="-2"/>
          <w:szCs w:val="19"/>
          <w:shd w:val="clear" w:color="auto" w:fill="FFFFFF"/>
          <w:lang w:val="en-GB"/>
        </w:rPr>
        <w:t>decline</w:t>
      </w:r>
      <w:r w:rsidR="00F4414D" w:rsidRPr="00F4414D">
        <w:rPr>
          <w:spacing w:val="-2"/>
          <w:szCs w:val="19"/>
          <w:shd w:val="clear" w:color="auto" w:fill="FFFFFF"/>
          <w:lang w:val="en-GB"/>
        </w:rPr>
        <w:t xml:space="preserve"> in income.</w:t>
      </w:r>
    </w:p>
    <w:p w14:paraId="7EE94F6D" w14:textId="77777777" w:rsidR="00F82B68" w:rsidRPr="006D63CB" w:rsidRDefault="00F4414D" w:rsidP="00F82B68">
      <w:pPr>
        <w:rPr>
          <w:noProof/>
          <w:spacing w:val="-2"/>
          <w:szCs w:val="19"/>
          <w:lang w:val="en-GB"/>
        </w:rPr>
      </w:pPr>
      <w:r w:rsidRPr="00F4414D">
        <w:rPr>
          <w:noProof/>
          <w:spacing w:val="-2"/>
          <w:szCs w:val="19"/>
          <w:lang w:val="en-GB"/>
        </w:rPr>
        <w:t>However, it should be emphasized that despite the above changes, the group of self-employed households outside farm</w:t>
      </w:r>
      <w:r>
        <w:rPr>
          <w:noProof/>
          <w:spacing w:val="-2"/>
          <w:szCs w:val="19"/>
          <w:lang w:val="en-GB"/>
        </w:rPr>
        <w:t>ing</w:t>
      </w:r>
      <w:r w:rsidR="00B51295">
        <w:rPr>
          <w:noProof/>
          <w:spacing w:val="-2"/>
          <w:szCs w:val="19"/>
          <w:lang w:val="en-GB"/>
        </w:rPr>
        <w:t>,</w:t>
      </w:r>
      <w:r w:rsidRPr="00F4414D">
        <w:rPr>
          <w:noProof/>
          <w:spacing w:val="-2"/>
          <w:szCs w:val="19"/>
          <w:lang w:val="en-GB"/>
        </w:rPr>
        <w:t xml:space="preserve"> remained the group with the highest level of </w:t>
      </w:r>
      <w:r>
        <w:rPr>
          <w:noProof/>
          <w:spacing w:val="-2"/>
          <w:szCs w:val="19"/>
          <w:lang w:val="en-GB"/>
        </w:rPr>
        <w:t>available</w:t>
      </w:r>
      <w:r w:rsidRPr="00F4414D">
        <w:rPr>
          <w:noProof/>
          <w:spacing w:val="-2"/>
          <w:szCs w:val="19"/>
          <w:lang w:val="en-GB"/>
        </w:rPr>
        <w:t xml:space="preserve"> income per </w:t>
      </w:r>
      <w:r>
        <w:rPr>
          <w:noProof/>
          <w:spacing w:val="-2"/>
          <w:szCs w:val="19"/>
          <w:lang w:val="en-GB"/>
        </w:rPr>
        <w:t>capita</w:t>
      </w:r>
      <w:r w:rsidRPr="00F4414D">
        <w:rPr>
          <w:noProof/>
          <w:spacing w:val="-2"/>
          <w:szCs w:val="19"/>
          <w:lang w:val="en-GB"/>
        </w:rPr>
        <w:t>.</w:t>
      </w:r>
    </w:p>
    <w:p w14:paraId="7EE94F6E" w14:textId="77777777" w:rsidR="00F82B68" w:rsidRDefault="0050562F" w:rsidP="00F82B68">
      <w:pPr>
        <w:pStyle w:val="Tytu"/>
        <w:spacing w:before="120" w:after="120"/>
        <w:rPr>
          <w:rFonts w:ascii="Fira Sans" w:hAnsi="Fira Sans"/>
          <w:spacing w:val="-2"/>
          <w:sz w:val="19"/>
          <w:szCs w:val="19"/>
          <w:shd w:val="clear" w:color="auto" w:fill="FFFFFF"/>
        </w:rPr>
      </w:pPr>
      <w:r>
        <w:rPr>
          <w:noProof/>
          <w:lang w:eastAsia="pl-PL"/>
        </w:rPr>
        <w:lastRenderedPageBreak/>
        <w:drawing>
          <wp:inline distT="0" distB="0" distL="0" distR="0" wp14:anchorId="7EE94FDE" wp14:editId="7EE94FDF">
            <wp:extent cx="5122545" cy="4104000"/>
            <wp:effectExtent l="0" t="0" r="1905" b="0"/>
            <wp:docPr id="14" name="Wykres 14">
              <a:extLst xmlns:a="http://schemas.openxmlformats.org/drawingml/2006/main">
                <a:ext uri="{FF2B5EF4-FFF2-40B4-BE49-F238E27FC236}">
                  <a16:creationId xmlns:a16="http://schemas.microsoft.com/office/drawing/2014/main" id="{76BCFCC9-1685-45FB-A880-356108CE4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EE94F6F" w14:textId="77777777" w:rsidR="00F82B68" w:rsidRDefault="00F82B68" w:rsidP="00F82B68">
      <w:pPr>
        <w:rPr>
          <w:spacing w:val="-2"/>
          <w:szCs w:val="19"/>
          <w:shd w:val="clear" w:color="auto" w:fill="FFFFFF"/>
        </w:rPr>
      </w:pPr>
    </w:p>
    <w:p w14:paraId="7EE94F70" w14:textId="77777777" w:rsidR="00F82B68" w:rsidRDefault="003D612A" w:rsidP="00F82B68">
      <w:pPr>
        <w:rPr>
          <w:spacing w:val="-2"/>
          <w:szCs w:val="19"/>
          <w:shd w:val="clear" w:color="auto" w:fill="FFFFFF"/>
          <w:lang w:val="en-GB"/>
        </w:rPr>
      </w:pPr>
      <w:r w:rsidRPr="003D612A">
        <w:rPr>
          <w:spacing w:val="-2"/>
          <w:szCs w:val="19"/>
          <w:shd w:val="clear" w:color="auto" w:fill="FFFFFF"/>
          <w:lang w:val="en-GB"/>
        </w:rPr>
        <w:t xml:space="preserve">In the </w:t>
      </w:r>
      <w:r w:rsidR="00703D63">
        <w:rPr>
          <w:spacing w:val="-2"/>
          <w:szCs w:val="19"/>
          <w:shd w:val="clear" w:color="auto" w:fill="FFFFFF"/>
          <w:lang w:val="en-GB"/>
        </w:rPr>
        <w:t>case</w:t>
      </w:r>
      <w:r w:rsidRPr="003D612A">
        <w:rPr>
          <w:spacing w:val="-2"/>
          <w:szCs w:val="19"/>
          <w:shd w:val="clear" w:color="auto" w:fill="FFFFFF"/>
          <w:lang w:val="en-GB"/>
        </w:rPr>
        <w:t xml:space="preserve"> of a change in the income situation caused by the COVID-19 pandemic, the level of </w:t>
      </w:r>
      <w:r w:rsidR="00703D63">
        <w:rPr>
          <w:spacing w:val="-2"/>
          <w:szCs w:val="19"/>
          <w:shd w:val="clear" w:color="auto" w:fill="FFFFFF"/>
          <w:lang w:val="en-GB"/>
        </w:rPr>
        <w:t>available</w:t>
      </w:r>
      <w:r w:rsidRPr="003D612A">
        <w:rPr>
          <w:spacing w:val="-2"/>
          <w:szCs w:val="19"/>
          <w:shd w:val="clear" w:color="auto" w:fill="FFFFFF"/>
          <w:lang w:val="en-GB"/>
        </w:rPr>
        <w:t xml:space="preserve"> income per </w:t>
      </w:r>
      <w:r w:rsidR="00703D63">
        <w:rPr>
          <w:spacing w:val="-2"/>
          <w:szCs w:val="19"/>
          <w:shd w:val="clear" w:color="auto" w:fill="FFFFFF"/>
          <w:lang w:val="en-GB"/>
        </w:rPr>
        <w:t>capita</w:t>
      </w:r>
      <w:r w:rsidRPr="003D612A">
        <w:rPr>
          <w:spacing w:val="-2"/>
          <w:szCs w:val="19"/>
          <w:shd w:val="clear" w:color="auto" w:fill="FFFFFF"/>
          <w:lang w:val="en-GB"/>
        </w:rPr>
        <w:t xml:space="preserve"> in the household was also important. The best situation was for </w:t>
      </w:r>
      <w:r w:rsidR="00703D63">
        <w:rPr>
          <w:spacing w:val="-2"/>
          <w:szCs w:val="19"/>
          <w:shd w:val="clear" w:color="auto" w:fill="FFFFFF"/>
          <w:lang w:val="en-GB"/>
        </w:rPr>
        <w:t>persons</w:t>
      </w:r>
      <w:r w:rsidRPr="003D612A">
        <w:rPr>
          <w:spacing w:val="-2"/>
          <w:szCs w:val="19"/>
          <w:shd w:val="clear" w:color="auto" w:fill="FFFFFF"/>
          <w:lang w:val="en-GB"/>
        </w:rPr>
        <w:t xml:space="preserve"> </w:t>
      </w:r>
      <w:r w:rsidR="00703D63">
        <w:rPr>
          <w:spacing w:val="-2"/>
          <w:szCs w:val="19"/>
          <w:shd w:val="clear" w:color="auto" w:fill="FFFFFF"/>
          <w:lang w:val="en-GB"/>
        </w:rPr>
        <w:t>in</w:t>
      </w:r>
      <w:r w:rsidRPr="003D612A">
        <w:rPr>
          <w:spacing w:val="-2"/>
          <w:szCs w:val="19"/>
          <w:shd w:val="clear" w:color="auto" w:fill="FFFFFF"/>
          <w:lang w:val="en-GB"/>
        </w:rPr>
        <w:t xml:space="preserve"> the richest households (5th quintile group), which in 75.6% of households declared that their income </w:t>
      </w:r>
      <w:r w:rsidR="00703D63">
        <w:rPr>
          <w:spacing w:val="-2"/>
          <w:szCs w:val="19"/>
          <w:shd w:val="clear" w:color="auto" w:fill="FFFFFF"/>
          <w:lang w:val="en-GB"/>
        </w:rPr>
        <w:t>did</w:t>
      </w:r>
      <w:r w:rsidRPr="003D612A">
        <w:rPr>
          <w:spacing w:val="-2"/>
          <w:szCs w:val="19"/>
          <w:shd w:val="clear" w:color="auto" w:fill="FFFFFF"/>
          <w:lang w:val="en-GB"/>
        </w:rPr>
        <w:t xml:space="preserve"> not change significantly, and in 22.2% of households that their income decreased significantly </w:t>
      </w:r>
      <w:r w:rsidR="00F4414D">
        <w:rPr>
          <w:spacing w:val="-2"/>
          <w:szCs w:val="19"/>
          <w:shd w:val="clear" w:color="auto" w:fill="FFFFFF"/>
          <w:lang w:val="en-GB"/>
        </w:rPr>
        <w:t xml:space="preserve">(6.9%) </w:t>
      </w:r>
      <w:r w:rsidRPr="003D612A">
        <w:rPr>
          <w:spacing w:val="-2"/>
          <w:szCs w:val="19"/>
          <w:shd w:val="clear" w:color="auto" w:fill="FFFFFF"/>
          <w:lang w:val="en-GB"/>
        </w:rPr>
        <w:t xml:space="preserve">or insignificantly </w:t>
      </w:r>
      <w:r w:rsidR="00F4414D">
        <w:rPr>
          <w:spacing w:val="-2"/>
          <w:szCs w:val="19"/>
          <w:shd w:val="clear" w:color="auto" w:fill="FFFFFF"/>
          <w:lang w:val="en-GB"/>
        </w:rPr>
        <w:t>(15.3%)</w:t>
      </w:r>
      <w:r w:rsidRPr="003D612A">
        <w:rPr>
          <w:spacing w:val="-2"/>
          <w:szCs w:val="19"/>
          <w:shd w:val="clear" w:color="auto" w:fill="FFFFFF"/>
          <w:lang w:val="en-GB"/>
        </w:rPr>
        <w:t xml:space="preserve">. </w:t>
      </w:r>
      <w:r w:rsidR="00F4414D" w:rsidRPr="00F4414D">
        <w:rPr>
          <w:spacing w:val="-2"/>
          <w:szCs w:val="19"/>
          <w:shd w:val="clear" w:color="auto" w:fill="FFFFFF"/>
          <w:lang w:val="en-GB"/>
        </w:rPr>
        <w:t>Among the poorest households (1st</w:t>
      </w:r>
      <w:r w:rsidR="00B51295">
        <w:rPr>
          <w:spacing w:val="-2"/>
          <w:szCs w:val="19"/>
          <w:shd w:val="clear" w:color="auto" w:fill="FFFFFF"/>
          <w:lang w:val="en-GB"/>
        </w:rPr>
        <w:t> </w:t>
      </w:r>
      <w:r w:rsidR="00F4414D" w:rsidRPr="00F4414D">
        <w:rPr>
          <w:spacing w:val="-2"/>
          <w:szCs w:val="19"/>
          <w:shd w:val="clear" w:color="auto" w:fill="FFFFFF"/>
          <w:lang w:val="en-GB"/>
        </w:rPr>
        <w:t xml:space="preserve">quintile group), 68.2% stated that their income remained at a similar level, while those who assessed that their income decreased significantly was 13.1%, and </w:t>
      </w:r>
      <w:r w:rsidR="00F4414D">
        <w:rPr>
          <w:spacing w:val="-2"/>
          <w:szCs w:val="19"/>
          <w:shd w:val="clear" w:color="auto" w:fill="FFFFFF"/>
          <w:lang w:val="en-GB"/>
        </w:rPr>
        <w:t>insignificantly</w:t>
      </w:r>
      <w:r w:rsidR="00F4414D" w:rsidRPr="00F4414D">
        <w:rPr>
          <w:spacing w:val="-2"/>
          <w:szCs w:val="19"/>
          <w:shd w:val="clear" w:color="auto" w:fill="FFFFFF"/>
          <w:lang w:val="en-GB"/>
        </w:rPr>
        <w:t xml:space="preserve"> </w:t>
      </w:r>
      <w:r w:rsidR="00F4414D">
        <w:rPr>
          <w:spacing w:val="-2"/>
          <w:szCs w:val="19"/>
          <w:shd w:val="clear" w:color="auto" w:fill="FFFFFF"/>
          <w:lang w:val="en-GB"/>
        </w:rPr>
        <w:t>–</w:t>
      </w:r>
      <w:r w:rsidR="00F4414D" w:rsidRPr="00F4414D">
        <w:rPr>
          <w:spacing w:val="-2"/>
          <w:szCs w:val="19"/>
          <w:shd w:val="clear" w:color="auto" w:fill="FFFFFF"/>
          <w:lang w:val="en-GB"/>
        </w:rPr>
        <w:t xml:space="preserve"> 17.8%.</w:t>
      </w:r>
    </w:p>
    <w:p w14:paraId="7EE94F71" w14:textId="77777777" w:rsidR="0031787F" w:rsidRPr="0031787F" w:rsidRDefault="0031787F" w:rsidP="00F82B68">
      <w:pPr>
        <w:rPr>
          <w:spacing w:val="-2"/>
          <w:szCs w:val="19"/>
          <w:shd w:val="clear" w:color="auto" w:fill="FFFFFF"/>
          <w:lang w:val="en-GB"/>
        </w:rPr>
      </w:pPr>
    </w:p>
    <w:p w14:paraId="7EE94F72" w14:textId="77777777" w:rsidR="0031787F" w:rsidRPr="0031787F" w:rsidRDefault="0031787F" w:rsidP="0031787F">
      <w:pPr>
        <w:rPr>
          <w:spacing w:val="-2"/>
          <w:szCs w:val="19"/>
          <w:shd w:val="clear" w:color="auto" w:fill="FFFFFF"/>
          <w:lang w:val="en-GB"/>
        </w:rPr>
      </w:pPr>
      <w:r w:rsidRPr="0031787F">
        <w:rPr>
          <w:spacing w:val="-2"/>
          <w:szCs w:val="19"/>
          <w:shd w:val="clear" w:color="auto" w:fill="FFFFFF"/>
          <w:lang w:val="en-GB"/>
        </w:rPr>
        <w:t>In case of quoting Statistics Poland data, please provide informati</w:t>
      </w:r>
      <w:r>
        <w:rPr>
          <w:spacing w:val="-2"/>
          <w:szCs w:val="19"/>
          <w:shd w:val="clear" w:color="auto" w:fill="FFFFFF"/>
          <w:lang w:val="en-GB"/>
        </w:rPr>
        <w:t xml:space="preserve">on: “Source of data: Statistics </w:t>
      </w:r>
      <w:r w:rsidRPr="0031787F">
        <w:rPr>
          <w:spacing w:val="-2"/>
          <w:szCs w:val="19"/>
          <w:shd w:val="clear" w:color="auto" w:fill="FFFFFF"/>
          <w:lang w:val="en-GB"/>
        </w:rPr>
        <w:t xml:space="preserve">Poland”, and in case of publishing calculations made on data </w:t>
      </w:r>
      <w:r>
        <w:rPr>
          <w:spacing w:val="-2"/>
          <w:szCs w:val="19"/>
          <w:shd w:val="clear" w:color="auto" w:fill="FFFFFF"/>
          <w:lang w:val="en-GB"/>
        </w:rPr>
        <w:t xml:space="preserve">published by Statistics Poland, </w:t>
      </w:r>
      <w:r w:rsidRPr="0031787F">
        <w:rPr>
          <w:spacing w:val="-2"/>
          <w:szCs w:val="19"/>
          <w:shd w:val="clear" w:color="auto" w:fill="FFFFFF"/>
          <w:lang w:val="en-GB"/>
        </w:rPr>
        <w:t>please include the following disclaimer: “Own study based on figures from Statistics Poland”.</w:t>
      </w:r>
    </w:p>
    <w:p w14:paraId="7EE94F73" w14:textId="77777777" w:rsidR="00F82B68" w:rsidRPr="003D612A" w:rsidRDefault="00F82B68" w:rsidP="00BB40E7">
      <w:pPr>
        <w:spacing w:line="240" w:lineRule="auto"/>
        <w:rPr>
          <w:spacing w:val="-2"/>
          <w:szCs w:val="19"/>
          <w:shd w:val="clear" w:color="auto" w:fill="FFFFFF"/>
          <w:lang w:val="en-GB"/>
        </w:rPr>
      </w:pPr>
    </w:p>
    <w:p w14:paraId="7EE94F74" w14:textId="77777777" w:rsidR="003457D7" w:rsidRPr="003D612A" w:rsidRDefault="003457D7" w:rsidP="003457D7">
      <w:pPr>
        <w:spacing w:line="240" w:lineRule="auto"/>
        <w:rPr>
          <w:spacing w:val="-2"/>
          <w:sz w:val="18"/>
          <w:szCs w:val="19"/>
          <w:shd w:val="clear" w:color="auto" w:fill="FFFFFF"/>
          <w:lang w:val="en-GB"/>
        </w:rPr>
      </w:pPr>
    </w:p>
    <w:p w14:paraId="7EE94F75" w14:textId="77777777" w:rsidR="00694AF0" w:rsidRPr="003D612A" w:rsidRDefault="00694AF0" w:rsidP="003457D7">
      <w:pPr>
        <w:spacing w:line="240" w:lineRule="auto"/>
        <w:rPr>
          <w:sz w:val="18"/>
          <w:lang w:val="en-GB"/>
        </w:rPr>
        <w:sectPr w:rsidR="00694AF0" w:rsidRPr="003D612A" w:rsidSect="00181548">
          <w:headerReference w:type="default" r:id="rId32"/>
          <w:footerReference w:type="default" r:id="rId33"/>
          <w:headerReference w:type="first" r:id="rId34"/>
          <w:footerReference w:type="first" r:id="rId35"/>
          <w:pgSz w:w="11906" w:h="16838"/>
          <w:pgMar w:top="720" w:right="3119" w:bottom="720" w:left="720" w:header="284" w:footer="397" w:gutter="0"/>
          <w:cols w:space="708"/>
          <w:titlePg/>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40"/>
        <w:gridCol w:w="3827"/>
      </w:tblGrid>
      <w:tr w:rsidR="009F6AA2" w:rsidRPr="00A064EF" w14:paraId="7EE94F7D" w14:textId="77777777" w:rsidTr="0034767F">
        <w:trPr>
          <w:trHeight w:val="1266"/>
        </w:trPr>
        <w:tc>
          <w:tcPr>
            <w:tcW w:w="4379" w:type="dxa"/>
          </w:tcPr>
          <w:p w14:paraId="7EE94F76" w14:textId="77777777" w:rsidR="009F6AA2" w:rsidRPr="00D856F5" w:rsidRDefault="00A064EF" w:rsidP="00BB17FA">
            <w:pPr>
              <w:spacing w:before="0" w:after="0" w:line="276" w:lineRule="auto"/>
              <w:rPr>
                <w:rFonts w:cs="Arial"/>
                <w:color w:val="000000" w:themeColor="text1"/>
                <w:sz w:val="20"/>
                <w:lang w:val="en-GB"/>
              </w:rPr>
            </w:pPr>
            <w:r>
              <w:rPr>
                <w:rFonts w:cs="Arial"/>
                <w:color w:val="000000" w:themeColor="text1"/>
                <w:sz w:val="20"/>
                <w:lang w:val="en-GB"/>
              </w:rPr>
              <w:lastRenderedPageBreak/>
              <w:t>Prepared by</w:t>
            </w:r>
            <w:r w:rsidR="009F6AA2" w:rsidRPr="00D856F5">
              <w:rPr>
                <w:rFonts w:cs="Arial"/>
                <w:color w:val="000000" w:themeColor="text1"/>
                <w:sz w:val="20"/>
                <w:lang w:val="en-GB"/>
              </w:rPr>
              <w:t>:</w:t>
            </w:r>
          </w:p>
          <w:p w14:paraId="7EE94F77" w14:textId="77777777" w:rsidR="009F6AA2" w:rsidRPr="00D856F5" w:rsidRDefault="00D856F5" w:rsidP="00BB17FA">
            <w:pPr>
              <w:pStyle w:val="Nagwek3"/>
              <w:spacing w:before="0" w:line="276" w:lineRule="auto"/>
              <w:rPr>
                <w:rFonts w:ascii="Fira Sans" w:eastAsiaTheme="minorHAnsi" w:hAnsi="Fira Sans" w:cs="Arial"/>
                <w:b/>
                <w:color w:val="000000" w:themeColor="text1"/>
                <w:sz w:val="20"/>
                <w:szCs w:val="22"/>
                <w:lang w:val="en-GB"/>
              </w:rPr>
            </w:pPr>
            <w:r w:rsidRPr="00D856F5">
              <w:rPr>
                <w:rFonts w:ascii="Fira Sans" w:eastAsiaTheme="minorHAnsi" w:hAnsi="Fira Sans" w:cs="Arial"/>
                <w:b/>
                <w:color w:val="000000" w:themeColor="text1"/>
                <w:sz w:val="20"/>
                <w:szCs w:val="22"/>
                <w:lang w:val="en-GB"/>
              </w:rPr>
              <w:t>Social Surveys Department</w:t>
            </w:r>
          </w:p>
          <w:p w14:paraId="7EE94F78" w14:textId="77777777" w:rsidR="009F6AA2" w:rsidRPr="00E31FA7" w:rsidRDefault="00D856F5" w:rsidP="00BB17FA">
            <w:pPr>
              <w:pStyle w:val="Nagwek3"/>
              <w:spacing w:before="0" w:line="276" w:lineRule="auto"/>
              <w:rPr>
                <w:rFonts w:ascii="Fira Sans" w:hAnsi="Fira Sans" w:cs="Arial"/>
                <w:b/>
                <w:color w:val="000000" w:themeColor="text1"/>
                <w:sz w:val="20"/>
                <w:szCs w:val="28"/>
                <w:lang w:val="en-GB"/>
              </w:rPr>
            </w:pPr>
            <w:r w:rsidRPr="00E31FA7">
              <w:rPr>
                <w:rFonts w:ascii="Fira Sans" w:hAnsi="Fira Sans" w:cs="Arial"/>
                <w:b/>
                <w:color w:val="000000" w:themeColor="text1"/>
                <w:sz w:val="20"/>
                <w:szCs w:val="28"/>
                <w:lang w:val="en-GB"/>
              </w:rPr>
              <w:t>Director</w:t>
            </w:r>
            <w:r w:rsidR="00CE7934" w:rsidRPr="00E31FA7">
              <w:rPr>
                <w:rFonts w:ascii="Fira Sans" w:hAnsi="Fira Sans" w:cs="Arial"/>
                <w:b/>
                <w:color w:val="000000" w:themeColor="text1"/>
                <w:sz w:val="20"/>
                <w:szCs w:val="28"/>
                <w:lang w:val="en-GB"/>
              </w:rPr>
              <w:t xml:space="preserve"> </w:t>
            </w:r>
            <w:r w:rsidR="00703D63">
              <w:rPr>
                <w:rFonts w:ascii="Fira Sans" w:hAnsi="Fira Sans" w:cs="Arial"/>
                <w:b/>
                <w:color w:val="000000" w:themeColor="text1"/>
                <w:sz w:val="20"/>
                <w:szCs w:val="28"/>
                <w:lang w:val="en-GB"/>
              </w:rPr>
              <w:t xml:space="preserve">Piotr </w:t>
            </w:r>
            <w:proofErr w:type="spellStart"/>
            <w:r w:rsidR="00703D63">
              <w:rPr>
                <w:rFonts w:ascii="Fira Sans" w:hAnsi="Fira Sans" w:cs="Arial"/>
                <w:b/>
                <w:color w:val="000000" w:themeColor="text1"/>
                <w:sz w:val="20"/>
                <w:szCs w:val="28"/>
                <w:lang w:val="en-GB"/>
              </w:rPr>
              <w:t>Łysoń</w:t>
            </w:r>
            <w:proofErr w:type="spellEnd"/>
          </w:p>
          <w:p w14:paraId="7EE94F79" w14:textId="77777777" w:rsidR="008B6991" w:rsidRPr="00E31FA7" w:rsidRDefault="00A064EF" w:rsidP="00BB17FA">
            <w:pPr>
              <w:pStyle w:val="Nagwek3"/>
              <w:spacing w:before="0" w:line="276" w:lineRule="auto"/>
              <w:rPr>
                <w:rFonts w:ascii="Fira Sans" w:hAnsi="Fira Sans"/>
                <w:color w:val="0000FF"/>
                <w:sz w:val="20"/>
                <w:u w:val="single"/>
                <w:lang w:val="en-GB"/>
              </w:rPr>
            </w:pPr>
            <w:r>
              <w:rPr>
                <w:rFonts w:ascii="Fira Sans" w:hAnsi="Fira Sans" w:cs="Arial"/>
                <w:color w:val="000000" w:themeColor="text1"/>
                <w:sz w:val="20"/>
                <w:lang w:val="en-GB"/>
              </w:rPr>
              <w:t>Office: tel.</w:t>
            </w:r>
            <w:r w:rsidR="00AD29B6">
              <w:rPr>
                <w:rFonts w:ascii="Fira Sans" w:hAnsi="Fira Sans" w:cs="Arial"/>
                <w:color w:val="000000" w:themeColor="text1"/>
                <w:sz w:val="20"/>
                <w:lang w:val="en-GB"/>
              </w:rPr>
              <w:t xml:space="preserve"> (</w:t>
            </w:r>
            <w:r w:rsidR="00AD29B6" w:rsidRPr="00E31FA7">
              <w:rPr>
                <w:rFonts w:ascii="Fira Sans" w:hAnsi="Fira Sans" w:cs="Arial"/>
                <w:color w:val="000000" w:themeColor="text1"/>
                <w:sz w:val="20"/>
                <w:lang w:val="en-GB"/>
              </w:rPr>
              <w:t>+ 48 22</w:t>
            </w:r>
            <w:r w:rsidR="00AD29B6" w:rsidRPr="00AD29B6">
              <w:rPr>
                <w:rFonts w:ascii="Fira Sans" w:hAnsi="Fira Sans" w:cs="Arial"/>
                <w:color w:val="auto"/>
                <w:sz w:val="20"/>
                <w:lang w:val="en-GB"/>
              </w:rPr>
              <w:t>)</w:t>
            </w:r>
            <w:r w:rsidR="00AD29B6" w:rsidRPr="00AD29B6">
              <w:rPr>
                <w:rFonts w:ascii="Fira Sans" w:hAnsi="Fira Sans"/>
                <w:color w:val="auto"/>
                <w:lang w:val="en-GB"/>
              </w:rPr>
              <w:t xml:space="preserve"> </w:t>
            </w:r>
            <w:r w:rsidR="00AD29B6" w:rsidRPr="00AD29B6">
              <w:rPr>
                <w:rFonts w:ascii="Fira Sans" w:hAnsi="Fira Sans" w:cs="Arial"/>
                <w:color w:val="auto"/>
                <w:sz w:val="20"/>
              </w:rPr>
              <w:t>449 40</w:t>
            </w:r>
            <w:r w:rsidR="003564F0">
              <w:rPr>
                <w:rFonts w:ascii="Fira Sans" w:hAnsi="Fira Sans" w:cs="Arial"/>
                <w:color w:val="auto"/>
                <w:sz w:val="20"/>
              </w:rPr>
              <w:t xml:space="preserve"> </w:t>
            </w:r>
            <w:r w:rsidR="00AD29B6" w:rsidRPr="00AD29B6">
              <w:rPr>
                <w:rFonts w:ascii="Fira Sans" w:hAnsi="Fira Sans" w:cs="Arial"/>
                <w:color w:val="auto"/>
                <w:sz w:val="20"/>
              </w:rPr>
              <w:t>27,</w:t>
            </w:r>
            <w:r w:rsidR="009F6AA2" w:rsidRPr="00AD29B6">
              <w:rPr>
                <w:rFonts w:ascii="Fira Sans" w:hAnsi="Fira Sans" w:cs="Arial"/>
                <w:color w:val="auto"/>
                <w:sz w:val="20"/>
                <w:lang w:val="en-GB"/>
              </w:rPr>
              <w:t xml:space="preserve"> </w:t>
            </w:r>
            <w:r w:rsidR="00AD29B6" w:rsidRPr="00AD29B6">
              <w:rPr>
                <w:rFonts w:ascii="Fira Sans" w:hAnsi="Fira Sans" w:cs="Arial"/>
                <w:color w:val="auto"/>
                <w:sz w:val="20"/>
                <w:lang w:val="en-GB"/>
              </w:rPr>
              <w:br/>
            </w:r>
            <w:r w:rsidR="00AD29B6" w:rsidRPr="00AD29B6">
              <w:rPr>
                <w:rFonts w:ascii="Fira Sans" w:hAnsi="Fira Sans" w:cs="Arial"/>
                <w:color w:val="auto"/>
                <w:sz w:val="20"/>
                <w:lang w:val="en-GB"/>
              </w:rPr>
              <w:tab/>
              <w:t xml:space="preserve">     </w:t>
            </w:r>
            <w:r w:rsidRPr="00AD29B6">
              <w:rPr>
                <w:rFonts w:ascii="Fira Sans" w:hAnsi="Fira Sans" w:cs="Arial"/>
                <w:color w:val="auto"/>
                <w:sz w:val="20"/>
                <w:lang w:val="en-GB"/>
              </w:rPr>
              <w:t>(</w:t>
            </w:r>
            <w:r w:rsidR="00D856F5" w:rsidRPr="00AD29B6">
              <w:rPr>
                <w:rFonts w:ascii="Fira Sans" w:hAnsi="Fira Sans" w:cs="Arial"/>
                <w:color w:val="auto"/>
                <w:sz w:val="20"/>
                <w:lang w:val="en-GB"/>
              </w:rPr>
              <w:t xml:space="preserve">+ 48 </w:t>
            </w:r>
            <w:r w:rsidR="009F6AA2" w:rsidRPr="00AD29B6">
              <w:rPr>
                <w:rFonts w:ascii="Fira Sans" w:hAnsi="Fira Sans" w:cs="Arial"/>
                <w:color w:val="auto"/>
                <w:sz w:val="20"/>
                <w:lang w:val="en-GB"/>
              </w:rPr>
              <w:t>22</w:t>
            </w:r>
            <w:r w:rsidRPr="00AD29B6">
              <w:rPr>
                <w:rFonts w:ascii="Fira Sans" w:hAnsi="Fira Sans" w:cs="Arial"/>
                <w:color w:val="auto"/>
                <w:sz w:val="20"/>
                <w:lang w:val="en-GB"/>
              </w:rPr>
              <w:t>)</w:t>
            </w:r>
            <w:r w:rsidR="009F6AA2" w:rsidRPr="00AD29B6">
              <w:rPr>
                <w:rFonts w:ascii="Fira Sans" w:hAnsi="Fira Sans"/>
                <w:color w:val="auto"/>
                <w:lang w:val="en-GB"/>
              </w:rPr>
              <w:t xml:space="preserve"> </w:t>
            </w:r>
            <w:r w:rsidR="00C424DA" w:rsidRPr="00AD29B6">
              <w:rPr>
                <w:rFonts w:ascii="Fira Sans" w:hAnsi="Fira Sans" w:cs="Arial"/>
                <w:color w:val="auto"/>
                <w:sz w:val="20"/>
                <w:lang w:val="en-GB"/>
              </w:rPr>
              <w:t xml:space="preserve">608 </w:t>
            </w:r>
            <w:r w:rsidR="006C7EEC" w:rsidRPr="00AD29B6">
              <w:rPr>
                <w:rFonts w:ascii="Fira Sans" w:hAnsi="Fira Sans" w:cs="Arial"/>
                <w:color w:val="auto"/>
                <w:sz w:val="20"/>
                <w:lang w:val="en-GB"/>
              </w:rPr>
              <w:t>31 22</w:t>
            </w:r>
          </w:p>
        </w:tc>
        <w:tc>
          <w:tcPr>
            <w:tcW w:w="3942" w:type="dxa"/>
          </w:tcPr>
          <w:p w14:paraId="7EE94F7A" w14:textId="77777777" w:rsidR="009F6AA2" w:rsidRPr="005F2E2D" w:rsidRDefault="00A064EF" w:rsidP="00BB17FA">
            <w:pPr>
              <w:spacing w:before="0" w:after="0" w:line="276" w:lineRule="auto"/>
              <w:rPr>
                <w:rFonts w:cs="Arial"/>
                <w:b/>
                <w:color w:val="000000" w:themeColor="text1"/>
                <w:sz w:val="20"/>
                <w:lang w:val="en-GB"/>
              </w:rPr>
            </w:pPr>
            <w:r>
              <w:rPr>
                <w:rFonts w:cs="Arial"/>
                <w:color w:val="000000" w:themeColor="text1"/>
                <w:sz w:val="20"/>
                <w:lang w:val="en-GB"/>
              </w:rPr>
              <w:t>Issued by</w:t>
            </w:r>
            <w:r w:rsidR="009F6AA2" w:rsidRPr="005F2E2D">
              <w:rPr>
                <w:rFonts w:cs="Arial"/>
                <w:color w:val="000000" w:themeColor="text1"/>
                <w:sz w:val="20"/>
                <w:lang w:val="en-GB"/>
              </w:rPr>
              <w:t>:</w:t>
            </w:r>
            <w:r w:rsidR="009F6AA2" w:rsidRPr="005F2E2D">
              <w:rPr>
                <w:rFonts w:cs="Arial"/>
                <w:color w:val="000000" w:themeColor="text1"/>
                <w:sz w:val="20"/>
                <w:lang w:val="en-GB"/>
              </w:rPr>
              <w:br/>
            </w:r>
            <w:r w:rsidR="005F2E2D" w:rsidRPr="005F2E2D">
              <w:rPr>
                <w:rFonts w:cs="Arial"/>
                <w:b/>
                <w:color w:val="000000" w:themeColor="text1"/>
                <w:sz w:val="20"/>
                <w:lang w:val="en-GB"/>
              </w:rPr>
              <w:t>The Spokesperson for the President of Statistics Poland</w:t>
            </w:r>
          </w:p>
          <w:p w14:paraId="7EE94F7B" w14:textId="77777777" w:rsidR="009F6AA2" w:rsidRPr="00A064EF" w:rsidRDefault="009F6AA2" w:rsidP="00BB17FA">
            <w:pPr>
              <w:pStyle w:val="Nagwek3"/>
              <w:spacing w:before="0" w:line="276" w:lineRule="auto"/>
              <w:rPr>
                <w:rFonts w:ascii="Fira Sans" w:hAnsi="Fira Sans" w:cs="Arial"/>
                <w:b/>
                <w:color w:val="000000" w:themeColor="text1"/>
                <w:sz w:val="20"/>
                <w:szCs w:val="28"/>
                <w:lang w:val="en-GB"/>
              </w:rPr>
            </w:pPr>
            <w:r w:rsidRPr="00A064EF">
              <w:rPr>
                <w:rFonts w:ascii="Fira Sans" w:hAnsi="Fira Sans" w:cs="Arial"/>
                <w:b/>
                <w:color w:val="000000" w:themeColor="text1"/>
                <w:sz w:val="20"/>
                <w:szCs w:val="28"/>
                <w:lang w:val="en-GB"/>
              </w:rPr>
              <w:t xml:space="preserve">Karolina </w:t>
            </w:r>
            <w:proofErr w:type="spellStart"/>
            <w:r w:rsidR="00EA75E7" w:rsidRPr="00A064EF">
              <w:rPr>
                <w:rFonts w:ascii="Fira Sans" w:hAnsi="Fira Sans" w:cs="Arial"/>
                <w:b/>
                <w:color w:val="000000" w:themeColor="text1"/>
                <w:sz w:val="20"/>
                <w:szCs w:val="28"/>
                <w:lang w:val="en-GB"/>
              </w:rPr>
              <w:t>Banaszek</w:t>
            </w:r>
            <w:proofErr w:type="spellEnd"/>
          </w:p>
          <w:p w14:paraId="7EE94F7C" w14:textId="77777777" w:rsidR="008B6991" w:rsidRPr="00230699" w:rsidRDefault="00A064EF" w:rsidP="00BB17FA">
            <w:pPr>
              <w:pStyle w:val="Nagwek3"/>
              <w:spacing w:before="0" w:line="276" w:lineRule="auto"/>
              <w:rPr>
                <w:rFonts w:ascii="Fira Sans" w:hAnsi="Fira Sans" w:cs="Arial"/>
                <w:b/>
                <w:color w:val="000000" w:themeColor="text1"/>
                <w:sz w:val="20"/>
                <w:szCs w:val="20"/>
                <w:u w:val="single"/>
                <w:lang w:val="en-US"/>
              </w:rPr>
            </w:pPr>
            <w:r>
              <w:rPr>
                <w:rFonts w:ascii="Fira Sans" w:hAnsi="Fira Sans" w:cs="Arial"/>
                <w:color w:val="000000" w:themeColor="text1"/>
                <w:sz w:val="20"/>
                <w:lang w:val="en-US"/>
              </w:rPr>
              <w:t>Mobile</w:t>
            </w:r>
            <w:r w:rsidR="00EA75E7">
              <w:rPr>
                <w:rFonts w:ascii="Fira Sans" w:hAnsi="Fira Sans" w:cs="Arial"/>
                <w:color w:val="000000" w:themeColor="text1"/>
                <w:sz w:val="20"/>
                <w:lang w:val="en-US"/>
              </w:rPr>
              <w:t xml:space="preserve">: </w:t>
            </w:r>
            <w:r>
              <w:rPr>
                <w:rFonts w:ascii="Fira Sans" w:hAnsi="Fira Sans" w:cs="Arial"/>
                <w:color w:val="000000" w:themeColor="text1"/>
                <w:sz w:val="20"/>
                <w:lang w:val="en-US"/>
              </w:rPr>
              <w:t>(</w:t>
            </w:r>
            <w:r w:rsidR="00D856F5">
              <w:rPr>
                <w:rFonts w:ascii="Fira Sans" w:hAnsi="Fira Sans" w:cs="Arial"/>
                <w:color w:val="000000" w:themeColor="text1"/>
                <w:sz w:val="20"/>
                <w:lang w:val="en-US"/>
              </w:rPr>
              <w:t>+ 48</w:t>
            </w:r>
            <w:r>
              <w:rPr>
                <w:rFonts w:ascii="Fira Sans" w:hAnsi="Fira Sans" w:cs="Arial"/>
                <w:color w:val="000000" w:themeColor="text1"/>
                <w:sz w:val="20"/>
                <w:lang w:val="en-US"/>
              </w:rPr>
              <w:t>)</w:t>
            </w:r>
            <w:r w:rsidR="00D856F5">
              <w:rPr>
                <w:rFonts w:ascii="Fira Sans" w:hAnsi="Fira Sans" w:cs="Arial"/>
                <w:color w:val="000000" w:themeColor="text1"/>
                <w:sz w:val="20"/>
                <w:lang w:val="en-US"/>
              </w:rPr>
              <w:t xml:space="preserve"> </w:t>
            </w:r>
            <w:r w:rsidR="00EA75E7" w:rsidRPr="00EA75E7">
              <w:rPr>
                <w:rFonts w:ascii="Fira Sans" w:hAnsi="Fira Sans" w:cs="Arial"/>
                <w:color w:val="000000" w:themeColor="text1"/>
                <w:sz w:val="20"/>
                <w:lang w:val="en-US"/>
              </w:rPr>
              <w:t>695 255 011</w:t>
            </w:r>
          </w:p>
        </w:tc>
      </w:tr>
    </w:tbl>
    <w:p w14:paraId="7EE94F7E" w14:textId="77777777" w:rsidR="00303707" w:rsidRPr="00230699" w:rsidRDefault="00303707" w:rsidP="00303707">
      <w:pPr>
        <w:rPr>
          <w:sz w:val="20"/>
          <w:lang w:val="en-US"/>
        </w:rPr>
      </w:pPr>
    </w:p>
    <w:p w14:paraId="7EE94F7F" w14:textId="77777777" w:rsidR="0034767F" w:rsidRPr="00230699" w:rsidRDefault="0080273B" w:rsidP="00303707">
      <w:pPr>
        <w:rPr>
          <w:sz w:val="20"/>
          <w:lang w:val="en-US"/>
        </w:rPr>
      </w:pPr>
      <w:r>
        <w:rPr>
          <w:noProof/>
          <w:sz w:val="18"/>
          <w:lang w:eastAsia="pl-PL"/>
        </w:rPr>
        <mc:AlternateContent>
          <mc:Choice Requires="wps">
            <w:drawing>
              <wp:anchor distT="45720" distB="45720" distL="114300" distR="114300" simplePos="0" relativeHeight="251661312" behindDoc="0" locked="0" layoutInCell="1" allowOverlap="1" wp14:anchorId="7EE94FE0" wp14:editId="7EE94FE1">
                <wp:simplePos x="0" y="0"/>
                <wp:positionH relativeFrom="margin">
                  <wp:posOffset>3810</wp:posOffset>
                </wp:positionH>
                <wp:positionV relativeFrom="paragraph">
                  <wp:posOffset>1508760</wp:posOffset>
                </wp:positionV>
                <wp:extent cx="6645275" cy="6384290"/>
                <wp:effectExtent l="0" t="0" r="3175" b="0"/>
                <wp:wrapSquare wrapText="bothSides"/>
                <wp:docPr id="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6384290"/>
                        </a:xfrm>
                        <a:prstGeom prst="rect">
                          <a:avLst/>
                        </a:prstGeom>
                        <a:solidFill>
                          <a:schemeClr val="bg1">
                            <a:lumMod val="95000"/>
                          </a:schemeClr>
                        </a:solidFill>
                        <a:ln w="9525">
                          <a:solidFill>
                            <a:schemeClr val="bg1"/>
                          </a:solidFill>
                          <a:miter lim="800000"/>
                          <a:headEnd/>
                          <a:tailEnd/>
                        </a:ln>
                      </wps:spPr>
                      <wps:txbx>
                        <w:txbxContent>
                          <w:p w14:paraId="7EE95024" w14:textId="77777777" w:rsidR="0024032F" w:rsidRDefault="0024032F" w:rsidP="009F6AA2">
                            <w:pPr>
                              <w:rPr>
                                <w:b/>
                              </w:rPr>
                            </w:pPr>
                          </w:p>
                          <w:p w14:paraId="7EE95025" w14:textId="77777777" w:rsidR="0024032F" w:rsidRPr="009577AD" w:rsidRDefault="0024032F" w:rsidP="009F6AA2">
                            <w:pPr>
                              <w:rPr>
                                <w:b/>
                                <w:lang w:val="en-GB"/>
                              </w:rPr>
                            </w:pPr>
                            <w:r w:rsidRPr="009577AD">
                              <w:rPr>
                                <w:b/>
                                <w:lang w:val="en-GB"/>
                              </w:rPr>
                              <w:t>Related information</w:t>
                            </w:r>
                          </w:p>
                          <w:p w14:paraId="7EE95026" w14:textId="77777777" w:rsidR="0024032F" w:rsidRPr="009577AD" w:rsidRDefault="00FC1136" w:rsidP="009F6AA2">
                            <w:pPr>
                              <w:rPr>
                                <w:rStyle w:val="Hipercze"/>
                                <w:rFonts w:cs="Arial"/>
                                <w:color w:val="001D77"/>
                                <w:sz w:val="18"/>
                                <w:szCs w:val="30"/>
                                <w:shd w:val="clear" w:color="auto" w:fill="F0F0F0"/>
                                <w:lang w:val="en-GB"/>
                              </w:rPr>
                            </w:pPr>
                            <w:hyperlink r:id="rId36" w:history="1">
                              <w:r w:rsidR="0024032F" w:rsidRPr="00D6231E">
                                <w:rPr>
                                  <w:rStyle w:val="Hipercze"/>
                                  <w:rFonts w:cs="Arial"/>
                                  <w:color w:val="001D77"/>
                                  <w:sz w:val="18"/>
                                  <w:szCs w:val="30"/>
                                  <w:shd w:val="clear" w:color="auto" w:fill="F0F0F0"/>
                                  <w:lang w:val="en-GB"/>
                                </w:rPr>
                                <w:t>Household Budget Survey in 201</w:t>
                              </w:r>
                              <w:r w:rsidR="0024032F">
                                <w:rPr>
                                  <w:rStyle w:val="Hipercze"/>
                                  <w:rFonts w:cs="Arial"/>
                                  <w:color w:val="001D77"/>
                                  <w:sz w:val="18"/>
                                  <w:szCs w:val="30"/>
                                  <w:shd w:val="clear" w:color="auto" w:fill="F0F0F0"/>
                                  <w:lang w:val="en-GB"/>
                                </w:rPr>
                                <w:t>9</w:t>
                              </w:r>
                            </w:hyperlink>
                          </w:p>
                          <w:p w14:paraId="7EE95027" w14:textId="77777777" w:rsidR="0024032F" w:rsidRPr="00D6231E" w:rsidRDefault="0024032F" w:rsidP="009F6AA2">
                            <w:pPr>
                              <w:rPr>
                                <w:b/>
                                <w:color w:val="000000" w:themeColor="text1"/>
                                <w:szCs w:val="24"/>
                                <w:lang w:val="en-GB"/>
                              </w:rPr>
                            </w:pPr>
                          </w:p>
                          <w:p w14:paraId="7EE95028" w14:textId="77777777" w:rsidR="0024032F" w:rsidRPr="00D6231E" w:rsidRDefault="0024032F" w:rsidP="009F6AA2">
                            <w:pPr>
                              <w:rPr>
                                <w:b/>
                                <w:color w:val="000000" w:themeColor="text1"/>
                                <w:szCs w:val="24"/>
                                <w:lang w:val="en-GB"/>
                              </w:rPr>
                            </w:pPr>
                            <w:r w:rsidRPr="00D6231E">
                              <w:rPr>
                                <w:b/>
                                <w:color w:val="000000" w:themeColor="text1"/>
                                <w:szCs w:val="24"/>
                                <w:lang w:val="en-GB"/>
                              </w:rPr>
                              <w:t>Data available in databases</w:t>
                            </w:r>
                          </w:p>
                          <w:p w14:paraId="7EE95029" w14:textId="77777777" w:rsidR="0024032F" w:rsidRPr="001C0B84" w:rsidRDefault="00FC1136" w:rsidP="009F6AA2">
                            <w:pPr>
                              <w:rPr>
                                <w:rStyle w:val="Hipercze"/>
                                <w:rFonts w:cs="Arial"/>
                                <w:color w:val="001D77"/>
                                <w:sz w:val="18"/>
                                <w:szCs w:val="30"/>
                                <w:shd w:val="clear" w:color="auto" w:fill="F0F0F0"/>
                                <w:lang w:val="en-GB"/>
                              </w:rPr>
                            </w:pPr>
                            <w:hyperlink r:id="rId37" w:history="1">
                              <w:r w:rsidR="0024032F" w:rsidRPr="001C0B84">
                                <w:rPr>
                                  <w:rStyle w:val="Hipercze"/>
                                  <w:rFonts w:cs="Arial"/>
                                  <w:color w:val="001D77"/>
                                  <w:sz w:val="18"/>
                                  <w:szCs w:val="30"/>
                                  <w:shd w:val="clear" w:color="auto" w:fill="F0F0F0"/>
                                  <w:lang w:val="en-GB"/>
                                </w:rPr>
                                <w:t>LOCAL DATA BANK private households</w:t>
                              </w:r>
                            </w:hyperlink>
                          </w:p>
                          <w:p w14:paraId="7EE9502A" w14:textId="77777777" w:rsidR="0024032F" w:rsidRPr="001C0B84" w:rsidRDefault="00FC1136" w:rsidP="009F6AA2">
                            <w:pPr>
                              <w:rPr>
                                <w:rStyle w:val="Hipercze"/>
                                <w:rFonts w:cs="Arial"/>
                                <w:color w:val="001D77"/>
                                <w:sz w:val="18"/>
                                <w:szCs w:val="30"/>
                                <w:shd w:val="clear" w:color="auto" w:fill="F0F0F0"/>
                                <w:lang w:val="en-GB"/>
                              </w:rPr>
                            </w:pPr>
                            <w:hyperlink r:id="rId38" w:history="1">
                              <w:r w:rsidR="0024032F" w:rsidRPr="001C0B84">
                                <w:rPr>
                                  <w:rStyle w:val="Hipercze"/>
                                  <w:rFonts w:cs="Arial"/>
                                  <w:color w:val="001D77"/>
                                  <w:sz w:val="18"/>
                                  <w:szCs w:val="30"/>
                                  <w:shd w:val="clear" w:color="auto" w:fill="F0F0F0"/>
                                  <w:lang w:val="en-GB"/>
                                </w:rPr>
                                <w:t>HBS - material conditions of population by socio-economic groups and household size</w:t>
                              </w:r>
                            </w:hyperlink>
                          </w:p>
                          <w:p w14:paraId="7EE9502B" w14:textId="77777777" w:rsidR="0024032F" w:rsidRPr="001C0B84" w:rsidRDefault="00FC1136" w:rsidP="009F6AA2">
                            <w:pPr>
                              <w:rPr>
                                <w:color w:val="001D77"/>
                                <w:szCs w:val="24"/>
                                <w:lang w:val="en-GB"/>
                              </w:rPr>
                            </w:pPr>
                            <w:hyperlink r:id="rId39" w:history="1">
                              <w:r w:rsidR="0024032F" w:rsidRPr="001C0B84">
                                <w:rPr>
                                  <w:rStyle w:val="Hipercze"/>
                                  <w:rFonts w:cstheme="minorBidi"/>
                                  <w:color w:val="001D77"/>
                                  <w:szCs w:val="24"/>
                                  <w:lang w:val="en-GB"/>
                                </w:rPr>
                                <w:t>HBS - material conditions of population by class of locality</w:t>
                              </w:r>
                            </w:hyperlink>
                          </w:p>
                          <w:p w14:paraId="7EE9502C" w14:textId="77777777" w:rsidR="0024032F" w:rsidRPr="001C0B84" w:rsidRDefault="00FC1136" w:rsidP="009F6AA2">
                            <w:pPr>
                              <w:rPr>
                                <w:color w:val="001D77"/>
                                <w:szCs w:val="24"/>
                                <w:lang w:val="en-GB"/>
                              </w:rPr>
                            </w:pPr>
                            <w:hyperlink r:id="rId40" w:history="1">
                              <w:r w:rsidR="0024032F" w:rsidRPr="001C0B84">
                                <w:rPr>
                                  <w:rStyle w:val="Hipercze"/>
                                  <w:rFonts w:cstheme="minorBidi"/>
                                  <w:color w:val="001D77"/>
                                  <w:szCs w:val="24"/>
                                  <w:lang w:val="en-GB"/>
                                </w:rPr>
                                <w:t>HBS - material conditions of population by voivodships</w:t>
                              </w:r>
                            </w:hyperlink>
                          </w:p>
                          <w:p w14:paraId="7EE9502D" w14:textId="77777777" w:rsidR="0024032F" w:rsidRPr="001C0B84" w:rsidRDefault="0024032F" w:rsidP="009F6AA2">
                            <w:pPr>
                              <w:rPr>
                                <w:color w:val="001D77"/>
                                <w:szCs w:val="24"/>
                                <w:lang w:val="en-GB"/>
                              </w:rPr>
                            </w:pPr>
                          </w:p>
                          <w:p w14:paraId="7EE9502E" w14:textId="77777777" w:rsidR="0024032F" w:rsidRPr="001C0B84" w:rsidRDefault="0024032F" w:rsidP="009F6AA2">
                            <w:pPr>
                              <w:rPr>
                                <w:b/>
                                <w:color w:val="000000" w:themeColor="text1"/>
                                <w:szCs w:val="24"/>
                                <w:lang w:val="en-GB"/>
                              </w:rPr>
                            </w:pPr>
                            <w:r w:rsidRPr="001C0B84">
                              <w:rPr>
                                <w:b/>
                                <w:color w:val="000000" w:themeColor="text1"/>
                                <w:szCs w:val="24"/>
                                <w:lang w:val="en-GB"/>
                              </w:rPr>
                              <w:t>Terms used in official statistics</w:t>
                            </w:r>
                          </w:p>
                          <w:p w14:paraId="7EE9502F" w14:textId="77777777" w:rsidR="0024032F" w:rsidRPr="001C0B84" w:rsidRDefault="00FC1136" w:rsidP="009F6AA2">
                            <w:pPr>
                              <w:rPr>
                                <w:rStyle w:val="Hipercze"/>
                                <w:rFonts w:cs="Arial"/>
                                <w:color w:val="001D77"/>
                                <w:sz w:val="18"/>
                                <w:szCs w:val="30"/>
                                <w:shd w:val="clear" w:color="auto" w:fill="F0F0F0"/>
                                <w:lang w:val="en-GB"/>
                              </w:rPr>
                            </w:pPr>
                            <w:hyperlink r:id="rId41" w:history="1">
                              <w:r w:rsidR="0024032F" w:rsidRPr="001C0B84">
                                <w:rPr>
                                  <w:rStyle w:val="Hipercze"/>
                                  <w:rFonts w:cs="Arial"/>
                                  <w:color w:val="001D77"/>
                                  <w:sz w:val="18"/>
                                  <w:szCs w:val="30"/>
                                  <w:shd w:val="clear" w:color="auto" w:fill="F0F0F0"/>
                                  <w:lang w:val="en-GB"/>
                                </w:rPr>
                                <w:t>Household's budget</w:t>
                              </w:r>
                            </w:hyperlink>
                          </w:p>
                          <w:p w14:paraId="7EE95030" w14:textId="77777777" w:rsidR="0024032F" w:rsidRPr="001C0B84" w:rsidRDefault="00FC1136" w:rsidP="009F6AA2">
                            <w:pPr>
                              <w:rPr>
                                <w:rStyle w:val="Hipercze"/>
                                <w:rFonts w:cs="Arial"/>
                                <w:color w:val="001D77"/>
                                <w:sz w:val="18"/>
                                <w:szCs w:val="30"/>
                                <w:shd w:val="clear" w:color="auto" w:fill="F0F0F0"/>
                                <w:lang w:val="en-GB"/>
                              </w:rPr>
                            </w:pPr>
                            <w:hyperlink r:id="rId42" w:history="1">
                              <w:r w:rsidR="0024032F" w:rsidRPr="001C0B84">
                                <w:rPr>
                                  <w:rStyle w:val="Hipercze"/>
                                  <w:rFonts w:cs="Arial"/>
                                  <w:color w:val="001D77"/>
                                  <w:sz w:val="18"/>
                                  <w:szCs w:val="30"/>
                                  <w:shd w:val="clear" w:color="auto" w:fill="F0F0F0"/>
                                  <w:lang w:val="en-GB"/>
                                </w:rPr>
                                <w:t>Disposable income</w:t>
                              </w:r>
                            </w:hyperlink>
                          </w:p>
                          <w:p w14:paraId="7EE95031" w14:textId="77777777" w:rsidR="0024032F" w:rsidRPr="001C0B84" w:rsidRDefault="00FC1136" w:rsidP="009F6AA2">
                            <w:pPr>
                              <w:rPr>
                                <w:rStyle w:val="Hipercze"/>
                                <w:rFonts w:cs="Arial"/>
                                <w:color w:val="001D77"/>
                                <w:sz w:val="18"/>
                                <w:szCs w:val="30"/>
                                <w:shd w:val="clear" w:color="auto" w:fill="F0F0F0"/>
                                <w:lang w:val="en-GB"/>
                              </w:rPr>
                            </w:pPr>
                            <w:hyperlink r:id="rId43" w:history="1">
                              <w:r w:rsidR="0024032F" w:rsidRPr="001C0B84">
                                <w:rPr>
                                  <w:rStyle w:val="Hipercze"/>
                                  <w:rFonts w:cs="Arial"/>
                                  <w:color w:val="001D77"/>
                                  <w:sz w:val="18"/>
                                  <w:szCs w:val="30"/>
                                  <w:shd w:val="clear" w:color="auto" w:fill="F0F0F0"/>
                                  <w:lang w:val="en-GB"/>
                                </w:rPr>
                                <w:t>Household's available income</w:t>
                              </w:r>
                            </w:hyperlink>
                          </w:p>
                          <w:p w14:paraId="7EE95032" w14:textId="77777777" w:rsidR="0024032F" w:rsidRPr="001C0B84" w:rsidRDefault="00FC1136" w:rsidP="009F6AA2">
                            <w:pPr>
                              <w:rPr>
                                <w:rStyle w:val="Hipercze"/>
                                <w:rFonts w:cs="Arial"/>
                                <w:color w:val="001D77"/>
                                <w:sz w:val="18"/>
                                <w:szCs w:val="30"/>
                                <w:shd w:val="clear" w:color="auto" w:fill="F0F0F0"/>
                                <w:lang w:val="en-GB"/>
                              </w:rPr>
                            </w:pPr>
                            <w:hyperlink r:id="rId44" w:history="1">
                              <w:r w:rsidR="0024032F" w:rsidRPr="001C0B84">
                                <w:rPr>
                                  <w:rStyle w:val="Hipercze"/>
                                  <w:rFonts w:cs="Arial"/>
                                  <w:color w:val="001D77"/>
                                  <w:sz w:val="18"/>
                                  <w:szCs w:val="30"/>
                                  <w:shd w:val="clear" w:color="auto" w:fill="F0F0F0"/>
                                  <w:lang w:val="en-GB"/>
                                </w:rPr>
                                <w:t>Private household</w:t>
                              </w:r>
                            </w:hyperlink>
                          </w:p>
                          <w:p w14:paraId="7EE95033" w14:textId="77777777" w:rsidR="0024032F" w:rsidRPr="00E55686" w:rsidRDefault="00FC1136" w:rsidP="009F6AA2">
                            <w:pPr>
                              <w:rPr>
                                <w:rStyle w:val="Hipercze"/>
                                <w:rFonts w:cs="Arial"/>
                                <w:color w:val="001D77"/>
                                <w:sz w:val="18"/>
                                <w:szCs w:val="30"/>
                                <w:shd w:val="clear" w:color="auto" w:fill="F0F0F0"/>
                                <w:lang w:val="en-GB"/>
                              </w:rPr>
                            </w:pPr>
                            <w:hyperlink r:id="rId45" w:history="1">
                              <w:r w:rsidR="0024032F" w:rsidRPr="00E55686">
                                <w:rPr>
                                  <w:rStyle w:val="Hipercze"/>
                                  <w:rFonts w:cs="Arial"/>
                                  <w:color w:val="001D77"/>
                                  <w:sz w:val="18"/>
                                  <w:szCs w:val="30"/>
                                  <w:shd w:val="clear" w:color="auto" w:fill="F0F0F0"/>
                                  <w:lang w:val="en-GB"/>
                                </w:rPr>
                                <w:t>Net household's receipts</w:t>
                              </w:r>
                            </w:hyperlink>
                          </w:p>
                          <w:p w14:paraId="7EE95034" w14:textId="77777777" w:rsidR="0024032F" w:rsidRPr="00E55686" w:rsidRDefault="00FC1136" w:rsidP="009F6AA2">
                            <w:pPr>
                              <w:rPr>
                                <w:rStyle w:val="Hipercze"/>
                                <w:rFonts w:cs="Arial"/>
                                <w:color w:val="001D77"/>
                                <w:sz w:val="18"/>
                                <w:szCs w:val="30"/>
                                <w:shd w:val="clear" w:color="auto" w:fill="F0F0F0"/>
                                <w:lang w:val="en-GB"/>
                              </w:rPr>
                            </w:pPr>
                            <w:hyperlink r:id="rId46" w:history="1">
                              <w:r w:rsidR="0024032F" w:rsidRPr="00E55686">
                                <w:rPr>
                                  <w:rStyle w:val="Hipercze"/>
                                  <w:rFonts w:cs="Arial"/>
                                  <w:color w:val="001D77"/>
                                  <w:sz w:val="18"/>
                                  <w:szCs w:val="30"/>
                                  <w:shd w:val="clear" w:color="auto" w:fill="F0F0F0"/>
                                  <w:lang w:val="en-GB"/>
                                </w:rPr>
                                <w:t>Net household's outgoings</w:t>
                              </w:r>
                            </w:hyperlink>
                          </w:p>
                          <w:p w14:paraId="7EE95035" w14:textId="77777777" w:rsidR="0024032F" w:rsidRPr="00E55686" w:rsidRDefault="00FC1136" w:rsidP="009F6AA2">
                            <w:pPr>
                              <w:rPr>
                                <w:rStyle w:val="Hipercze"/>
                                <w:rFonts w:cs="Arial"/>
                                <w:color w:val="001D77"/>
                                <w:sz w:val="18"/>
                                <w:szCs w:val="30"/>
                                <w:shd w:val="clear" w:color="auto" w:fill="F0F0F0"/>
                                <w:lang w:val="en-GB"/>
                              </w:rPr>
                            </w:pPr>
                            <w:hyperlink r:id="rId47" w:history="1">
                              <w:r w:rsidR="0024032F" w:rsidRPr="00E55686">
                                <w:rPr>
                                  <w:rStyle w:val="Hipercze"/>
                                  <w:rFonts w:cs="Arial"/>
                                  <w:color w:val="001D77"/>
                                  <w:sz w:val="18"/>
                                  <w:szCs w:val="30"/>
                                  <w:shd w:val="clear" w:color="auto" w:fill="F0F0F0"/>
                                  <w:lang w:val="en-GB"/>
                                </w:rPr>
                                <w:t>Quantitative consumption of foodstuffs in households per person</w:t>
                              </w:r>
                            </w:hyperlink>
                          </w:p>
                          <w:p w14:paraId="7EE95036" w14:textId="77777777" w:rsidR="0024032F" w:rsidRPr="006A6986" w:rsidRDefault="00FC1136" w:rsidP="009F6AA2">
                            <w:pPr>
                              <w:rPr>
                                <w:rStyle w:val="Hipercze"/>
                                <w:rFonts w:cs="Arial"/>
                                <w:color w:val="001D77"/>
                                <w:sz w:val="18"/>
                                <w:szCs w:val="30"/>
                                <w:shd w:val="clear" w:color="auto" w:fill="F0F0F0"/>
                                <w:lang w:val="en-GB"/>
                              </w:rPr>
                            </w:pPr>
                            <w:hyperlink r:id="rId48" w:history="1">
                              <w:r w:rsidR="0024032F" w:rsidRPr="006A6986">
                                <w:rPr>
                                  <w:rStyle w:val="Hipercze"/>
                                  <w:rFonts w:cs="Arial"/>
                                  <w:color w:val="001D77"/>
                                  <w:sz w:val="18"/>
                                  <w:szCs w:val="30"/>
                                  <w:shd w:val="clear" w:color="auto" w:fill="F0F0F0"/>
                                  <w:lang w:val="en-GB"/>
                                </w:rPr>
                                <w:t>Subjective evaluation of material situation</w:t>
                              </w:r>
                            </w:hyperlink>
                          </w:p>
                          <w:p w14:paraId="7EE95037" w14:textId="77777777" w:rsidR="0024032F" w:rsidRPr="006A6986" w:rsidRDefault="00FC1136" w:rsidP="009F6AA2">
                            <w:pPr>
                              <w:rPr>
                                <w:rStyle w:val="Hipercze"/>
                                <w:rFonts w:cs="Arial"/>
                                <w:color w:val="001D77"/>
                                <w:sz w:val="18"/>
                                <w:szCs w:val="30"/>
                                <w:shd w:val="clear" w:color="auto" w:fill="F0F0F0"/>
                                <w:lang w:val="en-GB"/>
                              </w:rPr>
                            </w:pPr>
                            <w:hyperlink r:id="rId49" w:history="1">
                              <w:r w:rsidR="0024032F" w:rsidRPr="006A6986">
                                <w:rPr>
                                  <w:rStyle w:val="Hipercze"/>
                                  <w:rFonts w:cs="Arial"/>
                                  <w:color w:val="001D77"/>
                                  <w:sz w:val="18"/>
                                  <w:szCs w:val="30"/>
                                  <w:shd w:val="clear" w:color="auto" w:fill="F0F0F0"/>
                                  <w:lang w:val="en-GB"/>
                                </w:rPr>
                                <w:t>Housing conditions</w:t>
                              </w:r>
                            </w:hyperlink>
                          </w:p>
                          <w:p w14:paraId="7EE95038" w14:textId="77777777" w:rsidR="0024032F" w:rsidRPr="006A6986" w:rsidRDefault="00FC1136" w:rsidP="009F6AA2">
                            <w:pPr>
                              <w:rPr>
                                <w:rStyle w:val="Hipercze"/>
                                <w:rFonts w:cs="Arial"/>
                                <w:color w:val="001D77"/>
                                <w:sz w:val="18"/>
                                <w:szCs w:val="30"/>
                                <w:shd w:val="clear" w:color="auto" w:fill="F0F0F0"/>
                                <w:lang w:val="en-GB"/>
                              </w:rPr>
                            </w:pPr>
                            <w:hyperlink r:id="rId50" w:history="1">
                              <w:r w:rsidR="0024032F" w:rsidRPr="006A6986">
                                <w:rPr>
                                  <w:rStyle w:val="Hipercze"/>
                                  <w:rFonts w:cs="Arial"/>
                                  <w:color w:val="001D77"/>
                                  <w:sz w:val="18"/>
                                  <w:szCs w:val="30"/>
                                  <w:shd w:val="clear" w:color="auto" w:fill="F0F0F0"/>
                                  <w:lang w:val="en-GB"/>
                                </w:rPr>
                                <w:t>Expenditures of a household</w:t>
                              </w:r>
                            </w:hyperlink>
                          </w:p>
                          <w:p w14:paraId="7EE95039" w14:textId="77777777" w:rsidR="0024032F" w:rsidRPr="006A6986" w:rsidRDefault="00FC1136" w:rsidP="00EA13B1">
                            <w:pPr>
                              <w:rPr>
                                <w:rStyle w:val="Hipercze"/>
                                <w:rFonts w:cs="Arial"/>
                                <w:color w:val="001D77"/>
                                <w:sz w:val="18"/>
                                <w:szCs w:val="30"/>
                                <w:shd w:val="clear" w:color="auto" w:fill="F0F0F0"/>
                                <w:lang w:val="en-GB"/>
                              </w:rPr>
                            </w:pPr>
                            <w:hyperlink r:id="rId51" w:history="1">
                              <w:r w:rsidR="0024032F" w:rsidRPr="006A6986">
                                <w:rPr>
                                  <w:rStyle w:val="Hipercze"/>
                                  <w:rFonts w:cs="Arial"/>
                                  <w:color w:val="001D77"/>
                                  <w:sz w:val="18"/>
                                  <w:szCs w:val="30"/>
                                  <w:shd w:val="clear" w:color="auto" w:fill="F0F0F0"/>
                                  <w:lang w:val="en-GB"/>
                                </w:rPr>
                                <w:t>Expenditures on consumer goods and services</w:t>
                              </w:r>
                            </w:hyperlink>
                          </w:p>
                          <w:p w14:paraId="7EE9503A" w14:textId="77777777" w:rsidR="0024032F" w:rsidRPr="00941240" w:rsidRDefault="00FC1136" w:rsidP="009F6AA2">
                            <w:pPr>
                              <w:rPr>
                                <w:rStyle w:val="Hipercze"/>
                                <w:rFonts w:cs="Arial"/>
                                <w:color w:val="001D77"/>
                                <w:sz w:val="18"/>
                                <w:szCs w:val="30"/>
                                <w:shd w:val="clear" w:color="auto" w:fill="F0F0F0"/>
                                <w:lang w:val="en-GB"/>
                              </w:rPr>
                            </w:pPr>
                            <w:hyperlink r:id="rId52" w:history="1">
                              <w:r w:rsidR="0024032F" w:rsidRPr="00941240">
                                <w:rPr>
                                  <w:rStyle w:val="Hipercze"/>
                                  <w:rFonts w:cs="Arial"/>
                                  <w:color w:val="001D77"/>
                                  <w:sz w:val="18"/>
                                  <w:szCs w:val="30"/>
                                  <w:shd w:val="clear" w:color="auto" w:fill="F0F0F0"/>
                                  <w:lang w:val="en-GB"/>
                                </w:rPr>
                                <w:t>Household's equipment</w:t>
                              </w:r>
                            </w:hyperlink>
                          </w:p>
                          <w:p w14:paraId="7EE9503B" w14:textId="77777777" w:rsidR="0024032F" w:rsidRPr="006C2B81" w:rsidRDefault="0024032F" w:rsidP="009F6AA2">
                            <w:pPr>
                              <w:rPr>
                                <w:rStyle w:val="Hipercze"/>
                                <w:rFonts w:cs="Arial"/>
                                <w:color w:val="001D77"/>
                                <w:sz w:val="18"/>
                                <w:szCs w:val="30"/>
                                <w:shd w:val="clear" w:color="auto" w:fill="F0F0F0"/>
                              </w:rPr>
                            </w:pPr>
                          </w:p>
                          <w:p w14:paraId="7EE9503C" w14:textId="77777777" w:rsidR="0024032F" w:rsidRPr="00660624" w:rsidRDefault="0024032F" w:rsidP="009F6AA2">
                            <w:pPr>
                              <w:rPr>
                                <w:rStyle w:val="Hipercze"/>
                                <w:rFonts w:cs="Arial"/>
                                <w:color w:val="001D77"/>
                                <w:sz w:val="18"/>
                                <w:szCs w:val="30"/>
                                <w:shd w:val="clear" w:color="auto" w:fill="F0F0F0"/>
                                <w:lang w:val="en-US"/>
                              </w:rPr>
                            </w:pPr>
                          </w:p>
                          <w:p w14:paraId="7EE9503D" w14:textId="77777777" w:rsidR="0024032F" w:rsidRPr="003662E1" w:rsidRDefault="0024032F" w:rsidP="009F6AA2">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4FE0" id="Pole tekstowe 2" o:spid="_x0000_s1045" type="#_x0000_t202" style="position:absolute;margin-left:.3pt;margin-top:118.8pt;width:523.25pt;height:50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" fillcolor="#f2f2f2 [3052]" strokecolor="white [3212]">
                <v:textbox>
                  <w:txbxContent>
                    <w:p w14:paraId="7EE95024" w14:textId="77777777" w:rsidR="0024032F" w:rsidRDefault="0024032F" w:rsidP="009F6AA2">
                      <w:pPr>
                        <w:rPr>
                          <w:b/>
                        </w:rPr>
                      </w:pPr>
                    </w:p>
                    <w:p w14:paraId="7EE95025" w14:textId="77777777" w:rsidR="0024032F" w:rsidRPr="009577AD" w:rsidRDefault="0024032F" w:rsidP="009F6AA2">
                      <w:pPr>
                        <w:rPr>
                          <w:b/>
                          <w:lang w:val="en-GB"/>
                        </w:rPr>
                      </w:pPr>
                      <w:r w:rsidRPr="009577AD">
                        <w:rPr>
                          <w:b/>
                          <w:lang w:val="en-GB"/>
                        </w:rPr>
                        <w:t>Related information</w:t>
                      </w:r>
                    </w:p>
                    <w:p w14:paraId="7EE95026" w14:textId="77777777" w:rsidR="0024032F" w:rsidRPr="009577AD" w:rsidRDefault="00FC1136" w:rsidP="009F6AA2">
                      <w:pPr>
                        <w:rPr>
                          <w:rStyle w:val="Hipercze"/>
                          <w:rFonts w:cs="Arial"/>
                          <w:color w:val="001D77"/>
                          <w:sz w:val="18"/>
                          <w:szCs w:val="30"/>
                          <w:shd w:val="clear" w:color="auto" w:fill="F0F0F0"/>
                          <w:lang w:val="en-GB"/>
                        </w:rPr>
                      </w:pPr>
                      <w:hyperlink r:id="rId53" w:history="1">
                        <w:r w:rsidR="0024032F" w:rsidRPr="00D6231E">
                          <w:rPr>
                            <w:rStyle w:val="Hipercze"/>
                            <w:rFonts w:cs="Arial"/>
                            <w:color w:val="001D77"/>
                            <w:sz w:val="18"/>
                            <w:szCs w:val="30"/>
                            <w:shd w:val="clear" w:color="auto" w:fill="F0F0F0"/>
                            <w:lang w:val="en-GB"/>
                          </w:rPr>
                          <w:t>Household Budget Survey in 201</w:t>
                        </w:r>
                        <w:r w:rsidR="0024032F">
                          <w:rPr>
                            <w:rStyle w:val="Hipercze"/>
                            <w:rFonts w:cs="Arial"/>
                            <w:color w:val="001D77"/>
                            <w:sz w:val="18"/>
                            <w:szCs w:val="30"/>
                            <w:shd w:val="clear" w:color="auto" w:fill="F0F0F0"/>
                            <w:lang w:val="en-GB"/>
                          </w:rPr>
                          <w:t>9</w:t>
                        </w:r>
                      </w:hyperlink>
                    </w:p>
                    <w:p w14:paraId="7EE95027" w14:textId="77777777" w:rsidR="0024032F" w:rsidRPr="00D6231E" w:rsidRDefault="0024032F" w:rsidP="009F6AA2">
                      <w:pPr>
                        <w:rPr>
                          <w:b/>
                          <w:color w:val="000000" w:themeColor="text1"/>
                          <w:szCs w:val="24"/>
                          <w:lang w:val="en-GB"/>
                        </w:rPr>
                      </w:pPr>
                    </w:p>
                    <w:p w14:paraId="7EE95028" w14:textId="77777777" w:rsidR="0024032F" w:rsidRPr="00D6231E" w:rsidRDefault="0024032F" w:rsidP="009F6AA2">
                      <w:pPr>
                        <w:rPr>
                          <w:b/>
                          <w:color w:val="000000" w:themeColor="text1"/>
                          <w:szCs w:val="24"/>
                          <w:lang w:val="en-GB"/>
                        </w:rPr>
                      </w:pPr>
                      <w:r w:rsidRPr="00D6231E">
                        <w:rPr>
                          <w:b/>
                          <w:color w:val="000000" w:themeColor="text1"/>
                          <w:szCs w:val="24"/>
                          <w:lang w:val="en-GB"/>
                        </w:rPr>
                        <w:t>Data available in databases</w:t>
                      </w:r>
                    </w:p>
                    <w:p w14:paraId="7EE95029" w14:textId="77777777" w:rsidR="0024032F" w:rsidRPr="001C0B84" w:rsidRDefault="00FC1136" w:rsidP="009F6AA2">
                      <w:pPr>
                        <w:rPr>
                          <w:rStyle w:val="Hipercze"/>
                          <w:rFonts w:cs="Arial"/>
                          <w:color w:val="001D77"/>
                          <w:sz w:val="18"/>
                          <w:szCs w:val="30"/>
                          <w:shd w:val="clear" w:color="auto" w:fill="F0F0F0"/>
                          <w:lang w:val="en-GB"/>
                        </w:rPr>
                      </w:pPr>
                      <w:hyperlink r:id="rId54" w:history="1">
                        <w:r w:rsidR="0024032F" w:rsidRPr="001C0B84">
                          <w:rPr>
                            <w:rStyle w:val="Hipercze"/>
                            <w:rFonts w:cs="Arial"/>
                            <w:color w:val="001D77"/>
                            <w:sz w:val="18"/>
                            <w:szCs w:val="30"/>
                            <w:shd w:val="clear" w:color="auto" w:fill="F0F0F0"/>
                            <w:lang w:val="en-GB"/>
                          </w:rPr>
                          <w:t>LOCAL DATA BANK private households</w:t>
                        </w:r>
                      </w:hyperlink>
                    </w:p>
                    <w:p w14:paraId="7EE9502A" w14:textId="77777777" w:rsidR="0024032F" w:rsidRPr="001C0B84" w:rsidRDefault="00FC1136" w:rsidP="009F6AA2">
                      <w:pPr>
                        <w:rPr>
                          <w:rStyle w:val="Hipercze"/>
                          <w:rFonts w:cs="Arial"/>
                          <w:color w:val="001D77"/>
                          <w:sz w:val="18"/>
                          <w:szCs w:val="30"/>
                          <w:shd w:val="clear" w:color="auto" w:fill="F0F0F0"/>
                          <w:lang w:val="en-GB"/>
                        </w:rPr>
                      </w:pPr>
                      <w:hyperlink r:id="rId55" w:history="1">
                        <w:r w:rsidR="0024032F" w:rsidRPr="001C0B84">
                          <w:rPr>
                            <w:rStyle w:val="Hipercze"/>
                            <w:rFonts w:cs="Arial"/>
                            <w:color w:val="001D77"/>
                            <w:sz w:val="18"/>
                            <w:szCs w:val="30"/>
                            <w:shd w:val="clear" w:color="auto" w:fill="F0F0F0"/>
                            <w:lang w:val="en-GB"/>
                          </w:rPr>
                          <w:t>HBS - material conditions of population by socio-economic groups and household size</w:t>
                        </w:r>
                      </w:hyperlink>
                    </w:p>
                    <w:p w14:paraId="7EE9502B" w14:textId="77777777" w:rsidR="0024032F" w:rsidRPr="001C0B84" w:rsidRDefault="00FC1136" w:rsidP="009F6AA2">
                      <w:pPr>
                        <w:rPr>
                          <w:color w:val="001D77"/>
                          <w:szCs w:val="24"/>
                          <w:lang w:val="en-GB"/>
                        </w:rPr>
                      </w:pPr>
                      <w:hyperlink r:id="rId56" w:history="1">
                        <w:r w:rsidR="0024032F" w:rsidRPr="001C0B84">
                          <w:rPr>
                            <w:rStyle w:val="Hipercze"/>
                            <w:rFonts w:cstheme="minorBidi"/>
                            <w:color w:val="001D77"/>
                            <w:szCs w:val="24"/>
                            <w:lang w:val="en-GB"/>
                          </w:rPr>
                          <w:t>HBS - material conditions of population by class of locality</w:t>
                        </w:r>
                      </w:hyperlink>
                    </w:p>
                    <w:p w14:paraId="7EE9502C" w14:textId="77777777" w:rsidR="0024032F" w:rsidRPr="001C0B84" w:rsidRDefault="00FC1136" w:rsidP="009F6AA2">
                      <w:pPr>
                        <w:rPr>
                          <w:color w:val="001D77"/>
                          <w:szCs w:val="24"/>
                          <w:lang w:val="en-GB"/>
                        </w:rPr>
                      </w:pPr>
                      <w:hyperlink r:id="rId57" w:history="1">
                        <w:r w:rsidR="0024032F" w:rsidRPr="001C0B84">
                          <w:rPr>
                            <w:rStyle w:val="Hipercze"/>
                            <w:rFonts w:cstheme="minorBidi"/>
                            <w:color w:val="001D77"/>
                            <w:szCs w:val="24"/>
                            <w:lang w:val="en-GB"/>
                          </w:rPr>
                          <w:t>HBS - material conditions of population by voivodships</w:t>
                        </w:r>
                      </w:hyperlink>
                    </w:p>
                    <w:p w14:paraId="7EE9502D" w14:textId="77777777" w:rsidR="0024032F" w:rsidRPr="001C0B84" w:rsidRDefault="0024032F" w:rsidP="009F6AA2">
                      <w:pPr>
                        <w:rPr>
                          <w:color w:val="001D77"/>
                          <w:szCs w:val="24"/>
                          <w:lang w:val="en-GB"/>
                        </w:rPr>
                      </w:pPr>
                    </w:p>
                    <w:p w14:paraId="7EE9502E" w14:textId="77777777" w:rsidR="0024032F" w:rsidRPr="001C0B84" w:rsidRDefault="0024032F" w:rsidP="009F6AA2">
                      <w:pPr>
                        <w:rPr>
                          <w:b/>
                          <w:color w:val="000000" w:themeColor="text1"/>
                          <w:szCs w:val="24"/>
                          <w:lang w:val="en-GB"/>
                        </w:rPr>
                      </w:pPr>
                      <w:r w:rsidRPr="001C0B84">
                        <w:rPr>
                          <w:b/>
                          <w:color w:val="000000" w:themeColor="text1"/>
                          <w:szCs w:val="24"/>
                          <w:lang w:val="en-GB"/>
                        </w:rPr>
                        <w:t>Terms used in official statistics</w:t>
                      </w:r>
                    </w:p>
                    <w:p w14:paraId="7EE9502F" w14:textId="77777777" w:rsidR="0024032F" w:rsidRPr="001C0B84" w:rsidRDefault="00FC1136" w:rsidP="009F6AA2">
                      <w:pPr>
                        <w:rPr>
                          <w:rStyle w:val="Hipercze"/>
                          <w:rFonts w:cs="Arial"/>
                          <w:color w:val="001D77"/>
                          <w:sz w:val="18"/>
                          <w:szCs w:val="30"/>
                          <w:shd w:val="clear" w:color="auto" w:fill="F0F0F0"/>
                          <w:lang w:val="en-GB"/>
                        </w:rPr>
                      </w:pPr>
                      <w:hyperlink r:id="rId58" w:history="1">
                        <w:r w:rsidR="0024032F" w:rsidRPr="001C0B84">
                          <w:rPr>
                            <w:rStyle w:val="Hipercze"/>
                            <w:rFonts w:cs="Arial"/>
                            <w:color w:val="001D77"/>
                            <w:sz w:val="18"/>
                            <w:szCs w:val="30"/>
                            <w:shd w:val="clear" w:color="auto" w:fill="F0F0F0"/>
                            <w:lang w:val="en-GB"/>
                          </w:rPr>
                          <w:t>Household's budget</w:t>
                        </w:r>
                      </w:hyperlink>
                    </w:p>
                    <w:p w14:paraId="7EE95030" w14:textId="77777777" w:rsidR="0024032F" w:rsidRPr="001C0B84" w:rsidRDefault="00FC1136" w:rsidP="009F6AA2">
                      <w:pPr>
                        <w:rPr>
                          <w:rStyle w:val="Hipercze"/>
                          <w:rFonts w:cs="Arial"/>
                          <w:color w:val="001D77"/>
                          <w:sz w:val="18"/>
                          <w:szCs w:val="30"/>
                          <w:shd w:val="clear" w:color="auto" w:fill="F0F0F0"/>
                          <w:lang w:val="en-GB"/>
                        </w:rPr>
                      </w:pPr>
                      <w:hyperlink r:id="rId59" w:history="1">
                        <w:r w:rsidR="0024032F" w:rsidRPr="001C0B84">
                          <w:rPr>
                            <w:rStyle w:val="Hipercze"/>
                            <w:rFonts w:cs="Arial"/>
                            <w:color w:val="001D77"/>
                            <w:sz w:val="18"/>
                            <w:szCs w:val="30"/>
                            <w:shd w:val="clear" w:color="auto" w:fill="F0F0F0"/>
                            <w:lang w:val="en-GB"/>
                          </w:rPr>
                          <w:t>Disposable income</w:t>
                        </w:r>
                      </w:hyperlink>
                    </w:p>
                    <w:p w14:paraId="7EE95031" w14:textId="77777777" w:rsidR="0024032F" w:rsidRPr="001C0B84" w:rsidRDefault="00FC1136" w:rsidP="009F6AA2">
                      <w:pPr>
                        <w:rPr>
                          <w:rStyle w:val="Hipercze"/>
                          <w:rFonts w:cs="Arial"/>
                          <w:color w:val="001D77"/>
                          <w:sz w:val="18"/>
                          <w:szCs w:val="30"/>
                          <w:shd w:val="clear" w:color="auto" w:fill="F0F0F0"/>
                          <w:lang w:val="en-GB"/>
                        </w:rPr>
                      </w:pPr>
                      <w:hyperlink r:id="rId60" w:history="1">
                        <w:r w:rsidR="0024032F" w:rsidRPr="001C0B84">
                          <w:rPr>
                            <w:rStyle w:val="Hipercze"/>
                            <w:rFonts w:cs="Arial"/>
                            <w:color w:val="001D77"/>
                            <w:sz w:val="18"/>
                            <w:szCs w:val="30"/>
                            <w:shd w:val="clear" w:color="auto" w:fill="F0F0F0"/>
                            <w:lang w:val="en-GB"/>
                          </w:rPr>
                          <w:t>Household's available income</w:t>
                        </w:r>
                      </w:hyperlink>
                    </w:p>
                    <w:p w14:paraId="7EE95032" w14:textId="77777777" w:rsidR="0024032F" w:rsidRPr="001C0B84" w:rsidRDefault="00FC1136" w:rsidP="009F6AA2">
                      <w:pPr>
                        <w:rPr>
                          <w:rStyle w:val="Hipercze"/>
                          <w:rFonts w:cs="Arial"/>
                          <w:color w:val="001D77"/>
                          <w:sz w:val="18"/>
                          <w:szCs w:val="30"/>
                          <w:shd w:val="clear" w:color="auto" w:fill="F0F0F0"/>
                          <w:lang w:val="en-GB"/>
                        </w:rPr>
                      </w:pPr>
                      <w:hyperlink r:id="rId61" w:history="1">
                        <w:r w:rsidR="0024032F" w:rsidRPr="001C0B84">
                          <w:rPr>
                            <w:rStyle w:val="Hipercze"/>
                            <w:rFonts w:cs="Arial"/>
                            <w:color w:val="001D77"/>
                            <w:sz w:val="18"/>
                            <w:szCs w:val="30"/>
                            <w:shd w:val="clear" w:color="auto" w:fill="F0F0F0"/>
                            <w:lang w:val="en-GB"/>
                          </w:rPr>
                          <w:t>Private household</w:t>
                        </w:r>
                      </w:hyperlink>
                    </w:p>
                    <w:p w14:paraId="7EE95033" w14:textId="77777777" w:rsidR="0024032F" w:rsidRPr="00E55686" w:rsidRDefault="00FC1136" w:rsidP="009F6AA2">
                      <w:pPr>
                        <w:rPr>
                          <w:rStyle w:val="Hipercze"/>
                          <w:rFonts w:cs="Arial"/>
                          <w:color w:val="001D77"/>
                          <w:sz w:val="18"/>
                          <w:szCs w:val="30"/>
                          <w:shd w:val="clear" w:color="auto" w:fill="F0F0F0"/>
                          <w:lang w:val="en-GB"/>
                        </w:rPr>
                      </w:pPr>
                      <w:hyperlink r:id="rId62" w:history="1">
                        <w:r w:rsidR="0024032F" w:rsidRPr="00E55686">
                          <w:rPr>
                            <w:rStyle w:val="Hipercze"/>
                            <w:rFonts w:cs="Arial"/>
                            <w:color w:val="001D77"/>
                            <w:sz w:val="18"/>
                            <w:szCs w:val="30"/>
                            <w:shd w:val="clear" w:color="auto" w:fill="F0F0F0"/>
                            <w:lang w:val="en-GB"/>
                          </w:rPr>
                          <w:t>Net household's receipts</w:t>
                        </w:r>
                      </w:hyperlink>
                    </w:p>
                    <w:p w14:paraId="7EE95034" w14:textId="77777777" w:rsidR="0024032F" w:rsidRPr="00E55686" w:rsidRDefault="00FC1136" w:rsidP="009F6AA2">
                      <w:pPr>
                        <w:rPr>
                          <w:rStyle w:val="Hipercze"/>
                          <w:rFonts w:cs="Arial"/>
                          <w:color w:val="001D77"/>
                          <w:sz w:val="18"/>
                          <w:szCs w:val="30"/>
                          <w:shd w:val="clear" w:color="auto" w:fill="F0F0F0"/>
                          <w:lang w:val="en-GB"/>
                        </w:rPr>
                      </w:pPr>
                      <w:hyperlink r:id="rId63" w:history="1">
                        <w:r w:rsidR="0024032F" w:rsidRPr="00E55686">
                          <w:rPr>
                            <w:rStyle w:val="Hipercze"/>
                            <w:rFonts w:cs="Arial"/>
                            <w:color w:val="001D77"/>
                            <w:sz w:val="18"/>
                            <w:szCs w:val="30"/>
                            <w:shd w:val="clear" w:color="auto" w:fill="F0F0F0"/>
                            <w:lang w:val="en-GB"/>
                          </w:rPr>
                          <w:t>Net household's outgoings</w:t>
                        </w:r>
                      </w:hyperlink>
                    </w:p>
                    <w:p w14:paraId="7EE95035" w14:textId="77777777" w:rsidR="0024032F" w:rsidRPr="00E55686" w:rsidRDefault="00FC1136" w:rsidP="009F6AA2">
                      <w:pPr>
                        <w:rPr>
                          <w:rStyle w:val="Hipercze"/>
                          <w:rFonts w:cs="Arial"/>
                          <w:color w:val="001D77"/>
                          <w:sz w:val="18"/>
                          <w:szCs w:val="30"/>
                          <w:shd w:val="clear" w:color="auto" w:fill="F0F0F0"/>
                          <w:lang w:val="en-GB"/>
                        </w:rPr>
                      </w:pPr>
                      <w:hyperlink r:id="rId64" w:history="1">
                        <w:r w:rsidR="0024032F" w:rsidRPr="00E55686">
                          <w:rPr>
                            <w:rStyle w:val="Hipercze"/>
                            <w:rFonts w:cs="Arial"/>
                            <w:color w:val="001D77"/>
                            <w:sz w:val="18"/>
                            <w:szCs w:val="30"/>
                            <w:shd w:val="clear" w:color="auto" w:fill="F0F0F0"/>
                            <w:lang w:val="en-GB"/>
                          </w:rPr>
                          <w:t>Quantitative consumption of foodstuffs in households per person</w:t>
                        </w:r>
                      </w:hyperlink>
                    </w:p>
                    <w:p w14:paraId="7EE95036" w14:textId="77777777" w:rsidR="0024032F" w:rsidRPr="006A6986" w:rsidRDefault="00FC1136" w:rsidP="009F6AA2">
                      <w:pPr>
                        <w:rPr>
                          <w:rStyle w:val="Hipercze"/>
                          <w:rFonts w:cs="Arial"/>
                          <w:color w:val="001D77"/>
                          <w:sz w:val="18"/>
                          <w:szCs w:val="30"/>
                          <w:shd w:val="clear" w:color="auto" w:fill="F0F0F0"/>
                          <w:lang w:val="en-GB"/>
                        </w:rPr>
                      </w:pPr>
                      <w:hyperlink r:id="rId65" w:history="1">
                        <w:r w:rsidR="0024032F" w:rsidRPr="006A6986">
                          <w:rPr>
                            <w:rStyle w:val="Hipercze"/>
                            <w:rFonts w:cs="Arial"/>
                            <w:color w:val="001D77"/>
                            <w:sz w:val="18"/>
                            <w:szCs w:val="30"/>
                            <w:shd w:val="clear" w:color="auto" w:fill="F0F0F0"/>
                            <w:lang w:val="en-GB"/>
                          </w:rPr>
                          <w:t>Subjective evaluation of material situation</w:t>
                        </w:r>
                      </w:hyperlink>
                    </w:p>
                    <w:p w14:paraId="7EE95037" w14:textId="77777777" w:rsidR="0024032F" w:rsidRPr="006A6986" w:rsidRDefault="00FC1136" w:rsidP="009F6AA2">
                      <w:pPr>
                        <w:rPr>
                          <w:rStyle w:val="Hipercze"/>
                          <w:rFonts w:cs="Arial"/>
                          <w:color w:val="001D77"/>
                          <w:sz w:val="18"/>
                          <w:szCs w:val="30"/>
                          <w:shd w:val="clear" w:color="auto" w:fill="F0F0F0"/>
                          <w:lang w:val="en-GB"/>
                        </w:rPr>
                      </w:pPr>
                      <w:hyperlink r:id="rId66" w:history="1">
                        <w:r w:rsidR="0024032F" w:rsidRPr="006A6986">
                          <w:rPr>
                            <w:rStyle w:val="Hipercze"/>
                            <w:rFonts w:cs="Arial"/>
                            <w:color w:val="001D77"/>
                            <w:sz w:val="18"/>
                            <w:szCs w:val="30"/>
                            <w:shd w:val="clear" w:color="auto" w:fill="F0F0F0"/>
                            <w:lang w:val="en-GB"/>
                          </w:rPr>
                          <w:t>Housing conditions</w:t>
                        </w:r>
                      </w:hyperlink>
                    </w:p>
                    <w:p w14:paraId="7EE95038" w14:textId="77777777" w:rsidR="0024032F" w:rsidRPr="006A6986" w:rsidRDefault="00FC1136" w:rsidP="009F6AA2">
                      <w:pPr>
                        <w:rPr>
                          <w:rStyle w:val="Hipercze"/>
                          <w:rFonts w:cs="Arial"/>
                          <w:color w:val="001D77"/>
                          <w:sz w:val="18"/>
                          <w:szCs w:val="30"/>
                          <w:shd w:val="clear" w:color="auto" w:fill="F0F0F0"/>
                          <w:lang w:val="en-GB"/>
                        </w:rPr>
                      </w:pPr>
                      <w:hyperlink r:id="rId67" w:history="1">
                        <w:r w:rsidR="0024032F" w:rsidRPr="006A6986">
                          <w:rPr>
                            <w:rStyle w:val="Hipercze"/>
                            <w:rFonts w:cs="Arial"/>
                            <w:color w:val="001D77"/>
                            <w:sz w:val="18"/>
                            <w:szCs w:val="30"/>
                            <w:shd w:val="clear" w:color="auto" w:fill="F0F0F0"/>
                            <w:lang w:val="en-GB"/>
                          </w:rPr>
                          <w:t>Expenditures of a household</w:t>
                        </w:r>
                      </w:hyperlink>
                    </w:p>
                    <w:p w14:paraId="7EE95039" w14:textId="77777777" w:rsidR="0024032F" w:rsidRPr="006A6986" w:rsidRDefault="00FC1136" w:rsidP="00EA13B1">
                      <w:pPr>
                        <w:rPr>
                          <w:rStyle w:val="Hipercze"/>
                          <w:rFonts w:cs="Arial"/>
                          <w:color w:val="001D77"/>
                          <w:sz w:val="18"/>
                          <w:szCs w:val="30"/>
                          <w:shd w:val="clear" w:color="auto" w:fill="F0F0F0"/>
                          <w:lang w:val="en-GB"/>
                        </w:rPr>
                      </w:pPr>
                      <w:hyperlink r:id="rId68" w:history="1">
                        <w:r w:rsidR="0024032F" w:rsidRPr="006A6986">
                          <w:rPr>
                            <w:rStyle w:val="Hipercze"/>
                            <w:rFonts w:cs="Arial"/>
                            <w:color w:val="001D77"/>
                            <w:sz w:val="18"/>
                            <w:szCs w:val="30"/>
                            <w:shd w:val="clear" w:color="auto" w:fill="F0F0F0"/>
                            <w:lang w:val="en-GB"/>
                          </w:rPr>
                          <w:t>Expenditures on consumer goods and services</w:t>
                        </w:r>
                      </w:hyperlink>
                    </w:p>
                    <w:p w14:paraId="7EE9503A" w14:textId="77777777" w:rsidR="0024032F" w:rsidRPr="00941240" w:rsidRDefault="00FC1136" w:rsidP="009F6AA2">
                      <w:pPr>
                        <w:rPr>
                          <w:rStyle w:val="Hipercze"/>
                          <w:rFonts w:cs="Arial"/>
                          <w:color w:val="001D77"/>
                          <w:sz w:val="18"/>
                          <w:szCs w:val="30"/>
                          <w:shd w:val="clear" w:color="auto" w:fill="F0F0F0"/>
                          <w:lang w:val="en-GB"/>
                        </w:rPr>
                      </w:pPr>
                      <w:hyperlink r:id="rId69" w:history="1">
                        <w:r w:rsidR="0024032F" w:rsidRPr="00941240">
                          <w:rPr>
                            <w:rStyle w:val="Hipercze"/>
                            <w:rFonts w:cs="Arial"/>
                            <w:color w:val="001D77"/>
                            <w:sz w:val="18"/>
                            <w:szCs w:val="30"/>
                            <w:shd w:val="clear" w:color="auto" w:fill="F0F0F0"/>
                            <w:lang w:val="en-GB"/>
                          </w:rPr>
                          <w:t>Household's equipment</w:t>
                        </w:r>
                      </w:hyperlink>
                    </w:p>
                    <w:p w14:paraId="7EE9503B" w14:textId="77777777" w:rsidR="0024032F" w:rsidRPr="006C2B81" w:rsidRDefault="0024032F" w:rsidP="009F6AA2">
                      <w:pPr>
                        <w:rPr>
                          <w:rStyle w:val="Hipercze"/>
                          <w:rFonts w:cs="Arial"/>
                          <w:color w:val="001D77"/>
                          <w:sz w:val="18"/>
                          <w:szCs w:val="30"/>
                          <w:shd w:val="clear" w:color="auto" w:fill="F0F0F0"/>
                        </w:rPr>
                      </w:pPr>
                    </w:p>
                    <w:p w14:paraId="7EE9503C" w14:textId="77777777" w:rsidR="0024032F" w:rsidRPr="00660624" w:rsidRDefault="0024032F" w:rsidP="009F6AA2">
                      <w:pPr>
                        <w:rPr>
                          <w:rStyle w:val="Hipercze"/>
                          <w:rFonts w:cs="Arial"/>
                          <w:color w:val="001D77"/>
                          <w:sz w:val="18"/>
                          <w:szCs w:val="30"/>
                          <w:shd w:val="clear" w:color="auto" w:fill="F0F0F0"/>
                          <w:lang w:val="en-US"/>
                        </w:rPr>
                      </w:pPr>
                    </w:p>
                    <w:p w14:paraId="7EE9503D" w14:textId="77777777" w:rsidR="0024032F" w:rsidRPr="003662E1" w:rsidRDefault="0024032F" w:rsidP="009F6AA2">
                      <w:pPr>
                        <w:rPr>
                          <w:b/>
                          <w:color w:val="000000" w:themeColor="text1"/>
                          <w:szCs w:val="24"/>
                          <w:lang w:val="en-US"/>
                        </w:rPr>
                      </w:pPr>
                    </w:p>
                  </w:txbxContent>
                </v:textbox>
                <w10:wrap type="square" anchorx="margin"/>
              </v:shape>
            </w:pict>
          </mc:Fallback>
        </mc:AlternateContent>
      </w:r>
    </w:p>
    <w:tbl>
      <w:tblPr>
        <w:tblW w:w="5000" w:type="pct"/>
        <w:tblCellMar>
          <w:left w:w="57" w:type="dxa"/>
          <w:right w:w="57" w:type="dxa"/>
        </w:tblCellMar>
        <w:tblLook w:val="04A0" w:firstRow="1" w:lastRow="0" w:firstColumn="1" w:lastColumn="0" w:noHBand="0" w:noVBand="1"/>
      </w:tblPr>
      <w:tblGrid>
        <w:gridCol w:w="4390"/>
        <w:gridCol w:w="595"/>
        <w:gridCol w:w="3082"/>
      </w:tblGrid>
      <w:tr w:rsidR="009F6AA2" w:rsidRPr="0024032F" w14:paraId="7EE94F85" w14:textId="77777777" w:rsidTr="00D51E5E">
        <w:trPr>
          <w:trHeight w:val="610"/>
        </w:trPr>
        <w:tc>
          <w:tcPr>
            <w:tcW w:w="2721" w:type="pct"/>
            <w:vMerge w:val="restart"/>
            <w:vAlign w:val="center"/>
          </w:tcPr>
          <w:p w14:paraId="7EE94F80" w14:textId="77777777" w:rsidR="009F6AA2" w:rsidRPr="00A064EF" w:rsidRDefault="005F2E2D" w:rsidP="00D51E5E">
            <w:pPr>
              <w:rPr>
                <w:b/>
                <w:sz w:val="20"/>
                <w:lang w:val="en-GB"/>
              </w:rPr>
            </w:pPr>
            <w:r w:rsidRPr="00A064EF">
              <w:rPr>
                <w:b/>
                <w:sz w:val="20"/>
                <w:lang w:val="en-GB"/>
              </w:rPr>
              <w:t>Press Office</w:t>
            </w:r>
          </w:p>
          <w:p w14:paraId="7EE94F81" w14:textId="77777777" w:rsidR="009F6AA2" w:rsidRPr="00A064EF" w:rsidRDefault="00A064EF" w:rsidP="00D51E5E">
            <w:pPr>
              <w:rPr>
                <w:sz w:val="20"/>
                <w:lang w:val="en-GB"/>
              </w:rPr>
            </w:pPr>
            <w:r w:rsidRPr="00A064EF">
              <w:rPr>
                <w:sz w:val="20"/>
                <w:lang w:val="en-GB"/>
              </w:rPr>
              <w:t>Office: tel.</w:t>
            </w:r>
            <w:r w:rsidR="009F6AA2" w:rsidRPr="00A064EF">
              <w:rPr>
                <w:b/>
                <w:sz w:val="20"/>
                <w:lang w:val="en-GB"/>
              </w:rPr>
              <w:t xml:space="preserve"> </w:t>
            </w:r>
            <w:r w:rsidRPr="00A064EF">
              <w:rPr>
                <w:sz w:val="20"/>
                <w:lang w:val="en-GB"/>
              </w:rPr>
              <w:t>(</w:t>
            </w:r>
            <w:r w:rsidR="00D856F5" w:rsidRPr="00A064EF">
              <w:rPr>
                <w:sz w:val="20"/>
                <w:lang w:val="en-GB"/>
              </w:rPr>
              <w:t xml:space="preserve">+ 48 </w:t>
            </w:r>
            <w:r w:rsidR="00C424DA" w:rsidRPr="00A064EF">
              <w:rPr>
                <w:sz w:val="20"/>
                <w:lang w:val="en-GB"/>
              </w:rPr>
              <w:t>22</w:t>
            </w:r>
            <w:r>
              <w:rPr>
                <w:sz w:val="20"/>
                <w:lang w:val="en-GB"/>
              </w:rPr>
              <w:t>)</w:t>
            </w:r>
            <w:r w:rsidR="00C424DA" w:rsidRPr="00A064EF">
              <w:rPr>
                <w:sz w:val="20"/>
                <w:lang w:val="en-GB"/>
              </w:rPr>
              <w:t xml:space="preserve"> 608 34</w:t>
            </w:r>
            <w:r w:rsidR="00EA75E7" w:rsidRPr="00A064EF">
              <w:rPr>
                <w:sz w:val="20"/>
                <w:lang w:val="en-GB"/>
              </w:rPr>
              <w:t xml:space="preserve"> </w:t>
            </w:r>
            <w:r w:rsidR="00C424DA" w:rsidRPr="00A064EF">
              <w:rPr>
                <w:sz w:val="20"/>
                <w:lang w:val="en-GB"/>
              </w:rPr>
              <w:t>91, 608 38</w:t>
            </w:r>
            <w:r w:rsidR="00EA75E7" w:rsidRPr="00A064EF">
              <w:rPr>
                <w:sz w:val="20"/>
                <w:lang w:val="en-GB"/>
              </w:rPr>
              <w:t xml:space="preserve"> </w:t>
            </w:r>
            <w:r w:rsidR="009F6AA2" w:rsidRPr="00A064EF">
              <w:rPr>
                <w:sz w:val="20"/>
                <w:lang w:val="en-GB"/>
              </w:rPr>
              <w:t xml:space="preserve">04 </w:t>
            </w:r>
          </w:p>
          <w:p w14:paraId="7EE94F82" w14:textId="77777777" w:rsidR="009F6AA2" w:rsidRPr="00230699" w:rsidRDefault="009F6AA2" w:rsidP="00D51E5E">
            <w:pPr>
              <w:rPr>
                <w:sz w:val="18"/>
                <w:lang w:val="en-US"/>
              </w:rPr>
            </w:pPr>
            <w:r w:rsidRPr="00230699">
              <w:rPr>
                <w:b/>
                <w:sz w:val="20"/>
                <w:lang w:val="en-US"/>
              </w:rPr>
              <w:t>e-mail:</w:t>
            </w:r>
            <w:r w:rsidRPr="00230699">
              <w:rPr>
                <w:sz w:val="20"/>
                <w:lang w:val="en-US"/>
              </w:rPr>
              <w:t xml:space="preserve"> </w:t>
            </w:r>
            <w:hyperlink r:id="rId70" w:history="1">
              <w:r w:rsidR="003A77DA" w:rsidRPr="005E27D5">
                <w:rPr>
                  <w:rStyle w:val="Hipercze"/>
                  <w:rFonts w:cstheme="minorBidi"/>
                  <w:b/>
                  <w:color w:val="auto"/>
                  <w:sz w:val="18"/>
                  <w:lang w:val="en-US"/>
                </w:rPr>
                <w:t>obslugaprasowa@stat.ob.pl</w:t>
              </w:r>
            </w:hyperlink>
          </w:p>
        </w:tc>
        <w:tc>
          <w:tcPr>
            <w:tcW w:w="369" w:type="pct"/>
            <w:vAlign w:val="center"/>
          </w:tcPr>
          <w:p w14:paraId="7EE94F83" w14:textId="77777777" w:rsidR="009F6AA2" w:rsidRPr="00230699" w:rsidRDefault="009F6AA2" w:rsidP="00D51E5E">
            <w:pPr>
              <w:rPr>
                <w:sz w:val="18"/>
                <w:lang w:val="en-US"/>
              </w:rPr>
            </w:pPr>
            <w:r w:rsidRPr="00230699">
              <w:rPr>
                <w:noProof/>
                <w:sz w:val="20"/>
                <w:lang w:eastAsia="pl-PL"/>
              </w:rPr>
              <w:drawing>
                <wp:anchor distT="0" distB="0" distL="114300" distR="114300" simplePos="0" relativeHeight="251655168" behindDoc="0" locked="0" layoutInCell="1" allowOverlap="1" wp14:anchorId="7EE94FE2" wp14:editId="7EE94FE3">
                  <wp:simplePos x="0" y="0"/>
                  <wp:positionH relativeFrom="column">
                    <wp:posOffset>78740</wp:posOffset>
                  </wp:positionH>
                  <wp:positionV relativeFrom="paragraph">
                    <wp:posOffset>21590</wp:posOffset>
                  </wp:positionV>
                  <wp:extent cx="256540" cy="251460"/>
                  <wp:effectExtent l="0" t="0" r="0" b="0"/>
                  <wp:wrapNone/>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7EE94F84" w14:textId="77777777" w:rsidR="009F6AA2" w:rsidRPr="00230699" w:rsidRDefault="009F6AA2" w:rsidP="00D51E5E">
            <w:pPr>
              <w:rPr>
                <w:sz w:val="18"/>
                <w:lang w:val="en-US"/>
              </w:rPr>
            </w:pPr>
            <w:r w:rsidRPr="00230699">
              <w:rPr>
                <w:sz w:val="20"/>
                <w:lang w:val="en-US"/>
              </w:rPr>
              <w:t>www.stat.gov.pl</w:t>
            </w:r>
            <w:r w:rsidR="00A064EF">
              <w:rPr>
                <w:sz w:val="20"/>
                <w:lang w:val="en-US"/>
              </w:rPr>
              <w:t>/en/</w:t>
            </w:r>
          </w:p>
        </w:tc>
      </w:tr>
      <w:tr w:rsidR="009F6AA2" w:rsidRPr="00A064EF" w14:paraId="7EE94F89" w14:textId="77777777" w:rsidTr="00D51E5E">
        <w:trPr>
          <w:trHeight w:val="436"/>
        </w:trPr>
        <w:tc>
          <w:tcPr>
            <w:tcW w:w="2721" w:type="pct"/>
            <w:vMerge/>
            <w:vAlign w:val="center"/>
          </w:tcPr>
          <w:p w14:paraId="7EE94F86" w14:textId="77777777" w:rsidR="009F6AA2" w:rsidRPr="00230699" w:rsidRDefault="009F6AA2" w:rsidP="00D51E5E">
            <w:pPr>
              <w:rPr>
                <w:sz w:val="18"/>
                <w:lang w:val="en-US"/>
              </w:rPr>
            </w:pPr>
          </w:p>
        </w:tc>
        <w:tc>
          <w:tcPr>
            <w:tcW w:w="369" w:type="pct"/>
            <w:vAlign w:val="center"/>
          </w:tcPr>
          <w:p w14:paraId="7EE94F87" w14:textId="77777777" w:rsidR="009F6AA2" w:rsidRPr="00230699" w:rsidRDefault="009F6AA2" w:rsidP="00D51E5E">
            <w:pPr>
              <w:rPr>
                <w:sz w:val="18"/>
                <w:lang w:val="en-US"/>
              </w:rPr>
            </w:pPr>
            <w:r w:rsidRPr="00230699">
              <w:rPr>
                <w:noProof/>
                <w:sz w:val="20"/>
                <w:lang w:eastAsia="pl-PL"/>
              </w:rPr>
              <w:drawing>
                <wp:anchor distT="0" distB="0" distL="114300" distR="114300" simplePos="0" relativeHeight="251663360" behindDoc="0" locked="0" layoutInCell="1" allowOverlap="1" wp14:anchorId="7EE94FE4" wp14:editId="7EE94FE5">
                  <wp:simplePos x="0" y="0"/>
                  <wp:positionH relativeFrom="column">
                    <wp:posOffset>77470</wp:posOffset>
                  </wp:positionH>
                  <wp:positionV relativeFrom="paragraph">
                    <wp:posOffset>6350</wp:posOffset>
                  </wp:positionV>
                  <wp:extent cx="256540" cy="251460"/>
                  <wp:effectExtent l="0" t="0" r="0" b="0"/>
                  <wp:wrapNone/>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7EE94F88" w14:textId="77777777" w:rsidR="009F6AA2" w:rsidRPr="00230699" w:rsidRDefault="009577AD" w:rsidP="00D51E5E">
            <w:pPr>
              <w:rPr>
                <w:sz w:val="18"/>
                <w:lang w:val="en-US"/>
              </w:rPr>
            </w:pPr>
            <w:r>
              <w:rPr>
                <w:sz w:val="20"/>
                <w:lang w:val="en-US"/>
              </w:rPr>
              <w:t>@StatPoland</w:t>
            </w:r>
          </w:p>
        </w:tc>
      </w:tr>
      <w:tr w:rsidR="009F6AA2" w:rsidRPr="00A064EF" w14:paraId="7EE94F8D" w14:textId="77777777" w:rsidTr="00D51E5E">
        <w:trPr>
          <w:trHeight w:val="436"/>
        </w:trPr>
        <w:tc>
          <w:tcPr>
            <w:tcW w:w="2721" w:type="pct"/>
            <w:vMerge/>
            <w:vAlign w:val="center"/>
          </w:tcPr>
          <w:p w14:paraId="7EE94F8A" w14:textId="77777777" w:rsidR="009F6AA2" w:rsidRPr="00230699" w:rsidRDefault="009F6AA2" w:rsidP="00D51E5E">
            <w:pPr>
              <w:rPr>
                <w:sz w:val="18"/>
                <w:lang w:val="en-US"/>
              </w:rPr>
            </w:pPr>
          </w:p>
        </w:tc>
        <w:tc>
          <w:tcPr>
            <w:tcW w:w="369" w:type="pct"/>
            <w:vAlign w:val="center"/>
          </w:tcPr>
          <w:p w14:paraId="7EE94F8B" w14:textId="77777777" w:rsidR="009F6AA2" w:rsidRPr="00230699" w:rsidRDefault="009F6AA2" w:rsidP="00D51E5E">
            <w:pPr>
              <w:rPr>
                <w:sz w:val="18"/>
                <w:lang w:val="en-US"/>
              </w:rPr>
            </w:pPr>
            <w:r w:rsidRPr="00230699">
              <w:rPr>
                <w:noProof/>
                <w:sz w:val="20"/>
                <w:lang w:eastAsia="pl-PL"/>
              </w:rPr>
              <w:drawing>
                <wp:anchor distT="0" distB="0" distL="114300" distR="114300" simplePos="0" relativeHeight="251659264" behindDoc="0" locked="0" layoutInCell="1" allowOverlap="1" wp14:anchorId="7EE94FE6" wp14:editId="7EE94FE7">
                  <wp:simplePos x="0" y="0"/>
                  <wp:positionH relativeFrom="column">
                    <wp:posOffset>78740</wp:posOffset>
                  </wp:positionH>
                  <wp:positionV relativeFrom="paragraph">
                    <wp:posOffset>15240</wp:posOffset>
                  </wp:positionV>
                  <wp:extent cx="256540" cy="251460"/>
                  <wp:effectExtent l="0" t="0" r="0" b="0"/>
                  <wp:wrapNone/>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7EE94F8C" w14:textId="77777777" w:rsidR="009F6AA2" w:rsidRPr="00230699" w:rsidRDefault="009F6AA2" w:rsidP="00D51E5E">
            <w:pPr>
              <w:rPr>
                <w:sz w:val="20"/>
                <w:lang w:val="en-US"/>
              </w:rPr>
            </w:pPr>
            <w:r w:rsidRPr="00230699">
              <w:rPr>
                <w:sz w:val="20"/>
                <w:lang w:val="en-US"/>
              </w:rPr>
              <w:t>@GlownyUrzadStatystyczny</w:t>
            </w:r>
          </w:p>
        </w:tc>
      </w:tr>
    </w:tbl>
    <w:p w14:paraId="7EE94F8E" w14:textId="77777777" w:rsidR="00303707" w:rsidRPr="003B33FE" w:rsidRDefault="00303707" w:rsidP="00303707">
      <w:pPr>
        <w:rPr>
          <w:i/>
          <w:sz w:val="20"/>
          <w:lang w:val="en-US"/>
        </w:rPr>
      </w:pPr>
    </w:p>
    <w:p w14:paraId="7EE94F8F" w14:textId="77777777" w:rsidR="00474A3A" w:rsidRPr="003B33FE" w:rsidRDefault="00474A3A" w:rsidP="00474A3A">
      <w:pPr>
        <w:rPr>
          <w:i/>
          <w:lang w:val="en-US"/>
        </w:rPr>
      </w:pPr>
    </w:p>
    <w:sectPr w:rsidR="00474A3A" w:rsidRPr="003B33FE" w:rsidSect="00E240FE">
      <w:headerReference w:type="default" r:id="rId74"/>
      <w:footerReference w:type="default" r:id="rId7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8900" w14:textId="77777777" w:rsidR="00FC1136" w:rsidRDefault="00FC1136" w:rsidP="000662E2">
      <w:pPr>
        <w:spacing w:after="0" w:line="240" w:lineRule="auto"/>
      </w:pPr>
      <w:r>
        <w:separator/>
      </w:r>
    </w:p>
  </w:endnote>
  <w:endnote w:type="continuationSeparator" w:id="0">
    <w:p w14:paraId="59200A59" w14:textId="77777777" w:rsidR="00FC1136" w:rsidRDefault="00FC113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510229"/>
      <w:docPartObj>
        <w:docPartGallery w:val="Page Numbers (Bottom of Page)"/>
        <w:docPartUnique/>
      </w:docPartObj>
    </w:sdtPr>
    <w:sdtEndPr/>
    <w:sdtContent>
      <w:p w14:paraId="7EE94FED" w14:textId="77777777" w:rsidR="0024032F" w:rsidRDefault="0024032F" w:rsidP="003B18B6">
        <w:pPr>
          <w:pStyle w:val="Stopka"/>
          <w:jc w:val="center"/>
        </w:pPr>
        <w:r>
          <w:rPr>
            <w:noProof/>
          </w:rPr>
          <w:fldChar w:fldCharType="begin"/>
        </w:r>
        <w:r>
          <w:rPr>
            <w:noProof/>
          </w:rPr>
          <w:instrText>PAGE   \* MERGEFORMAT</w:instrText>
        </w:r>
        <w:r>
          <w:rPr>
            <w:noProof/>
          </w:rPr>
          <w:fldChar w:fldCharType="separate"/>
        </w:r>
        <w:r w:rsidR="00431A5C">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728881"/>
      <w:docPartObj>
        <w:docPartGallery w:val="Page Numbers (Bottom of Page)"/>
        <w:docPartUnique/>
      </w:docPartObj>
    </w:sdtPr>
    <w:sdtEndPr/>
    <w:sdtContent>
      <w:p w14:paraId="7EE94FF0" w14:textId="77777777" w:rsidR="0024032F" w:rsidRDefault="0024032F" w:rsidP="003B18B6">
        <w:pPr>
          <w:pStyle w:val="Stopka"/>
          <w:jc w:val="center"/>
        </w:pPr>
        <w:r>
          <w:rPr>
            <w:noProof/>
          </w:rPr>
          <w:fldChar w:fldCharType="begin"/>
        </w:r>
        <w:r>
          <w:rPr>
            <w:noProof/>
          </w:rPr>
          <w:instrText>PAGE   \* MERGEFORMAT</w:instrText>
        </w:r>
        <w:r>
          <w:rPr>
            <w:noProof/>
          </w:rPr>
          <w:fldChar w:fldCharType="separate"/>
        </w:r>
        <w:r w:rsidR="00E71AE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7EE94FF2" w14:textId="77777777" w:rsidR="0024032F" w:rsidRDefault="0024032F" w:rsidP="003B18B6">
        <w:pPr>
          <w:pStyle w:val="Stopka"/>
          <w:jc w:val="center"/>
        </w:pPr>
        <w:r>
          <w:rPr>
            <w:noProof/>
          </w:rPr>
          <w:fldChar w:fldCharType="begin"/>
        </w:r>
        <w:r>
          <w:rPr>
            <w:noProof/>
          </w:rPr>
          <w:instrText>PAGE   \* MERGEFORMAT</w:instrText>
        </w:r>
        <w:r>
          <w:rPr>
            <w:noProof/>
          </w:rPr>
          <w:fldChar w:fldCharType="separate"/>
        </w:r>
        <w:r w:rsidR="00E71AEC">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AA3B" w14:textId="77777777" w:rsidR="00FC1136" w:rsidRDefault="00FC1136" w:rsidP="000662E2">
      <w:pPr>
        <w:spacing w:after="0" w:line="240" w:lineRule="auto"/>
      </w:pPr>
      <w:r>
        <w:separator/>
      </w:r>
    </w:p>
  </w:footnote>
  <w:footnote w:type="continuationSeparator" w:id="0">
    <w:p w14:paraId="69C491A6" w14:textId="77777777" w:rsidR="00FC1136" w:rsidRDefault="00FC1136" w:rsidP="000662E2">
      <w:pPr>
        <w:spacing w:after="0" w:line="240" w:lineRule="auto"/>
      </w:pPr>
      <w:r>
        <w:continuationSeparator/>
      </w:r>
    </w:p>
  </w:footnote>
  <w:footnote w:id="1">
    <w:p w14:paraId="7EE94FFD" w14:textId="77777777" w:rsidR="0024032F" w:rsidRPr="0053773B" w:rsidRDefault="0024032F" w:rsidP="00D43603">
      <w:pPr>
        <w:spacing w:line="240" w:lineRule="auto"/>
        <w:rPr>
          <w:sz w:val="16"/>
          <w:szCs w:val="16"/>
          <w:lang w:val="en-GB"/>
        </w:rPr>
      </w:pPr>
      <w:r w:rsidRPr="00211F7F">
        <w:rPr>
          <w:rStyle w:val="Odwoanieprzypisudolnego"/>
          <w:sz w:val="16"/>
          <w:szCs w:val="16"/>
        </w:rPr>
        <w:footnoteRef/>
      </w:r>
      <w:r w:rsidRPr="0053773B">
        <w:rPr>
          <w:sz w:val="16"/>
          <w:szCs w:val="16"/>
          <w:lang w:val="en-GB"/>
        </w:rPr>
        <w:t xml:space="preserve"> </w:t>
      </w:r>
      <w:r w:rsidRPr="00D43603">
        <w:rPr>
          <w:sz w:val="16"/>
          <w:szCs w:val="16"/>
          <w:lang w:val="en-GB"/>
        </w:rPr>
        <w:t xml:space="preserve">In 2020, in connection with the pandemic and the introduction of various types of restrictions aimed at </w:t>
      </w:r>
      <w:r>
        <w:rPr>
          <w:sz w:val="16"/>
          <w:szCs w:val="16"/>
          <w:lang w:val="en-GB"/>
        </w:rPr>
        <w:t xml:space="preserve">reducing the transmission of coronavirus by </w:t>
      </w:r>
      <w:r w:rsidRPr="00D43603">
        <w:rPr>
          <w:sz w:val="16"/>
          <w:szCs w:val="16"/>
          <w:lang w:val="en-GB"/>
        </w:rPr>
        <w:t xml:space="preserve">limiting interpersonal contacts, there was a change in the current method of collecting information from respondents from </w:t>
      </w:r>
      <w:r>
        <w:rPr>
          <w:sz w:val="16"/>
          <w:szCs w:val="16"/>
          <w:lang w:val="en-GB"/>
        </w:rPr>
        <w:t>personal</w:t>
      </w:r>
      <w:r w:rsidRPr="00D43603">
        <w:rPr>
          <w:sz w:val="16"/>
          <w:szCs w:val="16"/>
          <w:lang w:val="en-GB"/>
        </w:rPr>
        <w:t xml:space="preserve"> interview to telephone interview.</w:t>
      </w:r>
    </w:p>
  </w:footnote>
  <w:footnote w:id="2">
    <w:p w14:paraId="7EE94FFE" w14:textId="77777777" w:rsidR="0024032F" w:rsidRPr="00BC721A" w:rsidRDefault="0024032F" w:rsidP="00764D9C">
      <w:pPr>
        <w:pStyle w:val="Tekstprzypisudolnego"/>
        <w:spacing w:before="0"/>
        <w:rPr>
          <w:lang w:val="en-GB"/>
        </w:rPr>
      </w:pPr>
      <w:r w:rsidRPr="00AC06CA">
        <w:rPr>
          <w:rStyle w:val="Odwoanieprzypisudolnego"/>
          <w:sz w:val="16"/>
        </w:rPr>
        <w:footnoteRef/>
      </w:r>
      <w:r w:rsidRPr="00BC721A">
        <w:rPr>
          <w:sz w:val="16"/>
          <w:lang w:val="en-GB"/>
        </w:rPr>
        <w:t xml:space="preserve"> </w:t>
      </w:r>
      <w:r w:rsidRPr="006416F7">
        <w:rPr>
          <w:rFonts w:cs="Arial"/>
          <w:sz w:val="16"/>
          <w:lang w:val="en-US"/>
        </w:rPr>
        <w:t>Due to the introduction of a new classification of individual consumption by purpose in 2013, based on harmonized COICOP</w:t>
      </w:r>
      <w:r>
        <w:rPr>
          <w:rFonts w:cs="Arial"/>
          <w:sz w:val="16"/>
          <w:lang w:val="en-US"/>
        </w:rPr>
        <w:t xml:space="preserve"> classification</w:t>
      </w:r>
      <w:r w:rsidRPr="006416F7">
        <w:rPr>
          <w:rFonts w:cs="Arial"/>
          <w:sz w:val="16"/>
          <w:lang w:val="en-US"/>
        </w:rPr>
        <w:t xml:space="preserve"> for all surveys of the European Statistical System, the results for 2004–20</w:t>
      </w:r>
      <w:r>
        <w:rPr>
          <w:rFonts w:cs="Arial"/>
          <w:sz w:val="16"/>
          <w:lang w:val="en-US"/>
        </w:rPr>
        <w:t>20</w:t>
      </w:r>
      <w:r w:rsidRPr="006416F7">
        <w:rPr>
          <w:rFonts w:cs="Arial"/>
          <w:sz w:val="16"/>
          <w:lang w:val="en-US"/>
        </w:rPr>
        <w:t xml:space="preserve"> are presented in comparable conditions – each “expenditure” item from 2004–2012 was supplemented by the “life-insurance contributions” item.</w:t>
      </w:r>
    </w:p>
  </w:footnote>
  <w:footnote w:id="3">
    <w:p w14:paraId="7EE94FFF" w14:textId="77777777" w:rsidR="0024032F" w:rsidRPr="00A57435" w:rsidRDefault="0024032F" w:rsidP="00FC061C">
      <w:pPr>
        <w:spacing w:line="240" w:lineRule="auto"/>
        <w:rPr>
          <w:sz w:val="16"/>
          <w:szCs w:val="16"/>
          <w:lang w:val="en-GB"/>
        </w:rPr>
      </w:pPr>
      <w:r w:rsidRPr="00211F7F">
        <w:rPr>
          <w:rStyle w:val="Odwoanieprzypisudolnego"/>
          <w:sz w:val="16"/>
          <w:szCs w:val="16"/>
        </w:rPr>
        <w:footnoteRef/>
      </w:r>
      <w:r w:rsidRPr="0053773B">
        <w:rPr>
          <w:sz w:val="16"/>
          <w:szCs w:val="16"/>
          <w:lang w:val="en-GB"/>
        </w:rPr>
        <w:t xml:space="preserve"> </w:t>
      </w:r>
      <w:r w:rsidRPr="00436B82">
        <w:rPr>
          <w:sz w:val="16"/>
          <w:szCs w:val="16"/>
          <w:lang w:val="en-GB"/>
        </w:rPr>
        <w:t>In 2020, due to favo</w:t>
      </w:r>
      <w:r>
        <w:rPr>
          <w:sz w:val="16"/>
          <w:szCs w:val="16"/>
          <w:lang w:val="en-GB"/>
        </w:rPr>
        <w:t>u</w:t>
      </w:r>
      <w:r w:rsidRPr="00436B82">
        <w:rPr>
          <w:sz w:val="16"/>
          <w:szCs w:val="16"/>
          <w:lang w:val="en-GB"/>
        </w:rPr>
        <w:t xml:space="preserve">rable weather conditions, </w:t>
      </w:r>
      <w:r>
        <w:rPr>
          <w:sz w:val="16"/>
          <w:szCs w:val="16"/>
          <w:lang w:val="en-GB"/>
        </w:rPr>
        <w:t xml:space="preserve">in </w:t>
      </w:r>
      <w:r w:rsidRPr="00436B82">
        <w:rPr>
          <w:sz w:val="16"/>
          <w:szCs w:val="16"/>
          <w:lang w:val="en-GB"/>
        </w:rPr>
        <w:t>compar</w:t>
      </w:r>
      <w:r>
        <w:rPr>
          <w:sz w:val="16"/>
          <w:szCs w:val="16"/>
          <w:lang w:val="en-GB"/>
        </w:rPr>
        <w:t>ison</w:t>
      </w:r>
      <w:r w:rsidRPr="00436B82">
        <w:rPr>
          <w:sz w:val="16"/>
          <w:szCs w:val="16"/>
          <w:lang w:val="en-GB"/>
        </w:rPr>
        <w:t xml:space="preserve"> </w:t>
      </w:r>
      <w:r>
        <w:rPr>
          <w:sz w:val="16"/>
          <w:szCs w:val="16"/>
          <w:lang w:val="en-GB"/>
        </w:rPr>
        <w:t>with</w:t>
      </w:r>
      <w:r w:rsidRPr="00436B82">
        <w:rPr>
          <w:sz w:val="16"/>
          <w:szCs w:val="16"/>
          <w:lang w:val="en-GB"/>
        </w:rPr>
        <w:t xml:space="preserve"> the previous year, the estimated production of the main agricultural and horticultural crops increased (including, among others, cereals by 16% and potatoes by 40%), which in turn </w:t>
      </w:r>
      <w:r>
        <w:rPr>
          <w:sz w:val="16"/>
          <w:szCs w:val="16"/>
          <w:lang w:val="en-GB"/>
        </w:rPr>
        <w:t>led in</w:t>
      </w:r>
      <w:r w:rsidRPr="00436B82">
        <w:rPr>
          <w:sz w:val="16"/>
          <w:szCs w:val="16"/>
          <w:lang w:val="en-GB"/>
        </w:rPr>
        <w:t xml:space="preserve"> </w:t>
      </w:r>
      <w:r>
        <w:rPr>
          <w:sz w:val="16"/>
          <w:szCs w:val="16"/>
          <w:lang w:val="en-GB"/>
        </w:rPr>
        <w:t>relation to</w:t>
      </w:r>
      <w:r w:rsidRPr="00436B82">
        <w:rPr>
          <w:sz w:val="16"/>
          <w:szCs w:val="16"/>
          <w:lang w:val="en-GB"/>
        </w:rPr>
        <w:t xml:space="preserve"> 2019</w:t>
      </w:r>
      <w:r>
        <w:rPr>
          <w:sz w:val="16"/>
          <w:szCs w:val="16"/>
          <w:lang w:val="en-GB"/>
        </w:rPr>
        <w:t xml:space="preserve"> </w:t>
      </w:r>
      <w:r w:rsidRPr="00436B82">
        <w:rPr>
          <w:sz w:val="16"/>
          <w:szCs w:val="16"/>
          <w:lang w:val="en-GB"/>
        </w:rPr>
        <w:t>to an increase</w:t>
      </w:r>
      <w:r>
        <w:rPr>
          <w:sz w:val="16"/>
          <w:szCs w:val="16"/>
          <w:lang w:val="en-GB"/>
        </w:rPr>
        <w:t xml:space="preserve"> in</w:t>
      </w:r>
      <w:r w:rsidRPr="00436B82">
        <w:rPr>
          <w:sz w:val="16"/>
          <w:szCs w:val="16"/>
          <w:lang w:val="en-GB"/>
        </w:rPr>
        <w:t xml:space="preserve"> the purchase of agricultural products (including, among others, cereals by 33.2% and potatoes by 24.3%).</w:t>
      </w:r>
      <w:r>
        <w:rPr>
          <w:sz w:val="16"/>
          <w:szCs w:val="16"/>
          <w:lang w:val="en-GB"/>
        </w:rPr>
        <w:t xml:space="preserve"> </w:t>
      </w:r>
      <w:r w:rsidRPr="00A57435">
        <w:rPr>
          <w:i/>
          <w:spacing w:val="-4"/>
          <w:sz w:val="16"/>
          <w:lang w:val="en-GB"/>
        </w:rPr>
        <w:t>(Source: "The resulting estimate of main agricultural and horticultural crops in 2020" and data from BDL)</w:t>
      </w:r>
      <w:r>
        <w:rPr>
          <w:i/>
          <w:spacing w:val="-4"/>
          <w:sz w:val="16"/>
          <w:lang w:val="en-GB"/>
        </w:rPr>
        <w:t>.</w:t>
      </w:r>
    </w:p>
  </w:footnote>
  <w:footnote w:id="4">
    <w:p w14:paraId="7EE95000" w14:textId="77777777" w:rsidR="0024032F" w:rsidRPr="0053773B" w:rsidRDefault="0024032F" w:rsidP="003D3F36">
      <w:pPr>
        <w:spacing w:before="240" w:line="240" w:lineRule="auto"/>
        <w:rPr>
          <w:sz w:val="16"/>
          <w:szCs w:val="16"/>
          <w:lang w:val="en-GB"/>
        </w:rPr>
      </w:pPr>
      <w:r w:rsidRPr="00211F7F">
        <w:rPr>
          <w:rStyle w:val="Odwoanieprzypisudolnego"/>
          <w:sz w:val="16"/>
          <w:szCs w:val="16"/>
        </w:rPr>
        <w:footnoteRef/>
      </w:r>
      <w:r w:rsidRPr="0053773B">
        <w:rPr>
          <w:sz w:val="16"/>
          <w:szCs w:val="16"/>
          <w:lang w:val="en-GB"/>
        </w:rPr>
        <w:t xml:space="preserve"> </w:t>
      </w:r>
      <w:r w:rsidRPr="00260B71">
        <w:rPr>
          <w:sz w:val="16"/>
          <w:szCs w:val="16"/>
          <w:lang w:val="en-GB"/>
        </w:rPr>
        <w:t xml:space="preserve">The </w:t>
      </w:r>
      <w:r>
        <w:rPr>
          <w:sz w:val="16"/>
          <w:szCs w:val="16"/>
          <w:lang w:val="en-GB"/>
        </w:rPr>
        <w:t>decrease</w:t>
      </w:r>
      <w:r w:rsidRPr="00260B71">
        <w:rPr>
          <w:sz w:val="16"/>
          <w:szCs w:val="16"/>
          <w:lang w:val="en-GB"/>
        </w:rPr>
        <w:t xml:space="preserve"> </w:t>
      </w:r>
      <w:r>
        <w:rPr>
          <w:sz w:val="16"/>
          <w:szCs w:val="16"/>
          <w:lang w:val="en-GB"/>
        </w:rPr>
        <w:t>in</w:t>
      </w:r>
      <w:r w:rsidRPr="00260B71">
        <w:rPr>
          <w:sz w:val="16"/>
          <w:szCs w:val="16"/>
          <w:lang w:val="en-GB"/>
        </w:rPr>
        <w:t xml:space="preserve"> the disproportion in income from other social benefits between 2019 and 2020 in the </w:t>
      </w:r>
      <w:r>
        <w:rPr>
          <w:sz w:val="16"/>
          <w:szCs w:val="16"/>
          <w:lang w:val="en-GB"/>
        </w:rPr>
        <w:t>3rd</w:t>
      </w:r>
      <w:r w:rsidRPr="00260B71">
        <w:rPr>
          <w:sz w:val="16"/>
          <w:szCs w:val="16"/>
          <w:lang w:val="en-GB"/>
        </w:rPr>
        <w:t xml:space="preserve"> and </w:t>
      </w:r>
      <w:r>
        <w:rPr>
          <w:sz w:val="16"/>
          <w:szCs w:val="16"/>
          <w:lang w:val="en-GB"/>
        </w:rPr>
        <w:t>4th</w:t>
      </w:r>
      <w:r w:rsidRPr="00260B71">
        <w:rPr>
          <w:sz w:val="16"/>
          <w:szCs w:val="16"/>
          <w:lang w:val="en-GB"/>
        </w:rPr>
        <w:t xml:space="preserve"> quarter results from the fact that before 1 July 2019 the 500+ benefit was paid for the first child only in the poorest families, and only </w:t>
      </w:r>
      <w:r>
        <w:rPr>
          <w:sz w:val="16"/>
          <w:szCs w:val="16"/>
          <w:lang w:val="en-GB"/>
        </w:rPr>
        <w:t xml:space="preserve">from that date </w:t>
      </w:r>
      <w:r w:rsidRPr="00260B71">
        <w:rPr>
          <w:sz w:val="16"/>
          <w:szCs w:val="16"/>
          <w:lang w:val="en-GB"/>
        </w:rPr>
        <w:t>for the second and subsequent child regardless of the parents' income.</w:t>
      </w:r>
    </w:p>
  </w:footnote>
  <w:footnote w:id="5">
    <w:p w14:paraId="7EE95001" w14:textId="77777777" w:rsidR="0024032F" w:rsidRPr="00201763" w:rsidRDefault="0024032F">
      <w:pPr>
        <w:pStyle w:val="Tekstprzypisudolnego"/>
        <w:rPr>
          <w:lang w:val="en-GB"/>
        </w:rPr>
      </w:pPr>
      <w:r>
        <w:rPr>
          <w:rStyle w:val="Odwoanieprzypisudolnego"/>
        </w:rPr>
        <w:footnoteRef/>
      </w:r>
      <w:r w:rsidRPr="00201763">
        <w:rPr>
          <w:lang w:val="en-GB"/>
        </w:rPr>
        <w:t xml:space="preserve"> </w:t>
      </w:r>
      <w:r w:rsidRPr="00201763">
        <w:rPr>
          <w:sz w:val="16"/>
          <w:lang w:val="en-GB"/>
        </w:rPr>
        <w:t xml:space="preserve">In 2020, there was an increase in </w:t>
      </w:r>
      <w:r>
        <w:rPr>
          <w:sz w:val="16"/>
          <w:lang w:val="en-GB"/>
        </w:rPr>
        <w:t>income from a private farm in agriculture</w:t>
      </w:r>
      <w:r w:rsidRPr="003F62CF">
        <w:rPr>
          <w:sz w:val="16"/>
          <w:lang w:val="en-GB"/>
        </w:rPr>
        <w:t xml:space="preserve"> </w:t>
      </w:r>
      <w:r w:rsidRPr="00201763">
        <w:rPr>
          <w:sz w:val="16"/>
          <w:lang w:val="en-GB"/>
        </w:rPr>
        <w:t xml:space="preserve">in the socio-economic group of farmers, while it decreased in the group of: </w:t>
      </w:r>
      <w:r w:rsidRPr="003F62CF">
        <w:rPr>
          <w:sz w:val="16"/>
          <w:lang w:val="en-GB"/>
        </w:rPr>
        <w:t>employees, self-employed</w:t>
      </w:r>
      <w:r w:rsidRPr="00201763">
        <w:rPr>
          <w:sz w:val="16"/>
          <w:lang w:val="en-GB"/>
        </w:rPr>
        <w:t xml:space="preserve"> and retirees.</w:t>
      </w:r>
    </w:p>
  </w:footnote>
  <w:footnote w:id="6">
    <w:p w14:paraId="7EE95002" w14:textId="77777777" w:rsidR="0024032F" w:rsidRPr="000E19D1" w:rsidRDefault="0024032F" w:rsidP="000C1245">
      <w:pPr>
        <w:pStyle w:val="Tekstprzypisudolnego"/>
        <w:rPr>
          <w:spacing w:val="-4"/>
          <w:lang w:val="en-GB"/>
        </w:rPr>
      </w:pPr>
      <w:r>
        <w:rPr>
          <w:rStyle w:val="Odwoanieprzypisudolnego"/>
          <w:sz w:val="16"/>
        </w:rPr>
        <w:footnoteRef/>
      </w:r>
      <w:r w:rsidRPr="000E19D1">
        <w:rPr>
          <w:sz w:val="16"/>
          <w:lang w:val="en-GB"/>
        </w:rPr>
        <w:t xml:space="preserve"> This category includes the solidarity allowance, which could be used by people who</w:t>
      </w:r>
      <w:r w:rsidRPr="0073733E">
        <w:rPr>
          <w:sz w:val="16"/>
          <w:lang w:val="en-GB"/>
        </w:rPr>
        <w:t xml:space="preserve"> </w:t>
      </w:r>
      <w:r w:rsidRPr="000E19D1">
        <w:rPr>
          <w:sz w:val="16"/>
          <w:lang w:val="en-GB"/>
        </w:rPr>
        <w:t>lost their job or their contract expired after 15</w:t>
      </w:r>
      <w:r>
        <w:rPr>
          <w:sz w:val="16"/>
          <w:lang w:val="en-GB"/>
        </w:rPr>
        <w:t xml:space="preserve"> </w:t>
      </w:r>
      <w:r w:rsidRPr="000E19D1">
        <w:rPr>
          <w:sz w:val="16"/>
          <w:lang w:val="en-GB"/>
        </w:rPr>
        <w:t xml:space="preserve">March </w:t>
      </w:r>
      <w:r>
        <w:rPr>
          <w:sz w:val="16"/>
          <w:lang w:val="en-GB"/>
        </w:rPr>
        <w:t xml:space="preserve">2020 </w:t>
      </w:r>
      <w:r w:rsidRPr="000E19D1">
        <w:rPr>
          <w:sz w:val="16"/>
          <w:lang w:val="en-GB"/>
        </w:rPr>
        <w:t xml:space="preserve">as a result of </w:t>
      </w:r>
      <w:r>
        <w:rPr>
          <w:sz w:val="16"/>
          <w:lang w:val="en-GB"/>
        </w:rPr>
        <w:t xml:space="preserve">the </w:t>
      </w:r>
      <w:r w:rsidRPr="000E19D1">
        <w:rPr>
          <w:sz w:val="16"/>
          <w:lang w:val="en-GB"/>
        </w:rPr>
        <w:t>COVID-19</w:t>
      </w:r>
      <w:r>
        <w:rPr>
          <w:sz w:val="16"/>
          <w:lang w:val="en-GB"/>
        </w:rPr>
        <w:t xml:space="preserve"> pandemic</w:t>
      </w:r>
      <w:r w:rsidRPr="000E19D1">
        <w:rPr>
          <w:sz w:val="16"/>
          <w:lang w:val="en-GB"/>
        </w:rPr>
        <w:t xml:space="preserve">. The solidarity </w:t>
      </w:r>
      <w:r>
        <w:rPr>
          <w:sz w:val="16"/>
          <w:lang w:val="en-GB"/>
        </w:rPr>
        <w:t>allowance</w:t>
      </w:r>
      <w:r w:rsidRPr="000E19D1">
        <w:rPr>
          <w:sz w:val="16"/>
          <w:lang w:val="en-GB"/>
        </w:rPr>
        <w:t xml:space="preserve"> in the amount of PLN 1400 was </w:t>
      </w:r>
      <w:r>
        <w:rPr>
          <w:sz w:val="16"/>
          <w:lang w:val="en-GB"/>
        </w:rPr>
        <w:t>available</w:t>
      </w:r>
      <w:r w:rsidRPr="000E19D1">
        <w:rPr>
          <w:sz w:val="16"/>
          <w:lang w:val="en-GB"/>
        </w:rPr>
        <w:t xml:space="preserve"> </w:t>
      </w:r>
      <w:r>
        <w:rPr>
          <w:sz w:val="16"/>
          <w:lang w:val="en-GB"/>
        </w:rPr>
        <w:t>since</w:t>
      </w:r>
      <w:r w:rsidRPr="000E19D1">
        <w:rPr>
          <w:sz w:val="16"/>
          <w:lang w:val="en-GB"/>
        </w:rPr>
        <w:t xml:space="preserve"> </w:t>
      </w:r>
      <w:r>
        <w:rPr>
          <w:sz w:val="16"/>
          <w:lang w:val="en-GB"/>
        </w:rPr>
        <w:t xml:space="preserve">1 </w:t>
      </w:r>
      <w:r w:rsidRPr="000E19D1">
        <w:rPr>
          <w:sz w:val="16"/>
          <w:lang w:val="en-GB"/>
        </w:rPr>
        <w:t>June 2020</w:t>
      </w:r>
      <w:r>
        <w:rPr>
          <w:sz w:val="16"/>
          <w:lang w:val="en-GB"/>
        </w:rPr>
        <w:t xml:space="preserve">, </w:t>
      </w:r>
      <w:r w:rsidRPr="000E19D1">
        <w:rPr>
          <w:sz w:val="16"/>
          <w:lang w:val="en-GB"/>
        </w:rPr>
        <w:t>for a maximum 3 months.</w:t>
      </w:r>
    </w:p>
  </w:footnote>
  <w:footnote w:id="7">
    <w:p w14:paraId="7EE95003" w14:textId="77777777" w:rsidR="0024032F" w:rsidRPr="0053773B" w:rsidRDefault="0024032F" w:rsidP="00211F7F">
      <w:pPr>
        <w:rPr>
          <w:sz w:val="16"/>
          <w:szCs w:val="16"/>
          <w:lang w:val="en-GB"/>
        </w:rPr>
      </w:pPr>
      <w:r w:rsidRPr="00211F7F">
        <w:rPr>
          <w:rStyle w:val="Odwoanieprzypisudolnego"/>
          <w:sz w:val="16"/>
          <w:szCs w:val="16"/>
        </w:rPr>
        <w:footnoteRef/>
      </w:r>
      <w:r w:rsidRPr="0053773B">
        <w:rPr>
          <w:sz w:val="16"/>
          <w:szCs w:val="16"/>
          <w:lang w:val="en-GB"/>
        </w:rPr>
        <w:t xml:space="preserve"> In 20</w:t>
      </w:r>
      <w:r>
        <w:rPr>
          <w:sz w:val="16"/>
          <w:szCs w:val="16"/>
          <w:lang w:val="en-GB"/>
        </w:rPr>
        <w:t>20</w:t>
      </w:r>
      <w:r w:rsidRPr="0053773B">
        <w:rPr>
          <w:sz w:val="16"/>
          <w:szCs w:val="16"/>
          <w:lang w:val="en-GB"/>
        </w:rPr>
        <w:t xml:space="preserve"> the average number of persons in urban households was 2.3</w:t>
      </w:r>
      <w:r>
        <w:rPr>
          <w:sz w:val="16"/>
          <w:szCs w:val="16"/>
          <w:lang w:val="en-GB"/>
        </w:rPr>
        <w:t>1,</w:t>
      </w:r>
      <w:r w:rsidRPr="0053773B">
        <w:rPr>
          <w:sz w:val="16"/>
          <w:szCs w:val="16"/>
          <w:lang w:val="en-GB"/>
        </w:rPr>
        <w:t xml:space="preserve"> while in rural households </w:t>
      </w:r>
      <w:r>
        <w:rPr>
          <w:sz w:val="16"/>
          <w:szCs w:val="16"/>
          <w:lang w:val="en-GB"/>
        </w:rPr>
        <w:t>– 3.04.</w:t>
      </w:r>
    </w:p>
  </w:footnote>
  <w:footnote w:id="8">
    <w:p w14:paraId="7EE95004" w14:textId="77777777" w:rsidR="0024032F" w:rsidRPr="006E1C16" w:rsidRDefault="0024032F" w:rsidP="00AD1C4D">
      <w:pPr>
        <w:pStyle w:val="Tekstprzypisudolnego"/>
        <w:ind w:left="113" w:hanging="113"/>
        <w:rPr>
          <w:sz w:val="12"/>
          <w:lang w:val="en-US"/>
        </w:rPr>
      </w:pPr>
      <w:r w:rsidRPr="006E1C16">
        <w:rPr>
          <w:rStyle w:val="Odwoanieprzypisudolnego"/>
          <w:sz w:val="16"/>
        </w:rPr>
        <w:footnoteRef/>
      </w:r>
      <w:r w:rsidRPr="006E1C16">
        <w:rPr>
          <w:sz w:val="16"/>
          <w:lang w:val="en-US"/>
        </w:rPr>
        <w:t xml:space="preserve"> </w:t>
      </w:r>
      <w:r w:rsidRPr="00BB40E7">
        <w:rPr>
          <w:rStyle w:val="tlid-translation"/>
          <w:sz w:val="16"/>
          <w:lang w:val="en-GB"/>
        </w:rPr>
        <w:t>This category includes devices that enable connection to the Internet, regardless of the type of device and type of Internet connection (e.g. desktop computer, laptop, tablet, TV set, smartphone).</w:t>
      </w:r>
    </w:p>
  </w:footnote>
  <w:footnote w:id="9">
    <w:p w14:paraId="7EE95005" w14:textId="77777777" w:rsidR="0024032F" w:rsidRPr="001D40F5" w:rsidRDefault="0024032F" w:rsidP="009441E7">
      <w:pPr>
        <w:pStyle w:val="Tekstprzypisudolnego"/>
        <w:ind w:left="142" w:hanging="142"/>
        <w:rPr>
          <w:sz w:val="16"/>
          <w:szCs w:val="16"/>
          <w:lang w:val="en-US"/>
        </w:rPr>
      </w:pPr>
      <w:r w:rsidRPr="006E1C16">
        <w:rPr>
          <w:rStyle w:val="Odwoanieprzypisudolnego"/>
          <w:sz w:val="16"/>
          <w:szCs w:val="16"/>
        </w:rPr>
        <w:footnoteRef/>
      </w:r>
      <w:r w:rsidRPr="006E1C16">
        <w:rPr>
          <w:sz w:val="16"/>
          <w:szCs w:val="16"/>
          <w:lang w:val="en-US"/>
        </w:rPr>
        <w:t xml:space="preserve"> </w:t>
      </w:r>
      <w:r w:rsidRPr="00BB40E7">
        <w:rPr>
          <w:rStyle w:val="tlid-translation"/>
          <w:sz w:val="16"/>
          <w:szCs w:val="16"/>
          <w:lang w:val="en-GB"/>
        </w:rPr>
        <w:t>Despite the smartphone was included in the category "Device with access to the Internet", the level of equip</w:t>
      </w:r>
      <w:r>
        <w:rPr>
          <w:rStyle w:val="tlid-translation"/>
          <w:sz w:val="16"/>
          <w:szCs w:val="16"/>
          <w:lang w:val="en-GB"/>
        </w:rPr>
        <w:t>ment</w:t>
      </w:r>
      <w:r w:rsidRPr="00BB40E7">
        <w:rPr>
          <w:rStyle w:val="tlid-translation"/>
          <w:sz w:val="16"/>
          <w:szCs w:val="16"/>
          <w:lang w:val="en-GB"/>
        </w:rPr>
        <w:t xml:space="preserve"> with </w:t>
      </w:r>
      <w:r w:rsidRPr="001D40F5">
        <w:rPr>
          <w:rStyle w:val="tlid-translation"/>
          <w:sz w:val="16"/>
          <w:szCs w:val="16"/>
          <w:lang w:val="en-GB"/>
        </w:rPr>
        <w:t xml:space="preserve">the smartphone is also presented as a separate category of device due to its </w:t>
      </w:r>
      <w:r>
        <w:rPr>
          <w:rStyle w:val="gt-card-ttl-txt"/>
          <w:sz w:val="16"/>
          <w:szCs w:val="16"/>
          <w:lang w:val="en-US"/>
        </w:rPr>
        <w:t>universality</w:t>
      </w:r>
      <w:r w:rsidRPr="001D40F5">
        <w:rPr>
          <w:rStyle w:val="tlid-translation"/>
          <w:sz w:val="16"/>
          <w:szCs w:val="16"/>
          <w:lang w:val="en-GB"/>
        </w:rPr>
        <w:t xml:space="preserve"> and various use</w:t>
      </w:r>
      <w:r>
        <w:rPr>
          <w:rStyle w:val="tlid-translation"/>
          <w:sz w:val="16"/>
          <w:szCs w:val="16"/>
          <w:lang w:val="en-GB"/>
        </w:rPr>
        <w:t>s</w:t>
      </w:r>
      <w:r w:rsidRPr="001D40F5">
        <w:rPr>
          <w:rStyle w:val="tlid-translation"/>
          <w:sz w:val="16"/>
          <w:szCs w:val="16"/>
          <w:lang w:val="en-GB"/>
        </w:rPr>
        <w:t>.</w:t>
      </w:r>
    </w:p>
  </w:footnote>
  <w:footnote w:id="10">
    <w:p w14:paraId="7EE95006" w14:textId="77777777" w:rsidR="0024032F" w:rsidRPr="0013230E" w:rsidRDefault="0024032F" w:rsidP="00BB40E7">
      <w:pPr>
        <w:pStyle w:val="Tekstprzypisudolnego"/>
        <w:rPr>
          <w:rFonts w:cs="Arial"/>
          <w:b/>
          <w:bCs/>
          <w:sz w:val="18"/>
          <w:lang w:val="en-GB"/>
        </w:rPr>
      </w:pPr>
      <w:r w:rsidRPr="006E1C16">
        <w:rPr>
          <w:rStyle w:val="Odwoanieprzypisudolnego"/>
          <w:rFonts w:cs="Arial"/>
          <w:sz w:val="16"/>
          <w:lang w:val="en-GB"/>
        </w:rPr>
        <w:footnoteRef/>
      </w:r>
      <w:r w:rsidRPr="006E1C16">
        <w:rPr>
          <w:rFonts w:cs="Arial"/>
          <w:bCs/>
          <w:sz w:val="16"/>
          <w:lang w:val="en-GB"/>
        </w:rPr>
        <w:t xml:space="preserve"> The average number of persons in 1st qu</w:t>
      </w:r>
      <w:r>
        <w:rPr>
          <w:rFonts w:cs="Arial"/>
          <w:bCs/>
          <w:sz w:val="16"/>
          <w:lang w:val="en-GB"/>
        </w:rPr>
        <w:t>intile group of households was 3.35</w:t>
      </w:r>
      <w:r w:rsidRPr="006E1C16">
        <w:rPr>
          <w:rFonts w:cs="Arial"/>
          <w:bCs/>
          <w:sz w:val="16"/>
          <w:lang w:val="en-GB"/>
        </w:rPr>
        <w:t>,</w:t>
      </w:r>
      <w:r>
        <w:rPr>
          <w:rFonts w:cs="Arial"/>
          <w:bCs/>
          <w:sz w:val="16"/>
          <w:lang w:val="en-GB"/>
        </w:rPr>
        <w:t xml:space="preserve"> and in 5th quintile group – 2.09</w:t>
      </w:r>
      <w:r w:rsidRPr="006E1C16">
        <w:rPr>
          <w:rFonts w:cs="Arial"/>
          <w:bCs/>
          <w:sz w:val="16"/>
          <w:lang w:val="en-GB"/>
        </w:rPr>
        <w:t>.</w:t>
      </w:r>
    </w:p>
  </w:footnote>
  <w:footnote w:id="11">
    <w:p w14:paraId="7EE95007" w14:textId="77777777" w:rsidR="0024032F" w:rsidRPr="0010126F" w:rsidRDefault="0024032F" w:rsidP="00650698">
      <w:pPr>
        <w:pStyle w:val="Tekstprzypisudolnego"/>
        <w:rPr>
          <w:lang w:val="en-GB"/>
        </w:rPr>
      </w:pPr>
      <w:r>
        <w:rPr>
          <w:rStyle w:val="Odwoanieprzypisudolnego"/>
          <w:sz w:val="16"/>
        </w:rPr>
        <w:footnoteRef/>
      </w:r>
      <w:r w:rsidRPr="0010126F">
        <w:rPr>
          <w:sz w:val="16"/>
          <w:lang w:val="en-GB"/>
        </w:rPr>
        <w:t xml:space="preserve"> In the </w:t>
      </w:r>
      <w:r>
        <w:rPr>
          <w:sz w:val="16"/>
          <w:lang w:val="en-GB"/>
        </w:rPr>
        <w:t>2</w:t>
      </w:r>
      <w:r w:rsidRPr="0010126F">
        <w:rPr>
          <w:sz w:val="16"/>
          <w:lang w:val="en-GB"/>
        </w:rPr>
        <w:t xml:space="preserve">nd quarter of 2020, in the BR-04 questionnaire, questions concerning selected aspects of the functioning of households in the conditions of an epidemic threat of an infectious disease caused by SARS-CoV-2 called "COVID-19" were added to the </w:t>
      </w:r>
      <w:r>
        <w:rPr>
          <w:sz w:val="16"/>
          <w:lang w:val="en-GB"/>
        </w:rPr>
        <w:t>H</w:t>
      </w:r>
      <w:r w:rsidRPr="006E6ED1">
        <w:rPr>
          <w:sz w:val="16"/>
          <w:lang w:val="en-GB"/>
        </w:rPr>
        <w:t xml:space="preserve">ousehold </w:t>
      </w:r>
      <w:r>
        <w:rPr>
          <w:sz w:val="16"/>
          <w:lang w:val="en-GB"/>
        </w:rPr>
        <w:t>B</w:t>
      </w:r>
      <w:r w:rsidRPr="00B361E5">
        <w:rPr>
          <w:sz w:val="16"/>
          <w:lang w:val="en-GB"/>
        </w:rPr>
        <w:t>udgets</w:t>
      </w:r>
      <w:r w:rsidRPr="001A473D">
        <w:rPr>
          <w:sz w:val="16"/>
          <w:lang w:val="en-GB"/>
        </w:rPr>
        <w:t xml:space="preserve"> </w:t>
      </w:r>
      <w:r>
        <w:rPr>
          <w:sz w:val="16"/>
          <w:lang w:val="en-GB"/>
        </w:rPr>
        <w:t>S</w:t>
      </w:r>
      <w:r w:rsidRPr="0010126F">
        <w:rPr>
          <w:sz w:val="16"/>
          <w:lang w:val="en-GB"/>
        </w:rPr>
        <w:t>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4FEC" w14:textId="77777777" w:rsidR="0024032F" w:rsidRDefault="0024032F">
    <w:pPr>
      <w:pStyle w:val="Nagwek"/>
    </w:pPr>
    <w:r>
      <w:rPr>
        <w:noProof/>
        <w:lang w:eastAsia="pl-PL"/>
      </w:rPr>
      <mc:AlternateContent>
        <mc:Choice Requires="wps">
          <w:drawing>
            <wp:anchor distT="0" distB="0" distL="114300" distR="114300" simplePos="0" relativeHeight="251662336" behindDoc="1" locked="0" layoutInCell="1" allowOverlap="1" wp14:anchorId="7EE94FF3" wp14:editId="7EE94FF4">
              <wp:simplePos x="0" y="0"/>
              <wp:positionH relativeFrom="column">
                <wp:posOffset>5214620</wp:posOffset>
              </wp:positionH>
              <wp:positionV relativeFrom="paragraph">
                <wp:posOffset>-178435</wp:posOffset>
              </wp:positionV>
              <wp:extent cx="1874520" cy="22680295"/>
              <wp:effectExtent l="0" t="0" r="0" b="0"/>
              <wp:wrapNone/>
              <wp:docPr id="48"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73321"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m0sg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" fillcolor="#f2f2f2 [305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4FEE" w14:textId="77777777" w:rsidR="0024032F" w:rsidRDefault="0024032F">
    <w:pPr>
      <w:pStyle w:val="Nagwek"/>
      <w:rPr>
        <w:noProof/>
        <w:lang w:eastAsia="pl-PL"/>
      </w:rPr>
    </w:pPr>
    <w:r>
      <w:rPr>
        <w:noProof/>
        <w:lang w:eastAsia="pl-PL"/>
      </w:rPr>
      <w:drawing>
        <wp:anchor distT="0" distB="0" distL="114300" distR="114300" simplePos="0" relativeHeight="251658752" behindDoc="0" locked="0" layoutInCell="1" allowOverlap="1" wp14:anchorId="7EE94FF5" wp14:editId="7EE94FF6">
          <wp:simplePos x="0" y="0"/>
          <wp:positionH relativeFrom="column">
            <wp:posOffset>0</wp:posOffset>
          </wp:positionH>
          <wp:positionV relativeFrom="paragraph">
            <wp:posOffset>82509</wp:posOffset>
          </wp:positionV>
          <wp:extent cx="1955800" cy="744855"/>
          <wp:effectExtent l="0" t="0" r="0" b="0"/>
          <wp:wrapSquare wrapText="bothSides"/>
          <wp:docPr id="9" name="Obraz 9"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54144" behindDoc="1" locked="0" layoutInCell="1" allowOverlap="1" wp14:anchorId="7EE94FF7" wp14:editId="7EE94FF8">
              <wp:simplePos x="0" y="0"/>
              <wp:positionH relativeFrom="column">
                <wp:posOffset>5208905</wp:posOffset>
              </wp:positionH>
              <wp:positionV relativeFrom="paragraph">
                <wp:posOffset>202565</wp:posOffset>
              </wp:positionV>
              <wp:extent cx="1871980" cy="22905085"/>
              <wp:effectExtent l="0" t="0" r="0" b="0"/>
              <wp:wrapNone/>
              <wp:docPr id="47"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ED63" id="Prostokąt 10" o:spid="_x0000_s1026" style="position:absolute;margin-left:410.15pt;margin-top:15.95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" fillcolor="#f2f2f2" stroked="f" strokeweight="1pt"/>
          </w:pict>
        </mc:Fallback>
      </mc:AlternateContent>
    </w:r>
    <w:r>
      <w:rPr>
        <w:noProof/>
        <w:lang w:eastAsia="pl-PL"/>
      </w:rPr>
      <mc:AlternateContent>
        <mc:Choice Requires="wps">
          <w:drawing>
            <wp:anchor distT="0" distB="0" distL="114300" distR="114300" simplePos="0" relativeHeight="251655168" behindDoc="0" locked="0" layoutInCell="1" allowOverlap="1" wp14:anchorId="7EE94FF9" wp14:editId="7EE94FFA">
              <wp:simplePos x="0" y="0"/>
              <wp:positionH relativeFrom="column">
                <wp:posOffset>5036820</wp:posOffset>
              </wp:positionH>
              <wp:positionV relativeFrom="paragraph">
                <wp:posOffset>198755</wp:posOffset>
              </wp:positionV>
              <wp:extent cx="2060575" cy="357505"/>
              <wp:effectExtent l="0" t="0" r="0" b="0"/>
              <wp:wrapNone/>
              <wp:docPr id="46"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95040" w14:textId="77777777" w:rsidR="0024032F" w:rsidRPr="003C6C8D" w:rsidRDefault="0024032F"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94FF9" id="Schemat blokowy: opóźnienie 6" o:spid="_x0000_s1046" style="position:absolute;margin-left:396.6pt;margin-top:15.65pt;width:162.25pt;height:28.1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EE95040" w14:textId="77777777" w:rsidR="0024032F" w:rsidRPr="003C6C8D" w:rsidRDefault="0024032F"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p>
  <w:p w14:paraId="7EE94FEF" w14:textId="77777777" w:rsidR="0024032F" w:rsidRDefault="0024032F">
    <w:pPr>
      <w:pStyle w:val="Nagwek"/>
      <w:rPr>
        <w:noProof/>
        <w:lang w:eastAsia="pl-PL"/>
      </w:rPr>
    </w:pPr>
    <w:r>
      <w:rPr>
        <w:noProof/>
        <w:lang w:eastAsia="pl-PL"/>
      </w:rPr>
      <mc:AlternateContent>
        <mc:Choice Requires="wps">
          <w:drawing>
            <wp:anchor distT="45720" distB="45720" distL="114300" distR="114300" simplePos="0" relativeHeight="251656192" behindDoc="0" locked="0" layoutInCell="1" allowOverlap="1" wp14:anchorId="7EE94FFB" wp14:editId="7EE94FFC">
              <wp:simplePos x="0" y="0"/>
              <wp:positionH relativeFrom="column">
                <wp:posOffset>5305425</wp:posOffset>
              </wp:positionH>
              <wp:positionV relativeFrom="paragraph">
                <wp:posOffset>837565</wp:posOffset>
              </wp:positionV>
              <wp:extent cx="1432560" cy="336550"/>
              <wp:effectExtent l="0" t="0" r="0" b="0"/>
              <wp:wrapNone/>
              <wp:docPr id="4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7EE95041" w14:textId="77777777" w:rsidR="0024032F" w:rsidRPr="006D0A0D" w:rsidRDefault="0024032F">
                          <w:pPr>
                            <w:rPr>
                              <w:rFonts w:ascii="Fira Sans SemiBold" w:hAnsi="Fira Sans SemiBold"/>
                              <w:color w:val="001D77"/>
                              <w:lang w:val="en-GB"/>
                            </w:rPr>
                          </w:pPr>
                          <w:r>
                            <w:rPr>
                              <w:rFonts w:ascii="Fira Sans SemiBold" w:hAnsi="Fira Sans SemiBold"/>
                              <w:color w:val="001D77"/>
                              <w:lang w:val="en-GB"/>
                            </w:rPr>
                            <w:t>31</w:t>
                          </w:r>
                          <w:r w:rsidRPr="006D0A0D">
                            <w:rPr>
                              <w:rFonts w:ascii="Fira Sans SemiBold" w:hAnsi="Fira Sans SemiBold"/>
                              <w:color w:val="001D77"/>
                              <w:lang w:val="en-GB"/>
                            </w:rPr>
                            <w:t>.05.202</w:t>
                          </w:r>
                          <w:r>
                            <w:rPr>
                              <w:rFonts w:ascii="Fira Sans SemiBold" w:hAnsi="Fira Sans SemiBold"/>
                              <w:color w:val="001D77"/>
                              <w:lang w:val="en-GB"/>
                            </w:rPr>
                            <w:t>1</w:t>
                          </w:r>
                        </w:p>
                        <w:p w14:paraId="7EE95042" w14:textId="77777777" w:rsidR="0024032F" w:rsidRPr="006D0A0D" w:rsidRDefault="0024032F" w:rsidP="00F37172">
                          <w:pPr>
                            <w:jc w:val="both"/>
                            <w:rPr>
                              <w:rFonts w:ascii="Fira Sans SemiBold" w:hAnsi="Fira Sans SemiBold"/>
                              <w:color w:val="001D77"/>
                              <w:lang w:val="en-GB"/>
                            </w:rPr>
                          </w:pPr>
                          <w:proofErr w:type="spellStart"/>
                          <w:r w:rsidRPr="006D0A0D">
                            <w:rPr>
                              <w:rFonts w:ascii="Fira Sans SemiBold" w:hAnsi="Fira Sans SemiBold"/>
                              <w:color w:val="001D77"/>
                              <w:lang w:val="en-GB"/>
                            </w:rPr>
                            <w:t>dd.mm.rrrr</w:t>
                          </w:r>
                          <w:proofErr w:type="spellEnd"/>
                          <w:r w:rsidRPr="006D0A0D">
                            <w:rPr>
                              <w:rFonts w:ascii="Fira Sans SemiBold" w:hAnsi="Fira Sans SemiBold"/>
                              <w:color w:val="001D77"/>
                              <w:lang w:val="en-GB"/>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94FFB" id="_x0000_t202" coordsize="21600,21600" o:spt="202" path="m,l,21600r21600,l21600,xe">
              <v:stroke joinstyle="miter"/>
              <v:path gradientshapeok="t" o:connecttype="rect"/>
            </v:shapetype>
            <v:shape id="_x0000_s1047" type="#_x0000_t202" style="position:absolute;margin-left:417.75pt;margin-top:65.95pt;width:112.8pt;height:2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" filled="f" stroked="f">
              <v:textbox>
                <w:txbxContent>
                  <w:p w14:paraId="7EE95041" w14:textId="77777777" w:rsidR="0024032F" w:rsidRPr="006D0A0D" w:rsidRDefault="0024032F">
                    <w:pPr>
                      <w:rPr>
                        <w:rFonts w:ascii="Fira Sans SemiBold" w:hAnsi="Fira Sans SemiBold"/>
                        <w:color w:val="001D77"/>
                        <w:lang w:val="en-GB"/>
                      </w:rPr>
                    </w:pPr>
                    <w:r>
                      <w:rPr>
                        <w:rFonts w:ascii="Fira Sans SemiBold" w:hAnsi="Fira Sans SemiBold"/>
                        <w:color w:val="001D77"/>
                        <w:lang w:val="en-GB"/>
                      </w:rPr>
                      <w:t>31</w:t>
                    </w:r>
                    <w:r w:rsidRPr="006D0A0D">
                      <w:rPr>
                        <w:rFonts w:ascii="Fira Sans SemiBold" w:hAnsi="Fira Sans SemiBold"/>
                        <w:color w:val="001D77"/>
                        <w:lang w:val="en-GB"/>
                      </w:rPr>
                      <w:t>.05.202</w:t>
                    </w:r>
                    <w:r>
                      <w:rPr>
                        <w:rFonts w:ascii="Fira Sans SemiBold" w:hAnsi="Fira Sans SemiBold"/>
                        <w:color w:val="001D77"/>
                        <w:lang w:val="en-GB"/>
                      </w:rPr>
                      <w:t>1</w:t>
                    </w:r>
                  </w:p>
                  <w:p w14:paraId="7EE95042" w14:textId="77777777" w:rsidR="0024032F" w:rsidRPr="006D0A0D" w:rsidRDefault="0024032F" w:rsidP="00F37172">
                    <w:pPr>
                      <w:jc w:val="both"/>
                      <w:rPr>
                        <w:rFonts w:ascii="Fira Sans SemiBold" w:hAnsi="Fira Sans SemiBold"/>
                        <w:color w:val="001D77"/>
                        <w:lang w:val="en-GB"/>
                      </w:rPr>
                    </w:pPr>
                    <w:proofErr w:type="spellStart"/>
                    <w:r w:rsidRPr="006D0A0D">
                      <w:rPr>
                        <w:rFonts w:ascii="Fira Sans SemiBold" w:hAnsi="Fira Sans SemiBold"/>
                        <w:color w:val="001D77"/>
                        <w:lang w:val="en-GB"/>
                      </w:rPr>
                      <w:t>dd.mm.rrrr</w:t>
                    </w:r>
                    <w:proofErr w:type="spellEnd"/>
                    <w:r w:rsidRPr="006D0A0D">
                      <w:rPr>
                        <w:rFonts w:ascii="Fira Sans SemiBold" w:hAnsi="Fira Sans SemiBold"/>
                        <w:color w:val="001D77"/>
                        <w:lang w:val="en-GB"/>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4FF1" w14:textId="77777777" w:rsidR="0024032F" w:rsidRDefault="002403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3.75pt;height:125.25pt;visibility:visible" o:bullet="t">
        <v:imagedata r:id="rId1" o:title=""/>
      </v:shape>
    </w:pict>
  </w:numPicBullet>
  <w:numPicBullet w:numPicBulletId="1">
    <w:pict>
      <v:shape id="_x0000_i1053"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ADC"/>
    <w:rsid w:val="00003437"/>
    <w:rsid w:val="00006D23"/>
    <w:rsid w:val="0000709F"/>
    <w:rsid w:val="00010600"/>
    <w:rsid w:val="00010896"/>
    <w:rsid w:val="000108B8"/>
    <w:rsid w:val="00011A02"/>
    <w:rsid w:val="000152F5"/>
    <w:rsid w:val="00015853"/>
    <w:rsid w:val="00015F38"/>
    <w:rsid w:val="000169CC"/>
    <w:rsid w:val="00016C7A"/>
    <w:rsid w:val="00017628"/>
    <w:rsid w:val="00020B67"/>
    <w:rsid w:val="00022773"/>
    <w:rsid w:val="00022B92"/>
    <w:rsid w:val="00024670"/>
    <w:rsid w:val="00026173"/>
    <w:rsid w:val="00030FF6"/>
    <w:rsid w:val="00033605"/>
    <w:rsid w:val="00033C7A"/>
    <w:rsid w:val="00033E65"/>
    <w:rsid w:val="00035382"/>
    <w:rsid w:val="00035A6C"/>
    <w:rsid w:val="000363C8"/>
    <w:rsid w:val="000374A2"/>
    <w:rsid w:val="00040208"/>
    <w:rsid w:val="00041D2B"/>
    <w:rsid w:val="00042B02"/>
    <w:rsid w:val="00043063"/>
    <w:rsid w:val="00044796"/>
    <w:rsid w:val="0004582E"/>
    <w:rsid w:val="00046650"/>
    <w:rsid w:val="000470AA"/>
    <w:rsid w:val="0005030D"/>
    <w:rsid w:val="000515F2"/>
    <w:rsid w:val="00055296"/>
    <w:rsid w:val="000552F7"/>
    <w:rsid w:val="000561B3"/>
    <w:rsid w:val="00056F23"/>
    <w:rsid w:val="00057CA1"/>
    <w:rsid w:val="00060989"/>
    <w:rsid w:val="00062380"/>
    <w:rsid w:val="00063858"/>
    <w:rsid w:val="0006514B"/>
    <w:rsid w:val="000662E2"/>
    <w:rsid w:val="00066603"/>
    <w:rsid w:val="000666B9"/>
    <w:rsid w:val="00066883"/>
    <w:rsid w:val="0007036D"/>
    <w:rsid w:val="00070936"/>
    <w:rsid w:val="000723AD"/>
    <w:rsid w:val="00073583"/>
    <w:rsid w:val="00073D9C"/>
    <w:rsid w:val="00074DD8"/>
    <w:rsid w:val="00075074"/>
    <w:rsid w:val="000752AE"/>
    <w:rsid w:val="000806F7"/>
    <w:rsid w:val="00080EE5"/>
    <w:rsid w:val="000813F3"/>
    <w:rsid w:val="0008583C"/>
    <w:rsid w:val="000869FC"/>
    <w:rsid w:val="00086E2F"/>
    <w:rsid w:val="0008735C"/>
    <w:rsid w:val="00090897"/>
    <w:rsid w:val="000916D0"/>
    <w:rsid w:val="00092FDF"/>
    <w:rsid w:val="00095F54"/>
    <w:rsid w:val="00097840"/>
    <w:rsid w:val="000A03BF"/>
    <w:rsid w:val="000A2B97"/>
    <w:rsid w:val="000A34EB"/>
    <w:rsid w:val="000A3711"/>
    <w:rsid w:val="000A4599"/>
    <w:rsid w:val="000A4CAA"/>
    <w:rsid w:val="000A6EE6"/>
    <w:rsid w:val="000B04B8"/>
    <w:rsid w:val="000B0727"/>
    <w:rsid w:val="000B088F"/>
    <w:rsid w:val="000B0E56"/>
    <w:rsid w:val="000B3813"/>
    <w:rsid w:val="000B39CD"/>
    <w:rsid w:val="000B40C5"/>
    <w:rsid w:val="000B54F4"/>
    <w:rsid w:val="000B5D96"/>
    <w:rsid w:val="000B61D1"/>
    <w:rsid w:val="000C0588"/>
    <w:rsid w:val="000C0C5A"/>
    <w:rsid w:val="000C1245"/>
    <w:rsid w:val="000C135D"/>
    <w:rsid w:val="000C2B9E"/>
    <w:rsid w:val="000C3538"/>
    <w:rsid w:val="000C4C55"/>
    <w:rsid w:val="000C65C9"/>
    <w:rsid w:val="000C6E7D"/>
    <w:rsid w:val="000D1D43"/>
    <w:rsid w:val="000D2215"/>
    <w:rsid w:val="000D225C"/>
    <w:rsid w:val="000D2A5C"/>
    <w:rsid w:val="000D3623"/>
    <w:rsid w:val="000D384E"/>
    <w:rsid w:val="000D3903"/>
    <w:rsid w:val="000D64AA"/>
    <w:rsid w:val="000D71AB"/>
    <w:rsid w:val="000D7AC4"/>
    <w:rsid w:val="000E02F4"/>
    <w:rsid w:val="000E0706"/>
    <w:rsid w:val="000E0918"/>
    <w:rsid w:val="000E116D"/>
    <w:rsid w:val="000E17FE"/>
    <w:rsid w:val="000E19D1"/>
    <w:rsid w:val="000E312A"/>
    <w:rsid w:val="000E3160"/>
    <w:rsid w:val="000E5EAC"/>
    <w:rsid w:val="000E617F"/>
    <w:rsid w:val="000F3240"/>
    <w:rsid w:val="000F4736"/>
    <w:rsid w:val="000F5FF3"/>
    <w:rsid w:val="001006C8"/>
    <w:rsid w:val="001011C3"/>
    <w:rsid w:val="00103C80"/>
    <w:rsid w:val="00103DA6"/>
    <w:rsid w:val="001053BE"/>
    <w:rsid w:val="0010648B"/>
    <w:rsid w:val="001065AE"/>
    <w:rsid w:val="001075EA"/>
    <w:rsid w:val="00110B61"/>
    <w:rsid w:val="00110D87"/>
    <w:rsid w:val="00111C41"/>
    <w:rsid w:val="00113A40"/>
    <w:rsid w:val="00114295"/>
    <w:rsid w:val="00114DB9"/>
    <w:rsid w:val="00115CFE"/>
    <w:rsid w:val="00116087"/>
    <w:rsid w:val="00117F16"/>
    <w:rsid w:val="0012125A"/>
    <w:rsid w:val="00121317"/>
    <w:rsid w:val="0012275D"/>
    <w:rsid w:val="0012375C"/>
    <w:rsid w:val="00126772"/>
    <w:rsid w:val="001267B5"/>
    <w:rsid w:val="00126EA7"/>
    <w:rsid w:val="00126FF1"/>
    <w:rsid w:val="00127FCF"/>
    <w:rsid w:val="00130296"/>
    <w:rsid w:val="00133F90"/>
    <w:rsid w:val="00134653"/>
    <w:rsid w:val="00134A30"/>
    <w:rsid w:val="00137D32"/>
    <w:rsid w:val="00141C86"/>
    <w:rsid w:val="001423B6"/>
    <w:rsid w:val="00142447"/>
    <w:rsid w:val="00143BC0"/>
    <w:rsid w:val="001446F6"/>
    <w:rsid w:val="001448A7"/>
    <w:rsid w:val="001465FA"/>
    <w:rsid w:val="00146621"/>
    <w:rsid w:val="001467C3"/>
    <w:rsid w:val="0015157F"/>
    <w:rsid w:val="00151655"/>
    <w:rsid w:val="001550A2"/>
    <w:rsid w:val="00155632"/>
    <w:rsid w:val="001558B0"/>
    <w:rsid w:val="00156698"/>
    <w:rsid w:val="00157C8F"/>
    <w:rsid w:val="0016127B"/>
    <w:rsid w:val="00162325"/>
    <w:rsid w:val="00162604"/>
    <w:rsid w:val="001642DA"/>
    <w:rsid w:val="0016568B"/>
    <w:rsid w:val="00167FA5"/>
    <w:rsid w:val="00170256"/>
    <w:rsid w:val="0017045C"/>
    <w:rsid w:val="001708D1"/>
    <w:rsid w:val="0017122E"/>
    <w:rsid w:val="00171D09"/>
    <w:rsid w:val="00173D6C"/>
    <w:rsid w:val="001747E2"/>
    <w:rsid w:val="00174B82"/>
    <w:rsid w:val="001802EF"/>
    <w:rsid w:val="00180604"/>
    <w:rsid w:val="00181548"/>
    <w:rsid w:val="001849AA"/>
    <w:rsid w:val="00184C28"/>
    <w:rsid w:val="001864F9"/>
    <w:rsid w:val="00186509"/>
    <w:rsid w:val="00186B5C"/>
    <w:rsid w:val="00187B70"/>
    <w:rsid w:val="001915A8"/>
    <w:rsid w:val="001931C9"/>
    <w:rsid w:val="00193754"/>
    <w:rsid w:val="00194D55"/>
    <w:rsid w:val="0019505E"/>
    <w:rsid w:val="001951DA"/>
    <w:rsid w:val="001953D9"/>
    <w:rsid w:val="001A08FF"/>
    <w:rsid w:val="001A0DD4"/>
    <w:rsid w:val="001A1762"/>
    <w:rsid w:val="001A18B1"/>
    <w:rsid w:val="001A1FD8"/>
    <w:rsid w:val="001A3A35"/>
    <w:rsid w:val="001A47C1"/>
    <w:rsid w:val="001A602C"/>
    <w:rsid w:val="001A6DB4"/>
    <w:rsid w:val="001A7478"/>
    <w:rsid w:val="001B0AE6"/>
    <w:rsid w:val="001B11D0"/>
    <w:rsid w:val="001B43D7"/>
    <w:rsid w:val="001B4438"/>
    <w:rsid w:val="001B509A"/>
    <w:rsid w:val="001B5EAF"/>
    <w:rsid w:val="001B7686"/>
    <w:rsid w:val="001C013D"/>
    <w:rsid w:val="001C0B84"/>
    <w:rsid w:val="001C23FA"/>
    <w:rsid w:val="001C2BF0"/>
    <w:rsid w:val="001C3269"/>
    <w:rsid w:val="001C364E"/>
    <w:rsid w:val="001C3D59"/>
    <w:rsid w:val="001C65E7"/>
    <w:rsid w:val="001D1AB1"/>
    <w:rsid w:val="001D1DB4"/>
    <w:rsid w:val="001D212D"/>
    <w:rsid w:val="001D2DE7"/>
    <w:rsid w:val="001D3C55"/>
    <w:rsid w:val="001D3E4A"/>
    <w:rsid w:val="001D40F5"/>
    <w:rsid w:val="001D5B0C"/>
    <w:rsid w:val="001D6F16"/>
    <w:rsid w:val="001D7030"/>
    <w:rsid w:val="001E117D"/>
    <w:rsid w:val="001E5C91"/>
    <w:rsid w:val="001E6ADE"/>
    <w:rsid w:val="001E7FC1"/>
    <w:rsid w:val="001F2560"/>
    <w:rsid w:val="001F2F80"/>
    <w:rsid w:val="001F43F3"/>
    <w:rsid w:val="001F4E44"/>
    <w:rsid w:val="001F590E"/>
    <w:rsid w:val="001F7505"/>
    <w:rsid w:val="00200CC1"/>
    <w:rsid w:val="00201763"/>
    <w:rsid w:val="00202D66"/>
    <w:rsid w:val="00203402"/>
    <w:rsid w:val="00211078"/>
    <w:rsid w:val="00211327"/>
    <w:rsid w:val="00211F7F"/>
    <w:rsid w:val="00212A6F"/>
    <w:rsid w:val="00212E22"/>
    <w:rsid w:val="002138DD"/>
    <w:rsid w:val="002155E0"/>
    <w:rsid w:val="0021569B"/>
    <w:rsid w:val="002167B8"/>
    <w:rsid w:val="0022076F"/>
    <w:rsid w:val="00221E61"/>
    <w:rsid w:val="0022280B"/>
    <w:rsid w:val="00222E56"/>
    <w:rsid w:val="00226C26"/>
    <w:rsid w:val="00227C3D"/>
    <w:rsid w:val="00230347"/>
    <w:rsid w:val="00230699"/>
    <w:rsid w:val="002314CE"/>
    <w:rsid w:val="00234B4A"/>
    <w:rsid w:val="00234CD1"/>
    <w:rsid w:val="002400F5"/>
    <w:rsid w:val="0024032F"/>
    <w:rsid w:val="002412B5"/>
    <w:rsid w:val="002413CA"/>
    <w:rsid w:val="00242E02"/>
    <w:rsid w:val="00242EB6"/>
    <w:rsid w:val="00242FCB"/>
    <w:rsid w:val="002439CD"/>
    <w:rsid w:val="002440AA"/>
    <w:rsid w:val="0024486C"/>
    <w:rsid w:val="00246327"/>
    <w:rsid w:val="00250172"/>
    <w:rsid w:val="002520CA"/>
    <w:rsid w:val="002574F9"/>
    <w:rsid w:val="00260B71"/>
    <w:rsid w:val="00261B01"/>
    <w:rsid w:val="0026206E"/>
    <w:rsid w:val="00262B61"/>
    <w:rsid w:val="00262EE2"/>
    <w:rsid w:val="0026513B"/>
    <w:rsid w:val="00265274"/>
    <w:rsid w:val="00266292"/>
    <w:rsid w:val="002662F7"/>
    <w:rsid w:val="00271B98"/>
    <w:rsid w:val="002727F2"/>
    <w:rsid w:val="00273093"/>
    <w:rsid w:val="0027580C"/>
    <w:rsid w:val="00276811"/>
    <w:rsid w:val="00281DF7"/>
    <w:rsid w:val="00282699"/>
    <w:rsid w:val="00283981"/>
    <w:rsid w:val="00285AE8"/>
    <w:rsid w:val="0028726B"/>
    <w:rsid w:val="00290D24"/>
    <w:rsid w:val="00290FBD"/>
    <w:rsid w:val="002926DF"/>
    <w:rsid w:val="00292DD4"/>
    <w:rsid w:val="00294C77"/>
    <w:rsid w:val="00296697"/>
    <w:rsid w:val="00296806"/>
    <w:rsid w:val="00296D91"/>
    <w:rsid w:val="00297C48"/>
    <w:rsid w:val="002A08B3"/>
    <w:rsid w:val="002A0E52"/>
    <w:rsid w:val="002A1439"/>
    <w:rsid w:val="002A6EC6"/>
    <w:rsid w:val="002A72FC"/>
    <w:rsid w:val="002B0472"/>
    <w:rsid w:val="002B11DE"/>
    <w:rsid w:val="002B1797"/>
    <w:rsid w:val="002B1B85"/>
    <w:rsid w:val="002B2234"/>
    <w:rsid w:val="002B3015"/>
    <w:rsid w:val="002B4145"/>
    <w:rsid w:val="002B6440"/>
    <w:rsid w:val="002B6B12"/>
    <w:rsid w:val="002B7B1C"/>
    <w:rsid w:val="002C087F"/>
    <w:rsid w:val="002C15EA"/>
    <w:rsid w:val="002C2735"/>
    <w:rsid w:val="002C301A"/>
    <w:rsid w:val="002C4152"/>
    <w:rsid w:val="002C52AC"/>
    <w:rsid w:val="002C5949"/>
    <w:rsid w:val="002D0EA7"/>
    <w:rsid w:val="002D35B1"/>
    <w:rsid w:val="002D440E"/>
    <w:rsid w:val="002D4B5B"/>
    <w:rsid w:val="002D6744"/>
    <w:rsid w:val="002D6870"/>
    <w:rsid w:val="002D696A"/>
    <w:rsid w:val="002D75E9"/>
    <w:rsid w:val="002E00F8"/>
    <w:rsid w:val="002E0223"/>
    <w:rsid w:val="002E3B6E"/>
    <w:rsid w:val="002E3CE8"/>
    <w:rsid w:val="002E3D41"/>
    <w:rsid w:val="002E575D"/>
    <w:rsid w:val="002E6140"/>
    <w:rsid w:val="002E6303"/>
    <w:rsid w:val="002E6985"/>
    <w:rsid w:val="002E71B6"/>
    <w:rsid w:val="002F0C89"/>
    <w:rsid w:val="002F1F81"/>
    <w:rsid w:val="002F359A"/>
    <w:rsid w:val="002F3918"/>
    <w:rsid w:val="002F77C8"/>
    <w:rsid w:val="00303707"/>
    <w:rsid w:val="0030422B"/>
    <w:rsid w:val="003042C1"/>
    <w:rsid w:val="00304A8F"/>
    <w:rsid w:val="00304C1D"/>
    <w:rsid w:val="00304F22"/>
    <w:rsid w:val="00306C7C"/>
    <w:rsid w:val="00307A05"/>
    <w:rsid w:val="00310217"/>
    <w:rsid w:val="00312341"/>
    <w:rsid w:val="0031252F"/>
    <w:rsid w:val="00314457"/>
    <w:rsid w:val="0031645A"/>
    <w:rsid w:val="0031787F"/>
    <w:rsid w:val="00320094"/>
    <w:rsid w:val="003207FC"/>
    <w:rsid w:val="00320936"/>
    <w:rsid w:val="00321021"/>
    <w:rsid w:val="0032105B"/>
    <w:rsid w:val="0032219F"/>
    <w:rsid w:val="00322C83"/>
    <w:rsid w:val="00322EDD"/>
    <w:rsid w:val="003237FB"/>
    <w:rsid w:val="00323958"/>
    <w:rsid w:val="00323D3D"/>
    <w:rsid w:val="00324B9F"/>
    <w:rsid w:val="00324BD5"/>
    <w:rsid w:val="00325F88"/>
    <w:rsid w:val="00326C6B"/>
    <w:rsid w:val="0032757A"/>
    <w:rsid w:val="00327D1A"/>
    <w:rsid w:val="00332320"/>
    <w:rsid w:val="00332939"/>
    <w:rsid w:val="00332A25"/>
    <w:rsid w:val="00332A54"/>
    <w:rsid w:val="00332A67"/>
    <w:rsid w:val="003337D8"/>
    <w:rsid w:val="0033494C"/>
    <w:rsid w:val="00334C90"/>
    <w:rsid w:val="00335EA8"/>
    <w:rsid w:val="0033608A"/>
    <w:rsid w:val="003402B6"/>
    <w:rsid w:val="00342218"/>
    <w:rsid w:val="00342EB3"/>
    <w:rsid w:val="003431EB"/>
    <w:rsid w:val="003453A4"/>
    <w:rsid w:val="003457D7"/>
    <w:rsid w:val="00345959"/>
    <w:rsid w:val="00346B44"/>
    <w:rsid w:val="0034767F"/>
    <w:rsid w:val="00347D72"/>
    <w:rsid w:val="003513C8"/>
    <w:rsid w:val="00353959"/>
    <w:rsid w:val="00354919"/>
    <w:rsid w:val="00354F10"/>
    <w:rsid w:val="003564F0"/>
    <w:rsid w:val="00357611"/>
    <w:rsid w:val="003639E6"/>
    <w:rsid w:val="00367237"/>
    <w:rsid w:val="0037077F"/>
    <w:rsid w:val="00372411"/>
    <w:rsid w:val="00373882"/>
    <w:rsid w:val="003750AC"/>
    <w:rsid w:val="0037524C"/>
    <w:rsid w:val="003768E5"/>
    <w:rsid w:val="0037729E"/>
    <w:rsid w:val="003815F4"/>
    <w:rsid w:val="00382390"/>
    <w:rsid w:val="0038410A"/>
    <w:rsid w:val="003843DB"/>
    <w:rsid w:val="003849E2"/>
    <w:rsid w:val="00384D18"/>
    <w:rsid w:val="00385E91"/>
    <w:rsid w:val="003876E9"/>
    <w:rsid w:val="00391AA9"/>
    <w:rsid w:val="00392586"/>
    <w:rsid w:val="00393761"/>
    <w:rsid w:val="003953D4"/>
    <w:rsid w:val="00397500"/>
    <w:rsid w:val="00397C2D"/>
    <w:rsid w:val="00397D18"/>
    <w:rsid w:val="003A139B"/>
    <w:rsid w:val="003A1B36"/>
    <w:rsid w:val="003A25B8"/>
    <w:rsid w:val="003A3452"/>
    <w:rsid w:val="003A4792"/>
    <w:rsid w:val="003A4C31"/>
    <w:rsid w:val="003A6735"/>
    <w:rsid w:val="003A6A33"/>
    <w:rsid w:val="003A77DA"/>
    <w:rsid w:val="003B0C2D"/>
    <w:rsid w:val="003B1454"/>
    <w:rsid w:val="003B18B6"/>
    <w:rsid w:val="003B1A4C"/>
    <w:rsid w:val="003B1F9A"/>
    <w:rsid w:val="003B33FE"/>
    <w:rsid w:val="003B4300"/>
    <w:rsid w:val="003B69FB"/>
    <w:rsid w:val="003B6D42"/>
    <w:rsid w:val="003B6FC7"/>
    <w:rsid w:val="003C1C25"/>
    <w:rsid w:val="003C425A"/>
    <w:rsid w:val="003C4B7E"/>
    <w:rsid w:val="003C59E0"/>
    <w:rsid w:val="003C66FA"/>
    <w:rsid w:val="003C6C8D"/>
    <w:rsid w:val="003C7300"/>
    <w:rsid w:val="003C758E"/>
    <w:rsid w:val="003D03EA"/>
    <w:rsid w:val="003D3CCA"/>
    <w:rsid w:val="003D3F36"/>
    <w:rsid w:val="003D4EB4"/>
    <w:rsid w:val="003D4F95"/>
    <w:rsid w:val="003D5DAF"/>
    <w:rsid w:val="003D5F42"/>
    <w:rsid w:val="003D60A9"/>
    <w:rsid w:val="003D612A"/>
    <w:rsid w:val="003D6223"/>
    <w:rsid w:val="003D6A3A"/>
    <w:rsid w:val="003E3394"/>
    <w:rsid w:val="003E4EDC"/>
    <w:rsid w:val="003E50F5"/>
    <w:rsid w:val="003F23F8"/>
    <w:rsid w:val="003F2669"/>
    <w:rsid w:val="003F29C1"/>
    <w:rsid w:val="003F42C7"/>
    <w:rsid w:val="003F468F"/>
    <w:rsid w:val="003F4C97"/>
    <w:rsid w:val="003F62CF"/>
    <w:rsid w:val="003F7FE6"/>
    <w:rsid w:val="00400193"/>
    <w:rsid w:val="0040103E"/>
    <w:rsid w:val="00401337"/>
    <w:rsid w:val="00401F87"/>
    <w:rsid w:val="00402D1D"/>
    <w:rsid w:val="004078B9"/>
    <w:rsid w:val="00411654"/>
    <w:rsid w:val="00415F50"/>
    <w:rsid w:val="004170F6"/>
    <w:rsid w:val="004212E7"/>
    <w:rsid w:val="00421A4D"/>
    <w:rsid w:val="00422A69"/>
    <w:rsid w:val="0042446D"/>
    <w:rsid w:val="00424C18"/>
    <w:rsid w:val="00427774"/>
    <w:rsid w:val="00427BF8"/>
    <w:rsid w:val="00430580"/>
    <w:rsid w:val="004313A7"/>
    <w:rsid w:val="00431A5C"/>
    <w:rsid w:val="00431C02"/>
    <w:rsid w:val="00432B4A"/>
    <w:rsid w:val="0043404D"/>
    <w:rsid w:val="00436B82"/>
    <w:rsid w:val="00437395"/>
    <w:rsid w:val="00440700"/>
    <w:rsid w:val="0044076B"/>
    <w:rsid w:val="004417FA"/>
    <w:rsid w:val="00441A8B"/>
    <w:rsid w:val="00442B0F"/>
    <w:rsid w:val="004436B4"/>
    <w:rsid w:val="00445047"/>
    <w:rsid w:val="004470D2"/>
    <w:rsid w:val="004477C2"/>
    <w:rsid w:val="0045271F"/>
    <w:rsid w:val="00455144"/>
    <w:rsid w:val="0045609E"/>
    <w:rsid w:val="004573DF"/>
    <w:rsid w:val="00460304"/>
    <w:rsid w:val="00460559"/>
    <w:rsid w:val="00461BDE"/>
    <w:rsid w:val="00463E39"/>
    <w:rsid w:val="004657FC"/>
    <w:rsid w:val="00466210"/>
    <w:rsid w:val="00467BE9"/>
    <w:rsid w:val="004700B5"/>
    <w:rsid w:val="004712DB"/>
    <w:rsid w:val="004716FD"/>
    <w:rsid w:val="00471D75"/>
    <w:rsid w:val="004722FA"/>
    <w:rsid w:val="004733F6"/>
    <w:rsid w:val="00474A3A"/>
    <w:rsid w:val="00474E69"/>
    <w:rsid w:val="00475671"/>
    <w:rsid w:val="0047614A"/>
    <w:rsid w:val="00476524"/>
    <w:rsid w:val="00476B05"/>
    <w:rsid w:val="00477EFC"/>
    <w:rsid w:val="004815D6"/>
    <w:rsid w:val="00482D0F"/>
    <w:rsid w:val="00483062"/>
    <w:rsid w:val="00483EDF"/>
    <w:rsid w:val="00484EFF"/>
    <w:rsid w:val="004875F8"/>
    <w:rsid w:val="00490E03"/>
    <w:rsid w:val="00492B21"/>
    <w:rsid w:val="00493BA8"/>
    <w:rsid w:val="004942C8"/>
    <w:rsid w:val="00494F4F"/>
    <w:rsid w:val="00495E1F"/>
    <w:rsid w:val="0049621B"/>
    <w:rsid w:val="004968D1"/>
    <w:rsid w:val="004A0D17"/>
    <w:rsid w:val="004A2ACA"/>
    <w:rsid w:val="004A2E81"/>
    <w:rsid w:val="004A311F"/>
    <w:rsid w:val="004A3305"/>
    <w:rsid w:val="004A5B9E"/>
    <w:rsid w:val="004A5CF4"/>
    <w:rsid w:val="004A6AEE"/>
    <w:rsid w:val="004A7B44"/>
    <w:rsid w:val="004B0936"/>
    <w:rsid w:val="004B148D"/>
    <w:rsid w:val="004B1ED2"/>
    <w:rsid w:val="004B298F"/>
    <w:rsid w:val="004B49AE"/>
    <w:rsid w:val="004B7E27"/>
    <w:rsid w:val="004C1895"/>
    <w:rsid w:val="004C23D2"/>
    <w:rsid w:val="004C348C"/>
    <w:rsid w:val="004C3E99"/>
    <w:rsid w:val="004C6B17"/>
    <w:rsid w:val="004C6D40"/>
    <w:rsid w:val="004D0683"/>
    <w:rsid w:val="004D0F47"/>
    <w:rsid w:val="004D1923"/>
    <w:rsid w:val="004D2DD3"/>
    <w:rsid w:val="004D507F"/>
    <w:rsid w:val="004D50DD"/>
    <w:rsid w:val="004D5B08"/>
    <w:rsid w:val="004D7711"/>
    <w:rsid w:val="004D7A31"/>
    <w:rsid w:val="004E0604"/>
    <w:rsid w:val="004E07D3"/>
    <w:rsid w:val="004E23CC"/>
    <w:rsid w:val="004E2B0A"/>
    <w:rsid w:val="004E4803"/>
    <w:rsid w:val="004E497C"/>
    <w:rsid w:val="004E5048"/>
    <w:rsid w:val="004E584D"/>
    <w:rsid w:val="004E67B9"/>
    <w:rsid w:val="004E6906"/>
    <w:rsid w:val="004F0C3C"/>
    <w:rsid w:val="004F1F24"/>
    <w:rsid w:val="004F43BC"/>
    <w:rsid w:val="004F492A"/>
    <w:rsid w:val="004F63FC"/>
    <w:rsid w:val="004F75C3"/>
    <w:rsid w:val="00500599"/>
    <w:rsid w:val="00501812"/>
    <w:rsid w:val="00501A4C"/>
    <w:rsid w:val="005028E0"/>
    <w:rsid w:val="0050322B"/>
    <w:rsid w:val="0050497E"/>
    <w:rsid w:val="0050562F"/>
    <w:rsid w:val="00505977"/>
    <w:rsid w:val="00505A92"/>
    <w:rsid w:val="005067E3"/>
    <w:rsid w:val="00506EDA"/>
    <w:rsid w:val="005116B3"/>
    <w:rsid w:val="005123BF"/>
    <w:rsid w:val="005135D9"/>
    <w:rsid w:val="00513DB5"/>
    <w:rsid w:val="005140B7"/>
    <w:rsid w:val="00515B9C"/>
    <w:rsid w:val="005203F1"/>
    <w:rsid w:val="005206C8"/>
    <w:rsid w:val="00521212"/>
    <w:rsid w:val="00521974"/>
    <w:rsid w:val="00521A37"/>
    <w:rsid w:val="00521BC3"/>
    <w:rsid w:val="005256FC"/>
    <w:rsid w:val="005260D6"/>
    <w:rsid w:val="00526CC8"/>
    <w:rsid w:val="00527729"/>
    <w:rsid w:val="00533632"/>
    <w:rsid w:val="00533E00"/>
    <w:rsid w:val="00533FE8"/>
    <w:rsid w:val="00534B2A"/>
    <w:rsid w:val="005358B1"/>
    <w:rsid w:val="00536343"/>
    <w:rsid w:val="0053773B"/>
    <w:rsid w:val="00541339"/>
    <w:rsid w:val="005416A7"/>
    <w:rsid w:val="00541E6E"/>
    <w:rsid w:val="00541ECD"/>
    <w:rsid w:val="0054251F"/>
    <w:rsid w:val="00543B74"/>
    <w:rsid w:val="00544FB7"/>
    <w:rsid w:val="00550CFB"/>
    <w:rsid w:val="00550F40"/>
    <w:rsid w:val="005520D8"/>
    <w:rsid w:val="00552CDC"/>
    <w:rsid w:val="005533BC"/>
    <w:rsid w:val="0055643F"/>
    <w:rsid w:val="00556CF1"/>
    <w:rsid w:val="00556E49"/>
    <w:rsid w:val="00561AE5"/>
    <w:rsid w:val="00562055"/>
    <w:rsid w:val="00564A74"/>
    <w:rsid w:val="00564F88"/>
    <w:rsid w:val="005664CC"/>
    <w:rsid w:val="00566DCE"/>
    <w:rsid w:val="00567186"/>
    <w:rsid w:val="005711A6"/>
    <w:rsid w:val="0057123A"/>
    <w:rsid w:val="00572FE5"/>
    <w:rsid w:val="005731B7"/>
    <w:rsid w:val="005757FE"/>
    <w:rsid w:val="00575D05"/>
    <w:rsid w:val="005762A7"/>
    <w:rsid w:val="005828C3"/>
    <w:rsid w:val="00582A3E"/>
    <w:rsid w:val="00582D3F"/>
    <w:rsid w:val="005878F7"/>
    <w:rsid w:val="00587E37"/>
    <w:rsid w:val="0059075A"/>
    <w:rsid w:val="005916D7"/>
    <w:rsid w:val="00596464"/>
    <w:rsid w:val="005966D4"/>
    <w:rsid w:val="0059710B"/>
    <w:rsid w:val="005A2AEF"/>
    <w:rsid w:val="005A3C7F"/>
    <w:rsid w:val="005A6159"/>
    <w:rsid w:val="005A698C"/>
    <w:rsid w:val="005A7BB3"/>
    <w:rsid w:val="005B0772"/>
    <w:rsid w:val="005B1FEB"/>
    <w:rsid w:val="005B22F0"/>
    <w:rsid w:val="005B630A"/>
    <w:rsid w:val="005C0D7D"/>
    <w:rsid w:val="005C13CD"/>
    <w:rsid w:val="005C14BD"/>
    <w:rsid w:val="005C196B"/>
    <w:rsid w:val="005C34F9"/>
    <w:rsid w:val="005C4DE6"/>
    <w:rsid w:val="005C577E"/>
    <w:rsid w:val="005C7031"/>
    <w:rsid w:val="005C7565"/>
    <w:rsid w:val="005C7710"/>
    <w:rsid w:val="005C7B5D"/>
    <w:rsid w:val="005D2934"/>
    <w:rsid w:val="005D46D8"/>
    <w:rsid w:val="005D5835"/>
    <w:rsid w:val="005D5992"/>
    <w:rsid w:val="005D789E"/>
    <w:rsid w:val="005D7DB0"/>
    <w:rsid w:val="005D7F38"/>
    <w:rsid w:val="005E0799"/>
    <w:rsid w:val="005E0A61"/>
    <w:rsid w:val="005E115E"/>
    <w:rsid w:val="005E1D1E"/>
    <w:rsid w:val="005E4031"/>
    <w:rsid w:val="005E6EB3"/>
    <w:rsid w:val="005F11DF"/>
    <w:rsid w:val="005F1EA9"/>
    <w:rsid w:val="005F1F3D"/>
    <w:rsid w:val="005F2B8E"/>
    <w:rsid w:val="005F2C48"/>
    <w:rsid w:val="005F2E2D"/>
    <w:rsid w:val="005F5A80"/>
    <w:rsid w:val="005F5E6B"/>
    <w:rsid w:val="005F6CCC"/>
    <w:rsid w:val="005F7FD8"/>
    <w:rsid w:val="00600D5C"/>
    <w:rsid w:val="00602A7C"/>
    <w:rsid w:val="006044FF"/>
    <w:rsid w:val="0060484B"/>
    <w:rsid w:val="006051FF"/>
    <w:rsid w:val="00607CC5"/>
    <w:rsid w:val="006109D8"/>
    <w:rsid w:val="006111C4"/>
    <w:rsid w:val="006135D3"/>
    <w:rsid w:val="00613E03"/>
    <w:rsid w:val="006145B6"/>
    <w:rsid w:val="0061727D"/>
    <w:rsid w:val="006232C8"/>
    <w:rsid w:val="00623E67"/>
    <w:rsid w:val="006255CD"/>
    <w:rsid w:val="00625E5B"/>
    <w:rsid w:val="00626BD1"/>
    <w:rsid w:val="006319E3"/>
    <w:rsid w:val="00632CCE"/>
    <w:rsid w:val="00633014"/>
    <w:rsid w:val="00633332"/>
    <w:rsid w:val="00633882"/>
    <w:rsid w:val="0063437B"/>
    <w:rsid w:val="00634948"/>
    <w:rsid w:val="0063564F"/>
    <w:rsid w:val="00636FBD"/>
    <w:rsid w:val="00637458"/>
    <w:rsid w:val="0064144A"/>
    <w:rsid w:val="00646F3A"/>
    <w:rsid w:val="00647316"/>
    <w:rsid w:val="00647D55"/>
    <w:rsid w:val="00650698"/>
    <w:rsid w:val="006510FD"/>
    <w:rsid w:val="00654166"/>
    <w:rsid w:val="00654D2E"/>
    <w:rsid w:val="00654EA6"/>
    <w:rsid w:val="00655460"/>
    <w:rsid w:val="00655E21"/>
    <w:rsid w:val="00660624"/>
    <w:rsid w:val="006624D6"/>
    <w:rsid w:val="0066338E"/>
    <w:rsid w:val="006670D3"/>
    <w:rsid w:val="006673CA"/>
    <w:rsid w:val="00670DB1"/>
    <w:rsid w:val="00671BFE"/>
    <w:rsid w:val="00672336"/>
    <w:rsid w:val="006726D5"/>
    <w:rsid w:val="00673C26"/>
    <w:rsid w:val="00673FC8"/>
    <w:rsid w:val="00674708"/>
    <w:rsid w:val="00674A5B"/>
    <w:rsid w:val="00675755"/>
    <w:rsid w:val="006812AF"/>
    <w:rsid w:val="0068157C"/>
    <w:rsid w:val="00681F04"/>
    <w:rsid w:val="00682527"/>
    <w:rsid w:val="0068327D"/>
    <w:rsid w:val="006836F9"/>
    <w:rsid w:val="00683DE7"/>
    <w:rsid w:val="006840A7"/>
    <w:rsid w:val="0068627A"/>
    <w:rsid w:val="006863A7"/>
    <w:rsid w:val="0068741D"/>
    <w:rsid w:val="00687461"/>
    <w:rsid w:val="00690E21"/>
    <w:rsid w:val="006929FE"/>
    <w:rsid w:val="00692C33"/>
    <w:rsid w:val="00692D54"/>
    <w:rsid w:val="00692FD9"/>
    <w:rsid w:val="00693338"/>
    <w:rsid w:val="00694465"/>
    <w:rsid w:val="00694AF0"/>
    <w:rsid w:val="00694BB4"/>
    <w:rsid w:val="00694DE3"/>
    <w:rsid w:val="00697D5A"/>
    <w:rsid w:val="006A0558"/>
    <w:rsid w:val="006A2F59"/>
    <w:rsid w:val="006A4686"/>
    <w:rsid w:val="006A4D40"/>
    <w:rsid w:val="006A6986"/>
    <w:rsid w:val="006A71F6"/>
    <w:rsid w:val="006B0E9E"/>
    <w:rsid w:val="006B14B8"/>
    <w:rsid w:val="006B1CD5"/>
    <w:rsid w:val="006B1F19"/>
    <w:rsid w:val="006B39B9"/>
    <w:rsid w:val="006B4C77"/>
    <w:rsid w:val="006B5679"/>
    <w:rsid w:val="006B5AE4"/>
    <w:rsid w:val="006B7C37"/>
    <w:rsid w:val="006C0943"/>
    <w:rsid w:val="006C10C8"/>
    <w:rsid w:val="006C2B81"/>
    <w:rsid w:val="006C3C6D"/>
    <w:rsid w:val="006C46C0"/>
    <w:rsid w:val="006C5D1A"/>
    <w:rsid w:val="006C6499"/>
    <w:rsid w:val="006C6F58"/>
    <w:rsid w:val="006C7EEC"/>
    <w:rsid w:val="006D0A0D"/>
    <w:rsid w:val="006D1507"/>
    <w:rsid w:val="006D1D38"/>
    <w:rsid w:val="006D3D65"/>
    <w:rsid w:val="006D4054"/>
    <w:rsid w:val="006D5D15"/>
    <w:rsid w:val="006D63CB"/>
    <w:rsid w:val="006D663B"/>
    <w:rsid w:val="006D7790"/>
    <w:rsid w:val="006E01DE"/>
    <w:rsid w:val="006E02EC"/>
    <w:rsid w:val="006E23F6"/>
    <w:rsid w:val="006E2BD8"/>
    <w:rsid w:val="006E2E50"/>
    <w:rsid w:val="006E504B"/>
    <w:rsid w:val="006E7636"/>
    <w:rsid w:val="006E7F78"/>
    <w:rsid w:val="006F08B9"/>
    <w:rsid w:val="006F17E2"/>
    <w:rsid w:val="006F2DD9"/>
    <w:rsid w:val="006F51D0"/>
    <w:rsid w:val="006F6DCF"/>
    <w:rsid w:val="006F7343"/>
    <w:rsid w:val="0070279F"/>
    <w:rsid w:val="007029B6"/>
    <w:rsid w:val="00702C2F"/>
    <w:rsid w:val="00702D89"/>
    <w:rsid w:val="00703057"/>
    <w:rsid w:val="00703D63"/>
    <w:rsid w:val="00705CD4"/>
    <w:rsid w:val="00706A79"/>
    <w:rsid w:val="00707906"/>
    <w:rsid w:val="007116B6"/>
    <w:rsid w:val="00711880"/>
    <w:rsid w:val="00715D29"/>
    <w:rsid w:val="00716DE0"/>
    <w:rsid w:val="0072040E"/>
    <w:rsid w:val="007211B1"/>
    <w:rsid w:val="00724030"/>
    <w:rsid w:val="007275B6"/>
    <w:rsid w:val="00727703"/>
    <w:rsid w:val="00733FD7"/>
    <w:rsid w:val="007347E4"/>
    <w:rsid w:val="00734888"/>
    <w:rsid w:val="00734FEF"/>
    <w:rsid w:val="0073733E"/>
    <w:rsid w:val="007454E5"/>
    <w:rsid w:val="00746187"/>
    <w:rsid w:val="007502F3"/>
    <w:rsid w:val="00751A59"/>
    <w:rsid w:val="00751FAC"/>
    <w:rsid w:val="00752DAC"/>
    <w:rsid w:val="007554B0"/>
    <w:rsid w:val="00757E3A"/>
    <w:rsid w:val="00760DE9"/>
    <w:rsid w:val="007611CD"/>
    <w:rsid w:val="0076254F"/>
    <w:rsid w:val="00762990"/>
    <w:rsid w:val="00762FF2"/>
    <w:rsid w:val="00763982"/>
    <w:rsid w:val="00764D9C"/>
    <w:rsid w:val="00771A5A"/>
    <w:rsid w:val="0077245A"/>
    <w:rsid w:val="007731D8"/>
    <w:rsid w:val="00773CE5"/>
    <w:rsid w:val="0077402D"/>
    <w:rsid w:val="00774D61"/>
    <w:rsid w:val="00774D62"/>
    <w:rsid w:val="00775896"/>
    <w:rsid w:val="007758FD"/>
    <w:rsid w:val="007764D2"/>
    <w:rsid w:val="00777CB1"/>
    <w:rsid w:val="007801F5"/>
    <w:rsid w:val="00780345"/>
    <w:rsid w:val="00781653"/>
    <w:rsid w:val="007830C0"/>
    <w:rsid w:val="00783CA4"/>
    <w:rsid w:val="00783CAA"/>
    <w:rsid w:val="007842FB"/>
    <w:rsid w:val="00785127"/>
    <w:rsid w:val="00785360"/>
    <w:rsid w:val="00785540"/>
    <w:rsid w:val="00785705"/>
    <w:rsid w:val="00786124"/>
    <w:rsid w:val="00790C3E"/>
    <w:rsid w:val="0079514B"/>
    <w:rsid w:val="00795FAF"/>
    <w:rsid w:val="007A11BD"/>
    <w:rsid w:val="007A2DC1"/>
    <w:rsid w:val="007A3E0B"/>
    <w:rsid w:val="007A758A"/>
    <w:rsid w:val="007B08F3"/>
    <w:rsid w:val="007B0BAB"/>
    <w:rsid w:val="007B0D8F"/>
    <w:rsid w:val="007B1C71"/>
    <w:rsid w:val="007B3C4A"/>
    <w:rsid w:val="007B5D32"/>
    <w:rsid w:val="007B74AB"/>
    <w:rsid w:val="007C0412"/>
    <w:rsid w:val="007C4094"/>
    <w:rsid w:val="007C5D21"/>
    <w:rsid w:val="007C73A0"/>
    <w:rsid w:val="007C763C"/>
    <w:rsid w:val="007D1C31"/>
    <w:rsid w:val="007D3319"/>
    <w:rsid w:val="007D335D"/>
    <w:rsid w:val="007D3642"/>
    <w:rsid w:val="007D4EB8"/>
    <w:rsid w:val="007D5898"/>
    <w:rsid w:val="007D6267"/>
    <w:rsid w:val="007D6B06"/>
    <w:rsid w:val="007E0193"/>
    <w:rsid w:val="007E04C5"/>
    <w:rsid w:val="007E0DB2"/>
    <w:rsid w:val="007E0E31"/>
    <w:rsid w:val="007E1184"/>
    <w:rsid w:val="007E1352"/>
    <w:rsid w:val="007E1F14"/>
    <w:rsid w:val="007E2298"/>
    <w:rsid w:val="007E2664"/>
    <w:rsid w:val="007E2F9C"/>
    <w:rsid w:val="007E3314"/>
    <w:rsid w:val="007E4B03"/>
    <w:rsid w:val="007E6A56"/>
    <w:rsid w:val="007E716F"/>
    <w:rsid w:val="007F0167"/>
    <w:rsid w:val="007F04F4"/>
    <w:rsid w:val="007F25A3"/>
    <w:rsid w:val="007F275E"/>
    <w:rsid w:val="007F28BB"/>
    <w:rsid w:val="007F3132"/>
    <w:rsid w:val="007F324B"/>
    <w:rsid w:val="007F36F4"/>
    <w:rsid w:val="007F3898"/>
    <w:rsid w:val="007F4A26"/>
    <w:rsid w:val="007F6485"/>
    <w:rsid w:val="007F70CD"/>
    <w:rsid w:val="007F76E9"/>
    <w:rsid w:val="007F7BFB"/>
    <w:rsid w:val="008021BD"/>
    <w:rsid w:val="0080273B"/>
    <w:rsid w:val="00802DC2"/>
    <w:rsid w:val="00803B35"/>
    <w:rsid w:val="0080553C"/>
    <w:rsid w:val="00805B46"/>
    <w:rsid w:val="008063BF"/>
    <w:rsid w:val="0081004B"/>
    <w:rsid w:val="008119BB"/>
    <w:rsid w:val="008127B9"/>
    <w:rsid w:val="0081438B"/>
    <w:rsid w:val="00814632"/>
    <w:rsid w:val="0081537D"/>
    <w:rsid w:val="0081668A"/>
    <w:rsid w:val="00816E06"/>
    <w:rsid w:val="008205A7"/>
    <w:rsid w:val="008223FB"/>
    <w:rsid w:val="008235B1"/>
    <w:rsid w:val="00825D7C"/>
    <w:rsid w:val="00825DC2"/>
    <w:rsid w:val="00826CD5"/>
    <w:rsid w:val="0082708E"/>
    <w:rsid w:val="00830977"/>
    <w:rsid w:val="00830A13"/>
    <w:rsid w:val="0083126D"/>
    <w:rsid w:val="0083283E"/>
    <w:rsid w:val="0083335F"/>
    <w:rsid w:val="008335A8"/>
    <w:rsid w:val="00834AD3"/>
    <w:rsid w:val="00834DE5"/>
    <w:rsid w:val="00835284"/>
    <w:rsid w:val="00843795"/>
    <w:rsid w:val="0084551C"/>
    <w:rsid w:val="00847F0F"/>
    <w:rsid w:val="00852448"/>
    <w:rsid w:val="008540F0"/>
    <w:rsid w:val="00857074"/>
    <w:rsid w:val="00860BA6"/>
    <w:rsid w:val="00861137"/>
    <w:rsid w:val="00862119"/>
    <w:rsid w:val="00864535"/>
    <w:rsid w:val="0086798B"/>
    <w:rsid w:val="008706A0"/>
    <w:rsid w:val="008707CF"/>
    <w:rsid w:val="00872C2A"/>
    <w:rsid w:val="0087427F"/>
    <w:rsid w:val="00874865"/>
    <w:rsid w:val="0087508D"/>
    <w:rsid w:val="0087524B"/>
    <w:rsid w:val="008752CA"/>
    <w:rsid w:val="00875393"/>
    <w:rsid w:val="00875D6D"/>
    <w:rsid w:val="008770E5"/>
    <w:rsid w:val="008802BF"/>
    <w:rsid w:val="00880EE7"/>
    <w:rsid w:val="0088237D"/>
    <w:rsid w:val="0088258A"/>
    <w:rsid w:val="00884D73"/>
    <w:rsid w:val="00884EDE"/>
    <w:rsid w:val="00886200"/>
    <w:rsid w:val="00886332"/>
    <w:rsid w:val="0088757B"/>
    <w:rsid w:val="0088797D"/>
    <w:rsid w:val="00891047"/>
    <w:rsid w:val="0089152C"/>
    <w:rsid w:val="00892D89"/>
    <w:rsid w:val="00893B8A"/>
    <w:rsid w:val="00894293"/>
    <w:rsid w:val="00895898"/>
    <w:rsid w:val="00895E30"/>
    <w:rsid w:val="008960A6"/>
    <w:rsid w:val="0089665A"/>
    <w:rsid w:val="00896D71"/>
    <w:rsid w:val="00897B0C"/>
    <w:rsid w:val="008A0964"/>
    <w:rsid w:val="008A0C4A"/>
    <w:rsid w:val="008A26D9"/>
    <w:rsid w:val="008A278B"/>
    <w:rsid w:val="008A2B30"/>
    <w:rsid w:val="008A3AA7"/>
    <w:rsid w:val="008A3C4A"/>
    <w:rsid w:val="008A5AE9"/>
    <w:rsid w:val="008A7009"/>
    <w:rsid w:val="008A7CF0"/>
    <w:rsid w:val="008B18FF"/>
    <w:rsid w:val="008B52D7"/>
    <w:rsid w:val="008B54CA"/>
    <w:rsid w:val="008B57F2"/>
    <w:rsid w:val="008B657E"/>
    <w:rsid w:val="008B6867"/>
    <w:rsid w:val="008B6991"/>
    <w:rsid w:val="008B7665"/>
    <w:rsid w:val="008C046A"/>
    <w:rsid w:val="008C0C29"/>
    <w:rsid w:val="008C7F4B"/>
    <w:rsid w:val="008D2898"/>
    <w:rsid w:val="008D28A2"/>
    <w:rsid w:val="008D617E"/>
    <w:rsid w:val="008D7D3B"/>
    <w:rsid w:val="008E119E"/>
    <w:rsid w:val="008E24D9"/>
    <w:rsid w:val="008E2986"/>
    <w:rsid w:val="008E2C60"/>
    <w:rsid w:val="008E2FED"/>
    <w:rsid w:val="008E431C"/>
    <w:rsid w:val="008E48C4"/>
    <w:rsid w:val="008E5389"/>
    <w:rsid w:val="008F15F3"/>
    <w:rsid w:val="008F2245"/>
    <w:rsid w:val="008F2641"/>
    <w:rsid w:val="008F3204"/>
    <w:rsid w:val="008F3638"/>
    <w:rsid w:val="008F4441"/>
    <w:rsid w:val="008F4694"/>
    <w:rsid w:val="008F6139"/>
    <w:rsid w:val="008F615E"/>
    <w:rsid w:val="008F6964"/>
    <w:rsid w:val="008F6C3C"/>
    <w:rsid w:val="008F6F31"/>
    <w:rsid w:val="008F74DF"/>
    <w:rsid w:val="008F7E05"/>
    <w:rsid w:val="00901007"/>
    <w:rsid w:val="009014EF"/>
    <w:rsid w:val="00901ED6"/>
    <w:rsid w:val="0090252D"/>
    <w:rsid w:val="009034B4"/>
    <w:rsid w:val="00903B7A"/>
    <w:rsid w:val="00903DA5"/>
    <w:rsid w:val="0090573A"/>
    <w:rsid w:val="00906F75"/>
    <w:rsid w:val="00907511"/>
    <w:rsid w:val="00907638"/>
    <w:rsid w:val="0091010B"/>
    <w:rsid w:val="00912465"/>
    <w:rsid w:val="009127BA"/>
    <w:rsid w:val="009143A0"/>
    <w:rsid w:val="00914D4C"/>
    <w:rsid w:val="00920460"/>
    <w:rsid w:val="00920A7E"/>
    <w:rsid w:val="00921FC2"/>
    <w:rsid w:val="009227A6"/>
    <w:rsid w:val="00923404"/>
    <w:rsid w:val="009255B9"/>
    <w:rsid w:val="00926858"/>
    <w:rsid w:val="0093054B"/>
    <w:rsid w:val="00930703"/>
    <w:rsid w:val="009317DD"/>
    <w:rsid w:val="009320D1"/>
    <w:rsid w:val="0093262A"/>
    <w:rsid w:val="00933A75"/>
    <w:rsid w:val="00933EC1"/>
    <w:rsid w:val="00933F58"/>
    <w:rsid w:val="00933F94"/>
    <w:rsid w:val="00936260"/>
    <w:rsid w:val="00937540"/>
    <w:rsid w:val="00937F39"/>
    <w:rsid w:val="00940A2B"/>
    <w:rsid w:val="00941240"/>
    <w:rsid w:val="009415FC"/>
    <w:rsid w:val="009441E7"/>
    <w:rsid w:val="00944BA9"/>
    <w:rsid w:val="00947876"/>
    <w:rsid w:val="00950ADE"/>
    <w:rsid w:val="0095200D"/>
    <w:rsid w:val="00952578"/>
    <w:rsid w:val="00952D21"/>
    <w:rsid w:val="009530DB"/>
    <w:rsid w:val="00953676"/>
    <w:rsid w:val="00954B27"/>
    <w:rsid w:val="00956B79"/>
    <w:rsid w:val="009577AD"/>
    <w:rsid w:val="00957F9D"/>
    <w:rsid w:val="00960CD8"/>
    <w:rsid w:val="00961F59"/>
    <w:rsid w:val="00963117"/>
    <w:rsid w:val="009705EE"/>
    <w:rsid w:val="00972330"/>
    <w:rsid w:val="0097394C"/>
    <w:rsid w:val="00973C01"/>
    <w:rsid w:val="00974594"/>
    <w:rsid w:val="00974AA6"/>
    <w:rsid w:val="00975622"/>
    <w:rsid w:val="0097699E"/>
    <w:rsid w:val="00976CCF"/>
    <w:rsid w:val="00977927"/>
    <w:rsid w:val="009804A8"/>
    <w:rsid w:val="00980AA6"/>
    <w:rsid w:val="0098135C"/>
    <w:rsid w:val="0098156A"/>
    <w:rsid w:val="009823F7"/>
    <w:rsid w:val="009838FE"/>
    <w:rsid w:val="00985670"/>
    <w:rsid w:val="009863A2"/>
    <w:rsid w:val="00990738"/>
    <w:rsid w:val="00991260"/>
    <w:rsid w:val="00991BAC"/>
    <w:rsid w:val="00994420"/>
    <w:rsid w:val="0099545C"/>
    <w:rsid w:val="009978F7"/>
    <w:rsid w:val="009A0387"/>
    <w:rsid w:val="009A235F"/>
    <w:rsid w:val="009A352C"/>
    <w:rsid w:val="009A3FCA"/>
    <w:rsid w:val="009A40BA"/>
    <w:rsid w:val="009A6187"/>
    <w:rsid w:val="009A6EA0"/>
    <w:rsid w:val="009A70D0"/>
    <w:rsid w:val="009A77B4"/>
    <w:rsid w:val="009B0038"/>
    <w:rsid w:val="009B10AC"/>
    <w:rsid w:val="009B2FD4"/>
    <w:rsid w:val="009B34C9"/>
    <w:rsid w:val="009B3FDD"/>
    <w:rsid w:val="009B5377"/>
    <w:rsid w:val="009B6E36"/>
    <w:rsid w:val="009B6F21"/>
    <w:rsid w:val="009C0323"/>
    <w:rsid w:val="009C087A"/>
    <w:rsid w:val="009C1335"/>
    <w:rsid w:val="009C1A80"/>
    <w:rsid w:val="009C1AB2"/>
    <w:rsid w:val="009C22E5"/>
    <w:rsid w:val="009C46C0"/>
    <w:rsid w:val="009C4C33"/>
    <w:rsid w:val="009C51C9"/>
    <w:rsid w:val="009C5ABA"/>
    <w:rsid w:val="009C6326"/>
    <w:rsid w:val="009C6E51"/>
    <w:rsid w:val="009C70C7"/>
    <w:rsid w:val="009C7251"/>
    <w:rsid w:val="009D064D"/>
    <w:rsid w:val="009D1396"/>
    <w:rsid w:val="009D1B1C"/>
    <w:rsid w:val="009D1E1D"/>
    <w:rsid w:val="009D288E"/>
    <w:rsid w:val="009D4395"/>
    <w:rsid w:val="009D4BF7"/>
    <w:rsid w:val="009D504A"/>
    <w:rsid w:val="009D5198"/>
    <w:rsid w:val="009E2E91"/>
    <w:rsid w:val="009E34DB"/>
    <w:rsid w:val="009E6844"/>
    <w:rsid w:val="009F0BAB"/>
    <w:rsid w:val="009F2657"/>
    <w:rsid w:val="009F5388"/>
    <w:rsid w:val="009F6AA2"/>
    <w:rsid w:val="009F72BC"/>
    <w:rsid w:val="00A012CB"/>
    <w:rsid w:val="00A02CE3"/>
    <w:rsid w:val="00A03FD9"/>
    <w:rsid w:val="00A05E8C"/>
    <w:rsid w:val="00A062C7"/>
    <w:rsid w:val="00A064EF"/>
    <w:rsid w:val="00A1024B"/>
    <w:rsid w:val="00A12085"/>
    <w:rsid w:val="00A12677"/>
    <w:rsid w:val="00A139F5"/>
    <w:rsid w:val="00A13B58"/>
    <w:rsid w:val="00A13CB9"/>
    <w:rsid w:val="00A16CDF"/>
    <w:rsid w:val="00A17319"/>
    <w:rsid w:val="00A20E77"/>
    <w:rsid w:val="00A212B2"/>
    <w:rsid w:val="00A215C4"/>
    <w:rsid w:val="00A219FA"/>
    <w:rsid w:val="00A2518C"/>
    <w:rsid w:val="00A25898"/>
    <w:rsid w:val="00A258B3"/>
    <w:rsid w:val="00A27749"/>
    <w:rsid w:val="00A305D4"/>
    <w:rsid w:val="00A30A55"/>
    <w:rsid w:val="00A31AC9"/>
    <w:rsid w:val="00A31C8C"/>
    <w:rsid w:val="00A325CB"/>
    <w:rsid w:val="00A3273B"/>
    <w:rsid w:val="00A34416"/>
    <w:rsid w:val="00A3489A"/>
    <w:rsid w:val="00A36254"/>
    <w:rsid w:val="00A365F4"/>
    <w:rsid w:val="00A36CBA"/>
    <w:rsid w:val="00A37950"/>
    <w:rsid w:val="00A40C0F"/>
    <w:rsid w:val="00A40D40"/>
    <w:rsid w:val="00A4600B"/>
    <w:rsid w:val="00A46164"/>
    <w:rsid w:val="00A47D80"/>
    <w:rsid w:val="00A5010A"/>
    <w:rsid w:val="00A517AB"/>
    <w:rsid w:val="00A51E94"/>
    <w:rsid w:val="00A528D8"/>
    <w:rsid w:val="00A529D6"/>
    <w:rsid w:val="00A53132"/>
    <w:rsid w:val="00A55A05"/>
    <w:rsid w:val="00A55CA7"/>
    <w:rsid w:val="00A563F2"/>
    <w:rsid w:val="00A564BA"/>
    <w:rsid w:val="00A566E8"/>
    <w:rsid w:val="00A56EB5"/>
    <w:rsid w:val="00A57435"/>
    <w:rsid w:val="00A60645"/>
    <w:rsid w:val="00A61095"/>
    <w:rsid w:val="00A63893"/>
    <w:rsid w:val="00A656F8"/>
    <w:rsid w:val="00A65B90"/>
    <w:rsid w:val="00A66E8F"/>
    <w:rsid w:val="00A672EA"/>
    <w:rsid w:val="00A72341"/>
    <w:rsid w:val="00A72BCA"/>
    <w:rsid w:val="00A731F9"/>
    <w:rsid w:val="00A77A42"/>
    <w:rsid w:val="00A810F9"/>
    <w:rsid w:val="00A84095"/>
    <w:rsid w:val="00A8595F"/>
    <w:rsid w:val="00A86AF8"/>
    <w:rsid w:val="00A86DDA"/>
    <w:rsid w:val="00A86EAA"/>
    <w:rsid w:val="00A86ECC"/>
    <w:rsid w:val="00A86FCC"/>
    <w:rsid w:val="00A9012A"/>
    <w:rsid w:val="00A91B28"/>
    <w:rsid w:val="00A97694"/>
    <w:rsid w:val="00AA2E9B"/>
    <w:rsid w:val="00AA710D"/>
    <w:rsid w:val="00AB1674"/>
    <w:rsid w:val="00AB1889"/>
    <w:rsid w:val="00AB2F6D"/>
    <w:rsid w:val="00AB3E7F"/>
    <w:rsid w:val="00AB436F"/>
    <w:rsid w:val="00AB520C"/>
    <w:rsid w:val="00AB5D35"/>
    <w:rsid w:val="00AB6184"/>
    <w:rsid w:val="00AB678D"/>
    <w:rsid w:val="00AB6AD5"/>
    <w:rsid w:val="00AB6D25"/>
    <w:rsid w:val="00AB6FFC"/>
    <w:rsid w:val="00AB7D66"/>
    <w:rsid w:val="00AC0BBF"/>
    <w:rsid w:val="00AC1180"/>
    <w:rsid w:val="00AC213B"/>
    <w:rsid w:val="00AC2753"/>
    <w:rsid w:val="00AC5B86"/>
    <w:rsid w:val="00AC6E12"/>
    <w:rsid w:val="00AD0033"/>
    <w:rsid w:val="00AD006F"/>
    <w:rsid w:val="00AD0863"/>
    <w:rsid w:val="00AD1C4D"/>
    <w:rsid w:val="00AD29B6"/>
    <w:rsid w:val="00AD49E7"/>
    <w:rsid w:val="00AD60A7"/>
    <w:rsid w:val="00AD66DA"/>
    <w:rsid w:val="00AD6802"/>
    <w:rsid w:val="00AE1FD1"/>
    <w:rsid w:val="00AE2D4B"/>
    <w:rsid w:val="00AE2F21"/>
    <w:rsid w:val="00AE4ABC"/>
    <w:rsid w:val="00AE4C2E"/>
    <w:rsid w:val="00AE4F99"/>
    <w:rsid w:val="00AE4FB0"/>
    <w:rsid w:val="00AE6784"/>
    <w:rsid w:val="00AF0D2A"/>
    <w:rsid w:val="00AF0F9C"/>
    <w:rsid w:val="00AF4429"/>
    <w:rsid w:val="00AF56E8"/>
    <w:rsid w:val="00AF6EB2"/>
    <w:rsid w:val="00B00099"/>
    <w:rsid w:val="00B01976"/>
    <w:rsid w:val="00B01B2A"/>
    <w:rsid w:val="00B0297A"/>
    <w:rsid w:val="00B038E8"/>
    <w:rsid w:val="00B04699"/>
    <w:rsid w:val="00B04E85"/>
    <w:rsid w:val="00B060EF"/>
    <w:rsid w:val="00B06F47"/>
    <w:rsid w:val="00B071EF"/>
    <w:rsid w:val="00B10DE1"/>
    <w:rsid w:val="00B118D1"/>
    <w:rsid w:val="00B11B69"/>
    <w:rsid w:val="00B11BB2"/>
    <w:rsid w:val="00B12CF3"/>
    <w:rsid w:val="00B13879"/>
    <w:rsid w:val="00B1437C"/>
    <w:rsid w:val="00B14952"/>
    <w:rsid w:val="00B14A84"/>
    <w:rsid w:val="00B17824"/>
    <w:rsid w:val="00B20166"/>
    <w:rsid w:val="00B21244"/>
    <w:rsid w:val="00B21D78"/>
    <w:rsid w:val="00B22CE7"/>
    <w:rsid w:val="00B26284"/>
    <w:rsid w:val="00B26CBA"/>
    <w:rsid w:val="00B26E28"/>
    <w:rsid w:val="00B27DFD"/>
    <w:rsid w:val="00B27FA9"/>
    <w:rsid w:val="00B30DB9"/>
    <w:rsid w:val="00B31E5A"/>
    <w:rsid w:val="00B339FB"/>
    <w:rsid w:val="00B33ED6"/>
    <w:rsid w:val="00B36F4B"/>
    <w:rsid w:val="00B37BD2"/>
    <w:rsid w:val="00B37F13"/>
    <w:rsid w:val="00B412A8"/>
    <w:rsid w:val="00B4519C"/>
    <w:rsid w:val="00B46C60"/>
    <w:rsid w:val="00B4735A"/>
    <w:rsid w:val="00B4789E"/>
    <w:rsid w:val="00B51295"/>
    <w:rsid w:val="00B525F3"/>
    <w:rsid w:val="00B5372D"/>
    <w:rsid w:val="00B541D2"/>
    <w:rsid w:val="00B55329"/>
    <w:rsid w:val="00B5591A"/>
    <w:rsid w:val="00B56291"/>
    <w:rsid w:val="00B61381"/>
    <w:rsid w:val="00B6377A"/>
    <w:rsid w:val="00B63EFD"/>
    <w:rsid w:val="00B646AB"/>
    <w:rsid w:val="00B653AB"/>
    <w:rsid w:val="00B65F9E"/>
    <w:rsid w:val="00B66B19"/>
    <w:rsid w:val="00B71955"/>
    <w:rsid w:val="00B730D5"/>
    <w:rsid w:val="00B74EC0"/>
    <w:rsid w:val="00B800D0"/>
    <w:rsid w:val="00B81676"/>
    <w:rsid w:val="00B82E07"/>
    <w:rsid w:val="00B86250"/>
    <w:rsid w:val="00B914E9"/>
    <w:rsid w:val="00B924B1"/>
    <w:rsid w:val="00B929EA"/>
    <w:rsid w:val="00B92CB2"/>
    <w:rsid w:val="00B92D7C"/>
    <w:rsid w:val="00B956EE"/>
    <w:rsid w:val="00B96807"/>
    <w:rsid w:val="00B9714F"/>
    <w:rsid w:val="00B97537"/>
    <w:rsid w:val="00BA0380"/>
    <w:rsid w:val="00BA07C5"/>
    <w:rsid w:val="00BA2BA1"/>
    <w:rsid w:val="00BA331C"/>
    <w:rsid w:val="00BA3562"/>
    <w:rsid w:val="00BA3B45"/>
    <w:rsid w:val="00BA5071"/>
    <w:rsid w:val="00BA56A1"/>
    <w:rsid w:val="00BA65CA"/>
    <w:rsid w:val="00BA6CA9"/>
    <w:rsid w:val="00BA6DD5"/>
    <w:rsid w:val="00BA6E7A"/>
    <w:rsid w:val="00BB17FA"/>
    <w:rsid w:val="00BB1970"/>
    <w:rsid w:val="00BB1E25"/>
    <w:rsid w:val="00BB22F2"/>
    <w:rsid w:val="00BB2737"/>
    <w:rsid w:val="00BB40E7"/>
    <w:rsid w:val="00BB4F09"/>
    <w:rsid w:val="00BB62F5"/>
    <w:rsid w:val="00BB78DB"/>
    <w:rsid w:val="00BC16CA"/>
    <w:rsid w:val="00BC312C"/>
    <w:rsid w:val="00BC3AB4"/>
    <w:rsid w:val="00BC616E"/>
    <w:rsid w:val="00BC721A"/>
    <w:rsid w:val="00BD029E"/>
    <w:rsid w:val="00BD0BE3"/>
    <w:rsid w:val="00BD4E33"/>
    <w:rsid w:val="00BD54FB"/>
    <w:rsid w:val="00BD5800"/>
    <w:rsid w:val="00BD77C8"/>
    <w:rsid w:val="00BE1396"/>
    <w:rsid w:val="00BE18F4"/>
    <w:rsid w:val="00BE69A1"/>
    <w:rsid w:val="00BF0788"/>
    <w:rsid w:val="00BF0A8B"/>
    <w:rsid w:val="00BF168C"/>
    <w:rsid w:val="00BF2D56"/>
    <w:rsid w:val="00BF2E38"/>
    <w:rsid w:val="00BF2F0A"/>
    <w:rsid w:val="00BF3D54"/>
    <w:rsid w:val="00BF5D23"/>
    <w:rsid w:val="00BF6E08"/>
    <w:rsid w:val="00C010C7"/>
    <w:rsid w:val="00C0187E"/>
    <w:rsid w:val="00C01B88"/>
    <w:rsid w:val="00C030DE"/>
    <w:rsid w:val="00C03634"/>
    <w:rsid w:val="00C068AD"/>
    <w:rsid w:val="00C1042C"/>
    <w:rsid w:val="00C10821"/>
    <w:rsid w:val="00C1087A"/>
    <w:rsid w:val="00C11850"/>
    <w:rsid w:val="00C1268F"/>
    <w:rsid w:val="00C13E53"/>
    <w:rsid w:val="00C16714"/>
    <w:rsid w:val="00C16E19"/>
    <w:rsid w:val="00C17D01"/>
    <w:rsid w:val="00C17DFA"/>
    <w:rsid w:val="00C201DA"/>
    <w:rsid w:val="00C212CA"/>
    <w:rsid w:val="00C214B7"/>
    <w:rsid w:val="00C21932"/>
    <w:rsid w:val="00C22105"/>
    <w:rsid w:val="00C2292C"/>
    <w:rsid w:val="00C244B6"/>
    <w:rsid w:val="00C25C16"/>
    <w:rsid w:val="00C26D31"/>
    <w:rsid w:val="00C32F5B"/>
    <w:rsid w:val="00C338D8"/>
    <w:rsid w:val="00C33A8D"/>
    <w:rsid w:val="00C3702F"/>
    <w:rsid w:val="00C4028E"/>
    <w:rsid w:val="00C4244B"/>
    <w:rsid w:val="00C424DA"/>
    <w:rsid w:val="00C4254F"/>
    <w:rsid w:val="00C43298"/>
    <w:rsid w:val="00C44200"/>
    <w:rsid w:val="00C4500A"/>
    <w:rsid w:val="00C4527D"/>
    <w:rsid w:val="00C471BB"/>
    <w:rsid w:val="00C504C3"/>
    <w:rsid w:val="00C50705"/>
    <w:rsid w:val="00C5176F"/>
    <w:rsid w:val="00C51790"/>
    <w:rsid w:val="00C519F3"/>
    <w:rsid w:val="00C52028"/>
    <w:rsid w:val="00C52D1F"/>
    <w:rsid w:val="00C52EFA"/>
    <w:rsid w:val="00C534A1"/>
    <w:rsid w:val="00C53EBB"/>
    <w:rsid w:val="00C54A56"/>
    <w:rsid w:val="00C562F3"/>
    <w:rsid w:val="00C6033B"/>
    <w:rsid w:val="00C61E79"/>
    <w:rsid w:val="00C6243F"/>
    <w:rsid w:val="00C64A37"/>
    <w:rsid w:val="00C65B7D"/>
    <w:rsid w:val="00C6617C"/>
    <w:rsid w:val="00C67546"/>
    <w:rsid w:val="00C70317"/>
    <w:rsid w:val="00C708CB"/>
    <w:rsid w:val="00C7158E"/>
    <w:rsid w:val="00C7250B"/>
    <w:rsid w:val="00C7267A"/>
    <w:rsid w:val="00C730E2"/>
    <w:rsid w:val="00C7346B"/>
    <w:rsid w:val="00C73A6C"/>
    <w:rsid w:val="00C752A3"/>
    <w:rsid w:val="00C75340"/>
    <w:rsid w:val="00C76AC8"/>
    <w:rsid w:val="00C7771A"/>
    <w:rsid w:val="00C77C0E"/>
    <w:rsid w:val="00C821D3"/>
    <w:rsid w:val="00C85FC0"/>
    <w:rsid w:val="00C91687"/>
    <w:rsid w:val="00C924A8"/>
    <w:rsid w:val="00C9332A"/>
    <w:rsid w:val="00C94162"/>
    <w:rsid w:val="00C945FE"/>
    <w:rsid w:val="00C96FAA"/>
    <w:rsid w:val="00C97392"/>
    <w:rsid w:val="00C978E4"/>
    <w:rsid w:val="00C97A04"/>
    <w:rsid w:val="00C97EC9"/>
    <w:rsid w:val="00CA107B"/>
    <w:rsid w:val="00CA331F"/>
    <w:rsid w:val="00CA484D"/>
    <w:rsid w:val="00CA4FB6"/>
    <w:rsid w:val="00CA7650"/>
    <w:rsid w:val="00CA7CCF"/>
    <w:rsid w:val="00CB209B"/>
    <w:rsid w:val="00CB2843"/>
    <w:rsid w:val="00CB5E24"/>
    <w:rsid w:val="00CB6B70"/>
    <w:rsid w:val="00CB7248"/>
    <w:rsid w:val="00CB7485"/>
    <w:rsid w:val="00CC3509"/>
    <w:rsid w:val="00CC4178"/>
    <w:rsid w:val="00CC5F3B"/>
    <w:rsid w:val="00CC69AE"/>
    <w:rsid w:val="00CC739E"/>
    <w:rsid w:val="00CD0740"/>
    <w:rsid w:val="00CD2A8E"/>
    <w:rsid w:val="00CD41F1"/>
    <w:rsid w:val="00CD4A0A"/>
    <w:rsid w:val="00CD5555"/>
    <w:rsid w:val="00CD556F"/>
    <w:rsid w:val="00CD58B7"/>
    <w:rsid w:val="00CD749A"/>
    <w:rsid w:val="00CD76EE"/>
    <w:rsid w:val="00CE3297"/>
    <w:rsid w:val="00CE3326"/>
    <w:rsid w:val="00CE70B9"/>
    <w:rsid w:val="00CE755A"/>
    <w:rsid w:val="00CE7934"/>
    <w:rsid w:val="00CF0072"/>
    <w:rsid w:val="00CF1BC8"/>
    <w:rsid w:val="00CF34B7"/>
    <w:rsid w:val="00CF4099"/>
    <w:rsid w:val="00CF49D0"/>
    <w:rsid w:val="00CF6F1A"/>
    <w:rsid w:val="00CF7F84"/>
    <w:rsid w:val="00D00796"/>
    <w:rsid w:val="00D011D1"/>
    <w:rsid w:val="00D02248"/>
    <w:rsid w:val="00D03AE3"/>
    <w:rsid w:val="00D04BE9"/>
    <w:rsid w:val="00D04F5A"/>
    <w:rsid w:val="00D06BA6"/>
    <w:rsid w:val="00D06E6A"/>
    <w:rsid w:val="00D10591"/>
    <w:rsid w:val="00D10D36"/>
    <w:rsid w:val="00D119F1"/>
    <w:rsid w:val="00D1288C"/>
    <w:rsid w:val="00D13CC2"/>
    <w:rsid w:val="00D217A4"/>
    <w:rsid w:val="00D22660"/>
    <w:rsid w:val="00D244D7"/>
    <w:rsid w:val="00D244F6"/>
    <w:rsid w:val="00D24F57"/>
    <w:rsid w:val="00D25EA0"/>
    <w:rsid w:val="00D26146"/>
    <w:rsid w:val="00D261A2"/>
    <w:rsid w:val="00D27A55"/>
    <w:rsid w:val="00D3099D"/>
    <w:rsid w:val="00D30F4A"/>
    <w:rsid w:val="00D31990"/>
    <w:rsid w:val="00D340D2"/>
    <w:rsid w:val="00D353A5"/>
    <w:rsid w:val="00D355B4"/>
    <w:rsid w:val="00D410F9"/>
    <w:rsid w:val="00D41B07"/>
    <w:rsid w:val="00D43603"/>
    <w:rsid w:val="00D44FF9"/>
    <w:rsid w:val="00D467D5"/>
    <w:rsid w:val="00D46F4B"/>
    <w:rsid w:val="00D505E6"/>
    <w:rsid w:val="00D51E5E"/>
    <w:rsid w:val="00D5213F"/>
    <w:rsid w:val="00D5343E"/>
    <w:rsid w:val="00D53B7B"/>
    <w:rsid w:val="00D5687B"/>
    <w:rsid w:val="00D604A9"/>
    <w:rsid w:val="00D616D2"/>
    <w:rsid w:val="00D61771"/>
    <w:rsid w:val="00D622A2"/>
    <w:rsid w:val="00D6231E"/>
    <w:rsid w:val="00D63247"/>
    <w:rsid w:val="00D63B5F"/>
    <w:rsid w:val="00D64DFD"/>
    <w:rsid w:val="00D65C9B"/>
    <w:rsid w:val="00D67AB6"/>
    <w:rsid w:val="00D70EF7"/>
    <w:rsid w:val="00D71B29"/>
    <w:rsid w:val="00D71E97"/>
    <w:rsid w:val="00D73824"/>
    <w:rsid w:val="00D75766"/>
    <w:rsid w:val="00D763AB"/>
    <w:rsid w:val="00D81499"/>
    <w:rsid w:val="00D8397C"/>
    <w:rsid w:val="00D84642"/>
    <w:rsid w:val="00D856F5"/>
    <w:rsid w:val="00D901C1"/>
    <w:rsid w:val="00D913A1"/>
    <w:rsid w:val="00D94EED"/>
    <w:rsid w:val="00D96026"/>
    <w:rsid w:val="00D97805"/>
    <w:rsid w:val="00DA1921"/>
    <w:rsid w:val="00DA1A33"/>
    <w:rsid w:val="00DA1ADF"/>
    <w:rsid w:val="00DA2277"/>
    <w:rsid w:val="00DA44D1"/>
    <w:rsid w:val="00DA6AA1"/>
    <w:rsid w:val="00DA7178"/>
    <w:rsid w:val="00DA7912"/>
    <w:rsid w:val="00DA7C1C"/>
    <w:rsid w:val="00DB01CF"/>
    <w:rsid w:val="00DB0D26"/>
    <w:rsid w:val="00DB147A"/>
    <w:rsid w:val="00DB1B7A"/>
    <w:rsid w:val="00DB1D8F"/>
    <w:rsid w:val="00DB2564"/>
    <w:rsid w:val="00DB3316"/>
    <w:rsid w:val="00DB37FB"/>
    <w:rsid w:val="00DB4202"/>
    <w:rsid w:val="00DB4ED6"/>
    <w:rsid w:val="00DB6A71"/>
    <w:rsid w:val="00DB7017"/>
    <w:rsid w:val="00DB78BB"/>
    <w:rsid w:val="00DC0779"/>
    <w:rsid w:val="00DC1AC0"/>
    <w:rsid w:val="00DC2C5D"/>
    <w:rsid w:val="00DC2F55"/>
    <w:rsid w:val="00DC40F1"/>
    <w:rsid w:val="00DC6708"/>
    <w:rsid w:val="00DD32AB"/>
    <w:rsid w:val="00DD67D1"/>
    <w:rsid w:val="00DD72AA"/>
    <w:rsid w:val="00DD75CE"/>
    <w:rsid w:val="00DD7B3E"/>
    <w:rsid w:val="00DE2889"/>
    <w:rsid w:val="00DE392E"/>
    <w:rsid w:val="00DE6AAB"/>
    <w:rsid w:val="00DF20E4"/>
    <w:rsid w:val="00DF2ED5"/>
    <w:rsid w:val="00DF50E2"/>
    <w:rsid w:val="00DF67FC"/>
    <w:rsid w:val="00DF68D3"/>
    <w:rsid w:val="00DF72AB"/>
    <w:rsid w:val="00DF7F9A"/>
    <w:rsid w:val="00E0029A"/>
    <w:rsid w:val="00E01436"/>
    <w:rsid w:val="00E044A1"/>
    <w:rsid w:val="00E045BD"/>
    <w:rsid w:val="00E04C9B"/>
    <w:rsid w:val="00E05430"/>
    <w:rsid w:val="00E0657E"/>
    <w:rsid w:val="00E06CB2"/>
    <w:rsid w:val="00E108A8"/>
    <w:rsid w:val="00E13E32"/>
    <w:rsid w:val="00E17B77"/>
    <w:rsid w:val="00E20190"/>
    <w:rsid w:val="00E22461"/>
    <w:rsid w:val="00E22528"/>
    <w:rsid w:val="00E23337"/>
    <w:rsid w:val="00E240FE"/>
    <w:rsid w:val="00E259EA"/>
    <w:rsid w:val="00E31FA7"/>
    <w:rsid w:val="00E32061"/>
    <w:rsid w:val="00E32B0E"/>
    <w:rsid w:val="00E33004"/>
    <w:rsid w:val="00E33F53"/>
    <w:rsid w:val="00E34426"/>
    <w:rsid w:val="00E36370"/>
    <w:rsid w:val="00E36A24"/>
    <w:rsid w:val="00E375BC"/>
    <w:rsid w:val="00E41430"/>
    <w:rsid w:val="00E41F9D"/>
    <w:rsid w:val="00E42DF5"/>
    <w:rsid w:val="00E42FF9"/>
    <w:rsid w:val="00E46AA5"/>
    <w:rsid w:val="00E4714C"/>
    <w:rsid w:val="00E5006E"/>
    <w:rsid w:val="00E51AEB"/>
    <w:rsid w:val="00E522A7"/>
    <w:rsid w:val="00E52E6F"/>
    <w:rsid w:val="00E53FB8"/>
    <w:rsid w:val="00E54452"/>
    <w:rsid w:val="00E55686"/>
    <w:rsid w:val="00E55AFD"/>
    <w:rsid w:val="00E5650A"/>
    <w:rsid w:val="00E61D2C"/>
    <w:rsid w:val="00E629C6"/>
    <w:rsid w:val="00E62D8A"/>
    <w:rsid w:val="00E63765"/>
    <w:rsid w:val="00E664C5"/>
    <w:rsid w:val="00E671A2"/>
    <w:rsid w:val="00E71AEC"/>
    <w:rsid w:val="00E71E3B"/>
    <w:rsid w:val="00E7297F"/>
    <w:rsid w:val="00E76D26"/>
    <w:rsid w:val="00E7798C"/>
    <w:rsid w:val="00E8128F"/>
    <w:rsid w:val="00E81BB3"/>
    <w:rsid w:val="00E82128"/>
    <w:rsid w:val="00E8284F"/>
    <w:rsid w:val="00E8363B"/>
    <w:rsid w:val="00E84EE4"/>
    <w:rsid w:val="00E85DBC"/>
    <w:rsid w:val="00E8667C"/>
    <w:rsid w:val="00E86B59"/>
    <w:rsid w:val="00E8747B"/>
    <w:rsid w:val="00E91FA1"/>
    <w:rsid w:val="00E93D2F"/>
    <w:rsid w:val="00E95110"/>
    <w:rsid w:val="00E95607"/>
    <w:rsid w:val="00E95940"/>
    <w:rsid w:val="00EA13B1"/>
    <w:rsid w:val="00EA2819"/>
    <w:rsid w:val="00EA3A97"/>
    <w:rsid w:val="00EA75E7"/>
    <w:rsid w:val="00EB11CD"/>
    <w:rsid w:val="00EB1390"/>
    <w:rsid w:val="00EB2A4D"/>
    <w:rsid w:val="00EB2C71"/>
    <w:rsid w:val="00EB4340"/>
    <w:rsid w:val="00EB556D"/>
    <w:rsid w:val="00EB5A7D"/>
    <w:rsid w:val="00EB6B30"/>
    <w:rsid w:val="00EB7901"/>
    <w:rsid w:val="00EC001A"/>
    <w:rsid w:val="00EC0F11"/>
    <w:rsid w:val="00EC2033"/>
    <w:rsid w:val="00EC32BB"/>
    <w:rsid w:val="00EC7A9B"/>
    <w:rsid w:val="00ED05DC"/>
    <w:rsid w:val="00ED07C7"/>
    <w:rsid w:val="00ED0AB4"/>
    <w:rsid w:val="00ED48F8"/>
    <w:rsid w:val="00ED55C0"/>
    <w:rsid w:val="00ED682B"/>
    <w:rsid w:val="00EE2354"/>
    <w:rsid w:val="00EE3087"/>
    <w:rsid w:val="00EE347A"/>
    <w:rsid w:val="00EE4132"/>
    <w:rsid w:val="00EE41D5"/>
    <w:rsid w:val="00EE5AAC"/>
    <w:rsid w:val="00EE63BD"/>
    <w:rsid w:val="00EE70D6"/>
    <w:rsid w:val="00EE739F"/>
    <w:rsid w:val="00EE7914"/>
    <w:rsid w:val="00EF28CA"/>
    <w:rsid w:val="00EF3520"/>
    <w:rsid w:val="00EF3714"/>
    <w:rsid w:val="00EF3840"/>
    <w:rsid w:val="00EF4008"/>
    <w:rsid w:val="00EF42DB"/>
    <w:rsid w:val="00EF42ED"/>
    <w:rsid w:val="00EF46A1"/>
    <w:rsid w:val="00EF496C"/>
    <w:rsid w:val="00EF5E11"/>
    <w:rsid w:val="00EF72B5"/>
    <w:rsid w:val="00F0064F"/>
    <w:rsid w:val="00F019E8"/>
    <w:rsid w:val="00F01CED"/>
    <w:rsid w:val="00F037A4"/>
    <w:rsid w:val="00F06D8F"/>
    <w:rsid w:val="00F11D84"/>
    <w:rsid w:val="00F120A6"/>
    <w:rsid w:val="00F128F2"/>
    <w:rsid w:val="00F12BCA"/>
    <w:rsid w:val="00F13611"/>
    <w:rsid w:val="00F13855"/>
    <w:rsid w:val="00F14E66"/>
    <w:rsid w:val="00F21633"/>
    <w:rsid w:val="00F22792"/>
    <w:rsid w:val="00F23108"/>
    <w:rsid w:val="00F236CD"/>
    <w:rsid w:val="00F274AF"/>
    <w:rsid w:val="00F27C8F"/>
    <w:rsid w:val="00F27CAF"/>
    <w:rsid w:val="00F30925"/>
    <w:rsid w:val="00F31B7A"/>
    <w:rsid w:val="00F3249F"/>
    <w:rsid w:val="00F32749"/>
    <w:rsid w:val="00F354AD"/>
    <w:rsid w:val="00F35E1A"/>
    <w:rsid w:val="00F363EC"/>
    <w:rsid w:val="00F367EB"/>
    <w:rsid w:val="00F37172"/>
    <w:rsid w:val="00F37821"/>
    <w:rsid w:val="00F413A0"/>
    <w:rsid w:val="00F42313"/>
    <w:rsid w:val="00F42DEC"/>
    <w:rsid w:val="00F433AD"/>
    <w:rsid w:val="00F4414D"/>
    <w:rsid w:val="00F4477E"/>
    <w:rsid w:val="00F44903"/>
    <w:rsid w:val="00F461C5"/>
    <w:rsid w:val="00F46F5C"/>
    <w:rsid w:val="00F479CD"/>
    <w:rsid w:val="00F517A9"/>
    <w:rsid w:val="00F5255B"/>
    <w:rsid w:val="00F55B3A"/>
    <w:rsid w:val="00F6162B"/>
    <w:rsid w:val="00F61A2D"/>
    <w:rsid w:val="00F62F42"/>
    <w:rsid w:val="00F6328B"/>
    <w:rsid w:val="00F65E7B"/>
    <w:rsid w:val="00F66C04"/>
    <w:rsid w:val="00F67D8F"/>
    <w:rsid w:val="00F67ED7"/>
    <w:rsid w:val="00F70787"/>
    <w:rsid w:val="00F70C29"/>
    <w:rsid w:val="00F71505"/>
    <w:rsid w:val="00F73145"/>
    <w:rsid w:val="00F7354E"/>
    <w:rsid w:val="00F73A86"/>
    <w:rsid w:val="00F74BCF"/>
    <w:rsid w:val="00F75B41"/>
    <w:rsid w:val="00F75D7E"/>
    <w:rsid w:val="00F76E61"/>
    <w:rsid w:val="00F8009F"/>
    <w:rsid w:val="00F802BE"/>
    <w:rsid w:val="00F80BBF"/>
    <w:rsid w:val="00F80E93"/>
    <w:rsid w:val="00F82B68"/>
    <w:rsid w:val="00F86024"/>
    <w:rsid w:val="00F8611A"/>
    <w:rsid w:val="00F87B2C"/>
    <w:rsid w:val="00F91151"/>
    <w:rsid w:val="00F9411A"/>
    <w:rsid w:val="00F95ACA"/>
    <w:rsid w:val="00F95CD2"/>
    <w:rsid w:val="00F961BB"/>
    <w:rsid w:val="00FA025A"/>
    <w:rsid w:val="00FA1758"/>
    <w:rsid w:val="00FA1ADD"/>
    <w:rsid w:val="00FA1CA9"/>
    <w:rsid w:val="00FA31C7"/>
    <w:rsid w:val="00FA3A0F"/>
    <w:rsid w:val="00FA40AC"/>
    <w:rsid w:val="00FA5128"/>
    <w:rsid w:val="00FA7215"/>
    <w:rsid w:val="00FB0943"/>
    <w:rsid w:val="00FB42D4"/>
    <w:rsid w:val="00FB526D"/>
    <w:rsid w:val="00FB5906"/>
    <w:rsid w:val="00FB59DE"/>
    <w:rsid w:val="00FB5B02"/>
    <w:rsid w:val="00FB701C"/>
    <w:rsid w:val="00FB762F"/>
    <w:rsid w:val="00FC061C"/>
    <w:rsid w:val="00FC1136"/>
    <w:rsid w:val="00FC1CC0"/>
    <w:rsid w:val="00FC2330"/>
    <w:rsid w:val="00FC2AED"/>
    <w:rsid w:val="00FC5A30"/>
    <w:rsid w:val="00FC69C3"/>
    <w:rsid w:val="00FC6D97"/>
    <w:rsid w:val="00FC6E7E"/>
    <w:rsid w:val="00FD0499"/>
    <w:rsid w:val="00FD0CA4"/>
    <w:rsid w:val="00FD13FE"/>
    <w:rsid w:val="00FD258E"/>
    <w:rsid w:val="00FD33FC"/>
    <w:rsid w:val="00FD376B"/>
    <w:rsid w:val="00FD3856"/>
    <w:rsid w:val="00FD4CA6"/>
    <w:rsid w:val="00FD5EA7"/>
    <w:rsid w:val="00FD678E"/>
    <w:rsid w:val="00FE0E1C"/>
    <w:rsid w:val="00FE2487"/>
    <w:rsid w:val="00FE38FD"/>
    <w:rsid w:val="00FE4F24"/>
    <w:rsid w:val="00FE5689"/>
    <w:rsid w:val="00FF0615"/>
    <w:rsid w:val="00FF08C3"/>
    <w:rsid w:val="00FF08F9"/>
    <w:rsid w:val="00FF11A5"/>
    <w:rsid w:val="00FF2706"/>
    <w:rsid w:val="00FF4509"/>
    <w:rsid w:val="00FF4F84"/>
    <w:rsid w:val="00FF5840"/>
    <w:rsid w:val="00FF6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94DB2"/>
  <w15:docId w15:val="{169A97CB-9E30-4439-83D4-ACEAA936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001559"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000E3B"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001559"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001559"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001559"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000E3B" w:themeColor="accent1" w:themeShade="7F"/>
      <w:sz w:val="24"/>
      <w:szCs w:val="24"/>
    </w:r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001559" w:themeColor="accent1" w:themeShade="BF"/>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001559"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paragraph" w:customStyle="1" w:styleId="LID">
    <w:name w:val="LID"/>
    <w:basedOn w:val="Normalny"/>
    <w:qFormat/>
    <w:rsid w:val="00633014"/>
    <w:rPr>
      <w:b/>
      <w:noProof/>
      <w:szCs w:val="19"/>
      <w:lang w:eastAsia="pl-PL"/>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6288FF" w:themeColor="accent1" w:themeTint="66"/>
        <w:left w:val="single" w:sz="4" w:space="0" w:color="6288FF" w:themeColor="accent1" w:themeTint="66"/>
        <w:bottom w:val="single" w:sz="4" w:space="0" w:color="6288FF" w:themeColor="accent1" w:themeTint="66"/>
        <w:right w:val="single" w:sz="4" w:space="0" w:color="6288FF" w:themeColor="accent1" w:themeTint="66"/>
        <w:insideH w:val="single" w:sz="4" w:space="0" w:color="6288FF" w:themeColor="accent1" w:themeTint="66"/>
        <w:insideV w:val="single" w:sz="4" w:space="0" w:color="6288FF" w:themeColor="accent1" w:themeTint="66"/>
      </w:tblBorders>
    </w:tblPr>
    <w:tblStylePr w:type="firstRow">
      <w:rPr>
        <w:b/>
        <w:bCs/>
      </w:rPr>
      <w:tblPr/>
      <w:tcPr>
        <w:tcBorders>
          <w:bottom w:val="single" w:sz="12" w:space="0" w:color="144DFF" w:themeColor="accent1" w:themeTint="99"/>
        </w:tcBorders>
      </w:tcPr>
    </w:tblStylePr>
    <w:tblStylePr w:type="lastRow">
      <w:rPr>
        <w:b/>
        <w:bCs/>
      </w:rPr>
      <w:tblPr/>
      <w:tcPr>
        <w:tcBorders>
          <w:top w:val="double" w:sz="2" w:space="0" w:color="144DFF"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3A4C31"/>
    <w:rPr>
      <w:color w:val="605D5C" w:themeColor="followedHyperlink"/>
      <w:u w:val="single"/>
    </w:rPr>
  </w:style>
  <w:style w:type="paragraph" w:styleId="NormalnyWeb">
    <w:name w:val="Normal (Web)"/>
    <w:basedOn w:val="Normalny"/>
    <w:uiPriority w:val="99"/>
    <w:semiHidden/>
    <w:unhideWhenUsed/>
    <w:rsid w:val="00C1042C"/>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A05E8C"/>
    <w:pPr>
      <w:spacing w:after="0" w:line="240" w:lineRule="auto"/>
    </w:pPr>
    <w:rPr>
      <w:rFonts w:ascii="Fira Sans" w:hAnsi="Fira Sans"/>
      <w:sz w:val="19"/>
    </w:rPr>
  </w:style>
  <w:style w:type="character" w:styleId="Odwoaniedokomentarza">
    <w:name w:val="annotation reference"/>
    <w:basedOn w:val="Domylnaczcionkaakapitu"/>
    <w:uiPriority w:val="99"/>
    <w:semiHidden/>
    <w:unhideWhenUsed/>
    <w:rsid w:val="006F7343"/>
    <w:rPr>
      <w:sz w:val="16"/>
      <w:szCs w:val="16"/>
    </w:rPr>
  </w:style>
  <w:style w:type="paragraph" w:styleId="Tekstkomentarza">
    <w:name w:val="annotation text"/>
    <w:basedOn w:val="Normalny"/>
    <w:link w:val="TekstkomentarzaZnak"/>
    <w:uiPriority w:val="99"/>
    <w:semiHidden/>
    <w:unhideWhenUsed/>
    <w:rsid w:val="006F73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7343"/>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6F7343"/>
    <w:rPr>
      <w:b/>
      <w:bCs/>
    </w:rPr>
  </w:style>
  <w:style w:type="character" w:customStyle="1" w:styleId="TematkomentarzaZnak">
    <w:name w:val="Temat komentarza Znak"/>
    <w:basedOn w:val="TekstkomentarzaZnak"/>
    <w:link w:val="Tematkomentarza"/>
    <w:uiPriority w:val="99"/>
    <w:semiHidden/>
    <w:rsid w:val="006F7343"/>
    <w:rPr>
      <w:rFonts w:ascii="Fira Sans" w:hAnsi="Fira Sans"/>
      <w:b/>
      <w:bCs/>
      <w:sz w:val="20"/>
      <w:szCs w:val="20"/>
    </w:rPr>
  </w:style>
  <w:style w:type="character" w:styleId="Uwydatnienie">
    <w:name w:val="Emphasis"/>
    <w:basedOn w:val="Domylnaczcionkaakapitu"/>
    <w:uiPriority w:val="20"/>
    <w:qFormat/>
    <w:rsid w:val="007E6A56"/>
    <w:rPr>
      <w:b/>
      <w:bCs/>
      <w:i w:val="0"/>
      <w:iCs w:val="0"/>
    </w:rPr>
  </w:style>
  <w:style w:type="character" w:customStyle="1" w:styleId="st">
    <w:name w:val="st"/>
    <w:basedOn w:val="Domylnaczcionkaakapitu"/>
    <w:rsid w:val="007E6A56"/>
  </w:style>
  <w:style w:type="character" w:customStyle="1" w:styleId="tlid-translation">
    <w:name w:val="tlid-translation"/>
    <w:basedOn w:val="Domylnaczcionkaakapitu"/>
    <w:rsid w:val="00BB40E7"/>
  </w:style>
  <w:style w:type="character" w:customStyle="1" w:styleId="gt-card-ttl-txt">
    <w:name w:val="gt-card-ttl-txt"/>
    <w:basedOn w:val="Domylnaczcionkaakapitu"/>
    <w:rsid w:val="00BB40E7"/>
  </w:style>
  <w:style w:type="paragraph" w:styleId="HTML-wstpniesformatowany">
    <w:name w:val="HTML Preformatted"/>
    <w:basedOn w:val="Normalny"/>
    <w:link w:val="HTML-wstpniesformatowanyZnak"/>
    <w:uiPriority w:val="99"/>
    <w:unhideWhenUsed/>
    <w:rsid w:val="00BB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B40E7"/>
    <w:rPr>
      <w:rFonts w:ascii="Courier New" w:eastAsia="Times New Roman" w:hAnsi="Courier New" w:cs="Courier New"/>
      <w:sz w:val="20"/>
      <w:szCs w:val="20"/>
      <w:lang w:eastAsia="pl-PL"/>
    </w:rPr>
  </w:style>
  <w:style w:type="table" w:customStyle="1" w:styleId="Siatkatabelijasna2">
    <w:name w:val="Siatka tabeli — jasna2"/>
    <w:basedOn w:val="Standardowy"/>
    <w:uiPriority w:val="40"/>
    <w:rsid w:val="001446F6"/>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ytu">
    <w:name w:val="Title"/>
    <w:basedOn w:val="Normalny"/>
    <w:next w:val="Normalny"/>
    <w:link w:val="TytuZnak"/>
    <w:uiPriority w:val="10"/>
    <w:qFormat/>
    <w:rsid w:val="00F82B6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2B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55984113">
      <w:bodyDiv w:val="1"/>
      <w:marLeft w:val="0"/>
      <w:marRight w:val="0"/>
      <w:marTop w:val="0"/>
      <w:marBottom w:val="0"/>
      <w:divBdr>
        <w:top w:val="none" w:sz="0" w:space="0" w:color="auto"/>
        <w:left w:val="none" w:sz="0" w:space="0" w:color="auto"/>
        <w:bottom w:val="none" w:sz="0" w:space="0" w:color="auto"/>
        <w:right w:val="none" w:sz="0" w:space="0" w:color="auto"/>
      </w:divBdr>
    </w:div>
    <w:div w:id="800464663">
      <w:bodyDiv w:val="1"/>
      <w:marLeft w:val="0"/>
      <w:marRight w:val="0"/>
      <w:marTop w:val="0"/>
      <w:marBottom w:val="0"/>
      <w:divBdr>
        <w:top w:val="none" w:sz="0" w:space="0" w:color="auto"/>
        <w:left w:val="none" w:sz="0" w:space="0" w:color="auto"/>
        <w:bottom w:val="none" w:sz="0" w:space="0" w:color="auto"/>
        <w:right w:val="none" w:sz="0" w:space="0" w:color="auto"/>
      </w:divBdr>
    </w:div>
    <w:div w:id="914977141">
      <w:bodyDiv w:val="1"/>
      <w:marLeft w:val="0"/>
      <w:marRight w:val="0"/>
      <w:marTop w:val="0"/>
      <w:marBottom w:val="0"/>
      <w:divBdr>
        <w:top w:val="none" w:sz="0" w:space="0" w:color="auto"/>
        <w:left w:val="none" w:sz="0" w:space="0" w:color="auto"/>
        <w:bottom w:val="none" w:sz="0" w:space="0" w:color="auto"/>
        <w:right w:val="none" w:sz="0" w:space="0" w:color="auto"/>
      </w:divBdr>
    </w:div>
    <w:div w:id="122116485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image" Target="media/image5.jpeg"/><Relationship Id="rId42" Type="http://schemas.openxmlformats.org/officeDocument/2006/relationships/hyperlink" Target="https://stat.gov.pl/en/metainformation/glossary/terms-used-in-official-statistics/62,term.html" TargetMode="External"/><Relationship Id="rId47" Type="http://schemas.openxmlformats.org/officeDocument/2006/relationships/hyperlink" Target="https://stat.gov.pl/en/metainformation/glossary/terms-used-in-official-statistics/468,term.html" TargetMode="External"/><Relationship Id="rId63" Type="http://schemas.openxmlformats.org/officeDocument/2006/relationships/hyperlink" Target="https://stat.gov.pl/en/metainformation/glossary/terms-used-in-official-statistics/2858,term.html" TargetMode="External"/><Relationship Id="rId68" Type="http://schemas.openxmlformats.org/officeDocument/2006/relationships/hyperlink" Target="https://stat.gov.pl/en/metainformation/glossary/terms-used-in-official-statistics/873,term.html" TargetMode="External"/><Relationship Id="rId16" Type="http://schemas.openxmlformats.org/officeDocument/2006/relationships/chart" Target="charts/chart6.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header" Target="header1.xml"/><Relationship Id="rId37" Type="http://schemas.openxmlformats.org/officeDocument/2006/relationships/hyperlink" Target="https://bdl.stat.gov.pl/BDL/metadane/podgrupy/10?back=True" TargetMode="External"/><Relationship Id="rId40" Type="http://schemas.openxmlformats.org/officeDocument/2006/relationships/hyperlink" Target="http://swaid.stat.gov.pl/EN/WarunkiZyciaLudnosci_dashboards/Raporty_predefiniowane/RAP_DBD_WZL_3.aspx" TargetMode="External"/><Relationship Id="rId45" Type="http://schemas.openxmlformats.org/officeDocument/2006/relationships/hyperlink" Target="https://stat.gov.pl/en/metainformation/glossary/terms-used-in-official-statistics/2585,term.html" TargetMode="External"/><Relationship Id="rId53" Type="http://schemas.openxmlformats.org/officeDocument/2006/relationships/hyperlink" Target="https://stat.gov.pl/en/topics/living-conditions/living-conditions/household-budget-survey-in-2019,2,14.html" TargetMode="External"/><Relationship Id="rId58" Type="http://schemas.openxmlformats.org/officeDocument/2006/relationships/hyperlink" Target="https://stat.gov.pl/en/metainformation/glossary/terms-used-in-official-statistics/28,term.html" TargetMode="External"/><Relationship Id="rId66" Type="http://schemas.openxmlformats.org/officeDocument/2006/relationships/hyperlink" Target="https://stat.gov.pl/en/metainformation/glossary/terms-used-in-official-statistics/3580,term.html" TargetMode="External"/><Relationship Id="rId74" Type="http://schemas.openxmlformats.org/officeDocument/2006/relationships/header" Target="header3.xml"/><Relationship Id="rId5" Type="http://schemas.openxmlformats.org/officeDocument/2006/relationships/styles" Target="styles.xml"/><Relationship Id="rId61" Type="http://schemas.openxmlformats.org/officeDocument/2006/relationships/hyperlink" Target="https://stat.gov.pl/en/metainformation/glossary/terms-used-in-official-statistics/103,term.html" TargetMode="Externa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footer" Target="footer2.xml"/><Relationship Id="rId43" Type="http://schemas.openxmlformats.org/officeDocument/2006/relationships/hyperlink" Target="https://stat.gov.pl/en/metainformation/glossary/terms-used-in-official-statistics/63,term.html" TargetMode="External"/><Relationship Id="rId48" Type="http://schemas.openxmlformats.org/officeDocument/2006/relationships/hyperlink" Target="https://stat.gov.pl/en/metainformation/glossary/terms-used-in-official-statistics/3590,term.html" TargetMode="External"/><Relationship Id="rId56" Type="http://schemas.openxmlformats.org/officeDocument/2006/relationships/hyperlink" Target="http://swaid.stat.gov.pl/EN/WarunkiZyciaLudnosci_dashboards/Raporty_predefiniowane/RAP_DBD_WZL_2.aspx" TargetMode="External"/><Relationship Id="rId64" Type="http://schemas.openxmlformats.org/officeDocument/2006/relationships/hyperlink" Target="https://stat.gov.pl/en/metainformation/glossary/terms-used-in-official-statistics/468,term.html" TargetMode="External"/><Relationship Id="rId69" Type="http://schemas.openxmlformats.org/officeDocument/2006/relationships/hyperlink" Target="https://stat.gov.pl/en/metainformation/glossary/terms-used-in-official-statistics/3583,term.html"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tat.gov.pl/en/metainformation/glossary/terms-used-in-official-statistics/873,term.html" TargetMode="External"/><Relationship Id="rId72"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3.xml"/><Relationship Id="rId33" Type="http://schemas.openxmlformats.org/officeDocument/2006/relationships/footer" Target="footer1.xml"/><Relationship Id="rId38" Type="http://schemas.openxmlformats.org/officeDocument/2006/relationships/hyperlink" Target="http://swaid.stat.gov.pl/EN/WarunkiZyciaLudnosci_dashboards/Raporty_predefiniowane/RAP_DBD_WZL_1.aspx" TargetMode="External"/><Relationship Id="rId46" Type="http://schemas.openxmlformats.org/officeDocument/2006/relationships/hyperlink" Target="https://stat.gov.pl/en/metainformation/glossary/terms-used-in-official-statistics/2858,term.html" TargetMode="External"/><Relationship Id="rId59" Type="http://schemas.openxmlformats.org/officeDocument/2006/relationships/hyperlink" Target="https://stat.gov.pl/en/metainformation/glossary/terms-used-in-official-statistics/62,term.html" TargetMode="External"/><Relationship Id="rId67" Type="http://schemas.openxmlformats.org/officeDocument/2006/relationships/hyperlink" Target="https://stat.gov.pl/en/metainformation/glossary/terms-used-in-official-statistics/601,term.html" TargetMode="External"/><Relationship Id="rId20" Type="http://schemas.openxmlformats.org/officeDocument/2006/relationships/image" Target="media/image4.jpeg"/><Relationship Id="rId41" Type="http://schemas.openxmlformats.org/officeDocument/2006/relationships/hyperlink" Target="https://stat.gov.pl/en/metainformation/glossary/terms-used-in-official-statistics/28,term.html" TargetMode="External"/><Relationship Id="rId54" Type="http://schemas.openxmlformats.org/officeDocument/2006/relationships/hyperlink" Target="https://bdl.stat.gov.pl/BDL/metadane/podgrupy/10?back=True" TargetMode="External"/><Relationship Id="rId62" Type="http://schemas.openxmlformats.org/officeDocument/2006/relationships/hyperlink" Target="https://stat.gov.pl/en/metainformation/glossary/terms-used-in-official-statistics/2585,term.html" TargetMode="External"/><Relationship Id="rId70" Type="http://schemas.openxmlformats.org/officeDocument/2006/relationships/hyperlink" Target="mailto:obslugaprasowa@stat.ob.pl"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s://stat.gov.pl/en/topics/living-conditions/living-conditions/household-budget-survey-in-2019,2,14.html" TargetMode="External"/><Relationship Id="rId49" Type="http://schemas.openxmlformats.org/officeDocument/2006/relationships/hyperlink" Target="https://stat.gov.pl/en/metainformation/glossary/terms-used-in-official-statistics/3580,term.html" TargetMode="External"/><Relationship Id="rId57" Type="http://schemas.openxmlformats.org/officeDocument/2006/relationships/hyperlink" Target="http://swaid.stat.gov.pl/EN/WarunkiZyciaLudnosci_dashboards/Raporty_predefiniowane/RAP_DBD_WZL_3.aspx" TargetMode="External"/><Relationship Id="rId10" Type="http://schemas.openxmlformats.org/officeDocument/2006/relationships/image" Target="media/image3.emf"/><Relationship Id="rId31" Type="http://schemas.openxmlformats.org/officeDocument/2006/relationships/chart" Target="charts/chart19.xml"/><Relationship Id="rId44" Type="http://schemas.openxmlformats.org/officeDocument/2006/relationships/hyperlink" Target="https://stat.gov.pl/en/metainformation/glossary/terms-used-in-official-statistics/103,term.html" TargetMode="External"/><Relationship Id="rId52" Type="http://schemas.openxmlformats.org/officeDocument/2006/relationships/hyperlink" Target="https://stat.gov.pl/en/metainformation/glossary/terms-used-in-official-statistics/3583,term.html" TargetMode="External"/><Relationship Id="rId60" Type="http://schemas.openxmlformats.org/officeDocument/2006/relationships/hyperlink" Target="https://stat.gov.pl/en/metainformation/glossary/terms-used-in-official-statistics/63,term.html" TargetMode="External"/><Relationship Id="rId65" Type="http://schemas.openxmlformats.org/officeDocument/2006/relationships/hyperlink" Target="https://stat.gov.pl/en/metainformation/glossary/terms-used-in-official-statistics/3590,term.html" TargetMode="External"/><Relationship Id="rId73"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hyperlink" Target="http://swaid.stat.gov.pl/EN/WarunkiZyciaLudnosci_dashboards/Raporty_predefiniowane/RAP_DBD_WZL_2.aspx" TargetMode="External"/><Relationship Id="rId34" Type="http://schemas.openxmlformats.org/officeDocument/2006/relationships/header" Target="header2.xml"/><Relationship Id="rId50" Type="http://schemas.openxmlformats.org/officeDocument/2006/relationships/hyperlink" Target="https://stat.gov.pl/en/metainformation/glossary/terms-used-in-official-statistics/601,term.html" TargetMode="External"/><Relationship Id="rId55" Type="http://schemas.openxmlformats.org/officeDocument/2006/relationships/hyperlink" Target="http://swaid.stat.gov.pl/EN/WarunkiZyciaLudnosci_dashboards/Raporty_predefiniowane/RAP_DBD_WZL_1.aspx"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7.png"/><Relationship Id="rId2" Type="http://schemas.openxmlformats.org/officeDocument/2006/relationships/customXml" Target="../customXml/item2.xml"/><Relationship Id="rId29" Type="http://schemas.openxmlformats.org/officeDocument/2006/relationships/chart" Target="charts/chart17.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7.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3" Type="http://schemas.openxmlformats.org/officeDocument/2006/relationships/chartUserShapes" Target="../drawings/drawing18.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9.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mfgus01a\D20b\BS06\P%20U%20B%20L%20I%20K%20A%20C%20J%20E\Notatka%20-%20Sytuacja%20gospodarstw%20domowych%20w%20&#347;wietle%20wynik&#243;w%20badania%20bud&#380;et&#243;w%20gospodarstw%20domowych\2020\pomoce\BGD%20Notatka_Publikacja%20za%202020%20wykres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8914745031871022E-2"/>
          <c:y val="0.27406507656806794"/>
          <c:w val="0.92008928571428572"/>
          <c:h val="0.63777069531675346"/>
        </c:manualLayout>
      </c:layout>
      <c:barChart>
        <c:barDir val="col"/>
        <c:grouping val="clustered"/>
        <c:varyColors val="0"/>
        <c:ser>
          <c:idx val="0"/>
          <c:order val="0"/>
          <c:tx>
            <c:strRef>
              <c:f>'1 dochody,wydatki lata'!$C$5</c:f>
              <c:strCache>
                <c:ptCount val="1"/>
                <c:pt idx="0">
                  <c:v>Available income</c:v>
                </c:pt>
              </c:strCache>
            </c:strRef>
          </c:tx>
          <c:spPr>
            <a:solidFill>
              <a:srgbClr val="334A92"/>
            </a:solidFill>
            <a:scene3d>
              <a:camera prst="orthographicFront"/>
              <a:lightRig rig="threePt" dir="t"/>
            </a:scene3d>
          </c:spPr>
          <c:invertIfNegative val="0"/>
          <c:dPt>
            <c:idx val="0"/>
            <c:invertIfNegative val="0"/>
            <c:bubble3D val="0"/>
            <c:spPr>
              <a:solidFill>
                <a:srgbClr val="334A92"/>
              </a:solidFill>
              <a:ln>
                <a:noFill/>
              </a:ln>
              <a:scene3d>
                <a:camera prst="orthographicFront"/>
                <a:lightRig rig="threePt" dir="t"/>
              </a:scene3d>
            </c:spPr>
            <c:extLst>
              <c:ext xmlns:c16="http://schemas.microsoft.com/office/drawing/2014/chart" uri="{C3380CC4-5D6E-409C-BE32-E72D297353CC}">
                <c16:uniqueId val="{00000001-634E-4238-8130-C4560C19A588}"/>
              </c:ext>
            </c:extLst>
          </c:dPt>
          <c:dLbls>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 dochody,wydatki lata'!$B$6:$B$22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'1 dochody,wydatki lata'!$C$6:$C$22</c:f>
              <c:numCache>
                <c:formatCode>General</c:formatCode>
                <c:ptCount val="17"/>
                <c:pt idx="0" formatCode="0.00">
                  <c:v>735.4</c:v>
                </c:pt>
                <c:pt idx="1">
                  <c:v>761.46</c:v>
                </c:pt>
                <c:pt idx="2">
                  <c:v>834.68</c:v>
                </c:pt>
                <c:pt idx="3">
                  <c:v>928.87</c:v>
                </c:pt>
                <c:pt idx="4">
                  <c:v>1045.52</c:v>
                </c:pt>
                <c:pt idx="5">
                  <c:v>1114.49</c:v>
                </c:pt>
                <c:pt idx="6">
                  <c:v>1200.82</c:v>
                </c:pt>
                <c:pt idx="7">
                  <c:v>1234.6300000000001</c:v>
                </c:pt>
                <c:pt idx="8">
                  <c:v>1278.43</c:v>
                </c:pt>
                <c:pt idx="9" formatCode="0.00">
                  <c:v>1299.07</c:v>
                </c:pt>
                <c:pt idx="10" formatCode="0.00">
                  <c:v>1340.44</c:v>
                </c:pt>
                <c:pt idx="11" formatCode="0.00">
                  <c:v>1386.16</c:v>
                </c:pt>
                <c:pt idx="12" formatCode="0.00">
                  <c:v>1474.56</c:v>
                </c:pt>
                <c:pt idx="13" formatCode="0.00">
                  <c:v>1598.13</c:v>
                </c:pt>
                <c:pt idx="14">
                  <c:v>1693.46</c:v>
                </c:pt>
                <c:pt idx="15">
                  <c:v>1819.14</c:v>
                </c:pt>
                <c:pt idx="16">
                  <c:v>1919.21</c:v>
                </c:pt>
              </c:numCache>
            </c:numRef>
          </c:val>
          <c:extLst>
            <c:ext xmlns:c16="http://schemas.microsoft.com/office/drawing/2014/chart" uri="{C3380CC4-5D6E-409C-BE32-E72D297353CC}">
              <c16:uniqueId val="{00000002-634E-4238-8130-C4560C19A588}"/>
            </c:ext>
          </c:extLst>
        </c:ser>
        <c:ser>
          <c:idx val="1"/>
          <c:order val="1"/>
          <c:tx>
            <c:strRef>
              <c:f>'1 dochody,wydatki lata'!$D$5</c:f>
              <c:strCache>
                <c:ptCount val="1"/>
                <c:pt idx="0">
                  <c:v>Expenditure</c:v>
                </c:pt>
              </c:strCache>
            </c:strRef>
          </c:tx>
          <c:spPr>
            <a:solidFill>
              <a:srgbClr val="66B68E"/>
            </a:solidFill>
          </c:spPr>
          <c:invertIfNegative val="0"/>
          <c:dLbls>
            <c:numFmt formatCode="0" sourceLinked="0"/>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 dochody,wydatki lata'!$B$6:$B$22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'1 dochody,wydatki lata'!$D$6:$D$22</c:f>
              <c:numCache>
                <c:formatCode>0.00</c:formatCode>
                <c:ptCount val="17"/>
                <c:pt idx="0">
                  <c:v>701.84</c:v>
                </c:pt>
                <c:pt idx="1">
                  <c:v>696.58999999999992</c:v>
                </c:pt>
                <c:pt idx="2">
                  <c:v>751.46999999999991</c:v>
                </c:pt>
                <c:pt idx="3">
                  <c:v>816.1400000000001</c:v>
                </c:pt>
                <c:pt idx="4">
                  <c:v>910.76</c:v>
                </c:pt>
                <c:pt idx="5">
                  <c:v>963.94999999999993</c:v>
                </c:pt>
                <c:pt idx="6">
                  <c:v>1005.0300000000001</c:v>
                </c:pt>
                <c:pt idx="7">
                  <c:v>1027.69</c:v>
                </c:pt>
                <c:pt idx="8">
                  <c:v>1058.9100000000001</c:v>
                </c:pt>
                <c:pt idx="9">
                  <c:v>1061.7</c:v>
                </c:pt>
                <c:pt idx="10">
                  <c:v>1078.74</c:v>
                </c:pt>
                <c:pt idx="11">
                  <c:v>1091.19</c:v>
                </c:pt>
                <c:pt idx="12">
                  <c:v>1131.6400000000001</c:v>
                </c:pt>
                <c:pt idx="13">
                  <c:v>1176.44</c:v>
                </c:pt>
                <c:pt idx="14" formatCode="General">
                  <c:v>1186.8599999999999</c:v>
                </c:pt>
                <c:pt idx="15" formatCode="General">
                  <c:v>1251.73</c:v>
                </c:pt>
                <c:pt idx="16" formatCode="General">
                  <c:v>1209.58</c:v>
                </c:pt>
              </c:numCache>
            </c:numRef>
          </c:val>
          <c:extLst>
            <c:ext xmlns:c16="http://schemas.microsoft.com/office/drawing/2014/chart" uri="{C3380CC4-5D6E-409C-BE32-E72D297353CC}">
              <c16:uniqueId val="{00000003-634E-4238-8130-C4560C19A588}"/>
            </c:ext>
          </c:extLst>
        </c:ser>
        <c:ser>
          <c:idx val="2"/>
          <c:order val="2"/>
          <c:tx>
            <c:strRef>
              <c:f>'1 dochody,wydatki lata'!$E$5</c:f>
              <c:strCache>
                <c:ptCount val="1"/>
                <c:pt idx="0">
                  <c:v>The share of expenditure in available income  </c:v>
                </c:pt>
              </c:strCache>
            </c:strRef>
          </c:tx>
          <c:spPr>
            <a:solidFill>
              <a:srgbClr val="4D4D4D">
                <a:lumMod val="20000"/>
                <a:lumOff val="80000"/>
              </a:srgbClr>
            </a:solidFill>
            <a:ln w="3175">
              <a:solidFill>
                <a:sysClr val="window" lastClr="FFFFFF">
                  <a:lumMod val="75000"/>
                </a:sysClr>
              </a:solidFill>
            </a:ln>
          </c:spPr>
          <c:invertIfNegative val="0"/>
          <c:dPt>
            <c:idx val="0"/>
            <c:invertIfNegative val="0"/>
            <c:bubble3D val="0"/>
            <c:spPr>
              <a:noFill/>
              <a:ln w="3175">
                <a:noFill/>
              </a:ln>
            </c:spPr>
            <c:extLst>
              <c:ext xmlns:c16="http://schemas.microsoft.com/office/drawing/2014/chart" uri="{C3380CC4-5D6E-409C-BE32-E72D297353CC}">
                <c16:uniqueId val="{00000005-634E-4238-8130-C4560C19A588}"/>
              </c:ext>
            </c:extLst>
          </c:dPt>
          <c:dPt>
            <c:idx val="1"/>
            <c:invertIfNegative val="0"/>
            <c:bubble3D val="0"/>
            <c:spPr>
              <a:noFill/>
              <a:ln w="3175">
                <a:noFill/>
              </a:ln>
            </c:spPr>
            <c:extLst>
              <c:ext xmlns:c16="http://schemas.microsoft.com/office/drawing/2014/chart" uri="{C3380CC4-5D6E-409C-BE32-E72D297353CC}">
                <c16:uniqueId val="{00000007-634E-4238-8130-C4560C19A588}"/>
              </c:ext>
            </c:extLst>
          </c:dPt>
          <c:dPt>
            <c:idx val="2"/>
            <c:invertIfNegative val="0"/>
            <c:bubble3D val="0"/>
            <c:spPr>
              <a:noFill/>
              <a:ln w="3175">
                <a:noFill/>
              </a:ln>
            </c:spPr>
            <c:extLst>
              <c:ext xmlns:c16="http://schemas.microsoft.com/office/drawing/2014/chart" uri="{C3380CC4-5D6E-409C-BE32-E72D297353CC}">
                <c16:uniqueId val="{00000009-634E-4238-8130-C4560C19A588}"/>
              </c:ext>
            </c:extLst>
          </c:dPt>
          <c:dPt>
            <c:idx val="3"/>
            <c:invertIfNegative val="0"/>
            <c:bubble3D val="0"/>
            <c:spPr>
              <a:noFill/>
              <a:ln w="3175">
                <a:noFill/>
              </a:ln>
            </c:spPr>
            <c:extLst>
              <c:ext xmlns:c16="http://schemas.microsoft.com/office/drawing/2014/chart" uri="{C3380CC4-5D6E-409C-BE32-E72D297353CC}">
                <c16:uniqueId val="{0000000B-634E-4238-8130-C4560C19A588}"/>
              </c:ext>
            </c:extLst>
          </c:dPt>
          <c:dPt>
            <c:idx val="4"/>
            <c:invertIfNegative val="0"/>
            <c:bubble3D val="0"/>
            <c:spPr>
              <a:noFill/>
              <a:ln w="3175">
                <a:noFill/>
              </a:ln>
            </c:spPr>
            <c:extLst>
              <c:ext xmlns:c16="http://schemas.microsoft.com/office/drawing/2014/chart" uri="{C3380CC4-5D6E-409C-BE32-E72D297353CC}">
                <c16:uniqueId val="{0000000D-634E-4238-8130-C4560C19A588}"/>
              </c:ext>
            </c:extLst>
          </c:dPt>
          <c:dPt>
            <c:idx val="5"/>
            <c:invertIfNegative val="0"/>
            <c:bubble3D val="0"/>
            <c:spPr>
              <a:noFill/>
              <a:ln w="3175">
                <a:noFill/>
              </a:ln>
            </c:spPr>
            <c:extLst>
              <c:ext xmlns:c16="http://schemas.microsoft.com/office/drawing/2014/chart" uri="{C3380CC4-5D6E-409C-BE32-E72D297353CC}">
                <c16:uniqueId val="{0000000F-634E-4238-8130-C4560C19A588}"/>
              </c:ext>
            </c:extLst>
          </c:dPt>
          <c:dPt>
            <c:idx val="6"/>
            <c:invertIfNegative val="0"/>
            <c:bubble3D val="0"/>
            <c:spPr>
              <a:noFill/>
              <a:ln w="3175">
                <a:noFill/>
              </a:ln>
            </c:spPr>
            <c:extLst>
              <c:ext xmlns:c16="http://schemas.microsoft.com/office/drawing/2014/chart" uri="{C3380CC4-5D6E-409C-BE32-E72D297353CC}">
                <c16:uniqueId val="{00000011-634E-4238-8130-C4560C19A588}"/>
              </c:ext>
            </c:extLst>
          </c:dPt>
          <c:dPt>
            <c:idx val="7"/>
            <c:invertIfNegative val="0"/>
            <c:bubble3D val="0"/>
            <c:spPr>
              <a:noFill/>
              <a:ln w="3175">
                <a:noFill/>
              </a:ln>
            </c:spPr>
            <c:extLst>
              <c:ext xmlns:c16="http://schemas.microsoft.com/office/drawing/2014/chart" uri="{C3380CC4-5D6E-409C-BE32-E72D297353CC}">
                <c16:uniqueId val="{00000013-634E-4238-8130-C4560C19A588}"/>
              </c:ext>
            </c:extLst>
          </c:dPt>
          <c:dPt>
            <c:idx val="8"/>
            <c:invertIfNegative val="0"/>
            <c:bubble3D val="0"/>
            <c:spPr>
              <a:noFill/>
              <a:ln w="3175">
                <a:noFill/>
              </a:ln>
            </c:spPr>
            <c:extLst>
              <c:ext xmlns:c16="http://schemas.microsoft.com/office/drawing/2014/chart" uri="{C3380CC4-5D6E-409C-BE32-E72D297353CC}">
                <c16:uniqueId val="{00000015-634E-4238-8130-C4560C19A588}"/>
              </c:ext>
            </c:extLst>
          </c:dPt>
          <c:dPt>
            <c:idx val="9"/>
            <c:invertIfNegative val="0"/>
            <c:bubble3D val="0"/>
            <c:spPr>
              <a:noFill/>
              <a:ln w="3175">
                <a:noFill/>
              </a:ln>
            </c:spPr>
            <c:extLst>
              <c:ext xmlns:c16="http://schemas.microsoft.com/office/drawing/2014/chart" uri="{C3380CC4-5D6E-409C-BE32-E72D297353CC}">
                <c16:uniqueId val="{00000017-634E-4238-8130-C4560C19A588}"/>
              </c:ext>
            </c:extLst>
          </c:dPt>
          <c:dPt>
            <c:idx val="10"/>
            <c:invertIfNegative val="0"/>
            <c:bubble3D val="0"/>
            <c:spPr>
              <a:noFill/>
              <a:ln w="3175">
                <a:noFill/>
              </a:ln>
            </c:spPr>
            <c:extLst>
              <c:ext xmlns:c16="http://schemas.microsoft.com/office/drawing/2014/chart" uri="{C3380CC4-5D6E-409C-BE32-E72D297353CC}">
                <c16:uniqueId val="{00000019-634E-4238-8130-C4560C19A588}"/>
              </c:ext>
            </c:extLst>
          </c:dPt>
          <c:dPt>
            <c:idx val="11"/>
            <c:invertIfNegative val="0"/>
            <c:bubble3D val="0"/>
            <c:spPr>
              <a:noFill/>
              <a:ln w="3175">
                <a:noFill/>
              </a:ln>
            </c:spPr>
            <c:extLst>
              <c:ext xmlns:c16="http://schemas.microsoft.com/office/drawing/2014/chart" uri="{C3380CC4-5D6E-409C-BE32-E72D297353CC}">
                <c16:uniqueId val="{0000001B-634E-4238-8130-C4560C19A588}"/>
              </c:ext>
            </c:extLst>
          </c:dPt>
          <c:dPt>
            <c:idx val="12"/>
            <c:invertIfNegative val="0"/>
            <c:bubble3D val="0"/>
            <c:spPr>
              <a:noFill/>
              <a:ln w="3175">
                <a:noFill/>
              </a:ln>
            </c:spPr>
            <c:extLst>
              <c:ext xmlns:c16="http://schemas.microsoft.com/office/drawing/2014/chart" uri="{C3380CC4-5D6E-409C-BE32-E72D297353CC}">
                <c16:uniqueId val="{0000001D-634E-4238-8130-C4560C19A588}"/>
              </c:ext>
            </c:extLst>
          </c:dPt>
          <c:dPt>
            <c:idx val="13"/>
            <c:invertIfNegative val="0"/>
            <c:bubble3D val="0"/>
            <c:spPr>
              <a:noFill/>
              <a:ln w="3175">
                <a:noFill/>
              </a:ln>
            </c:spPr>
            <c:extLst>
              <c:ext xmlns:c16="http://schemas.microsoft.com/office/drawing/2014/chart" uri="{C3380CC4-5D6E-409C-BE32-E72D297353CC}">
                <c16:uniqueId val="{0000001F-634E-4238-8130-C4560C19A588}"/>
              </c:ext>
            </c:extLst>
          </c:dPt>
          <c:dPt>
            <c:idx val="14"/>
            <c:invertIfNegative val="0"/>
            <c:bubble3D val="0"/>
            <c:spPr>
              <a:noFill/>
              <a:ln w="3175">
                <a:noFill/>
              </a:ln>
            </c:spPr>
            <c:extLst>
              <c:ext xmlns:c16="http://schemas.microsoft.com/office/drawing/2014/chart" uri="{C3380CC4-5D6E-409C-BE32-E72D297353CC}">
                <c16:uniqueId val="{00000021-634E-4238-8130-C4560C19A588}"/>
              </c:ext>
            </c:extLst>
          </c:dPt>
          <c:dPt>
            <c:idx val="15"/>
            <c:invertIfNegative val="0"/>
            <c:bubble3D val="0"/>
            <c:spPr>
              <a:noFill/>
              <a:ln w="3175">
                <a:noFill/>
              </a:ln>
            </c:spPr>
            <c:extLst>
              <c:ext xmlns:c16="http://schemas.microsoft.com/office/drawing/2014/chart" uri="{C3380CC4-5D6E-409C-BE32-E72D297353CC}">
                <c16:uniqueId val="{00000023-634E-4238-8130-C4560C19A588}"/>
              </c:ext>
            </c:extLst>
          </c:dPt>
          <c:dLbls>
            <c:spPr>
              <a:solidFill>
                <a:sysClr val="window" lastClr="FFFFFF">
                  <a:lumMod val="85000"/>
                </a:sysClr>
              </a:solidFill>
            </c:spPr>
            <c:txPr>
              <a:bodyPr/>
              <a:lstStyle/>
              <a:p>
                <a:pPr>
                  <a:defRPr sz="800" spc="-30" baseline="0">
                    <a:latin typeface="Fira Sans Extra Condensed" panose="020B05030500000200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 dochody,wydatki lata'!$B$6:$B$22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'1 dochody,wydatki lata'!$E$6:$E$22</c:f>
              <c:numCache>
                <c:formatCode>0.0%</c:formatCode>
                <c:ptCount val="17"/>
                <c:pt idx="0">
                  <c:v>0.95436497144411214</c:v>
                </c:pt>
                <c:pt idx="1">
                  <c:v>0.91480839440023098</c:v>
                </c:pt>
                <c:pt idx="2">
                  <c:v>0.90030910049360224</c:v>
                </c:pt>
                <c:pt idx="3">
                  <c:v>0.87863748425506272</c:v>
                </c:pt>
                <c:pt idx="4">
                  <c:v>0.87110720024485422</c:v>
                </c:pt>
                <c:pt idx="5">
                  <c:v>0.86492476379330452</c:v>
                </c:pt>
                <c:pt idx="6">
                  <c:v>0.83695308206059205</c:v>
                </c:pt>
                <c:pt idx="7">
                  <c:v>0.83238703093234412</c:v>
                </c:pt>
                <c:pt idx="8">
                  <c:v>0.82828938620026127</c:v>
                </c:pt>
                <c:pt idx="9">
                  <c:v>0.81727697506677865</c:v>
                </c:pt>
                <c:pt idx="10">
                  <c:v>0.80476559935543546</c:v>
                </c:pt>
                <c:pt idx="11">
                  <c:v>0.78720349743175388</c:v>
                </c:pt>
                <c:pt idx="12">
                  <c:v>0.76744249131944453</c:v>
                </c:pt>
                <c:pt idx="13">
                  <c:v>0.73613535819989606</c:v>
                </c:pt>
                <c:pt idx="14">
                  <c:v>0.70084914907939955</c:v>
                </c:pt>
                <c:pt idx="15">
                  <c:v>0.68808887716173572</c:v>
                </c:pt>
                <c:pt idx="16">
                  <c:v>0.63024890449716287</c:v>
                </c:pt>
              </c:numCache>
            </c:numRef>
          </c:val>
          <c:extLst>
            <c:ext xmlns:c16="http://schemas.microsoft.com/office/drawing/2014/chart" uri="{C3380CC4-5D6E-409C-BE32-E72D297353CC}">
              <c16:uniqueId val="{00000024-634E-4238-8130-C4560C19A588}"/>
            </c:ext>
          </c:extLst>
        </c:ser>
        <c:dLbls>
          <c:showLegendKey val="0"/>
          <c:showVal val="0"/>
          <c:showCatName val="0"/>
          <c:showSerName val="0"/>
          <c:showPercent val="0"/>
          <c:showBubbleSize val="0"/>
        </c:dLbls>
        <c:gapWidth val="20"/>
        <c:overlap val="100"/>
        <c:axId val="-142368912"/>
        <c:axId val="-142362928"/>
      </c:barChart>
      <c:catAx>
        <c:axId val="-142368912"/>
        <c:scaling>
          <c:orientation val="minMax"/>
        </c:scaling>
        <c:delete val="0"/>
        <c:axPos val="b"/>
        <c:numFmt formatCode="General" sourceLinked="1"/>
        <c:majorTickMark val="out"/>
        <c:minorTickMark val="none"/>
        <c:tickLblPos val="nextTo"/>
        <c:spPr>
          <a:ln>
            <a:solidFill>
              <a:sysClr val="windowText" lastClr="000000"/>
            </a:solidFill>
          </a:ln>
        </c:spPr>
        <c:txPr>
          <a:bodyPr/>
          <a:lstStyle/>
          <a:p>
            <a:pPr>
              <a:defRPr spc="-30" baseline="0"/>
            </a:pPr>
            <a:endParaRPr lang="pl-PL"/>
          </a:p>
        </c:txPr>
        <c:crossAx val="-142362928"/>
        <c:crosses val="autoZero"/>
        <c:auto val="1"/>
        <c:lblAlgn val="ctr"/>
        <c:lblOffset val="100"/>
        <c:noMultiLvlLbl val="0"/>
      </c:catAx>
      <c:valAx>
        <c:axId val="-142362928"/>
        <c:scaling>
          <c:orientation val="minMax"/>
          <c:max val="200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8912"/>
        <c:crosses val="autoZero"/>
        <c:crossBetween val="between"/>
        <c:majorUnit val="200"/>
      </c:valAx>
    </c:plotArea>
    <c:legend>
      <c:legendPos val="r"/>
      <c:layout>
        <c:manualLayout>
          <c:xMode val="edge"/>
          <c:yMode val="edge"/>
          <c:x val="6.6475550727226412E-2"/>
          <c:y val="0.15826338688085675"/>
          <c:w val="0.92112358212568168"/>
          <c:h val="9.7542915625119228E-2"/>
        </c:manualLayout>
      </c:layout>
      <c:overlay val="0"/>
      <c:spPr>
        <a:noFill/>
        <a:ln w="6350">
          <a:noFill/>
        </a:ln>
      </c:spPr>
      <c:txPr>
        <a:bodyPr/>
        <a:lstStyle/>
        <a:p>
          <a:pPr rtl="0">
            <a:defRPr/>
          </a:pPr>
          <a:endParaRPr lang="pl-PL"/>
        </a:p>
      </c:txPr>
    </c:legend>
    <c:plotVisOnly val="1"/>
    <c:dispBlanksAs val="gap"/>
    <c:showDLblsOverMax val="0"/>
  </c:chart>
  <c:spPr>
    <a:ln>
      <a:noFill/>
    </a:ln>
  </c:spPr>
  <c:txPr>
    <a:bodyPr/>
    <a:lstStyle/>
    <a:p>
      <a:pPr algn="ct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122668517309266E-2"/>
          <c:y val="0.27867801343773535"/>
          <c:w val="0.95977812253022277"/>
          <c:h val="0.52149884116104628"/>
        </c:manualLayout>
      </c:layout>
      <c:barChart>
        <c:barDir val="col"/>
        <c:grouping val="clustered"/>
        <c:varyColors val="0"/>
        <c:ser>
          <c:idx val="0"/>
          <c:order val="0"/>
          <c:tx>
            <c:strRef>
              <c:f>'30 spożycie kwintyle'!$B$10</c:f>
              <c:strCache>
                <c:ptCount val="1"/>
                <c:pt idx="0">
                  <c:v>I quintile group</c:v>
                </c:pt>
              </c:strCache>
            </c:strRef>
          </c:tx>
          <c:spPr>
            <a:solidFill>
              <a:srgbClr val="99CEB3"/>
            </a:solidFill>
            <a:scene3d>
              <a:camera prst="orthographicFront"/>
              <a:lightRig rig="threePt" dir="t"/>
            </a:scene3d>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'30 spożycie kwintyle'!$C$9:$I$9</c:f>
              <c:strCache>
                <c:ptCount val="7"/>
                <c:pt idx="0">
                  <c:v>bread and cereals</c:v>
                </c:pt>
                <c:pt idx="1">
                  <c:v>meat</c:v>
                </c:pt>
                <c:pt idx="2">
                  <c:v>vegetables</c:v>
                </c:pt>
                <c:pt idx="3">
                  <c:v>fruit</c:v>
                </c:pt>
                <c:pt idx="4">
                  <c:v>cheese and curd</c:v>
                </c:pt>
                <c:pt idx="5">
                  <c:v>sugar</c:v>
                </c:pt>
                <c:pt idx="6">
                  <c:v>mineral and spring waters
(in l.)</c:v>
                </c:pt>
              </c:strCache>
            </c:strRef>
          </c:cat>
          <c:val>
            <c:numRef>
              <c:f>'30 spożycie kwintyle'!$C$10:$I$10</c:f>
              <c:numCache>
                <c:formatCode>0.0</c:formatCode>
                <c:ptCount val="7"/>
                <c:pt idx="0">
                  <c:v>4.84</c:v>
                </c:pt>
                <c:pt idx="1">
                  <c:v>4.5199999999999996</c:v>
                </c:pt>
                <c:pt idx="2">
                  <c:v>6.63</c:v>
                </c:pt>
                <c:pt idx="3">
                  <c:v>2.85</c:v>
                </c:pt>
                <c:pt idx="4">
                  <c:v>0.74</c:v>
                </c:pt>
                <c:pt idx="5">
                  <c:v>0.8</c:v>
                </c:pt>
                <c:pt idx="6">
                  <c:v>4.6100000000000003</c:v>
                </c:pt>
              </c:numCache>
            </c:numRef>
          </c:val>
          <c:extLst>
            <c:ext xmlns:c16="http://schemas.microsoft.com/office/drawing/2014/chart" uri="{C3380CC4-5D6E-409C-BE32-E72D297353CC}">
              <c16:uniqueId val="{00000000-3334-432F-8AAE-567DA7E987FD}"/>
            </c:ext>
          </c:extLst>
        </c:ser>
        <c:ser>
          <c:idx val="2"/>
          <c:order val="2"/>
          <c:tx>
            <c:strRef>
              <c:f>'30 spożycie kwintyle'!$B$12</c:f>
              <c:strCache>
                <c:ptCount val="1"/>
                <c:pt idx="0">
                  <c:v>V quintile group</c:v>
                </c:pt>
              </c:strCache>
            </c:strRef>
          </c:tx>
          <c:spPr>
            <a:solidFill>
              <a:srgbClr val="339D68"/>
            </a:solidFill>
            <a:scene3d>
              <a:camera prst="orthographicFront"/>
              <a:lightRig rig="threePt" dir="t"/>
            </a:scene3d>
          </c:spPr>
          <c:invertIfNegative val="0"/>
          <c:dLbls>
            <c:dLbl>
              <c:idx val="2"/>
              <c:layout>
                <c:manualLayout>
                  <c:x val="0"/>
                  <c:y val="8.93255917820455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34-432F-8AAE-567DA7E987FD}"/>
                </c:ext>
              </c:extLst>
            </c:dLbl>
            <c:dLbl>
              <c:idx val="5"/>
              <c:layout>
                <c:manualLayout>
                  <c:x val="0"/>
                  <c:y val="1.2500821187578012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1C-4CD1-99C3-D5B615F2564F}"/>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'30 spożycie kwintyle'!$C$9:$I$9</c:f>
              <c:strCache>
                <c:ptCount val="7"/>
                <c:pt idx="0">
                  <c:v>bread and cereals</c:v>
                </c:pt>
                <c:pt idx="1">
                  <c:v>meat</c:v>
                </c:pt>
                <c:pt idx="2">
                  <c:v>vegetables</c:v>
                </c:pt>
                <c:pt idx="3">
                  <c:v>fruit</c:v>
                </c:pt>
                <c:pt idx="4">
                  <c:v>cheese and curd</c:v>
                </c:pt>
                <c:pt idx="5">
                  <c:v>sugar</c:v>
                </c:pt>
                <c:pt idx="6">
                  <c:v>mineral and spring waters
(in l.)</c:v>
                </c:pt>
              </c:strCache>
            </c:strRef>
          </c:cat>
          <c:val>
            <c:numRef>
              <c:f>'30 spożycie kwintyle'!$C$12:$I$12</c:f>
              <c:numCache>
                <c:formatCode>0.0</c:formatCode>
                <c:ptCount val="7"/>
                <c:pt idx="0">
                  <c:v>5.72</c:v>
                </c:pt>
                <c:pt idx="1">
                  <c:v>5.38</c:v>
                </c:pt>
                <c:pt idx="2">
                  <c:v>8.9700000000000006</c:v>
                </c:pt>
                <c:pt idx="3">
                  <c:v>5.27</c:v>
                </c:pt>
                <c:pt idx="4">
                  <c:v>1.25</c:v>
                </c:pt>
                <c:pt idx="5">
                  <c:v>0.76</c:v>
                </c:pt>
                <c:pt idx="6">
                  <c:v>7.41</c:v>
                </c:pt>
              </c:numCache>
            </c:numRef>
          </c:val>
          <c:extLst>
            <c:ext xmlns:c16="http://schemas.microsoft.com/office/drawing/2014/chart" uri="{C3380CC4-5D6E-409C-BE32-E72D297353CC}">
              <c16:uniqueId val="{00000002-3334-432F-8AAE-567DA7E987FD}"/>
            </c:ext>
          </c:extLst>
        </c:ser>
        <c:dLbls>
          <c:showLegendKey val="0"/>
          <c:showVal val="0"/>
          <c:showCatName val="0"/>
          <c:showSerName val="0"/>
          <c:showPercent val="0"/>
          <c:showBubbleSize val="0"/>
        </c:dLbls>
        <c:gapWidth val="70"/>
        <c:axId val="-188962032"/>
        <c:axId val="-188959856"/>
      </c:barChart>
      <c:barChart>
        <c:barDir val="col"/>
        <c:grouping val="clustered"/>
        <c:varyColors val="0"/>
        <c:ser>
          <c:idx val="1"/>
          <c:order val="1"/>
          <c:tx>
            <c:strRef>
              <c:f>'30 spożycie kwintyle'!$B$11</c:f>
              <c:strCache>
                <c:ptCount val="1"/>
                <c:pt idx="0">
                  <c:v>of which bread</c:v>
                </c:pt>
              </c:strCache>
            </c:strRef>
          </c:tx>
          <c:spPr>
            <a:solidFill>
              <a:srgbClr val="6677AD"/>
            </a:solidFill>
            <a:scene3d>
              <a:camera prst="orthographicFront"/>
              <a:lightRig rig="threePt" dir="t"/>
            </a:scene3d>
          </c:spPr>
          <c:invertIfNegative val="0"/>
          <c:dPt>
            <c:idx val="0"/>
            <c:invertIfNegative val="0"/>
            <c:bubble3D val="0"/>
            <c:spPr>
              <a:solidFill>
                <a:srgbClr val="99A5C9"/>
              </a:solidFill>
              <a:scene3d>
                <a:camera prst="orthographicFront"/>
                <a:lightRig rig="threePt" dir="t"/>
              </a:scene3d>
            </c:spPr>
            <c:extLst>
              <c:ext xmlns:c16="http://schemas.microsoft.com/office/drawing/2014/chart" uri="{C3380CC4-5D6E-409C-BE32-E72D297353CC}">
                <c16:uniqueId val="{00000004-3334-432F-8AAE-567DA7E987FD}"/>
              </c:ext>
            </c:extLst>
          </c:dPt>
          <c:dPt>
            <c:idx val="2"/>
            <c:invertIfNegative val="0"/>
            <c:bubble3D val="0"/>
            <c:spPr>
              <a:solidFill>
                <a:srgbClr val="969696"/>
              </a:solidFill>
              <a:scene3d>
                <a:camera prst="orthographicFront"/>
                <a:lightRig rig="threePt" dir="t"/>
              </a:scene3d>
            </c:spPr>
            <c:extLst>
              <c:ext xmlns:c16="http://schemas.microsoft.com/office/drawing/2014/chart" uri="{C3380CC4-5D6E-409C-BE32-E72D297353CC}">
                <c16:uniqueId val="{00000006-3334-432F-8AAE-567DA7E987FD}"/>
              </c:ext>
            </c:extLst>
          </c:dPt>
          <c:dLbls>
            <c:dLbl>
              <c:idx val="0"/>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4-3334-432F-8AAE-567DA7E987FD}"/>
                </c:ext>
              </c:extLst>
            </c:dLbl>
            <c:dLbl>
              <c:idx val="1"/>
              <c:delete val="1"/>
              <c:extLst>
                <c:ext xmlns:c15="http://schemas.microsoft.com/office/drawing/2012/chart" uri="{CE6537A1-D6FC-4f65-9D91-7224C49458BB}"/>
                <c:ext xmlns:c16="http://schemas.microsoft.com/office/drawing/2014/chart" uri="{C3380CC4-5D6E-409C-BE32-E72D297353CC}">
                  <c16:uniqueId val="{00000007-3334-432F-8AAE-567DA7E987FD}"/>
                </c:ext>
              </c:extLst>
            </c:dLbl>
            <c:dLbl>
              <c:idx val="2"/>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6-3334-432F-8AAE-567DA7E987FD}"/>
                </c:ext>
              </c:extLst>
            </c:dLbl>
            <c:dLbl>
              <c:idx val="3"/>
              <c:delete val="1"/>
              <c:extLst>
                <c:ext xmlns:c15="http://schemas.microsoft.com/office/drawing/2012/chart" uri="{CE6537A1-D6FC-4f65-9D91-7224C49458BB}"/>
                <c:ext xmlns:c16="http://schemas.microsoft.com/office/drawing/2014/chart" uri="{C3380CC4-5D6E-409C-BE32-E72D297353CC}">
                  <c16:uniqueId val="{00000008-3334-432F-8AAE-567DA7E987FD}"/>
                </c:ext>
              </c:extLst>
            </c:dLbl>
            <c:dLbl>
              <c:idx val="4"/>
              <c:delete val="1"/>
              <c:extLst>
                <c:ext xmlns:c15="http://schemas.microsoft.com/office/drawing/2012/chart" uri="{CE6537A1-D6FC-4f65-9D91-7224C49458BB}"/>
                <c:ext xmlns:c16="http://schemas.microsoft.com/office/drawing/2014/chart" uri="{C3380CC4-5D6E-409C-BE32-E72D297353CC}">
                  <c16:uniqueId val="{00000009-3334-432F-8AAE-567DA7E987FD}"/>
                </c:ext>
              </c:extLst>
            </c:dLbl>
            <c:dLbl>
              <c:idx val="5"/>
              <c:delete val="1"/>
              <c:extLst>
                <c:ext xmlns:c15="http://schemas.microsoft.com/office/drawing/2012/chart" uri="{CE6537A1-D6FC-4f65-9D91-7224C49458BB}"/>
                <c:ext xmlns:c16="http://schemas.microsoft.com/office/drawing/2014/chart" uri="{C3380CC4-5D6E-409C-BE32-E72D297353CC}">
                  <c16:uniqueId val="{0000000A-3334-432F-8AAE-567DA7E987FD}"/>
                </c:ext>
              </c:extLst>
            </c:dLbl>
            <c:dLbl>
              <c:idx val="6"/>
              <c:delete val="1"/>
              <c:extLst>
                <c:ext xmlns:c15="http://schemas.microsoft.com/office/drawing/2012/chart" uri="{CE6537A1-D6FC-4f65-9D91-7224C49458BB}"/>
                <c:ext xmlns:c16="http://schemas.microsoft.com/office/drawing/2014/chart" uri="{C3380CC4-5D6E-409C-BE32-E72D297353CC}">
                  <c16:uniqueId val="{0000000B-3334-432F-8AAE-567DA7E987FD}"/>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'30 spożycie kwintyle'!$C$9:$I$9</c:f>
              <c:strCache>
                <c:ptCount val="7"/>
                <c:pt idx="0">
                  <c:v>bread and cereals</c:v>
                </c:pt>
                <c:pt idx="1">
                  <c:v>meat</c:v>
                </c:pt>
                <c:pt idx="2">
                  <c:v>vegetables</c:v>
                </c:pt>
                <c:pt idx="3">
                  <c:v>fruit</c:v>
                </c:pt>
                <c:pt idx="4">
                  <c:v>cheese and curd</c:v>
                </c:pt>
                <c:pt idx="5">
                  <c:v>sugar</c:v>
                </c:pt>
                <c:pt idx="6">
                  <c:v>mineral and spring waters
(in l.)</c:v>
                </c:pt>
              </c:strCache>
            </c:strRef>
          </c:cat>
          <c:val>
            <c:numRef>
              <c:f>'30 spożycie kwintyle'!$C$11:$I$11</c:f>
              <c:numCache>
                <c:formatCode>General</c:formatCode>
                <c:ptCount val="7"/>
                <c:pt idx="0" formatCode="0.0">
                  <c:v>2.58</c:v>
                </c:pt>
                <c:pt idx="2" formatCode="0.0">
                  <c:v>2.58</c:v>
                </c:pt>
              </c:numCache>
            </c:numRef>
          </c:val>
          <c:extLst>
            <c:ext xmlns:c16="http://schemas.microsoft.com/office/drawing/2014/chart" uri="{C3380CC4-5D6E-409C-BE32-E72D297353CC}">
              <c16:uniqueId val="{0000000C-3334-432F-8AAE-567DA7E987FD}"/>
            </c:ext>
          </c:extLst>
        </c:ser>
        <c:ser>
          <c:idx val="3"/>
          <c:order val="3"/>
          <c:tx>
            <c:strRef>
              <c:f>'30 spożycie kwintyle'!$B$13</c:f>
              <c:strCache>
                <c:ptCount val="1"/>
                <c:pt idx="0">
                  <c:v>of which potatoes</c:v>
                </c:pt>
              </c:strCache>
            </c:strRef>
          </c:tx>
          <c:spPr>
            <a:solidFill>
              <a:srgbClr val="5F5F5F"/>
            </a:solidFill>
            <a:scene3d>
              <a:camera prst="orthographicFront"/>
              <a:lightRig rig="threePt" dir="t"/>
            </a:scene3d>
          </c:spPr>
          <c:invertIfNegative val="0"/>
          <c:dPt>
            <c:idx val="0"/>
            <c:invertIfNegative val="0"/>
            <c:bubble3D val="0"/>
            <c:spPr>
              <a:solidFill>
                <a:srgbClr val="6677AD"/>
              </a:solidFill>
              <a:scene3d>
                <a:camera prst="orthographicFront"/>
                <a:lightRig rig="threePt" dir="t"/>
              </a:scene3d>
            </c:spPr>
            <c:extLst>
              <c:ext xmlns:c16="http://schemas.microsoft.com/office/drawing/2014/chart" uri="{C3380CC4-5D6E-409C-BE32-E72D297353CC}">
                <c16:uniqueId val="{0000000E-3334-432F-8AAE-567DA7E987FD}"/>
              </c:ext>
            </c:extLst>
          </c:dPt>
          <c:dPt>
            <c:idx val="2"/>
            <c:invertIfNegative val="0"/>
            <c:bubble3D val="0"/>
            <c:extLst>
              <c:ext xmlns:c16="http://schemas.microsoft.com/office/drawing/2014/chart" uri="{C3380CC4-5D6E-409C-BE32-E72D297353CC}">
                <c16:uniqueId val="{0000000F-3334-432F-8AAE-567DA7E987FD}"/>
              </c:ext>
            </c:extLst>
          </c:dPt>
          <c:dLbls>
            <c:dLbl>
              <c:idx val="0"/>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E-3334-432F-8AAE-567DA7E987FD}"/>
                </c:ext>
              </c:extLst>
            </c:dLbl>
            <c:dLbl>
              <c:idx val="1"/>
              <c:delete val="1"/>
              <c:extLst>
                <c:ext xmlns:c15="http://schemas.microsoft.com/office/drawing/2012/chart" uri="{CE6537A1-D6FC-4f65-9D91-7224C49458BB}"/>
                <c:ext xmlns:c16="http://schemas.microsoft.com/office/drawing/2014/chart" uri="{C3380CC4-5D6E-409C-BE32-E72D297353CC}">
                  <c16:uniqueId val="{00000010-3334-432F-8AAE-567DA7E987FD}"/>
                </c:ext>
              </c:extLst>
            </c:dLbl>
            <c:dLbl>
              <c:idx val="2"/>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F-3334-432F-8AAE-567DA7E987FD}"/>
                </c:ext>
              </c:extLst>
            </c:dLbl>
            <c:dLbl>
              <c:idx val="3"/>
              <c:delete val="1"/>
              <c:extLst>
                <c:ext xmlns:c15="http://schemas.microsoft.com/office/drawing/2012/chart" uri="{CE6537A1-D6FC-4f65-9D91-7224C49458BB}"/>
                <c:ext xmlns:c16="http://schemas.microsoft.com/office/drawing/2014/chart" uri="{C3380CC4-5D6E-409C-BE32-E72D297353CC}">
                  <c16:uniqueId val="{00000011-3334-432F-8AAE-567DA7E987FD}"/>
                </c:ext>
              </c:extLst>
            </c:dLbl>
            <c:dLbl>
              <c:idx val="4"/>
              <c:delete val="1"/>
              <c:extLst>
                <c:ext xmlns:c15="http://schemas.microsoft.com/office/drawing/2012/chart" uri="{CE6537A1-D6FC-4f65-9D91-7224C49458BB}"/>
                <c:ext xmlns:c16="http://schemas.microsoft.com/office/drawing/2014/chart" uri="{C3380CC4-5D6E-409C-BE32-E72D297353CC}">
                  <c16:uniqueId val="{00000012-3334-432F-8AAE-567DA7E987FD}"/>
                </c:ext>
              </c:extLst>
            </c:dLbl>
            <c:dLbl>
              <c:idx val="5"/>
              <c:delete val="1"/>
              <c:extLst>
                <c:ext xmlns:c15="http://schemas.microsoft.com/office/drawing/2012/chart" uri="{CE6537A1-D6FC-4f65-9D91-7224C49458BB}"/>
                <c:ext xmlns:c16="http://schemas.microsoft.com/office/drawing/2014/chart" uri="{C3380CC4-5D6E-409C-BE32-E72D297353CC}">
                  <c16:uniqueId val="{00000013-3334-432F-8AAE-567DA7E987FD}"/>
                </c:ext>
              </c:extLst>
            </c:dLbl>
            <c:dLbl>
              <c:idx val="6"/>
              <c:delete val="1"/>
              <c:extLst>
                <c:ext xmlns:c15="http://schemas.microsoft.com/office/drawing/2012/chart" uri="{CE6537A1-D6FC-4f65-9D91-7224C49458BB}"/>
                <c:ext xmlns:c16="http://schemas.microsoft.com/office/drawing/2014/chart" uri="{C3380CC4-5D6E-409C-BE32-E72D297353CC}">
                  <c16:uniqueId val="{00000014-3334-432F-8AAE-567DA7E987FD}"/>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'30 spożycie kwintyle'!$C$9:$I$9</c:f>
              <c:strCache>
                <c:ptCount val="7"/>
                <c:pt idx="0">
                  <c:v>bread and cereals</c:v>
                </c:pt>
                <c:pt idx="1">
                  <c:v>meat</c:v>
                </c:pt>
                <c:pt idx="2">
                  <c:v>vegetables</c:v>
                </c:pt>
                <c:pt idx="3">
                  <c:v>fruit</c:v>
                </c:pt>
                <c:pt idx="4">
                  <c:v>cheese and curd</c:v>
                </c:pt>
                <c:pt idx="5">
                  <c:v>sugar</c:v>
                </c:pt>
                <c:pt idx="6">
                  <c:v>mineral and spring waters
(in l.)</c:v>
                </c:pt>
              </c:strCache>
            </c:strRef>
          </c:cat>
          <c:val>
            <c:numRef>
              <c:f>'30 spożycie kwintyle'!$C$13:$I$13</c:f>
              <c:numCache>
                <c:formatCode>General</c:formatCode>
                <c:ptCount val="7"/>
                <c:pt idx="0" formatCode="0.0">
                  <c:v>2.83</c:v>
                </c:pt>
                <c:pt idx="2" formatCode="0.0">
                  <c:v>2.6</c:v>
                </c:pt>
              </c:numCache>
            </c:numRef>
          </c:val>
          <c:extLst>
            <c:ext xmlns:c16="http://schemas.microsoft.com/office/drawing/2014/chart" uri="{C3380CC4-5D6E-409C-BE32-E72D297353CC}">
              <c16:uniqueId val="{00000015-3334-432F-8AAE-567DA7E987FD}"/>
            </c:ext>
          </c:extLst>
        </c:ser>
        <c:dLbls>
          <c:showLegendKey val="0"/>
          <c:showVal val="0"/>
          <c:showCatName val="0"/>
          <c:showSerName val="0"/>
          <c:showPercent val="0"/>
          <c:showBubbleSize val="0"/>
        </c:dLbls>
        <c:gapWidth val="70"/>
        <c:axId val="-188958224"/>
        <c:axId val="-188970736"/>
      </c:barChart>
      <c:catAx>
        <c:axId val="-188962032"/>
        <c:scaling>
          <c:orientation val="minMax"/>
        </c:scaling>
        <c:delete val="0"/>
        <c:axPos val="b"/>
        <c:numFmt formatCode="General" sourceLinked="1"/>
        <c:majorTickMark val="out"/>
        <c:minorTickMark val="none"/>
        <c:tickLblPos val="nextTo"/>
        <c:spPr>
          <a:ln>
            <a:solidFill>
              <a:schemeClr val="tx1"/>
            </a:solidFill>
          </a:ln>
        </c:spPr>
        <c:txPr>
          <a:bodyPr/>
          <a:lstStyle/>
          <a:p>
            <a:pPr>
              <a:defRPr sz="900" spc="-20" baseline="0"/>
            </a:pPr>
            <a:endParaRPr lang="pl-PL"/>
          </a:p>
        </c:txPr>
        <c:crossAx val="-188959856"/>
        <c:crosses val="autoZero"/>
        <c:auto val="1"/>
        <c:lblAlgn val="ctr"/>
        <c:lblOffset val="100"/>
        <c:noMultiLvlLbl val="0"/>
      </c:catAx>
      <c:valAx>
        <c:axId val="-188959856"/>
        <c:scaling>
          <c:orientation val="minMax"/>
          <c:max val="1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88962032"/>
        <c:crosses val="autoZero"/>
        <c:crossBetween val="between"/>
        <c:majorUnit val="2"/>
      </c:valAx>
      <c:valAx>
        <c:axId val="-188970736"/>
        <c:scaling>
          <c:orientation val="minMax"/>
          <c:max val="12"/>
        </c:scaling>
        <c:delete val="1"/>
        <c:axPos val="r"/>
        <c:numFmt formatCode="0.0" sourceLinked="1"/>
        <c:majorTickMark val="out"/>
        <c:minorTickMark val="none"/>
        <c:tickLblPos val="none"/>
        <c:crossAx val="-188958224"/>
        <c:crosses val="max"/>
        <c:crossBetween val="between"/>
      </c:valAx>
      <c:catAx>
        <c:axId val="-188958224"/>
        <c:scaling>
          <c:orientation val="minMax"/>
        </c:scaling>
        <c:delete val="1"/>
        <c:axPos val="b"/>
        <c:numFmt formatCode="General" sourceLinked="1"/>
        <c:majorTickMark val="out"/>
        <c:minorTickMark val="none"/>
        <c:tickLblPos val="none"/>
        <c:crossAx val="-188970736"/>
        <c:crosses val="autoZero"/>
        <c:auto val="1"/>
        <c:lblAlgn val="ctr"/>
        <c:lblOffset val="100"/>
        <c:noMultiLvlLbl val="0"/>
      </c:catAx>
    </c:plotArea>
    <c:legend>
      <c:legendPos val="r"/>
      <c:layout>
        <c:manualLayout>
          <c:xMode val="edge"/>
          <c:yMode val="edge"/>
          <c:x val="4.3389565147792741E-2"/>
          <c:y val="0.17501362629072564"/>
          <c:w val="0.94252310130999339"/>
          <c:h val="7.8102728219759165E-2"/>
        </c:manualLayout>
      </c:layout>
      <c:overlay val="0"/>
      <c:spPr>
        <a:solidFill>
          <a:sysClr val="window" lastClr="FFFFFF"/>
        </a:solidFill>
        <a:ln w="6350">
          <a:noFill/>
        </a:ln>
      </c:sp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3815330075187238E-2"/>
          <c:y val="0.26467946761901534"/>
          <c:w val="0.94354954422069504"/>
          <c:h val="0.5416789126985867"/>
        </c:manualLayout>
      </c:layout>
      <c:barChart>
        <c:barDir val="col"/>
        <c:grouping val="clustered"/>
        <c:varyColors val="0"/>
        <c:ser>
          <c:idx val="0"/>
          <c:order val="0"/>
          <c:tx>
            <c:strRef>
              <c:f>'31 spożycie miasto wieś'!$C$12</c:f>
              <c:strCache>
                <c:ptCount val="1"/>
                <c:pt idx="0">
                  <c:v>Urban areas</c:v>
                </c:pt>
              </c:strCache>
            </c:strRef>
          </c:tx>
          <c:spPr>
            <a:solidFill>
              <a:srgbClr val="99CEB3"/>
            </a:solidFill>
            <a:scene3d>
              <a:camera prst="orthographicFront"/>
              <a:lightRig rig="threePt" dir="t"/>
            </a:scene3d>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'31 spożycie miasto wieś'!$B$13:$B$19</c:f>
              <c:strCache>
                <c:ptCount val="7"/>
                <c:pt idx="0">
                  <c:v>bread and cereals</c:v>
                </c:pt>
                <c:pt idx="1">
                  <c:v>meat</c:v>
                </c:pt>
                <c:pt idx="2">
                  <c:v>vegetables</c:v>
                </c:pt>
                <c:pt idx="3">
                  <c:v>fruit</c:v>
                </c:pt>
                <c:pt idx="4">
                  <c:v>cheese and curd</c:v>
                </c:pt>
                <c:pt idx="5">
                  <c:v>sugar</c:v>
                </c:pt>
                <c:pt idx="6">
                  <c:v>mineral and spring waters (in l.)</c:v>
                </c:pt>
              </c:strCache>
            </c:strRef>
          </c:cat>
          <c:val>
            <c:numRef>
              <c:f>'31 spożycie miasto wieś'!$C$13:$C$19</c:f>
              <c:numCache>
                <c:formatCode>0.0</c:formatCode>
                <c:ptCount val="7"/>
                <c:pt idx="0">
                  <c:v>5.0999999999999996</c:v>
                </c:pt>
                <c:pt idx="1">
                  <c:v>4.84</c:v>
                </c:pt>
                <c:pt idx="2">
                  <c:v>7.75</c:v>
                </c:pt>
                <c:pt idx="3">
                  <c:v>4.25</c:v>
                </c:pt>
                <c:pt idx="4">
                  <c:v>1.03</c:v>
                </c:pt>
                <c:pt idx="5">
                  <c:v>0.7</c:v>
                </c:pt>
                <c:pt idx="6">
                  <c:v>6.11</c:v>
                </c:pt>
              </c:numCache>
            </c:numRef>
          </c:val>
          <c:extLst>
            <c:ext xmlns:c16="http://schemas.microsoft.com/office/drawing/2014/chart" uri="{C3380CC4-5D6E-409C-BE32-E72D297353CC}">
              <c16:uniqueId val="{00000000-B238-4FF2-99E1-3A4164E9CEE4}"/>
            </c:ext>
          </c:extLst>
        </c:ser>
        <c:ser>
          <c:idx val="2"/>
          <c:order val="2"/>
          <c:tx>
            <c:strRef>
              <c:f>'31 spożycie miasto wieś'!$E$12</c:f>
              <c:strCache>
                <c:ptCount val="1"/>
                <c:pt idx="0">
                  <c:v>Rural areas</c:v>
                </c:pt>
              </c:strCache>
            </c:strRef>
          </c:tx>
          <c:spPr>
            <a:solidFill>
              <a:srgbClr val="339D68"/>
            </a:solidFill>
            <a:scene3d>
              <a:camera prst="orthographicFront"/>
              <a:lightRig rig="threePt" dir="t"/>
            </a:scene3d>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'31 spożycie miasto wieś'!$B$13:$B$19</c:f>
              <c:strCache>
                <c:ptCount val="7"/>
                <c:pt idx="0">
                  <c:v>bread and cereals</c:v>
                </c:pt>
                <c:pt idx="1">
                  <c:v>meat</c:v>
                </c:pt>
                <c:pt idx="2">
                  <c:v>vegetables</c:v>
                </c:pt>
                <c:pt idx="3">
                  <c:v>fruit</c:v>
                </c:pt>
                <c:pt idx="4">
                  <c:v>cheese and curd</c:v>
                </c:pt>
                <c:pt idx="5">
                  <c:v>sugar</c:v>
                </c:pt>
                <c:pt idx="6">
                  <c:v>mineral and spring waters (in l.)</c:v>
                </c:pt>
              </c:strCache>
            </c:strRef>
          </c:cat>
          <c:val>
            <c:numRef>
              <c:f>'31 spożycie miasto wieś'!$E$13:$E$19</c:f>
              <c:numCache>
                <c:formatCode>0.0</c:formatCode>
                <c:ptCount val="7"/>
                <c:pt idx="0">
                  <c:v>5.65</c:v>
                </c:pt>
                <c:pt idx="1">
                  <c:v>5.5</c:v>
                </c:pt>
                <c:pt idx="2">
                  <c:v>7.67</c:v>
                </c:pt>
                <c:pt idx="3">
                  <c:v>3.26</c:v>
                </c:pt>
                <c:pt idx="4">
                  <c:v>0.83</c:v>
                </c:pt>
                <c:pt idx="5">
                  <c:v>1.05</c:v>
                </c:pt>
                <c:pt idx="6">
                  <c:v>5.4</c:v>
                </c:pt>
              </c:numCache>
            </c:numRef>
          </c:val>
          <c:extLst>
            <c:ext xmlns:c16="http://schemas.microsoft.com/office/drawing/2014/chart" uri="{C3380CC4-5D6E-409C-BE32-E72D297353CC}">
              <c16:uniqueId val="{00000001-B238-4FF2-99E1-3A4164E9CEE4}"/>
            </c:ext>
          </c:extLst>
        </c:ser>
        <c:dLbls>
          <c:showLegendKey val="0"/>
          <c:showVal val="0"/>
          <c:showCatName val="0"/>
          <c:showSerName val="0"/>
          <c:showPercent val="0"/>
          <c:showBubbleSize val="0"/>
        </c:dLbls>
        <c:gapWidth val="70"/>
        <c:axId val="-188957680"/>
        <c:axId val="-188963120"/>
      </c:barChart>
      <c:barChart>
        <c:barDir val="col"/>
        <c:grouping val="clustered"/>
        <c:varyColors val="0"/>
        <c:ser>
          <c:idx val="1"/>
          <c:order val="1"/>
          <c:tx>
            <c:strRef>
              <c:f>'31 spożycie miasto wieś'!$D$12</c:f>
              <c:strCache>
                <c:ptCount val="1"/>
                <c:pt idx="0">
                  <c:v>of which bread</c:v>
                </c:pt>
              </c:strCache>
            </c:strRef>
          </c:tx>
          <c:spPr>
            <a:solidFill>
              <a:srgbClr val="6677AD"/>
            </a:solidFill>
            <a:scene3d>
              <a:camera prst="orthographicFront"/>
              <a:lightRig rig="threePt" dir="t"/>
            </a:scene3d>
          </c:spPr>
          <c:invertIfNegative val="0"/>
          <c:dPt>
            <c:idx val="0"/>
            <c:invertIfNegative val="0"/>
            <c:bubble3D val="0"/>
            <c:spPr>
              <a:solidFill>
                <a:srgbClr val="99A5C9"/>
              </a:solidFill>
              <a:scene3d>
                <a:camera prst="orthographicFront"/>
                <a:lightRig rig="threePt" dir="t"/>
              </a:scene3d>
            </c:spPr>
            <c:extLst>
              <c:ext xmlns:c16="http://schemas.microsoft.com/office/drawing/2014/chart" uri="{C3380CC4-5D6E-409C-BE32-E72D297353CC}">
                <c16:uniqueId val="{00000003-B238-4FF2-99E1-3A4164E9CEE4}"/>
              </c:ext>
            </c:extLst>
          </c:dPt>
          <c:dPt>
            <c:idx val="2"/>
            <c:invertIfNegative val="0"/>
            <c:bubble3D val="0"/>
            <c:spPr>
              <a:solidFill>
                <a:srgbClr val="969696"/>
              </a:solidFill>
              <a:scene3d>
                <a:camera prst="orthographicFront"/>
                <a:lightRig rig="threePt" dir="t"/>
              </a:scene3d>
            </c:spPr>
            <c:extLst>
              <c:ext xmlns:c16="http://schemas.microsoft.com/office/drawing/2014/chart" uri="{C3380CC4-5D6E-409C-BE32-E72D297353CC}">
                <c16:uniqueId val="{00000005-B238-4FF2-99E1-3A4164E9CEE4}"/>
              </c:ext>
            </c:extLst>
          </c:dPt>
          <c:dLbls>
            <c:dLbl>
              <c:idx val="0"/>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3-B238-4FF2-99E1-3A4164E9CEE4}"/>
                </c:ext>
              </c:extLst>
            </c:dLbl>
            <c:dLbl>
              <c:idx val="1"/>
              <c:delete val="1"/>
              <c:extLst>
                <c:ext xmlns:c15="http://schemas.microsoft.com/office/drawing/2012/chart" uri="{CE6537A1-D6FC-4f65-9D91-7224C49458BB}"/>
                <c:ext xmlns:c16="http://schemas.microsoft.com/office/drawing/2014/chart" uri="{C3380CC4-5D6E-409C-BE32-E72D297353CC}">
                  <c16:uniqueId val="{00000006-B238-4FF2-99E1-3A4164E9CEE4}"/>
                </c:ext>
              </c:extLst>
            </c:dLbl>
            <c:dLbl>
              <c:idx val="2"/>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5-B238-4FF2-99E1-3A4164E9CEE4}"/>
                </c:ext>
              </c:extLst>
            </c:dLbl>
            <c:dLbl>
              <c:idx val="3"/>
              <c:delete val="1"/>
              <c:extLst>
                <c:ext xmlns:c15="http://schemas.microsoft.com/office/drawing/2012/chart" uri="{CE6537A1-D6FC-4f65-9D91-7224C49458BB}"/>
                <c:ext xmlns:c16="http://schemas.microsoft.com/office/drawing/2014/chart" uri="{C3380CC4-5D6E-409C-BE32-E72D297353CC}">
                  <c16:uniqueId val="{00000007-B238-4FF2-99E1-3A4164E9CEE4}"/>
                </c:ext>
              </c:extLst>
            </c:dLbl>
            <c:dLbl>
              <c:idx val="4"/>
              <c:delete val="1"/>
              <c:extLst>
                <c:ext xmlns:c15="http://schemas.microsoft.com/office/drawing/2012/chart" uri="{CE6537A1-D6FC-4f65-9D91-7224C49458BB}"/>
                <c:ext xmlns:c16="http://schemas.microsoft.com/office/drawing/2014/chart" uri="{C3380CC4-5D6E-409C-BE32-E72D297353CC}">
                  <c16:uniqueId val="{00000008-B238-4FF2-99E1-3A4164E9CEE4}"/>
                </c:ext>
              </c:extLst>
            </c:dLbl>
            <c:dLbl>
              <c:idx val="5"/>
              <c:delete val="1"/>
              <c:extLst>
                <c:ext xmlns:c15="http://schemas.microsoft.com/office/drawing/2012/chart" uri="{CE6537A1-D6FC-4f65-9D91-7224C49458BB}"/>
                <c:ext xmlns:c16="http://schemas.microsoft.com/office/drawing/2014/chart" uri="{C3380CC4-5D6E-409C-BE32-E72D297353CC}">
                  <c16:uniqueId val="{00000009-B238-4FF2-99E1-3A4164E9CEE4}"/>
                </c:ext>
              </c:extLst>
            </c:dLbl>
            <c:dLbl>
              <c:idx val="6"/>
              <c:delete val="1"/>
              <c:extLst>
                <c:ext xmlns:c15="http://schemas.microsoft.com/office/drawing/2012/chart" uri="{CE6537A1-D6FC-4f65-9D91-7224C49458BB}"/>
                <c:ext xmlns:c16="http://schemas.microsoft.com/office/drawing/2014/chart" uri="{C3380CC4-5D6E-409C-BE32-E72D297353CC}">
                  <c16:uniqueId val="{0000000A-B238-4FF2-99E1-3A4164E9CEE4}"/>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'31 spożycie miasto wieś'!$B$13:$B$19</c:f>
              <c:strCache>
                <c:ptCount val="7"/>
                <c:pt idx="0">
                  <c:v>bread and cereals</c:v>
                </c:pt>
                <c:pt idx="1">
                  <c:v>meat</c:v>
                </c:pt>
                <c:pt idx="2">
                  <c:v>vegetables</c:v>
                </c:pt>
                <c:pt idx="3">
                  <c:v>fruit</c:v>
                </c:pt>
                <c:pt idx="4">
                  <c:v>cheese and curd</c:v>
                </c:pt>
                <c:pt idx="5">
                  <c:v>sugar</c:v>
                </c:pt>
                <c:pt idx="6">
                  <c:v>mineral and spring waters (in l.)</c:v>
                </c:pt>
              </c:strCache>
            </c:strRef>
          </c:cat>
          <c:val>
            <c:numRef>
              <c:f>'31 spożycie miasto wieś'!$D$13:$D$19</c:f>
              <c:numCache>
                <c:formatCode>General</c:formatCode>
                <c:ptCount val="7"/>
                <c:pt idx="0" formatCode="0.0">
                  <c:v>2.56</c:v>
                </c:pt>
                <c:pt idx="2" formatCode="0.0">
                  <c:v>2.4700000000000002</c:v>
                </c:pt>
              </c:numCache>
            </c:numRef>
          </c:val>
          <c:extLst>
            <c:ext xmlns:c16="http://schemas.microsoft.com/office/drawing/2014/chart" uri="{C3380CC4-5D6E-409C-BE32-E72D297353CC}">
              <c16:uniqueId val="{0000000B-B238-4FF2-99E1-3A4164E9CEE4}"/>
            </c:ext>
          </c:extLst>
        </c:ser>
        <c:ser>
          <c:idx val="3"/>
          <c:order val="3"/>
          <c:tx>
            <c:strRef>
              <c:f>'31 spożycie miasto wieś'!$F$12</c:f>
              <c:strCache>
                <c:ptCount val="1"/>
                <c:pt idx="0">
                  <c:v>of which potatoes</c:v>
                </c:pt>
              </c:strCache>
            </c:strRef>
          </c:tx>
          <c:spPr>
            <a:solidFill>
              <a:srgbClr val="5F5F5F"/>
            </a:solidFill>
            <a:scene3d>
              <a:camera prst="orthographicFront"/>
              <a:lightRig rig="threePt" dir="t"/>
            </a:scene3d>
          </c:spPr>
          <c:invertIfNegative val="0"/>
          <c:dPt>
            <c:idx val="0"/>
            <c:invertIfNegative val="0"/>
            <c:bubble3D val="0"/>
            <c:spPr>
              <a:solidFill>
                <a:srgbClr val="6677AD"/>
              </a:solidFill>
              <a:scene3d>
                <a:camera prst="orthographicFront"/>
                <a:lightRig rig="threePt" dir="t"/>
              </a:scene3d>
            </c:spPr>
            <c:extLst>
              <c:ext xmlns:c16="http://schemas.microsoft.com/office/drawing/2014/chart" uri="{C3380CC4-5D6E-409C-BE32-E72D297353CC}">
                <c16:uniqueId val="{0000000D-B238-4FF2-99E1-3A4164E9CEE4}"/>
              </c:ext>
            </c:extLst>
          </c:dPt>
          <c:dPt>
            <c:idx val="2"/>
            <c:invertIfNegative val="0"/>
            <c:bubble3D val="0"/>
            <c:extLst>
              <c:ext xmlns:c16="http://schemas.microsoft.com/office/drawing/2014/chart" uri="{C3380CC4-5D6E-409C-BE32-E72D297353CC}">
                <c16:uniqueId val="{0000000E-B238-4FF2-99E1-3A4164E9CEE4}"/>
              </c:ext>
            </c:extLst>
          </c:dPt>
          <c:dLbls>
            <c:dLbl>
              <c:idx val="0"/>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D-B238-4FF2-99E1-3A4164E9CEE4}"/>
                </c:ext>
              </c:extLst>
            </c:dLbl>
            <c:dLbl>
              <c:idx val="1"/>
              <c:delete val="1"/>
              <c:extLst>
                <c:ext xmlns:c15="http://schemas.microsoft.com/office/drawing/2012/chart" uri="{CE6537A1-D6FC-4f65-9D91-7224C49458BB}"/>
                <c:ext xmlns:c16="http://schemas.microsoft.com/office/drawing/2014/chart" uri="{C3380CC4-5D6E-409C-BE32-E72D297353CC}">
                  <c16:uniqueId val="{0000000F-B238-4FF2-99E1-3A4164E9CEE4}"/>
                </c:ext>
              </c:extLst>
            </c:dLbl>
            <c:dLbl>
              <c:idx val="2"/>
              <c:numFmt formatCode="#,##0.0" sourceLinked="0"/>
              <c:spPr/>
              <c:txPr>
                <a:bodyPr/>
                <a:lstStyle/>
                <a:p>
                  <a:pPr>
                    <a:defRPr/>
                  </a:pPr>
                  <a:endParaRPr lang="pl-PL"/>
                </a:p>
              </c:txPr>
              <c:dLblPos val="outEnd"/>
              <c:showLegendKey val="0"/>
              <c:showVal val="1"/>
              <c:showCatName val="0"/>
              <c:showSerName val="0"/>
              <c:showPercent val="0"/>
              <c:showBubbleSize val="0"/>
              <c:extLst>
                <c:ext xmlns:c16="http://schemas.microsoft.com/office/drawing/2014/chart" uri="{C3380CC4-5D6E-409C-BE32-E72D297353CC}">
                  <c16:uniqueId val="{0000000E-B238-4FF2-99E1-3A4164E9CEE4}"/>
                </c:ext>
              </c:extLst>
            </c:dLbl>
            <c:dLbl>
              <c:idx val="3"/>
              <c:delete val="1"/>
              <c:extLst>
                <c:ext xmlns:c15="http://schemas.microsoft.com/office/drawing/2012/chart" uri="{CE6537A1-D6FC-4f65-9D91-7224C49458BB}"/>
                <c:ext xmlns:c16="http://schemas.microsoft.com/office/drawing/2014/chart" uri="{C3380CC4-5D6E-409C-BE32-E72D297353CC}">
                  <c16:uniqueId val="{00000010-B238-4FF2-99E1-3A4164E9CEE4}"/>
                </c:ext>
              </c:extLst>
            </c:dLbl>
            <c:dLbl>
              <c:idx val="4"/>
              <c:delete val="1"/>
              <c:extLst>
                <c:ext xmlns:c15="http://schemas.microsoft.com/office/drawing/2012/chart" uri="{CE6537A1-D6FC-4f65-9D91-7224C49458BB}"/>
                <c:ext xmlns:c16="http://schemas.microsoft.com/office/drawing/2014/chart" uri="{C3380CC4-5D6E-409C-BE32-E72D297353CC}">
                  <c16:uniqueId val="{00000011-B238-4FF2-99E1-3A4164E9CEE4}"/>
                </c:ext>
              </c:extLst>
            </c:dLbl>
            <c:dLbl>
              <c:idx val="5"/>
              <c:delete val="1"/>
              <c:extLst>
                <c:ext xmlns:c15="http://schemas.microsoft.com/office/drawing/2012/chart" uri="{CE6537A1-D6FC-4f65-9D91-7224C49458BB}"/>
                <c:ext xmlns:c16="http://schemas.microsoft.com/office/drawing/2014/chart" uri="{C3380CC4-5D6E-409C-BE32-E72D297353CC}">
                  <c16:uniqueId val="{00000012-B238-4FF2-99E1-3A4164E9CEE4}"/>
                </c:ext>
              </c:extLst>
            </c:dLbl>
            <c:dLbl>
              <c:idx val="6"/>
              <c:delete val="1"/>
              <c:extLst>
                <c:ext xmlns:c15="http://schemas.microsoft.com/office/drawing/2012/chart" uri="{CE6537A1-D6FC-4f65-9D91-7224C49458BB}"/>
                <c:ext xmlns:c16="http://schemas.microsoft.com/office/drawing/2014/chart" uri="{C3380CC4-5D6E-409C-BE32-E72D297353CC}">
                  <c16:uniqueId val="{00000013-B238-4FF2-99E1-3A4164E9CEE4}"/>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'31 spożycie miasto wieś'!$B$13:$B$19</c:f>
              <c:strCache>
                <c:ptCount val="7"/>
                <c:pt idx="0">
                  <c:v>bread and cereals</c:v>
                </c:pt>
                <c:pt idx="1">
                  <c:v>meat</c:v>
                </c:pt>
                <c:pt idx="2">
                  <c:v>vegetables</c:v>
                </c:pt>
                <c:pt idx="3">
                  <c:v>fruit</c:v>
                </c:pt>
                <c:pt idx="4">
                  <c:v>cheese and curd</c:v>
                </c:pt>
                <c:pt idx="5">
                  <c:v>sugar</c:v>
                </c:pt>
                <c:pt idx="6">
                  <c:v>mineral and spring waters (in l.)</c:v>
                </c:pt>
              </c:strCache>
            </c:strRef>
          </c:cat>
          <c:val>
            <c:numRef>
              <c:f>'31 spożycie miasto wieś'!$F$13:$F$19</c:f>
              <c:numCache>
                <c:formatCode>General</c:formatCode>
                <c:ptCount val="7"/>
                <c:pt idx="0" formatCode="0.0">
                  <c:v>3.05</c:v>
                </c:pt>
                <c:pt idx="2" formatCode="0.0">
                  <c:v>3.01</c:v>
                </c:pt>
              </c:numCache>
            </c:numRef>
          </c:val>
          <c:extLst>
            <c:ext xmlns:c16="http://schemas.microsoft.com/office/drawing/2014/chart" uri="{C3380CC4-5D6E-409C-BE32-E72D297353CC}">
              <c16:uniqueId val="{00000014-B238-4FF2-99E1-3A4164E9CEE4}"/>
            </c:ext>
          </c:extLst>
        </c:ser>
        <c:dLbls>
          <c:showLegendKey val="0"/>
          <c:showVal val="0"/>
          <c:showCatName val="0"/>
          <c:showSerName val="0"/>
          <c:showPercent val="0"/>
          <c:showBubbleSize val="0"/>
        </c:dLbls>
        <c:gapWidth val="70"/>
        <c:axId val="-188970192"/>
        <c:axId val="-188972368"/>
      </c:barChart>
      <c:catAx>
        <c:axId val="-188957680"/>
        <c:scaling>
          <c:orientation val="minMax"/>
        </c:scaling>
        <c:delete val="0"/>
        <c:axPos val="b"/>
        <c:numFmt formatCode="General" sourceLinked="1"/>
        <c:majorTickMark val="out"/>
        <c:minorTickMark val="none"/>
        <c:tickLblPos val="nextTo"/>
        <c:spPr>
          <a:ln>
            <a:solidFill>
              <a:schemeClr val="tx1"/>
            </a:solidFill>
          </a:ln>
        </c:spPr>
        <c:txPr>
          <a:bodyPr/>
          <a:lstStyle/>
          <a:p>
            <a:pPr>
              <a:defRPr sz="900" spc="-10" baseline="0"/>
            </a:pPr>
            <a:endParaRPr lang="pl-PL"/>
          </a:p>
        </c:txPr>
        <c:crossAx val="-188963120"/>
        <c:crosses val="autoZero"/>
        <c:auto val="1"/>
        <c:lblAlgn val="ctr"/>
        <c:lblOffset val="100"/>
        <c:noMultiLvlLbl val="0"/>
      </c:catAx>
      <c:valAx>
        <c:axId val="-188963120"/>
        <c:scaling>
          <c:orientation val="minMax"/>
          <c:max val="1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88957680"/>
        <c:crosses val="autoZero"/>
        <c:crossBetween val="between"/>
        <c:majorUnit val="2"/>
      </c:valAx>
      <c:valAx>
        <c:axId val="-188972368"/>
        <c:scaling>
          <c:orientation val="minMax"/>
          <c:max val="12"/>
        </c:scaling>
        <c:delete val="1"/>
        <c:axPos val="r"/>
        <c:numFmt formatCode="0.0" sourceLinked="1"/>
        <c:majorTickMark val="out"/>
        <c:minorTickMark val="none"/>
        <c:tickLblPos val="none"/>
        <c:crossAx val="-188970192"/>
        <c:crosses val="max"/>
        <c:crossBetween val="between"/>
      </c:valAx>
      <c:catAx>
        <c:axId val="-188970192"/>
        <c:scaling>
          <c:orientation val="minMax"/>
        </c:scaling>
        <c:delete val="1"/>
        <c:axPos val="b"/>
        <c:numFmt formatCode="General" sourceLinked="1"/>
        <c:majorTickMark val="out"/>
        <c:minorTickMark val="none"/>
        <c:tickLblPos val="none"/>
        <c:crossAx val="-188972368"/>
        <c:crosses val="autoZero"/>
        <c:auto val="1"/>
        <c:lblAlgn val="ctr"/>
        <c:lblOffset val="100"/>
        <c:noMultiLvlLbl val="0"/>
      </c:catAx>
    </c:plotArea>
    <c:legend>
      <c:legendPos val="r"/>
      <c:layout>
        <c:manualLayout>
          <c:xMode val="edge"/>
          <c:yMode val="edge"/>
          <c:x val="4.1308568299546419E-2"/>
          <c:y val="0.17001122165118582"/>
          <c:w val="0.93624341025798696"/>
          <c:h val="7.5972333017371649E-2"/>
        </c:manualLayout>
      </c:layout>
      <c:overlay val="0"/>
      <c:spPr>
        <a:solidFill>
          <a:sysClr val="window" lastClr="FFFFFF"/>
        </a:solidFill>
        <a:ln w="6350">
          <a:noFill/>
        </a:ln>
      </c:spPr>
    </c:legend>
    <c:plotVisOnly val="1"/>
    <c:dispBlanksAs val="gap"/>
    <c:showDLblsOverMax val="0"/>
  </c:chart>
  <c:spPr>
    <a:ln>
      <a:noFill/>
    </a:ln>
  </c:spPr>
  <c:txPr>
    <a:bodyPr/>
    <a:lstStyle/>
    <a:p>
      <a:pPr>
        <a:spcBef>
          <a:spcPts val="1200"/>
        </a:spcBef>
        <a:spcAft>
          <a:spcPts val="1200"/>
        </a:spcAft>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1980516470637602E-2"/>
          <c:y val="0.21954473304473304"/>
          <c:w val="0.91555132745953227"/>
          <c:h val="0.59287590187590178"/>
        </c:manualLayout>
      </c:layout>
      <c:barChart>
        <c:barDir val="col"/>
        <c:grouping val="clustered"/>
        <c:varyColors val="0"/>
        <c:ser>
          <c:idx val="0"/>
          <c:order val="0"/>
          <c:tx>
            <c:strRef>
              <c:f>'33 wyposażenie kwintyl I i V'!$C$17</c:f>
              <c:strCache>
                <c:ptCount val="1"/>
                <c:pt idx="0">
                  <c:v>I quintile group</c:v>
                </c:pt>
              </c:strCache>
            </c:strRef>
          </c:tx>
          <c:spPr>
            <a:solidFill>
              <a:srgbClr val="99A5C9"/>
            </a:solidFill>
            <a:scene3d>
              <a:camera prst="orthographicFront"/>
              <a:lightRig rig="threePt" dir="t"/>
            </a:scene3d>
          </c:spPr>
          <c:invertIfNegative val="0"/>
          <c:dPt>
            <c:idx val="0"/>
            <c:invertIfNegative val="0"/>
            <c:bubble3D val="0"/>
            <c:extLst>
              <c:ext xmlns:c16="http://schemas.microsoft.com/office/drawing/2014/chart" uri="{C3380CC4-5D6E-409C-BE32-E72D297353CC}">
                <c16:uniqueId val="{00000000-B8D0-4129-92A7-3FC36AEF8533}"/>
              </c:ext>
            </c:extLst>
          </c:dPt>
          <c:dPt>
            <c:idx val="2"/>
            <c:invertIfNegative val="0"/>
            <c:bubble3D val="0"/>
            <c:extLst>
              <c:ext xmlns:c16="http://schemas.microsoft.com/office/drawing/2014/chart" uri="{C3380CC4-5D6E-409C-BE32-E72D297353CC}">
                <c16:uniqueId val="{00000001-B8D0-4129-92A7-3FC36AEF8533}"/>
              </c:ext>
            </c:extLst>
          </c:dPt>
          <c:dPt>
            <c:idx val="4"/>
            <c:invertIfNegative val="0"/>
            <c:bubble3D val="0"/>
            <c:extLst>
              <c:ext xmlns:c16="http://schemas.microsoft.com/office/drawing/2014/chart" uri="{C3380CC4-5D6E-409C-BE32-E72D297353CC}">
                <c16:uniqueId val="{00000002-B8D0-4129-92A7-3FC36AEF8533}"/>
              </c:ext>
            </c:extLst>
          </c:dPt>
          <c:dLbls>
            <c:numFmt formatCode="0.0%" sourceLinked="0"/>
            <c:spPr>
              <a:noFill/>
              <a:ln>
                <a:noFill/>
              </a:ln>
              <a:effectLst/>
            </c:spPr>
            <c:txPr>
              <a:bodyPr/>
              <a:lstStyle/>
              <a:p>
                <a:pPr>
                  <a:defRPr sz="900">
                    <a:latin typeface="Fira Sans" panose="020B0503050000020004" pitchFamily="34" charset="0"/>
                    <a:ea typeface="Fira Sans" panose="020B05030500000200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'33 wyposażenie kwintyl I i V'!$B$18:$B$22</c:f>
              <c:strCache>
                <c:ptCount val="5"/>
                <c:pt idx="0">
                  <c:v>device with access
to the Internet</c:v>
                </c:pt>
                <c:pt idx="1">
                  <c:v>smartphone</c:v>
                </c:pt>
                <c:pt idx="2">
                  <c:v>plasma or LCD TV set</c:v>
                </c:pt>
                <c:pt idx="3">
                  <c:v>dishwasher</c:v>
                </c:pt>
                <c:pt idx="4">
                  <c:v>passenger car</c:v>
                </c:pt>
              </c:strCache>
            </c:strRef>
          </c:cat>
          <c:val>
            <c:numRef>
              <c:f>'33 wyposażenie kwintyl I i V'!$C$18:$C$22</c:f>
              <c:numCache>
                <c:formatCode>0.0%</c:formatCode>
                <c:ptCount val="5"/>
                <c:pt idx="0">
                  <c:v>0.88900000000000001</c:v>
                </c:pt>
                <c:pt idx="1">
                  <c:v>0.82</c:v>
                </c:pt>
                <c:pt idx="2">
                  <c:v>0.92099999999999993</c:v>
                </c:pt>
                <c:pt idx="3">
                  <c:v>0.42799999999999999</c:v>
                </c:pt>
                <c:pt idx="4">
                  <c:v>0.73499999999999999</c:v>
                </c:pt>
              </c:numCache>
            </c:numRef>
          </c:val>
          <c:extLst>
            <c:ext xmlns:c16="http://schemas.microsoft.com/office/drawing/2014/chart" uri="{C3380CC4-5D6E-409C-BE32-E72D297353CC}">
              <c16:uniqueId val="{00000003-B8D0-4129-92A7-3FC36AEF8533}"/>
            </c:ext>
          </c:extLst>
        </c:ser>
        <c:ser>
          <c:idx val="1"/>
          <c:order val="1"/>
          <c:tx>
            <c:strRef>
              <c:f>'33 wyposażenie kwintyl I i V'!$D$17</c:f>
              <c:strCache>
                <c:ptCount val="1"/>
                <c:pt idx="0">
                  <c:v>V quintile group</c:v>
                </c:pt>
              </c:strCache>
            </c:strRef>
          </c:tx>
          <c:spPr>
            <a:solidFill>
              <a:srgbClr val="6677AD"/>
            </a:solidFill>
            <a:ln w="3175">
              <a:noFill/>
            </a:ln>
            <a:scene3d>
              <a:camera prst="orthographicFront"/>
              <a:lightRig rig="threePt" dir="t"/>
            </a:scene3d>
          </c:spPr>
          <c:invertIfNegative val="0"/>
          <c:dPt>
            <c:idx val="0"/>
            <c:invertIfNegative val="0"/>
            <c:bubble3D val="0"/>
            <c:extLst>
              <c:ext xmlns:c16="http://schemas.microsoft.com/office/drawing/2014/chart" uri="{C3380CC4-5D6E-409C-BE32-E72D297353CC}">
                <c16:uniqueId val="{00000004-B8D0-4129-92A7-3FC36AEF8533}"/>
              </c:ext>
            </c:extLst>
          </c:dPt>
          <c:dPt>
            <c:idx val="1"/>
            <c:invertIfNegative val="0"/>
            <c:bubble3D val="0"/>
            <c:extLst>
              <c:ext xmlns:c16="http://schemas.microsoft.com/office/drawing/2014/chart" uri="{C3380CC4-5D6E-409C-BE32-E72D297353CC}">
                <c16:uniqueId val="{00000005-B8D0-4129-92A7-3FC36AEF8533}"/>
              </c:ext>
            </c:extLst>
          </c:dPt>
          <c:dPt>
            <c:idx val="2"/>
            <c:invertIfNegative val="0"/>
            <c:bubble3D val="0"/>
            <c:extLst>
              <c:ext xmlns:c16="http://schemas.microsoft.com/office/drawing/2014/chart" uri="{C3380CC4-5D6E-409C-BE32-E72D297353CC}">
                <c16:uniqueId val="{00000006-B8D0-4129-92A7-3FC36AEF8533}"/>
              </c:ext>
            </c:extLst>
          </c:dPt>
          <c:dPt>
            <c:idx val="3"/>
            <c:invertIfNegative val="0"/>
            <c:bubble3D val="0"/>
            <c:extLst>
              <c:ext xmlns:c16="http://schemas.microsoft.com/office/drawing/2014/chart" uri="{C3380CC4-5D6E-409C-BE32-E72D297353CC}">
                <c16:uniqueId val="{00000007-B8D0-4129-92A7-3FC36AEF8533}"/>
              </c:ext>
            </c:extLst>
          </c:dPt>
          <c:dPt>
            <c:idx val="4"/>
            <c:invertIfNegative val="0"/>
            <c:bubble3D val="0"/>
            <c:extLst>
              <c:ext xmlns:c16="http://schemas.microsoft.com/office/drawing/2014/chart" uri="{C3380CC4-5D6E-409C-BE32-E72D297353CC}">
                <c16:uniqueId val="{00000008-B8D0-4129-92A7-3FC36AEF8533}"/>
              </c:ext>
            </c:extLst>
          </c:dPt>
          <c:dLbls>
            <c:numFmt formatCode="0.0%" sourceLinked="0"/>
            <c:spPr>
              <a:noFill/>
              <a:ln>
                <a:noFill/>
              </a:ln>
              <a:effectLst/>
            </c:spPr>
            <c:txPr>
              <a:bodyPr/>
              <a:lstStyle/>
              <a:p>
                <a:pPr>
                  <a:defRPr sz="900">
                    <a:latin typeface="Fira Sans" panose="020B0503050000020004" pitchFamily="34" charset="0"/>
                    <a:ea typeface="Fira Sans" panose="020B05030500000200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'33 wyposażenie kwintyl I i V'!$B$18:$B$22</c:f>
              <c:strCache>
                <c:ptCount val="5"/>
                <c:pt idx="0">
                  <c:v>device with access
to the Internet</c:v>
                </c:pt>
                <c:pt idx="1">
                  <c:v>smartphone</c:v>
                </c:pt>
                <c:pt idx="2">
                  <c:v>plasma or LCD TV set</c:v>
                </c:pt>
                <c:pt idx="3">
                  <c:v>dishwasher</c:v>
                </c:pt>
                <c:pt idx="4">
                  <c:v>passenger car</c:v>
                </c:pt>
              </c:strCache>
            </c:strRef>
          </c:cat>
          <c:val>
            <c:numRef>
              <c:f>'33 wyposażenie kwintyl I i V'!$D$18:$D$22</c:f>
              <c:numCache>
                <c:formatCode>0.0%</c:formatCode>
                <c:ptCount val="5"/>
                <c:pt idx="0">
                  <c:v>0.93200000000000005</c:v>
                </c:pt>
                <c:pt idx="1">
                  <c:v>0.873</c:v>
                </c:pt>
                <c:pt idx="2">
                  <c:v>0.91</c:v>
                </c:pt>
                <c:pt idx="3">
                  <c:v>0.55500000000000005</c:v>
                </c:pt>
                <c:pt idx="4">
                  <c:v>0.78099999999999992</c:v>
                </c:pt>
              </c:numCache>
            </c:numRef>
          </c:val>
          <c:extLst>
            <c:ext xmlns:c16="http://schemas.microsoft.com/office/drawing/2014/chart" uri="{C3380CC4-5D6E-409C-BE32-E72D297353CC}">
              <c16:uniqueId val="{00000009-B8D0-4129-92A7-3FC36AEF8533}"/>
            </c:ext>
          </c:extLst>
        </c:ser>
        <c:dLbls>
          <c:showLegendKey val="0"/>
          <c:showVal val="0"/>
          <c:showCatName val="0"/>
          <c:showSerName val="0"/>
          <c:showPercent val="0"/>
          <c:showBubbleSize val="0"/>
        </c:dLbls>
        <c:gapWidth val="70"/>
        <c:axId val="-188961488"/>
        <c:axId val="-188969648"/>
      </c:barChart>
      <c:catAx>
        <c:axId val="-188961488"/>
        <c:scaling>
          <c:orientation val="minMax"/>
        </c:scaling>
        <c:delete val="0"/>
        <c:axPos val="b"/>
        <c:numFmt formatCode="General" sourceLinked="1"/>
        <c:majorTickMark val="out"/>
        <c:minorTickMark val="none"/>
        <c:tickLblPos val="nextTo"/>
        <c:spPr>
          <a:ln>
            <a:solidFill>
              <a:sysClr val="windowText" lastClr="000000"/>
            </a:solidFill>
          </a:ln>
        </c:spPr>
        <c:txPr>
          <a:bodyPr/>
          <a:lstStyle/>
          <a:p>
            <a:pPr>
              <a:defRPr sz="900" spc="0" baseline="0">
                <a:latin typeface="Fira Sans" panose="020B0503050000020004" pitchFamily="34" charset="0"/>
                <a:ea typeface="Fira Sans" panose="020B0503050000020004" pitchFamily="34" charset="0"/>
              </a:defRPr>
            </a:pPr>
            <a:endParaRPr lang="pl-PL"/>
          </a:p>
        </c:txPr>
        <c:crossAx val="-188969648"/>
        <c:crosses val="autoZero"/>
        <c:auto val="1"/>
        <c:lblAlgn val="ctr"/>
        <c:lblOffset val="100"/>
        <c:noMultiLvlLbl val="0"/>
      </c:catAx>
      <c:valAx>
        <c:axId val="-188969648"/>
        <c:scaling>
          <c:orientation val="minMax"/>
          <c:max val="1"/>
          <c:min val="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latin typeface="Fira Sans" panose="020B0503050000020004" pitchFamily="34" charset="0"/>
                <a:ea typeface="Fira Sans" panose="020B0503050000020004" pitchFamily="34" charset="0"/>
              </a:defRPr>
            </a:pPr>
            <a:endParaRPr lang="pl-PL"/>
          </a:p>
        </c:txPr>
        <c:crossAx val="-188961488"/>
        <c:crosses val="autoZero"/>
        <c:crossBetween val="between"/>
        <c:majorUnit val="0.2"/>
      </c:valAx>
    </c:plotArea>
    <c:legend>
      <c:legendPos val="r"/>
      <c:layout>
        <c:manualLayout>
          <c:xMode val="edge"/>
          <c:yMode val="edge"/>
          <c:x val="0.50462924191002723"/>
          <c:y val="0.10232333333333334"/>
          <c:w val="0.49153399335681774"/>
          <c:h val="7.4279620227326065E-2"/>
        </c:manualLayout>
      </c:layout>
      <c:overlay val="0"/>
      <c:spPr>
        <a:solidFill>
          <a:schemeClr val="bg1"/>
        </a:solidFill>
        <a:ln w="6350">
          <a:noFill/>
        </a:ln>
      </c:spPr>
      <c:txPr>
        <a:bodyPr/>
        <a:lstStyle/>
        <a:p>
          <a:pPr>
            <a:defRPr sz="900" baseline="0"/>
          </a:pPr>
          <a:endParaRPr lang="pl-PL"/>
        </a:p>
      </c:txPr>
    </c:legend>
    <c:plotVisOnly val="1"/>
    <c:dispBlanksAs val="gap"/>
    <c:showDLblsOverMax val="0"/>
  </c:chart>
  <c:spPr>
    <a:ln>
      <a:noFill/>
    </a:ln>
  </c:spPr>
  <c:txPr>
    <a:bodyPr/>
    <a:lstStyle/>
    <a:p>
      <a:pPr>
        <a:spcBef>
          <a:spcPts val="1200"/>
        </a:spcBef>
        <a:spcAft>
          <a:spcPts val="1200"/>
        </a:spcAft>
        <a:defRPr sz="800">
          <a:solidFill>
            <a:sysClr val="windowText" lastClr="000000"/>
          </a:solidFill>
          <a:latin typeface="Arial" panose="020B0604020202020204" pitchFamily="34" charset="0"/>
          <a:cs typeface="Arial" panose="020B0604020202020204" pitchFamily="34" charset="0"/>
        </a:defRPr>
      </a:pPr>
      <a:endParaRPr lang="pl-PL"/>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013728302549544E-2"/>
          <c:y val="0.23289258653989006"/>
          <c:w val="0.91304068583096876"/>
          <c:h val="0.56352407064039811"/>
        </c:manualLayout>
      </c:layout>
      <c:barChart>
        <c:barDir val="col"/>
        <c:grouping val="clustered"/>
        <c:varyColors val="0"/>
        <c:ser>
          <c:idx val="0"/>
          <c:order val="0"/>
          <c:tx>
            <c:strRef>
              <c:f>'34 wyposażenie miasto wieś'!$C$17</c:f>
              <c:strCache>
                <c:ptCount val="1"/>
                <c:pt idx="0">
                  <c:v>Urban areas</c:v>
                </c:pt>
              </c:strCache>
            </c:strRef>
          </c:tx>
          <c:spPr>
            <a:solidFill>
              <a:srgbClr val="99A5C9"/>
            </a:solidFill>
            <a:scene3d>
              <a:camera prst="orthographicFront"/>
              <a:lightRig rig="threePt" dir="t"/>
            </a:scene3d>
          </c:spPr>
          <c:invertIfNegative val="0"/>
          <c:dPt>
            <c:idx val="0"/>
            <c:invertIfNegative val="0"/>
            <c:bubble3D val="0"/>
            <c:extLst>
              <c:ext xmlns:c16="http://schemas.microsoft.com/office/drawing/2014/chart" uri="{C3380CC4-5D6E-409C-BE32-E72D297353CC}">
                <c16:uniqueId val="{00000000-5253-4BD1-9A5A-B3335B3E4097}"/>
              </c:ext>
            </c:extLst>
          </c:dPt>
          <c:dPt>
            <c:idx val="2"/>
            <c:invertIfNegative val="0"/>
            <c:bubble3D val="0"/>
            <c:extLst>
              <c:ext xmlns:c16="http://schemas.microsoft.com/office/drawing/2014/chart" uri="{C3380CC4-5D6E-409C-BE32-E72D297353CC}">
                <c16:uniqueId val="{00000001-5253-4BD1-9A5A-B3335B3E4097}"/>
              </c:ext>
            </c:extLst>
          </c:dPt>
          <c:dPt>
            <c:idx val="4"/>
            <c:invertIfNegative val="0"/>
            <c:bubble3D val="0"/>
            <c:extLst>
              <c:ext xmlns:c16="http://schemas.microsoft.com/office/drawing/2014/chart" uri="{C3380CC4-5D6E-409C-BE32-E72D297353CC}">
                <c16:uniqueId val="{00000002-5253-4BD1-9A5A-B3335B3E4097}"/>
              </c:ext>
            </c:extLst>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'34 wyposażenie miasto wieś'!$B$18:$B$22</c:f>
              <c:strCache>
                <c:ptCount val="5"/>
                <c:pt idx="0">
                  <c:v>device with access
to the Internet</c:v>
                </c:pt>
                <c:pt idx="1">
                  <c:v>smartphone</c:v>
                </c:pt>
                <c:pt idx="2">
                  <c:v>plasma or LCD 
TV set</c:v>
                </c:pt>
                <c:pt idx="3">
                  <c:v>dishwasher</c:v>
                </c:pt>
                <c:pt idx="4">
                  <c:v>passenger car</c:v>
                </c:pt>
              </c:strCache>
            </c:strRef>
          </c:cat>
          <c:val>
            <c:numRef>
              <c:f>'34 wyposażenie miasto wieś'!$C$18:$C$22</c:f>
              <c:numCache>
                <c:formatCode>0.0%</c:formatCode>
                <c:ptCount val="5"/>
                <c:pt idx="0">
                  <c:v>0.86299999999999999</c:v>
                </c:pt>
                <c:pt idx="1">
                  <c:v>0.80400000000000005</c:v>
                </c:pt>
                <c:pt idx="2">
                  <c:v>0.91900000000000004</c:v>
                </c:pt>
                <c:pt idx="3">
                  <c:v>0.45200000000000001</c:v>
                </c:pt>
                <c:pt idx="4">
                  <c:v>0.66799999999999993</c:v>
                </c:pt>
              </c:numCache>
            </c:numRef>
          </c:val>
          <c:extLst>
            <c:ext xmlns:c16="http://schemas.microsoft.com/office/drawing/2014/chart" uri="{C3380CC4-5D6E-409C-BE32-E72D297353CC}">
              <c16:uniqueId val="{00000003-5253-4BD1-9A5A-B3335B3E4097}"/>
            </c:ext>
          </c:extLst>
        </c:ser>
        <c:ser>
          <c:idx val="1"/>
          <c:order val="1"/>
          <c:tx>
            <c:strRef>
              <c:f>'34 wyposażenie miasto wieś'!$D$17</c:f>
              <c:strCache>
                <c:ptCount val="1"/>
                <c:pt idx="0">
                  <c:v>Rural areas</c:v>
                </c:pt>
              </c:strCache>
            </c:strRef>
          </c:tx>
          <c:spPr>
            <a:solidFill>
              <a:srgbClr val="6677AD"/>
            </a:solidFill>
            <a:ln w="3175">
              <a:noFill/>
            </a:ln>
            <a:scene3d>
              <a:camera prst="orthographicFront"/>
              <a:lightRig rig="threePt" dir="t"/>
            </a:scene3d>
          </c:spPr>
          <c:invertIfNegative val="0"/>
          <c:dPt>
            <c:idx val="0"/>
            <c:invertIfNegative val="0"/>
            <c:bubble3D val="0"/>
            <c:extLst>
              <c:ext xmlns:c16="http://schemas.microsoft.com/office/drawing/2014/chart" uri="{C3380CC4-5D6E-409C-BE32-E72D297353CC}">
                <c16:uniqueId val="{00000004-5253-4BD1-9A5A-B3335B3E4097}"/>
              </c:ext>
            </c:extLst>
          </c:dPt>
          <c:dPt>
            <c:idx val="1"/>
            <c:invertIfNegative val="0"/>
            <c:bubble3D val="0"/>
            <c:extLst>
              <c:ext xmlns:c16="http://schemas.microsoft.com/office/drawing/2014/chart" uri="{C3380CC4-5D6E-409C-BE32-E72D297353CC}">
                <c16:uniqueId val="{00000005-5253-4BD1-9A5A-B3335B3E4097}"/>
              </c:ext>
            </c:extLst>
          </c:dPt>
          <c:dPt>
            <c:idx val="2"/>
            <c:invertIfNegative val="0"/>
            <c:bubble3D val="0"/>
            <c:extLst>
              <c:ext xmlns:c16="http://schemas.microsoft.com/office/drawing/2014/chart" uri="{C3380CC4-5D6E-409C-BE32-E72D297353CC}">
                <c16:uniqueId val="{00000006-5253-4BD1-9A5A-B3335B3E4097}"/>
              </c:ext>
            </c:extLst>
          </c:dPt>
          <c:dPt>
            <c:idx val="3"/>
            <c:invertIfNegative val="0"/>
            <c:bubble3D val="0"/>
            <c:extLst>
              <c:ext xmlns:c16="http://schemas.microsoft.com/office/drawing/2014/chart" uri="{C3380CC4-5D6E-409C-BE32-E72D297353CC}">
                <c16:uniqueId val="{00000007-5253-4BD1-9A5A-B3335B3E4097}"/>
              </c:ext>
            </c:extLst>
          </c:dPt>
          <c:dPt>
            <c:idx val="4"/>
            <c:invertIfNegative val="0"/>
            <c:bubble3D val="0"/>
            <c:extLst>
              <c:ext xmlns:c16="http://schemas.microsoft.com/office/drawing/2014/chart" uri="{C3380CC4-5D6E-409C-BE32-E72D297353CC}">
                <c16:uniqueId val="{00000008-5253-4BD1-9A5A-B3335B3E4097}"/>
              </c:ext>
            </c:extLst>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'34 wyposażenie miasto wieś'!$B$18:$B$22</c:f>
              <c:strCache>
                <c:ptCount val="5"/>
                <c:pt idx="0">
                  <c:v>device with access
to the Internet</c:v>
                </c:pt>
                <c:pt idx="1">
                  <c:v>smartphone</c:v>
                </c:pt>
                <c:pt idx="2">
                  <c:v>plasma or LCD 
TV set</c:v>
                </c:pt>
                <c:pt idx="3">
                  <c:v>dishwasher</c:v>
                </c:pt>
                <c:pt idx="4">
                  <c:v>passenger car</c:v>
                </c:pt>
              </c:strCache>
            </c:strRef>
          </c:cat>
          <c:val>
            <c:numRef>
              <c:f>'34 wyposażenie miasto wieś'!$D$18:$D$22</c:f>
              <c:numCache>
                <c:formatCode>0.0%</c:formatCode>
                <c:ptCount val="5"/>
                <c:pt idx="0">
                  <c:v>0.82599999999999996</c:v>
                </c:pt>
                <c:pt idx="1">
                  <c:v>0.7609999999999999</c:v>
                </c:pt>
                <c:pt idx="2">
                  <c:v>0.94200000000000006</c:v>
                </c:pt>
                <c:pt idx="3">
                  <c:v>0.46700000000000003</c:v>
                </c:pt>
                <c:pt idx="4">
                  <c:v>0.80900000000000005</c:v>
                </c:pt>
              </c:numCache>
            </c:numRef>
          </c:val>
          <c:extLst>
            <c:ext xmlns:c16="http://schemas.microsoft.com/office/drawing/2014/chart" uri="{C3380CC4-5D6E-409C-BE32-E72D297353CC}">
              <c16:uniqueId val="{00000009-5253-4BD1-9A5A-B3335B3E4097}"/>
            </c:ext>
          </c:extLst>
        </c:ser>
        <c:dLbls>
          <c:showLegendKey val="0"/>
          <c:showVal val="0"/>
          <c:showCatName val="0"/>
          <c:showSerName val="0"/>
          <c:showPercent val="0"/>
          <c:showBubbleSize val="0"/>
        </c:dLbls>
        <c:gapWidth val="70"/>
        <c:axId val="-188960944"/>
        <c:axId val="-188968016"/>
      </c:barChart>
      <c:catAx>
        <c:axId val="-188960944"/>
        <c:scaling>
          <c:orientation val="minMax"/>
        </c:scaling>
        <c:delete val="0"/>
        <c:axPos val="b"/>
        <c:numFmt formatCode="General" sourceLinked="1"/>
        <c:majorTickMark val="out"/>
        <c:minorTickMark val="none"/>
        <c:tickLblPos val="nextTo"/>
        <c:spPr>
          <a:ln>
            <a:solidFill>
              <a:sysClr val="windowText" lastClr="000000"/>
            </a:solidFill>
          </a:ln>
        </c:spPr>
        <c:txPr>
          <a:bodyPr/>
          <a:lstStyle/>
          <a:p>
            <a:pPr>
              <a:defRPr sz="900" spc="-10" baseline="0"/>
            </a:pPr>
            <a:endParaRPr lang="pl-PL"/>
          </a:p>
        </c:txPr>
        <c:crossAx val="-188968016"/>
        <c:crosses val="autoZero"/>
        <c:auto val="1"/>
        <c:lblAlgn val="ctr"/>
        <c:lblOffset val="100"/>
        <c:noMultiLvlLbl val="0"/>
      </c:catAx>
      <c:valAx>
        <c:axId val="-188968016"/>
        <c:scaling>
          <c:orientation val="minMax"/>
          <c:max val="1"/>
          <c:min val="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88960944"/>
        <c:crosses val="autoZero"/>
        <c:crossBetween val="between"/>
        <c:majorUnit val="0.2"/>
      </c:valAx>
    </c:plotArea>
    <c:legend>
      <c:legendPos val="r"/>
      <c:layout>
        <c:manualLayout>
          <c:xMode val="edge"/>
          <c:yMode val="edge"/>
          <c:x val="0.66293787625989142"/>
          <c:y val="0.13173414192791122"/>
          <c:w val="0.32277295758260788"/>
          <c:h val="7.5330826184040425E-2"/>
        </c:manualLayout>
      </c:layout>
      <c:overlay val="0"/>
      <c:spPr>
        <a:solidFill>
          <a:schemeClr val="bg1"/>
        </a:solidFill>
        <a:ln w="6350">
          <a:noFill/>
        </a:ln>
      </c:spPr>
      <c:txPr>
        <a:bodyPr/>
        <a:lstStyle/>
        <a:p>
          <a:pPr>
            <a:defRPr sz="900"/>
          </a:pPr>
          <a:endParaRPr lang="pl-PL"/>
        </a:p>
      </c:txPr>
    </c:legend>
    <c:plotVisOnly val="1"/>
    <c:dispBlanksAs val="gap"/>
    <c:showDLblsOverMax val="0"/>
  </c:chart>
  <c:spPr>
    <a:ln>
      <a:noFill/>
    </a:ln>
  </c:spPr>
  <c:txPr>
    <a:bodyPr/>
    <a:lstStyle/>
    <a:p>
      <a:pPr>
        <a:spcBef>
          <a:spcPts val="1200"/>
        </a:spcBef>
        <a:spcAft>
          <a:spcPts val="1200"/>
        </a:spcAft>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010975190601174E-2"/>
          <c:y val="0.30539819963262888"/>
          <c:w val="0.91059469796758674"/>
          <c:h val="0.54030769869181372"/>
        </c:manualLayout>
      </c:layout>
      <c:barChart>
        <c:barDir val="col"/>
        <c:grouping val="clustered"/>
        <c:varyColors val="0"/>
        <c:ser>
          <c:idx val="0"/>
          <c:order val="0"/>
          <c:tx>
            <c:strRef>
              <c:f>'39 w. sanit-tech. miasto wieś'!$C$11</c:f>
              <c:strCache>
                <c:ptCount val="1"/>
                <c:pt idx="0">
                  <c:v>Urban areas</c:v>
                </c:pt>
              </c:strCache>
            </c:strRef>
          </c:tx>
          <c:spPr>
            <a:solidFill>
              <a:srgbClr val="99CEB3"/>
            </a:solidFill>
            <a:ln>
              <a:noFill/>
            </a:ln>
            <a:scene3d>
              <a:camera prst="orthographicFront"/>
              <a:lightRig rig="threePt" dir="t"/>
            </a:scene3d>
          </c:spPr>
          <c:invertIfNegative val="0"/>
          <c:dLbls>
            <c:dLbl>
              <c:idx val="0"/>
              <c:layout>
                <c:manualLayout>
                  <c:x val="0"/>
                  <c:y val="-4.43043053348206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02-4F9F-98EB-33DBEE36ACD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'39 w. sanit-tech. miasto wieś'!$B$12:$B$17</c:f>
              <c:strCache>
                <c:ptCount val="6"/>
                <c:pt idx="0">
                  <c:v>water supply</c:v>
                </c:pt>
                <c:pt idx="1">
                  <c:v>flushing toilet</c:v>
                </c:pt>
                <c:pt idx="2">
                  <c:v>bathroom</c:v>
                </c:pt>
                <c:pt idx="3">
                  <c:v>hot running water</c:v>
                </c:pt>
                <c:pt idx="4">
                  <c:v>gas</c:v>
                </c:pt>
                <c:pt idx="5">
                  <c:v>central heating</c:v>
                </c:pt>
              </c:strCache>
            </c:strRef>
          </c:cat>
          <c:val>
            <c:numRef>
              <c:f>'39 w. sanit-tech. miasto wieś'!$C$12:$C$17</c:f>
              <c:numCache>
                <c:formatCode>0.0%</c:formatCode>
                <c:ptCount val="6"/>
                <c:pt idx="0">
                  <c:v>0.99950000000000006</c:v>
                </c:pt>
                <c:pt idx="1">
                  <c:v>0.99470000000000003</c:v>
                </c:pt>
                <c:pt idx="2">
                  <c:v>0.99199999999999999</c:v>
                </c:pt>
                <c:pt idx="3">
                  <c:v>0.99569999999999992</c:v>
                </c:pt>
                <c:pt idx="4">
                  <c:v>0.85569999999999991</c:v>
                </c:pt>
                <c:pt idx="5">
                  <c:v>0.87470000000000003</c:v>
                </c:pt>
              </c:numCache>
            </c:numRef>
          </c:val>
          <c:extLst>
            <c:ext xmlns:c16="http://schemas.microsoft.com/office/drawing/2014/chart" uri="{C3380CC4-5D6E-409C-BE32-E72D297353CC}">
              <c16:uniqueId val="{00000001-4F02-4F9F-98EB-33DBEE36ACDA}"/>
            </c:ext>
          </c:extLst>
        </c:ser>
        <c:ser>
          <c:idx val="1"/>
          <c:order val="1"/>
          <c:tx>
            <c:strRef>
              <c:f>'39 w. sanit-tech. miasto wieś'!$D$11</c:f>
              <c:strCache>
                <c:ptCount val="1"/>
                <c:pt idx="0">
                  <c:v>Rural areas</c:v>
                </c:pt>
              </c:strCache>
            </c:strRef>
          </c:tx>
          <c:spPr>
            <a:solidFill>
              <a:srgbClr val="339D68"/>
            </a:solidFill>
            <a:scene3d>
              <a:camera prst="orthographicFront"/>
              <a:lightRig rig="threePt" dir="t"/>
            </a:scene3d>
          </c:spPr>
          <c:invertIfNegative val="0"/>
          <c:dLbls>
            <c:dLbl>
              <c:idx val="0"/>
              <c:layout>
                <c:manualLayout>
                  <c:x val="7.435865658693743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02-4F9F-98EB-33DBEE36ACDA}"/>
                </c:ext>
              </c:extLst>
            </c:dLbl>
            <c:dLbl>
              <c:idx val="2"/>
              <c:layout>
                <c:manualLayout>
                  <c:x val="4.957243772462510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02-4F9F-98EB-33DBEE36ACD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'39 w. sanit-tech. miasto wieś'!$B$12:$B$17</c:f>
              <c:strCache>
                <c:ptCount val="6"/>
                <c:pt idx="0">
                  <c:v>water supply</c:v>
                </c:pt>
                <c:pt idx="1">
                  <c:v>flushing toilet</c:v>
                </c:pt>
                <c:pt idx="2">
                  <c:v>bathroom</c:v>
                </c:pt>
                <c:pt idx="3">
                  <c:v>hot running water</c:v>
                </c:pt>
                <c:pt idx="4">
                  <c:v>gas</c:v>
                </c:pt>
                <c:pt idx="5">
                  <c:v>central heating</c:v>
                </c:pt>
              </c:strCache>
            </c:strRef>
          </c:cat>
          <c:val>
            <c:numRef>
              <c:f>'39 w. sanit-tech. miasto wieś'!$D$12:$D$17</c:f>
              <c:numCache>
                <c:formatCode>0.0%</c:formatCode>
                <c:ptCount val="6"/>
                <c:pt idx="0">
                  <c:v>0.99739999999999995</c:v>
                </c:pt>
                <c:pt idx="1">
                  <c:v>0.97739999999999994</c:v>
                </c:pt>
                <c:pt idx="2">
                  <c:v>0.9758</c:v>
                </c:pt>
                <c:pt idx="3">
                  <c:v>0.98349999999999993</c:v>
                </c:pt>
                <c:pt idx="4">
                  <c:v>0.91650000000000009</c:v>
                </c:pt>
                <c:pt idx="5">
                  <c:v>0.86560000000000004</c:v>
                </c:pt>
              </c:numCache>
            </c:numRef>
          </c:val>
          <c:extLst>
            <c:ext xmlns:c16="http://schemas.microsoft.com/office/drawing/2014/chart" uri="{C3380CC4-5D6E-409C-BE32-E72D297353CC}">
              <c16:uniqueId val="{00000004-4F02-4F9F-98EB-33DBEE36ACDA}"/>
            </c:ext>
          </c:extLst>
        </c:ser>
        <c:dLbls>
          <c:showLegendKey val="0"/>
          <c:showVal val="0"/>
          <c:showCatName val="0"/>
          <c:showSerName val="0"/>
          <c:showPercent val="0"/>
          <c:showBubbleSize val="0"/>
        </c:dLbls>
        <c:gapWidth val="45"/>
        <c:axId val="-188967472"/>
        <c:axId val="-188966384"/>
      </c:barChart>
      <c:catAx>
        <c:axId val="-188967472"/>
        <c:scaling>
          <c:orientation val="minMax"/>
        </c:scaling>
        <c:delete val="0"/>
        <c:axPos val="b"/>
        <c:numFmt formatCode="General" sourceLinked="1"/>
        <c:majorTickMark val="out"/>
        <c:minorTickMark val="none"/>
        <c:tickLblPos val="nextTo"/>
        <c:spPr>
          <a:ln>
            <a:solidFill>
              <a:sysClr val="windowText" lastClr="000000"/>
            </a:solidFill>
          </a:ln>
        </c:spPr>
        <c:crossAx val="-188966384"/>
        <c:crosses val="autoZero"/>
        <c:auto val="1"/>
        <c:lblAlgn val="ctr"/>
        <c:lblOffset val="100"/>
        <c:noMultiLvlLbl val="0"/>
      </c:catAx>
      <c:valAx>
        <c:axId val="-188966384"/>
        <c:scaling>
          <c:orientation val="minMax"/>
          <c:max val="1"/>
          <c:min val="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88967472"/>
        <c:crosses val="autoZero"/>
        <c:crossBetween val="between"/>
        <c:majorUnit val="0.2"/>
        <c:minorUnit val="0.1"/>
      </c:valAx>
      <c:spPr>
        <a:noFill/>
        <a:ln w="25400">
          <a:noFill/>
        </a:ln>
      </c:spPr>
    </c:plotArea>
    <c:legend>
      <c:legendPos val="r"/>
      <c:layout>
        <c:manualLayout>
          <c:xMode val="edge"/>
          <c:yMode val="edge"/>
          <c:x val="0.63885639899176683"/>
          <c:y val="0.14226850812328981"/>
          <c:w val="0.34472946427613022"/>
          <c:h val="7.0315775142928541E-2"/>
        </c:manualLayout>
      </c:layout>
      <c:overlay val="0"/>
      <c:spPr>
        <a:solidFill>
          <a:schemeClr val="bg1"/>
        </a:solidFill>
        <a:ln w="6350">
          <a:noFill/>
        </a:ln>
      </c:sp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010975190601174E-2"/>
          <c:y val="0.3196116480700576"/>
          <c:w val="0.91307301271355945"/>
          <c:h val="0.52908364715280154"/>
        </c:manualLayout>
      </c:layout>
      <c:barChart>
        <c:barDir val="col"/>
        <c:grouping val="clustered"/>
        <c:varyColors val="0"/>
        <c:ser>
          <c:idx val="0"/>
          <c:order val="0"/>
          <c:tx>
            <c:strRef>
              <c:f>'40 w.sanit-tech kwintyle'!$C$11</c:f>
              <c:strCache>
                <c:ptCount val="1"/>
                <c:pt idx="0">
                  <c:v>first quintile group</c:v>
                </c:pt>
              </c:strCache>
            </c:strRef>
          </c:tx>
          <c:spPr>
            <a:solidFill>
              <a:srgbClr val="99CEB3"/>
            </a:solidFill>
            <a:ln>
              <a:noFill/>
            </a:ln>
            <a:scene3d>
              <a:camera prst="orthographicFront"/>
              <a:lightRig rig="threePt" dir="t"/>
            </a:scene3d>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'40 w.sanit-tech kwintyle'!$B$12:$B$17</c:f>
              <c:strCache>
                <c:ptCount val="6"/>
                <c:pt idx="0">
                  <c:v>water supply</c:v>
                </c:pt>
                <c:pt idx="1">
                  <c:v>flushing toilet</c:v>
                </c:pt>
                <c:pt idx="2">
                  <c:v>bathroom</c:v>
                </c:pt>
                <c:pt idx="3">
                  <c:v>hot running water</c:v>
                </c:pt>
                <c:pt idx="4">
                  <c:v>gas</c:v>
                </c:pt>
                <c:pt idx="5">
                  <c:v>central heating</c:v>
                </c:pt>
              </c:strCache>
            </c:strRef>
          </c:cat>
          <c:val>
            <c:numRef>
              <c:f>'40 w.sanit-tech kwintyle'!$C$12:$C$17</c:f>
              <c:numCache>
                <c:formatCode>0.0%</c:formatCode>
                <c:ptCount val="6"/>
                <c:pt idx="0">
                  <c:v>0.99639999999999995</c:v>
                </c:pt>
                <c:pt idx="1">
                  <c:v>0.97209999999999996</c:v>
                </c:pt>
                <c:pt idx="2">
                  <c:v>0.96650000000000003</c:v>
                </c:pt>
                <c:pt idx="3">
                  <c:v>0.97750000000000004</c:v>
                </c:pt>
                <c:pt idx="4">
                  <c:v>0.88390000000000002</c:v>
                </c:pt>
                <c:pt idx="5">
                  <c:v>0.82779999999999998</c:v>
                </c:pt>
              </c:numCache>
            </c:numRef>
          </c:val>
          <c:extLst>
            <c:ext xmlns:c16="http://schemas.microsoft.com/office/drawing/2014/chart" uri="{C3380CC4-5D6E-409C-BE32-E72D297353CC}">
              <c16:uniqueId val="{00000000-15F7-4803-B024-7472AB70CC36}"/>
            </c:ext>
          </c:extLst>
        </c:ser>
        <c:ser>
          <c:idx val="1"/>
          <c:order val="1"/>
          <c:tx>
            <c:strRef>
              <c:f>'40 w.sanit-tech kwintyle'!$D$11</c:f>
              <c:strCache>
                <c:ptCount val="1"/>
                <c:pt idx="0">
                  <c:v>fifth quintile group</c:v>
                </c:pt>
              </c:strCache>
            </c:strRef>
          </c:tx>
          <c:spPr>
            <a:solidFill>
              <a:srgbClr val="339D68"/>
            </a:solidFill>
            <a:scene3d>
              <a:camera prst="orthographicFront"/>
              <a:lightRig rig="threePt" dir="t"/>
            </a:scene3d>
          </c:spPr>
          <c:invertIfNegative val="0"/>
          <c:dLbls>
            <c:dLbl>
              <c:idx val="0"/>
              <c:layout>
                <c:manualLayout>
                  <c:x val="7.434944237918215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F7-4803-B024-7472AB70CC3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'40 w.sanit-tech kwintyle'!$B$12:$B$17</c:f>
              <c:strCache>
                <c:ptCount val="6"/>
                <c:pt idx="0">
                  <c:v>water supply</c:v>
                </c:pt>
                <c:pt idx="1">
                  <c:v>flushing toilet</c:v>
                </c:pt>
                <c:pt idx="2">
                  <c:v>bathroom</c:v>
                </c:pt>
                <c:pt idx="3">
                  <c:v>hot running water</c:v>
                </c:pt>
                <c:pt idx="4">
                  <c:v>gas</c:v>
                </c:pt>
                <c:pt idx="5">
                  <c:v>central heating</c:v>
                </c:pt>
              </c:strCache>
            </c:strRef>
          </c:cat>
          <c:val>
            <c:numRef>
              <c:f>'40 w.sanit-tech kwintyle'!$D$12:$D$17</c:f>
              <c:numCache>
                <c:formatCode>0.0%</c:formatCode>
                <c:ptCount val="6"/>
                <c:pt idx="0">
                  <c:v>0.99980000000000002</c:v>
                </c:pt>
                <c:pt idx="1">
                  <c:v>0.99739999999999995</c:v>
                </c:pt>
                <c:pt idx="2">
                  <c:v>0.99730000000000008</c:v>
                </c:pt>
                <c:pt idx="3">
                  <c:v>0.99860000000000004</c:v>
                </c:pt>
                <c:pt idx="4">
                  <c:v>0.81440000000000001</c:v>
                </c:pt>
                <c:pt idx="5">
                  <c:v>0.89690000000000003</c:v>
                </c:pt>
              </c:numCache>
            </c:numRef>
          </c:val>
          <c:extLst>
            <c:ext xmlns:c16="http://schemas.microsoft.com/office/drawing/2014/chart" uri="{C3380CC4-5D6E-409C-BE32-E72D297353CC}">
              <c16:uniqueId val="{00000002-15F7-4803-B024-7472AB70CC36}"/>
            </c:ext>
          </c:extLst>
        </c:ser>
        <c:dLbls>
          <c:showLegendKey val="0"/>
          <c:showVal val="0"/>
          <c:showCatName val="0"/>
          <c:showSerName val="0"/>
          <c:showPercent val="0"/>
          <c:showBubbleSize val="0"/>
        </c:dLbls>
        <c:gapWidth val="45"/>
        <c:axId val="-189663280"/>
        <c:axId val="-189660560"/>
      </c:barChart>
      <c:catAx>
        <c:axId val="-189663280"/>
        <c:scaling>
          <c:orientation val="minMax"/>
        </c:scaling>
        <c:delete val="0"/>
        <c:axPos val="b"/>
        <c:numFmt formatCode="General" sourceLinked="1"/>
        <c:majorTickMark val="out"/>
        <c:minorTickMark val="none"/>
        <c:tickLblPos val="nextTo"/>
        <c:spPr>
          <a:ln>
            <a:solidFill>
              <a:sysClr val="windowText" lastClr="000000"/>
            </a:solidFill>
          </a:ln>
        </c:spPr>
        <c:crossAx val="-189660560"/>
        <c:crosses val="autoZero"/>
        <c:auto val="1"/>
        <c:lblAlgn val="ctr"/>
        <c:lblOffset val="100"/>
        <c:noMultiLvlLbl val="0"/>
      </c:catAx>
      <c:valAx>
        <c:axId val="-189660560"/>
        <c:scaling>
          <c:orientation val="minMax"/>
          <c:max val="1"/>
          <c:min val="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89663280"/>
        <c:crosses val="autoZero"/>
        <c:crossBetween val="between"/>
        <c:majorUnit val="0.2"/>
        <c:minorUnit val="0.1"/>
      </c:valAx>
      <c:spPr>
        <a:noFill/>
        <a:ln w="25400">
          <a:noFill/>
        </a:ln>
      </c:spPr>
    </c:plotArea>
    <c:legend>
      <c:legendPos val="r"/>
      <c:layout>
        <c:manualLayout>
          <c:xMode val="edge"/>
          <c:yMode val="edge"/>
          <c:x val="0.41181707305174214"/>
          <c:y val="0.12822856834147875"/>
          <c:w val="0.57093170974446039"/>
          <c:h val="8.5017760430032022E-2"/>
        </c:manualLayout>
      </c:layout>
      <c:overlay val="0"/>
      <c:spPr>
        <a:solidFill>
          <a:schemeClr val="bg1"/>
        </a:solidFill>
        <a:ln w="6350">
          <a:noFill/>
        </a:ln>
      </c:spPr>
      <c:txPr>
        <a:bodyPr/>
        <a:lstStyle/>
        <a:p>
          <a:pPr>
            <a:defRPr sz="900" spc="-10" baseline="0"/>
          </a:pPr>
          <a:endParaRPr lang="pl-PL"/>
        </a:p>
      </c:tx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36655022064228"/>
          <c:y val="0.14577982617673305"/>
          <c:w val="0.81498385192557254"/>
          <c:h val="0.79042965065203985"/>
        </c:manualLayout>
      </c:layout>
      <c:barChart>
        <c:barDir val="bar"/>
        <c:grouping val="clustered"/>
        <c:varyColors val="0"/>
        <c:ser>
          <c:idx val="1"/>
          <c:order val="0"/>
          <c:tx>
            <c:strRef>
              <c:f>'42 ocena syt. mat. g. społ-ek.'!$B$16</c:f>
              <c:strCache>
                <c:ptCount val="1"/>
                <c:pt idx="0">
                  <c:v>bad + rather bad</c:v>
                </c:pt>
              </c:strCache>
            </c:strRef>
          </c:tx>
          <c:spPr>
            <a:solidFill>
              <a:srgbClr val="99A5C9"/>
            </a:solidFill>
            <a:ln w="3175">
              <a:noFill/>
            </a:ln>
            <a:effectLst/>
            <a:scene3d>
              <a:camera prst="orthographicFront"/>
              <a:lightRig rig="threePt" dir="t"/>
            </a:scene3d>
          </c:spPr>
          <c:invertIfNegative val="0"/>
          <c:dLbls>
            <c:spPr>
              <a:noFill/>
              <a:ln>
                <a:noFill/>
              </a:ln>
              <a:effectLst/>
            </c:spPr>
            <c:txPr>
              <a:bodyPr rot="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'42 ocena syt. mat. g. społ-ek.'!$C$15:$H$15</c:f>
              <c:strCache>
                <c:ptCount val="6"/>
                <c:pt idx="0">
                  <c:v>pensioners</c:v>
                </c:pt>
                <c:pt idx="1">
                  <c:v>retirees</c:v>
                </c:pt>
                <c:pt idx="2">
                  <c:v>self-employed</c:v>
                </c:pt>
                <c:pt idx="3">
                  <c:v>farmers</c:v>
                </c:pt>
                <c:pt idx="4">
                  <c:v>employees</c:v>
                </c:pt>
                <c:pt idx="5">
                  <c:v>Total</c:v>
                </c:pt>
              </c:strCache>
            </c:strRef>
          </c:cat>
          <c:val>
            <c:numRef>
              <c:f>'42 ocena syt. mat. g. społ-ek.'!$C$16:$H$16</c:f>
              <c:numCache>
                <c:formatCode>0.0%</c:formatCode>
                <c:ptCount val="6"/>
                <c:pt idx="0">
                  <c:v>0.1757701296323553</c:v>
                </c:pt>
                <c:pt idx="1">
                  <c:v>8.057238985100694E-2</c:v>
                </c:pt>
                <c:pt idx="2">
                  <c:v>1.7890666049011648E-2</c:v>
                </c:pt>
                <c:pt idx="3">
                  <c:v>2.9199966746729158E-2</c:v>
                </c:pt>
                <c:pt idx="4">
                  <c:v>2.7841251045179313E-2</c:v>
                </c:pt>
                <c:pt idx="5">
                  <c:v>5.8122529603495746E-2</c:v>
                </c:pt>
              </c:numCache>
            </c:numRef>
          </c:val>
          <c:extLst>
            <c:ext xmlns:c16="http://schemas.microsoft.com/office/drawing/2014/chart" uri="{C3380CC4-5D6E-409C-BE32-E72D297353CC}">
              <c16:uniqueId val="{00000000-1F3E-4AC5-879E-DCA38FA4093F}"/>
            </c:ext>
          </c:extLst>
        </c:ser>
        <c:ser>
          <c:idx val="0"/>
          <c:order val="1"/>
          <c:tx>
            <c:strRef>
              <c:f>'42 ocena syt. mat. g. społ-ek.'!$B$17</c:f>
              <c:strCache>
                <c:ptCount val="1"/>
                <c:pt idx="0">
                  <c:v>neither good nor bad</c:v>
                </c:pt>
              </c:strCache>
            </c:strRef>
          </c:tx>
          <c:spPr>
            <a:solidFill>
              <a:srgbClr val="6677AD"/>
            </a:solidFill>
            <a:ln w="3175">
              <a:noFill/>
            </a:ln>
            <a:effectLst/>
            <a:scene3d>
              <a:camera prst="orthographicFront"/>
              <a:lightRig rig="threePt" dir="t"/>
            </a:scene3d>
          </c:spPr>
          <c:invertIfNegative val="0"/>
          <c:dLbls>
            <c:spPr>
              <a:noFill/>
              <a:ln>
                <a:noFill/>
              </a:ln>
              <a:effectLst/>
            </c:spPr>
            <c:txPr>
              <a:bodyPr rot="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'42 ocena syt. mat. g. społ-ek.'!$C$15:$H$15</c:f>
              <c:strCache>
                <c:ptCount val="6"/>
                <c:pt idx="0">
                  <c:v>pensioners</c:v>
                </c:pt>
                <c:pt idx="1">
                  <c:v>retirees</c:v>
                </c:pt>
                <c:pt idx="2">
                  <c:v>self-employed</c:v>
                </c:pt>
                <c:pt idx="3">
                  <c:v>farmers</c:v>
                </c:pt>
                <c:pt idx="4">
                  <c:v>employees</c:v>
                </c:pt>
                <c:pt idx="5">
                  <c:v>Total</c:v>
                </c:pt>
              </c:strCache>
            </c:strRef>
          </c:cat>
          <c:val>
            <c:numRef>
              <c:f>'42 ocena syt. mat. g. społ-ek.'!$C$17:$H$17</c:f>
              <c:numCache>
                <c:formatCode>0.0%</c:formatCode>
                <c:ptCount val="6"/>
                <c:pt idx="0">
                  <c:v>0.58887229543684061</c:v>
                </c:pt>
                <c:pt idx="1">
                  <c:v>0.51679468775880955</c:v>
                </c:pt>
                <c:pt idx="2">
                  <c:v>0.24756099869048726</c:v>
                </c:pt>
                <c:pt idx="3">
                  <c:v>0.50367246426958512</c:v>
                </c:pt>
                <c:pt idx="4">
                  <c:v>0.37994608138156627</c:v>
                </c:pt>
                <c:pt idx="5">
                  <c:v>0.42554599612664817</c:v>
                </c:pt>
              </c:numCache>
            </c:numRef>
          </c:val>
          <c:extLst>
            <c:ext xmlns:c16="http://schemas.microsoft.com/office/drawing/2014/chart" uri="{C3380CC4-5D6E-409C-BE32-E72D297353CC}">
              <c16:uniqueId val="{00000001-1F3E-4AC5-879E-DCA38FA4093F}"/>
            </c:ext>
          </c:extLst>
        </c:ser>
        <c:ser>
          <c:idx val="3"/>
          <c:order val="2"/>
          <c:tx>
            <c:strRef>
              <c:f>'42 ocena syt. mat. g. społ-ek.'!$B$18</c:f>
              <c:strCache>
                <c:ptCount val="1"/>
                <c:pt idx="0">
                  <c:v>good + rather good</c:v>
                </c:pt>
              </c:strCache>
            </c:strRef>
          </c:tx>
          <c:spPr>
            <a:solidFill>
              <a:srgbClr val="334A92"/>
            </a:solidFill>
            <a:ln w="3175">
              <a:noFill/>
            </a:ln>
            <a:effectLst/>
            <a:scene3d>
              <a:camera prst="orthographicFront"/>
              <a:lightRig rig="threePt" dir="t"/>
            </a:scene3d>
          </c:spPr>
          <c:invertIfNegative val="0"/>
          <c:dLbls>
            <c:spPr>
              <a:noFill/>
              <a:ln>
                <a:noFill/>
              </a:ln>
              <a:effectLst/>
            </c:spPr>
            <c:txPr>
              <a:bodyPr rot="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'42 ocena syt. mat. g. społ-ek.'!$C$15:$H$15</c:f>
              <c:strCache>
                <c:ptCount val="6"/>
                <c:pt idx="0">
                  <c:v>pensioners</c:v>
                </c:pt>
                <c:pt idx="1">
                  <c:v>retirees</c:v>
                </c:pt>
                <c:pt idx="2">
                  <c:v>self-employed</c:v>
                </c:pt>
                <c:pt idx="3">
                  <c:v>farmers</c:v>
                </c:pt>
                <c:pt idx="4">
                  <c:v>employees</c:v>
                </c:pt>
                <c:pt idx="5">
                  <c:v>Total</c:v>
                </c:pt>
              </c:strCache>
            </c:strRef>
          </c:cat>
          <c:val>
            <c:numRef>
              <c:f>'42 ocena syt. mat. g. społ-ek.'!$C$18:$H$18</c:f>
              <c:numCache>
                <c:formatCode>0.0%</c:formatCode>
                <c:ptCount val="6"/>
                <c:pt idx="0">
                  <c:v>0.23536116486033379</c:v>
                </c:pt>
                <c:pt idx="1">
                  <c:v>0.40243316865562956</c:v>
                </c:pt>
                <c:pt idx="2">
                  <c:v>0.73444833526050113</c:v>
                </c:pt>
                <c:pt idx="3">
                  <c:v>0.46712981582631008</c:v>
                </c:pt>
                <c:pt idx="4">
                  <c:v>0.5922129547104279</c:v>
                </c:pt>
                <c:pt idx="5">
                  <c:v>0.51633147426985604</c:v>
                </c:pt>
              </c:numCache>
            </c:numRef>
          </c:val>
          <c:extLst>
            <c:ext xmlns:c16="http://schemas.microsoft.com/office/drawing/2014/chart" uri="{C3380CC4-5D6E-409C-BE32-E72D297353CC}">
              <c16:uniqueId val="{00000002-1F3E-4AC5-879E-DCA38FA4093F}"/>
            </c:ext>
          </c:extLst>
        </c:ser>
        <c:dLbls>
          <c:showLegendKey val="0"/>
          <c:showVal val="0"/>
          <c:showCatName val="0"/>
          <c:showSerName val="0"/>
          <c:showPercent val="0"/>
          <c:showBubbleSize val="0"/>
        </c:dLbls>
        <c:gapWidth val="57"/>
        <c:axId val="-189666544"/>
        <c:axId val="-189662736"/>
      </c:barChart>
      <c:catAx>
        <c:axId val="-189666544"/>
        <c:scaling>
          <c:orientation val="minMax"/>
        </c:scaling>
        <c:delete val="0"/>
        <c:axPos val="l"/>
        <c:numFmt formatCode="General" sourceLinked="1"/>
        <c:majorTickMark val="out"/>
        <c:minorTickMark val="none"/>
        <c:tickLblPos val="nextTo"/>
        <c:spPr>
          <a:ln>
            <a:solidFill>
              <a:sysClr val="windowText" lastClr="000000"/>
            </a:solidFill>
          </a:ln>
        </c:spPr>
        <c:crossAx val="-189662736"/>
        <c:crosses val="autoZero"/>
        <c:auto val="1"/>
        <c:lblAlgn val="ctr"/>
        <c:lblOffset val="100"/>
        <c:noMultiLvlLbl val="0"/>
      </c:catAx>
      <c:valAx>
        <c:axId val="-189662736"/>
        <c:scaling>
          <c:orientation val="minMax"/>
          <c:max val="1"/>
          <c:min val="0"/>
        </c:scaling>
        <c:delete val="0"/>
        <c:axPos val="b"/>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89666544"/>
        <c:crosses val="autoZero"/>
        <c:crossBetween val="between"/>
        <c:majorUnit val="0.2"/>
        <c:minorUnit val="0.1"/>
      </c:valAx>
    </c:plotArea>
    <c:legend>
      <c:legendPos val="r"/>
      <c:layout>
        <c:manualLayout>
          <c:xMode val="edge"/>
          <c:yMode val="edge"/>
          <c:x val="0.13629902718970141"/>
          <c:y val="7.5551198463855107E-2"/>
          <c:w val="0.83673818385197207"/>
          <c:h val="5.0186557562657601E-2"/>
        </c:manualLayout>
      </c:layout>
      <c:overlay val="0"/>
      <c:spPr>
        <a:solidFill>
          <a:schemeClr val="bg1"/>
        </a:solidFill>
        <a:ln w="6350">
          <a:noFill/>
        </a:ln>
      </c:sp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238961297558148"/>
          <c:y val="0.18519214948877655"/>
          <c:w val="0.77624447501683103"/>
          <c:h val="0.73393702313669407"/>
        </c:manualLayout>
      </c:layout>
      <c:barChart>
        <c:barDir val="bar"/>
        <c:grouping val="clustered"/>
        <c:varyColors val="0"/>
        <c:ser>
          <c:idx val="0"/>
          <c:order val="0"/>
          <c:tx>
            <c:strRef>
              <c:f>'43 ocena syt. mat. miasto wieś'!$B$17</c:f>
              <c:strCache>
                <c:ptCount val="1"/>
                <c:pt idx="0">
                  <c:v>bad + rather bad</c:v>
                </c:pt>
              </c:strCache>
            </c:strRef>
          </c:tx>
          <c:spPr>
            <a:solidFill>
              <a:srgbClr val="99A5C9"/>
            </a:solidFill>
            <a:ln w="3175">
              <a:noFill/>
            </a:ln>
            <a:scene3d>
              <a:camera prst="orthographicFront"/>
              <a:lightRig rig="threePt" dir="t"/>
            </a:scene3d>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'43 ocena syt. mat. miasto wieś'!$C$16:$F$16</c:f>
              <c:strCache>
                <c:ptCount val="4"/>
                <c:pt idx="0">
                  <c:v>Rural areas</c:v>
                </c:pt>
                <c:pt idx="1">
                  <c:v>Cities 500 thousand
and over</c:v>
                </c:pt>
                <c:pt idx="2">
                  <c:v>Urban areas in total</c:v>
                </c:pt>
                <c:pt idx="3">
                  <c:v>Total</c:v>
                </c:pt>
              </c:strCache>
            </c:strRef>
          </c:cat>
          <c:val>
            <c:numRef>
              <c:f>'43 ocena syt. mat. miasto wieś'!$C$17:$F$17</c:f>
              <c:numCache>
                <c:formatCode>0.0%</c:formatCode>
                <c:ptCount val="4"/>
                <c:pt idx="0">
                  <c:v>5.8102476651328845E-2</c:v>
                </c:pt>
                <c:pt idx="1">
                  <c:v>5.3203642576784393E-2</c:v>
                </c:pt>
                <c:pt idx="2">
                  <c:v>5.8132122255651127E-2</c:v>
                </c:pt>
                <c:pt idx="3">
                  <c:v>5.8122386520722852E-2</c:v>
                </c:pt>
              </c:numCache>
            </c:numRef>
          </c:val>
          <c:extLst>
            <c:ext xmlns:c16="http://schemas.microsoft.com/office/drawing/2014/chart" uri="{C3380CC4-5D6E-409C-BE32-E72D297353CC}">
              <c16:uniqueId val="{00000000-D994-4749-A8F2-017F6CCC9C51}"/>
            </c:ext>
          </c:extLst>
        </c:ser>
        <c:ser>
          <c:idx val="1"/>
          <c:order val="1"/>
          <c:tx>
            <c:strRef>
              <c:f>'43 ocena syt. mat. miasto wieś'!$B$18</c:f>
              <c:strCache>
                <c:ptCount val="1"/>
                <c:pt idx="0">
                  <c:v>neither good nor bad</c:v>
                </c:pt>
              </c:strCache>
            </c:strRef>
          </c:tx>
          <c:spPr>
            <a:solidFill>
              <a:srgbClr val="6677AD"/>
            </a:solidFill>
            <a:ln w="3175">
              <a:noFill/>
            </a:ln>
            <a:scene3d>
              <a:camera prst="orthographicFront"/>
              <a:lightRig rig="threePt" dir="t"/>
            </a:scene3d>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'43 ocena syt. mat. miasto wieś'!$C$16:$F$16</c:f>
              <c:strCache>
                <c:ptCount val="4"/>
                <c:pt idx="0">
                  <c:v>Rural areas</c:v>
                </c:pt>
                <c:pt idx="1">
                  <c:v>Cities 500 thousand
and over</c:v>
                </c:pt>
                <c:pt idx="2">
                  <c:v>Urban areas in total</c:v>
                </c:pt>
                <c:pt idx="3">
                  <c:v>Total</c:v>
                </c:pt>
              </c:strCache>
            </c:strRef>
          </c:cat>
          <c:val>
            <c:numRef>
              <c:f>'43 ocena syt. mat. miasto wieś'!$C$18:$F$18</c:f>
              <c:numCache>
                <c:formatCode>0.0%</c:formatCode>
                <c:ptCount val="4"/>
                <c:pt idx="0">
                  <c:v>0.469803229329607</c:v>
                </c:pt>
                <c:pt idx="1">
                  <c:v>0.33830733517226047</c:v>
                </c:pt>
                <c:pt idx="2">
                  <c:v>0.40414765977485112</c:v>
                </c:pt>
                <c:pt idx="3">
                  <c:v>0.42554602748202564</c:v>
                </c:pt>
              </c:numCache>
            </c:numRef>
          </c:val>
          <c:extLst>
            <c:ext xmlns:c16="http://schemas.microsoft.com/office/drawing/2014/chart" uri="{C3380CC4-5D6E-409C-BE32-E72D297353CC}">
              <c16:uniqueId val="{00000001-D994-4749-A8F2-017F6CCC9C51}"/>
            </c:ext>
          </c:extLst>
        </c:ser>
        <c:ser>
          <c:idx val="2"/>
          <c:order val="2"/>
          <c:tx>
            <c:strRef>
              <c:f>'43 ocena syt. mat. miasto wieś'!$B$19</c:f>
              <c:strCache>
                <c:ptCount val="1"/>
                <c:pt idx="0">
                  <c:v>good + rather good</c:v>
                </c:pt>
              </c:strCache>
            </c:strRef>
          </c:tx>
          <c:spPr>
            <a:solidFill>
              <a:srgbClr val="334A92"/>
            </a:solidFill>
            <a:ln w="3175">
              <a:noFill/>
            </a:ln>
            <a:scene3d>
              <a:camera prst="orthographicFront"/>
              <a:lightRig rig="threePt" dir="t"/>
            </a:scene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'43 ocena syt. mat. miasto wieś'!$C$16:$F$16</c:f>
              <c:strCache>
                <c:ptCount val="4"/>
                <c:pt idx="0">
                  <c:v>Rural areas</c:v>
                </c:pt>
                <c:pt idx="1">
                  <c:v>Cities 500 thousand
and over</c:v>
                </c:pt>
                <c:pt idx="2">
                  <c:v>Urban areas in total</c:v>
                </c:pt>
                <c:pt idx="3">
                  <c:v>Total</c:v>
                </c:pt>
              </c:strCache>
            </c:strRef>
          </c:cat>
          <c:val>
            <c:numRef>
              <c:f>'43 ocena syt. mat. miasto wieś'!$C$19:$F$19</c:f>
              <c:numCache>
                <c:formatCode>0.0%</c:formatCode>
                <c:ptCount val="4"/>
                <c:pt idx="0">
                  <c:v>0.47209429401906416</c:v>
                </c:pt>
                <c:pt idx="1">
                  <c:v>0.60858902225095513</c:v>
                </c:pt>
                <c:pt idx="2">
                  <c:v>0.53772021796949776</c:v>
                </c:pt>
                <c:pt idx="3">
                  <c:v>0.51643151231455264</c:v>
                </c:pt>
              </c:numCache>
            </c:numRef>
          </c:val>
          <c:extLst>
            <c:ext xmlns:c16="http://schemas.microsoft.com/office/drawing/2014/chart" uri="{C3380CC4-5D6E-409C-BE32-E72D297353CC}">
              <c16:uniqueId val="{00000002-D994-4749-A8F2-017F6CCC9C51}"/>
            </c:ext>
          </c:extLst>
        </c:ser>
        <c:dLbls>
          <c:showLegendKey val="0"/>
          <c:showVal val="0"/>
          <c:showCatName val="0"/>
          <c:showSerName val="0"/>
          <c:showPercent val="0"/>
          <c:showBubbleSize val="0"/>
        </c:dLbls>
        <c:gapWidth val="65"/>
        <c:axId val="-142364560"/>
        <c:axId val="-375143648"/>
      </c:barChart>
      <c:catAx>
        <c:axId val="-142364560"/>
        <c:scaling>
          <c:orientation val="minMax"/>
        </c:scaling>
        <c:delete val="0"/>
        <c:axPos val="l"/>
        <c:numFmt formatCode="General" sourceLinked="1"/>
        <c:majorTickMark val="out"/>
        <c:minorTickMark val="none"/>
        <c:tickLblPos val="nextTo"/>
        <c:spPr>
          <a:ln>
            <a:solidFill>
              <a:sysClr val="windowText" lastClr="000000"/>
            </a:solidFill>
          </a:ln>
        </c:spPr>
        <c:crossAx val="-375143648"/>
        <c:crosses val="autoZero"/>
        <c:auto val="1"/>
        <c:lblAlgn val="ctr"/>
        <c:lblOffset val="100"/>
        <c:noMultiLvlLbl val="0"/>
      </c:catAx>
      <c:valAx>
        <c:axId val="-375143648"/>
        <c:scaling>
          <c:orientation val="minMax"/>
          <c:max val="1"/>
          <c:min val="0"/>
        </c:scaling>
        <c:delete val="0"/>
        <c:axPos val="b"/>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4560"/>
        <c:crosses val="autoZero"/>
        <c:crossBetween val="between"/>
        <c:majorUnit val="0.2"/>
        <c:minorUnit val="5.0000000000000024E-2"/>
      </c:valAx>
    </c:plotArea>
    <c:legend>
      <c:legendPos val="r"/>
      <c:layout>
        <c:manualLayout>
          <c:xMode val="edge"/>
          <c:yMode val="edge"/>
          <c:x val="0.14846741219452439"/>
          <c:y val="0.11004391072554193"/>
          <c:w val="0.82431584300381922"/>
          <c:h val="5.8132070352974248E-2"/>
        </c:manualLayout>
      </c:layout>
      <c:overlay val="0"/>
      <c:spPr>
        <a:solidFill>
          <a:schemeClr val="bg1"/>
        </a:solidFill>
        <a:ln>
          <a:noFill/>
        </a:ln>
      </c:spPr>
      <c:txPr>
        <a:bodyPr/>
        <a:lstStyle/>
        <a:p>
          <a:pPr>
            <a:defRPr sz="900"/>
          </a:pPr>
          <a:endParaRPr lang="pl-PL"/>
        </a:p>
      </c:tx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920962504634941E-2"/>
          <c:y val="0.28037390055042083"/>
          <c:w val="0.87760805688532562"/>
          <c:h val="0.5759731635216907"/>
        </c:manualLayout>
      </c:layout>
      <c:barChart>
        <c:barDir val="col"/>
        <c:grouping val="stacked"/>
        <c:varyColors val="0"/>
        <c:ser>
          <c:idx val="0"/>
          <c:order val="0"/>
          <c:tx>
            <c:strRef>
              <c:f>'18 wpływ COVID-19 '!$B$9</c:f>
              <c:strCache>
                <c:ptCount val="1"/>
                <c:pt idx="0">
                  <c:v>  expenditure was not reduced </c:v>
                </c:pt>
              </c:strCache>
            </c:strRef>
          </c:tx>
          <c:spPr>
            <a:solidFill>
              <a:srgbClr val="334A92"/>
            </a:solidFill>
            <a:scene3d>
              <a:camera prst="orthographicFront"/>
              <a:lightRig rig="threePt" dir="t"/>
            </a:scene3d>
          </c:spPr>
          <c:invertIfNegative val="0"/>
          <c:dLbls>
            <c:spPr>
              <a:noFill/>
              <a:ln>
                <a:noFill/>
              </a:ln>
              <a:effectLst/>
            </c:spPr>
            <c:txPr>
              <a:bodyPr wrap="square" lIns="38100" tIns="19050" rIns="38100" bIns="19050" anchor="ctr">
                <a:spAutoFit/>
              </a:bodyPr>
              <a:lstStyle/>
              <a:p>
                <a:pPr>
                  <a:defRPr sz="750">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'18 wpływ COVID-19 '!$C$15:$H$15</c:f>
              <c:numCache>
                <c:formatCode>General</c:formatCode>
                <c:ptCount val="6"/>
              </c:numCache>
            </c:numRef>
          </c:cat>
          <c:val>
            <c:numRef>
              <c:f>'18 wpływ COVID-19 '!$C$9:$H$9</c:f>
              <c:numCache>
                <c:formatCode>0.0%</c:formatCode>
                <c:ptCount val="6"/>
                <c:pt idx="0">
                  <c:v>0.62750464769872671</c:v>
                </c:pt>
                <c:pt idx="1">
                  <c:v>0.59949553970009206</c:v>
                </c:pt>
                <c:pt idx="2">
                  <c:v>0.62935922276414524</c:v>
                </c:pt>
                <c:pt idx="3">
                  <c:v>0.53380083028169956</c:v>
                </c:pt>
                <c:pt idx="4">
                  <c:v>0.70492119781826856</c:v>
                </c:pt>
                <c:pt idx="5">
                  <c:v>0.68679963284506829</c:v>
                </c:pt>
              </c:numCache>
            </c:numRef>
          </c:val>
          <c:extLst>
            <c:ext xmlns:c16="http://schemas.microsoft.com/office/drawing/2014/chart" uri="{C3380CC4-5D6E-409C-BE32-E72D297353CC}">
              <c16:uniqueId val="{00000000-518F-409A-ABD5-36200D7C431F}"/>
            </c:ext>
          </c:extLst>
        </c:ser>
        <c:ser>
          <c:idx val="1"/>
          <c:order val="1"/>
          <c:tx>
            <c:strRef>
              <c:f>'18 wpływ COVID-19 '!$B$10</c:f>
              <c:strCache>
                <c:ptCount val="1"/>
                <c:pt idx="0">
                  <c:v>  expenditure was slightly reduced </c:v>
                </c:pt>
              </c:strCache>
            </c:strRef>
          </c:tx>
          <c:spPr>
            <a:solidFill>
              <a:srgbClr val="6677AD"/>
            </a:solidFill>
            <a:scene3d>
              <a:camera prst="orthographicFront"/>
              <a:lightRig rig="threePt" dir="t"/>
            </a:scene3d>
          </c:spPr>
          <c:invertIfNegative val="0"/>
          <c:dLbls>
            <c:spPr>
              <a:noFill/>
              <a:ln>
                <a:noFill/>
              </a:ln>
              <a:effectLst/>
            </c:spPr>
            <c:txPr>
              <a:bodyPr wrap="square" lIns="38100" tIns="19050" rIns="38100" bIns="19050" anchor="ctr">
                <a:spAutoFit/>
              </a:bodyPr>
              <a:lstStyle/>
              <a:p>
                <a:pPr>
                  <a:defRPr sz="750">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'18 wpływ COVID-19 '!$C$15:$H$15</c:f>
              <c:numCache>
                <c:formatCode>General</c:formatCode>
                <c:ptCount val="6"/>
              </c:numCache>
            </c:numRef>
          </c:cat>
          <c:val>
            <c:numRef>
              <c:f>'18 wpływ COVID-19 '!$C$10:$H$10</c:f>
              <c:numCache>
                <c:formatCode>0.0%</c:formatCode>
                <c:ptCount val="6"/>
                <c:pt idx="0">
                  <c:v>0.2339218907338679</c:v>
                </c:pt>
                <c:pt idx="1">
                  <c:v>0.25468609812498449</c:v>
                </c:pt>
                <c:pt idx="2">
                  <c:v>0.2265816689743832</c:v>
                </c:pt>
                <c:pt idx="3">
                  <c:v>0.25769879373328647</c:v>
                </c:pt>
                <c:pt idx="4">
                  <c:v>0.20158646272038563</c:v>
                </c:pt>
                <c:pt idx="5">
                  <c:v>0.17510804298772326</c:v>
                </c:pt>
              </c:numCache>
            </c:numRef>
          </c:val>
          <c:extLst>
            <c:ext xmlns:c16="http://schemas.microsoft.com/office/drawing/2014/chart" uri="{C3380CC4-5D6E-409C-BE32-E72D297353CC}">
              <c16:uniqueId val="{00000001-518F-409A-ABD5-36200D7C431F}"/>
            </c:ext>
          </c:extLst>
        </c:ser>
        <c:ser>
          <c:idx val="2"/>
          <c:order val="2"/>
          <c:tx>
            <c:strRef>
              <c:f>'18 wpływ COVID-19 '!$B$11</c:f>
              <c:strCache>
                <c:ptCount val="1"/>
                <c:pt idx="0">
                  <c:v>  expenditure was moderately reduced </c:v>
                </c:pt>
              </c:strCache>
            </c:strRef>
          </c:tx>
          <c:spPr>
            <a:solidFill>
              <a:srgbClr val="99A4C8"/>
            </a:solidFill>
            <a:scene3d>
              <a:camera prst="orthographicFront"/>
              <a:lightRig rig="threePt" dir="t"/>
            </a:scene3d>
          </c:spPr>
          <c:invertIfNegative val="0"/>
          <c:dLbls>
            <c:spPr>
              <a:noFill/>
              <a:ln>
                <a:noFill/>
              </a:ln>
              <a:effectLst/>
            </c:spPr>
            <c:txPr>
              <a:bodyPr wrap="square" lIns="38100" tIns="19050" rIns="38100" bIns="19050" anchor="ctr">
                <a:spAutoFit/>
              </a:bodyPr>
              <a:lstStyle/>
              <a:p>
                <a:pPr>
                  <a:defRPr sz="750"/>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'18 wpływ COVID-19 '!$C$15:$H$15</c:f>
              <c:numCache>
                <c:formatCode>General</c:formatCode>
                <c:ptCount val="6"/>
              </c:numCache>
            </c:numRef>
          </c:cat>
          <c:val>
            <c:numRef>
              <c:f>'18 wpływ COVID-19 '!$C$11:$H$11</c:f>
              <c:numCache>
                <c:formatCode>0.0%</c:formatCode>
                <c:ptCount val="6"/>
                <c:pt idx="0">
                  <c:v>0.10534210916101566</c:v>
                </c:pt>
                <c:pt idx="1">
                  <c:v>0.11175499121527671</c:v>
                </c:pt>
                <c:pt idx="2">
                  <c:v>0.11457178995095046</c:v>
                </c:pt>
                <c:pt idx="3">
                  <c:v>0.13926039965649653</c:v>
                </c:pt>
                <c:pt idx="4">
                  <c:v>7.8324410160491575E-2</c:v>
                </c:pt>
                <c:pt idx="5">
                  <c:v>0.10745209775500057</c:v>
                </c:pt>
              </c:numCache>
            </c:numRef>
          </c:val>
          <c:extLst>
            <c:ext xmlns:c16="http://schemas.microsoft.com/office/drawing/2014/chart" uri="{C3380CC4-5D6E-409C-BE32-E72D297353CC}">
              <c16:uniqueId val="{00000002-518F-409A-ABD5-36200D7C431F}"/>
            </c:ext>
          </c:extLst>
        </c:ser>
        <c:ser>
          <c:idx val="3"/>
          <c:order val="3"/>
          <c:tx>
            <c:strRef>
              <c:f>'18 wpływ COVID-19 '!$B$12</c:f>
              <c:strCache>
                <c:ptCount val="1"/>
                <c:pt idx="0">
                  <c:v>  expenditure was largely reduced </c:v>
                </c:pt>
              </c:strCache>
            </c:strRef>
          </c:tx>
          <c:spPr>
            <a:solidFill>
              <a:srgbClr val="CCD1E3"/>
            </a:solidFill>
          </c:spPr>
          <c:invertIfNegative val="0"/>
          <c:dLbls>
            <c:spPr>
              <a:noFill/>
              <a:ln>
                <a:noFill/>
              </a:ln>
              <a:effectLst/>
            </c:spPr>
            <c:txPr>
              <a:bodyPr wrap="square" lIns="38100" tIns="19050" rIns="38100" bIns="19050" anchor="ctr">
                <a:spAutoFit/>
              </a:bodyPr>
              <a:lstStyle/>
              <a:p>
                <a:pPr>
                  <a:defRPr sz="750"/>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'18 wpływ COVID-19 '!$C$15:$H$15</c:f>
              <c:numCache>
                <c:formatCode>General</c:formatCode>
                <c:ptCount val="6"/>
              </c:numCache>
            </c:numRef>
          </c:cat>
          <c:val>
            <c:numRef>
              <c:f>'18 wpływ COVID-19 '!$C$12:$H$12</c:f>
              <c:numCache>
                <c:formatCode>0.0%</c:formatCode>
                <c:ptCount val="6"/>
                <c:pt idx="0">
                  <c:v>3.3431352406389642E-2</c:v>
                </c:pt>
                <c:pt idx="1">
                  <c:v>3.3963370959646744E-2</c:v>
                </c:pt>
                <c:pt idx="2">
                  <c:v>2.9487318310521114E-2</c:v>
                </c:pt>
                <c:pt idx="3">
                  <c:v>6.9239976328517458E-2</c:v>
                </c:pt>
                <c:pt idx="4">
                  <c:v>1.5167929300854239E-2</c:v>
                </c:pt>
                <c:pt idx="5">
                  <c:v>3.0640226412207903E-2</c:v>
                </c:pt>
              </c:numCache>
            </c:numRef>
          </c:val>
          <c:extLst>
            <c:ext xmlns:c16="http://schemas.microsoft.com/office/drawing/2014/chart" uri="{C3380CC4-5D6E-409C-BE32-E72D297353CC}">
              <c16:uniqueId val="{00000003-518F-409A-ABD5-36200D7C431F}"/>
            </c:ext>
          </c:extLst>
        </c:ser>
        <c:dLbls>
          <c:dLblPos val="ctr"/>
          <c:showLegendKey val="0"/>
          <c:showVal val="1"/>
          <c:showCatName val="0"/>
          <c:showSerName val="0"/>
          <c:showPercent val="0"/>
          <c:showBubbleSize val="0"/>
        </c:dLbls>
        <c:gapWidth val="40"/>
        <c:overlap val="100"/>
        <c:axId val="-309066736"/>
        <c:axId val="-184636784"/>
      </c:barChart>
      <c:catAx>
        <c:axId val="-309066736"/>
        <c:scaling>
          <c:orientation val="minMax"/>
        </c:scaling>
        <c:delete val="0"/>
        <c:axPos val="b"/>
        <c:numFmt formatCode="General" sourceLinked="1"/>
        <c:majorTickMark val="out"/>
        <c:minorTickMark val="none"/>
        <c:tickLblPos val="low"/>
        <c:spPr>
          <a:ln>
            <a:solidFill>
              <a:sysClr val="windowText" lastClr="000000"/>
            </a:solidFill>
          </a:ln>
        </c:spPr>
        <c:txPr>
          <a:bodyPr rot="0" vert="horz" anchor="t" anchorCtr="0"/>
          <a:lstStyle/>
          <a:p>
            <a:pPr>
              <a:defRPr sz="850" spc="-20" baseline="0"/>
            </a:pPr>
            <a:endParaRPr lang="pl-PL"/>
          </a:p>
        </c:txPr>
        <c:crossAx val="-184636784"/>
        <c:crosses val="autoZero"/>
        <c:auto val="0"/>
        <c:lblAlgn val="ctr"/>
        <c:lblOffset val="100"/>
        <c:noMultiLvlLbl val="0"/>
      </c:catAx>
      <c:valAx>
        <c:axId val="-184636784"/>
        <c:scaling>
          <c:orientation val="minMax"/>
          <c:max val="1"/>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noFill/>
          <a:ln>
            <a:noFill/>
          </a:ln>
        </c:spPr>
        <c:crossAx val="-309066736"/>
        <c:crosses val="autoZero"/>
        <c:crossBetween val="between"/>
        <c:majorUnit val="0.2"/>
        <c:minorUnit val="2.0000000000000011E-2"/>
      </c:valAx>
    </c:plotArea>
    <c:legend>
      <c:legendPos val="r"/>
      <c:layout>
        <c:manualLayout>
          <c:xMode val="edge"/>
          <c:yMode val="edge"/>
          <c:x val="0.17150438340336588"/>
          <c:y val="0.11087179562164756"/>
          <c:w val="0.65798495731112827"/>
          <c:h val="0.14533298240226936"/>
        </c:manualLayout>
      </c:layout>
      <c:overlay val="0"/>
      <c:spPr>
        <a:noFill/>
        <a:ln>
          <a:noFill/>
        </a:ln>
      </c:spPr>
    </c:legend>
    <c:plotVisOnly val="1"/>
    <c:dispBlanksAs val="gap"/>
    <c:showDLblsOverMax val="0"/>
  </c:chart>
  <c:spPr>
    <a:ln>
      <a:noFill/>
    </a:ln>
  </c:spPr>
  <c:txPr>
    <a:bodyPr/>
    <a:lstStyle/>
    <a:p>
      <a:pPr>
        <a:spcBef>
          <a:spcPts val="1200"/>
        </a:spcBef>
        <a:spcAft>
          <a:spcPts val="1200"/>
        </a:spcAft>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733275708923149E-2"/>
          <c:y val="0.32362459546925565"/>
          <c:w val="0.86908199851789392"/>
          <c:h val="0.52405512449215863"/>
        </c:manualLayout>
      </c:layout>
      <c:barChart>
        <c:barDir val="col"/>
        <c:grouping val="stacked"/>
        <c:varyColors val="0"/>
        <c:ser>
          <c:idx val="0"/>
          <c:order val="0"/>
          <c:tx>
            <c:strRef>
              <c:f>'19 wpływ COVID-19'!$B$9</c:f>
              <c:strCache>
                <c:ptCount val="1"/>
                <c:pt idx="0">
                  <c:v>decreased significantly</c:v>
                </c:pt>
              </c:strCache>
            </c:strRef>
          </c:tx>
          <c:spPr>
            <a:solidFill>
              <a:srgbClr val="334A92"/>
            </a:solidFill>
            <a:scene3d>
              <a:camera prst="orthographicFront"/>
              <a:lightRig rig="threePt" dir="t"/>
            </a:scene3d>
          </c:spPr>
          <c:invertIfNegative val="0"/>
          <c:dLbls>
            <c:spPr>
              <a:noFill/>
              <a:ln>
                <a:noFill/>
              </a:ln>
              <a:effectLst/>
            </c:spPr>
            <c:txPr>
              <a:bodyPr wrap="square" lIns="38100" tIns="19050" rIns="38100" bIns="19050" anchor="ctr">
                <a:spAutoFit/>
              </a:bodyPr>
              <a:lstStyle/>
              <a:p>
                <a:pPr>
                  <a:defRPr sz="750">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'19 wpływ COVID-19'!$C$8:$H$8</c:f>
              <c:strCache>
                <c:ptCount val="6"/>
                <c:pt idx="0">
                  <c:v>Total</c:v>
                </c:pt>
                <c:pt idx="1">
                  <c:v>employees</c:v>
                </c:pt>
                <c:pt idx="2">
                  <c:v>farmers</c:v>
                </c:pt>
                <c:pt idx="3">
                  <c:v>self-employed</c:v>
                </c:pt>
                <c:pt idx="4">
                  <c:v>retirees</c:v>
                </c:pt>
                <c:pt idx="5">
                  <c:v>pensioners</c:v>
                </c:pt>
              </c:strCache>
            </c:strRef>
          </c:cat>
          <c:val>
            <c:numRef>
              <c:f>'19 wpływ COVID-19'!$C$9:$H$9</c:f>
              <c:numCache>
                <c:formatCode>0.0%</c:formatCode>
                <c:ptCount val="6"/>
                <c:pt idx="0">
                  <c:v>8.1937322944623803E-2</c:v>
                </c:pt>
                <c:pt idx="1">
                  <c:v>8.9421647807913479E-2</c:v>
                </c:pt>
                <c:pt idx="2">
                  <c:v>7.2273800946657057E-2</c:v>
                </c:pt>
                <c:pt idx="3">
                  <c:v>0.20832110023593667</c:v>
                </c:pt>
                <c:pt idx="4">
                  <c:v>3.092003479627399E-2</c:v>
                </c:pt>
                <c:pt idx="5">
                  <c:v>3.7014639029069527E-2</c:v>
                </c:pt>
              </c:numCache>
            </c:numRef>
          </c:val>
          <c:extLst>
            <c:ext xmlns:c16="http://schemas.microsoft.com/office/drawing/2014/chart" uri="{C3380CC4-5D6E-409C-BE32-E72D297353CC}">
              <c16:uniqueId val="{00000000-103F-4A5E-B402-8A4BE58B3F84}"/>
            </c:ext>
          </c:extLst>
        </c:ser>
        <c:ser>
          <c:idx val="1"/>
          <c:order val="1"/>
          <c:tx>
            <c:strRef>
              <c:f>'19 wpływ COVID-19'!$B$10</c:f>
              <c:strCache>
                <c:ptCount val="1"/>
                <c:pt idx="0">
                  <c:v>decreased insignificantly</c:v>
                </c:pt>
              </c:strCache>
            </c:strRef>
          </c:tx>
          <c:spPr>
            <a:solidFill>
              <a:srgbClr val="6677AD"/>
            </a:solidFill>
            <a:scene3d>
              <a:camera prst="orthographicFront"/>
              <a:lightRig rig="threePt" dir="t"/>
            </a:scene3d>
          </c:spPr>
          <c:invertIfNegative val="0"/>
          <c:dLbls>
            <c:spPr>
              <a:noFill/>
              <a:ln>
                <a:noFill/>
              </a:ln>
              <a:effectLst/>
            </c:spPr>
            <c:txPr>
              <a:bodyPr wrap="square" lIns="38100" tIns="19050" rIns="38100" bIns="19050" anchor="ctr">
                <a:spAutoFit/>
              </a:bodyPr>
              <a:lstStyle/>
              <a:p>
                <a:pPr>
                  <a:defRPr sz="750">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'19 wpływ COVID-19'!$C$8:$H$8</c:f>
              <c:strCache>
                <c:ptCount val="6"/>
                <c:pt idx="0">
                  <c:v>Total</c:v>
                </c:pt>
                <c:pt idx="1">
                  <c:v>employees</c:v>
                </c:pt>
                <c:pt idx="2">
                  <c:v>farmers</c:v>
                </c:pt>
                <c:pt idx="3">
                  <c:v>self-employed</c:v>
                </c:pt>
                <c:pt idx="4">
                  <c:v>retirees</c:v>
                </c:pt>
                <c:pt idx="5">
                  <c:v>pensioners</c:v>
                </c:pt>
              </c:strCache>
            </c:strRef>
          </c:cat>
          <c:val>
            <c:numRef>
              <c:f>'19 wpływ COVID-19'!$C$10:$H$10</c:f>
              <c:numCache>
                <c:formatCode>0.0%</c:formatCode>
                <c:ptCount val="6"/>
                <c:pt idx="0">
                  <c:v>0.15689237179759055</c:v>
                </c:pt>
                <c:pt idx="1">
                  <c:v>0.20032468965624334</c:v>
                </c:pt>
                <c:pt idx="2">
                  <c:v>0.22283832957892913</c:v>
                </c:pt>
                <c:pt idx="3">
                  <c:v>0.30478010491575963</c:v>
                </c:pt>
                <c:pt idx="4">
                  <c:v>4.8933380671137866E-2</c:v>
                </c:pt>
                <c:pt idx="5">
                  <c:v>5.7945682794496238E-2</c:v>
                </c:pt>
              </c:numCache>
            </c:numRef>
          </c:val>
          <c:extLst>
            <c:ext xmlns:c16="http://schemas.microsoft.com/office/drawing/2014/chart" uri="{C3380CC4-5D6E-409C-BE32-E72D297353CC}">
              <c16:uniqueId val="{00000001-103F-4A5E-B402-8A4BE58B3F84}"/>
            </c:ext>
          </c:extLst>
        </c:ser>
        <c:ser>
          <c:idx val="2"/>
          <c:order val="2"/>
          <c:tx>
            <c:strRef>
              <c:f>'19 wpływ COVID-19'!$B$11</c:f>
              <c:strCache>
                <c:ptCount val="1"/>
                <c:pt idx="0">
                  <c:v>remained at the same or a similar level</c:v>
                </c:pt>
              </c:strCache>
            </c:strRef>
          </c:tx>
          <c:spPr>
            <a:solidFill>
              <a:srgbClr val="99A4C8"/>
            </a:solidFill>
            <a:scene3d>
              <a:camera prst="orthographicFront"/>
              <a:lightRig rig="threePt" dir="t"/>
            </a:scene3d>
          </c:spPr>
          <c:invertIfNegative val="0"/>
          <c:dLbls>
            <c:spPr>
              <a:noFill/>
              <a:ln>
                <a:noFill/>
              </a:ln>
              <a:effectLst/>
            </c:spPr>
            <c:txPr>
              <a:bodyPr wrap="square" lIns="38100" tIns="19050" rIns="38100" bIns="19050" anchor="ctr">
                <a:spAutoFit/>
              </a:bodyPr>
              <a:lstStyle/>
              <a:p>
                <a:pPr>
                  <a:defRPr sz="750"/>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'19 wpływ COVID-19'!$C$8:$H$8</c:f>
              <c:strCache>
                <c:ptCount val="6"/>
                <c:pt idx="0">
                  <c:v>Total</c:v>
                </c:pt>
                <c:pt idx="1">
                  <c:v>employees</c:v>
                </c:pt>
                <c:pt idx="2">
                  <c:v>farmers</c:v>
                </c:pt>
                <c:pt idx="3">
                  <c:v>self-employed</c:v>
                </c:pt>
                <c:pt idx="4">
                  <c:v>retirees</c:v>
                </c:pt>
                <c:pt idx="5">
                  <c:v>pensioners</c:v>
                </c:pt>
              </c:strCache>
            </c:strRef>
          </c:cat>
          <c:val>
            <c:numRef>
              <c:f>'19 wpływ COVID-19'!$C$11:$H$11</c:f>
              <c:numCache>
                <c:formatCode>0.0%</c:formatCode>
                <c:ptCount val="6"/>
                <c:pt idx="0">
                  <c:v>0.74819031105294986</c:v>
                </c:pt>
                <c:pt idx="1">
                  <c:v>0.69459251173516867</c:v>
                </c:pt>
                <c:pt idx="2">
                  <c:v>0.6903710932156244</c:v>
                </c:pt>
                <c:pt idx="3">
                  <c:v>0.46938483143086562</c:v>
                </c:pt>
                <c:pt idx="4">
                  <c:v>0.91191857034518919</c:v>
                </c:pt>
                <c:pt idx="5">
                  <c:v>0.89947752960223248</c:v>
                </c:pt>
              </c:numCache>
            </c:numRef>
          </c:val>
          <c:extLst>
            <c:ext xmlns:c16="http://schemas.microsoft.com/office/drawing/2014/chart" uri="{C3380CC4-5D6E-409C-BE32-E72D297353CC}">
              <c16:uniqueId val="{00000002-103F-4A5E-B402-8A4BE58B3F84}"/>
            </c:ext>
          </c:extLst>
        </c:ser>
        <c:ser>
          <c:idx val="3"/>
          <c:order val="3"/>
          <c:tx>
            <c:strRef>
              <c:f>'19 wpływ COVID-19'!$B$12</c:f>
              <c:strCache>
                <c:ptCount val="1"/>
                <c:pt idx="0">
                  <c:v>increased significantly and insignificantly</c:v>
                </c:pt>
              </c:strCache>
            </c:strRef>
          </c:tx>
          <c:spPr>
            <a:solidFill>
              <a:srgbClr val="CCD1E3"/>
            </a:solidFill>
          </c:spPr>
          <c:invertIfNegative val="0"/>
          <c:dLbls>
            <c:spPr>
              <a:noFill/>
              <a:ln>
                <a:noFill/>
              </a:ln>
              <a:effectLst/>
            </c:spPr>
            <c:txPr>
              <a:bodyPr wrap="square" lIns="38100" tIns="19050" rIns="38100" bIns="19050" anchor="ctr">
                <a:spAutoFit/>
              </a:bodyPr>
              <a:lstStyle/>
              <a:p>
                <a:pPr>
                  <a:defRPr sz="750"/>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'19 wpływ COVID-19'!$C$8:$H$8</c:f>
              <c:strCache>
                <c:ptCount val="6"/>
                <c:pt idx="0">
                  <c:v>Total</c:v>
                </c:pt>
                <c:pt idx="1">
                  <c:v>employees</c:v>
                </c:pt>
                <c:pt idx="2">
                  <c:v>farmers</c:v>
                </c:pt>
                <c:pt idx="3">
                  <c:v>self-employed</c:v>
                </c:pt>
                <c:pt idx="4">
                  <c:v>retirees</c:v>
                </c:pt>
                <c:pt idx="5">
                  <c:v>pensioners</c:v>
                </c:pt>
              </c:strCache>
            </c:strRef>
          </c:cat>
          <c:val>
            <c:numRef>
              <c:f>'19 wpływ COVID-19'!$C$12:$H$12</c:f>
              <c:numCache>
                <c:formatCode>0.0%</c:formatCode>
                <c:ptCount val="6"/>
                <c:pt idx="0">
                  <c:v>1.2979994204835804E-2</c:v>
                </c:pt>
                <c:pt idx="1">
                  <c:v>1.5761150800674455E-2</c:v>
                </c:pt>
                <c:pt idx="2">
                  <c:v>1.451677625878941E-2</c:v>
                </c:pt>
                <c:pt idx="3">
                  <c:v>1.7513963417438088E-2</c:v>
                </c:pt>
                <c:pt idx="4">
                  <c:v>8.2280141873989493E-3</c:v>
                </c:pt>
                <c:pt idx="5">
                  <c:v>5.5621485742017923E-3</c:v>
                </c:pt>
              </c:numCache>
            </c:numRef>
          </c:val>
          <c:extLst>
            <c:ext xmlns:c16="http://schemas.microsoft.com/office/drawing/2014/chart" uri="{C3380CC4-5D6E-409C-BE32-E72D297353CC}">
              <c16:uniqueId val="{00000003-103F-4A5E-B402-8A4BE58B3F84}"/>
            </c:ext>
          </c:extLst>
        </c:ser>
        <c:dLbls>
          <c:dLblPos val="ctr"/>
          <c:showLegendKey val="0"/>
          <c:showVal val="1"/>
          <c:showCatName val="0"/>
          <c:showSerName val="0"/>
          <c:showPercent val="0"/>
          <c:showBubbleSize val="0"/>
        </c:dLbls>
        <c:gapWidth val="40"/>
        <c:overlap val="100"/>
        <c:axId val="-184637872"/>
        <c:axId val="-184632432"/>
      </c:barChart>
      <c:catAx>
        <c:axId val="-184637872"/>
        <c:scaling>
          <c:orientation val="minMax"/>
        </c:scaling>
        <c:delete val="0"/>
        <c:axPos val="b"/>
        <c:numFmt formatCode="General" sourceLinked="1"/>
        <c:majorTickMark val="out"/>
        <c:minorTickMark val="none"/>
        <c:tickLblPos val="low"/>
        <c:spPr>
          <a:ln>
            <a:solidFill>
              <a:sysClr val="windowText" lastClr="000000"/>
            </a:solidFill>
          </a:ln>
        </c:spPr>
        <c:txPr>
          <a:bodyPr rot="0" vert="horz" anchor="t" anchorCtr="0"/>
          <a:lstStyle/>
          <a:p>
            <a:pPr>
              <a:defRPr sz="850" spc="-20" baseline="0"/>
            </a:pPr>
            <a:endParaRPr lang="pl-PL"/>
          </a:p>
        </c:txPr>
        <c:crossAx val="-184632432"/>
        <c:crosses val="autoZero"/>
        <c:auto val="0"/>
        <c:lblAlgn val="ctr"/>
        <c:lblOffset val="100"/>
        <c:noMultiLvlLbl val="0"/>
      </c:catAx>
      <c:valAx>
        <c:axId val="-184632432"/>
        <c:scaling>
          <c:orientation val="minMax"/>
          <c:max val="1"/>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crossAx val="-184637872"/>
        <c:crosses val="autoZero"/>
        <c:crossBetween val="between"/>
        <c:majorUnit val="0.2"/>
        <c:minorUnit val="2.0000000000000011E-2"/>
      </c:valAx>
    </c:plotArea>
    <c:legend>
      <c:legendPos val="r"/>
      <c:layout>
        <c:manualLayout>
          <c:xMode val="edge"/>
          <c:yMode val="edge"/>
          <c:x val="0.19073448842323495"/>
          <c:y val="0.13508997872267101"/>
          <c:w val="0.4737371755640995"/>
          <c:h val="0.14733025043939535"/>
        </c:manualLayout>
      </c:layout>
      <c:overlay val="0"/>
      <c:spPr>
        <a:noFill/>
        <a:ln>
          <a:noFill/>
        </a:ln>
      </c:spPr>
    </c:legend>
    <c:plotVisOnly val="1"/>
    <c:dispBlanksAs val="gap"/>
    <c:showDLblsOverMax val="0"/>
  </c:chart>
  <c:spPr>
    <a:ln>
      <a:noFill/>
    </a:ln>
  </c:spPr>
  <c:txPr>
    <a:bodyPr/>
    <a:lstStyle/>
    <a:p>
      <a:pPr>
        <a:spcBef>
          <a:spcPts val="1200"/>
        </a:spcBef>
        <a:spcAft>
          <a:spcPts val="1200"/>
        </a:spcAft>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8914745031871022E-2"/>
          <c:y val="0.27410531972949342"/>
          <c:w val="0.92008928571428572"/>
          <c:h val="0.63799531904941209"/>
        </c:manualLayout>
      </c:layout>
      <c:barChart>
        <c:barDir val="col"/>
        <c:grouping val="clustered"/>
        <c:varyColors val="0"/>
        <c:ser>
          <c:idx val="0"/>
          <c:order val="0"/>
          <c:tx>
            <c:strRef>
              <c:f>'4 dochody,wydatki gr. społ-ek.'!$B$8</c:f>
              <c:strCache>
                <c:ptCount val="1"/>
                <c:pt idx="0">
                  <c:v>Available income </c:v>
                </c:pt>
              </c:strCache>
            </c:strRef>
          </c:tx>
          <c:spPr>
            <a:solidFill>
              <a:srgbClr val="334A92"/>
            </a:solidFill>
            <a:scene3d>
              <a:camera prst="orthographicFront"/>
              <a:lightRig rig="threePt" dir="t"/>
            </a:scene3d>
          </c:spPr>
          <c:invertIfNegative val="0"/>
          <c:dPt>
            <c:idx val="0"/>
            <c:invertIfNegative val="0"/>
            <c:bubble3D val="0"/>
            <c:spPr>
              <a:solidFill>
                <a:srgbClr val="334A92"/>
              </a:solidFill>
              <a:ln>
                <a:noFill/>
              </a:ln>
              <a:scene3d>
                <a:camera prst="orthographicFront"/>
                <a:lightRig rig="threePt" dir="t"/>
              </a:scene3d>
            </c:spPr>
            <c:extLst>
              <c:ext xmlns:c16="http://schemas.microsoft.com/office/drawing/2014/chart" uri="{C3380CC4-5D6E-409C-BE32-E72D297353CC}">
                <c16:uniqueId val="{00000001-6C1C-47F7-8170-07FF8A7A80BE}"/>
              </c:ext>
            </c:extLst>
          </c:dPt>
          <c:dLbls>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dochody,wydatki gr. społ-ek.'!$C$7:$H$7</c:f>
              <c:strCache>
                <c:ptCount val="6"/>
                <c:pt idx="0">
                  <c:v>Total</c:v>
                </c:pt>
                <c:pt idx="1">
                  <c:v>employees</c:v>
                </c:pt>
                <c:pt idx="2">
                  <c:v>farmers</c:v>
                </c:pt>
                <c:pt idx="3">
                  <c:v>self-employed</c:v>
                </c:pt>
                <c:pt idx="4">
                  <c:v>retirees</c:v>
                </c:pt>
                <c:pt idx="5">
                  <c:v>pensioners</c:v>
                </c:pt>
              </c:strCache>
            </c:strRef>
          </c:cat>
          <c:val>
            <c:numRef>
              <c:f>'4 dochody,wydatki gr. społ-ek.'!$C$8:$H$8</c:f>
              <c:numCache>
                <c:formatCode>0.00</c:formatCode>
                <c:ptCount val="6"/>
                <c:pt idx="0">
                  <c:v>1919.21</c:v>
                </c:pt>
                <c:pt idx="1">
                  <c:v>1934.49</c:v>
                </c:pt>
                <c:pt idx="2">
                  <c:v>1853.57</c:v>
                </c:pt>
                <c:pt idx="3">
                  <c:v>2238.17</c:v>
                </c:pt>
                <c:pt idx="4">
                  <c:v>1940.87</c:v>
                </c:pt>
                <c:pt idx="5">
                  <c:v>1522.09</c:v>
                </c:pt>
              </c:numCache>
            </c:numRef>
          </c:val>
          <c:extLst>
            <c:ext xmlns:c16="http://schemas.microsoft.com/office/drawing/2014/chart" uri="{C3380CC4-5D6E-409C-BE32-E72D297353CC}">
              <c16:uniqueId val="{00000002-6C1C-47F7-8170-07FF8A7A80BE}"/>
            </c:ext>
          </c:extLst>
        </c:ser>
        <c:ser>
          <c:idx val="1"/>
          <c:order val="1"/>
          <c:tx>
            <c:strRef>
              <c:f>'4 dochody,wydatki gr. społ-ek.'!$B$9</c:f>
              <c:strCache>
                <c:ptCount val="1"/>
                <c:pt idx="0">
                  <c:v>Expenditure</c:v>
                </c:pt>
              </c:strCache>
            </c:strRef>
          </c:tx>
          <c:spPr>
            <a:solidFill>
              <a:srgbClr val="66B68E"/>
            </a:solidFill>
            <a:scene3d>
              <a:camera prst="orthographicFront"/>
              <a:lightRig rig="threePt" dir="t"/>
            </a:scene3d>
          </c:spPr>
          <c:invertIfNegative val="0"/>
          <c:dPt>
            <c:idx val="0"/>
            <c:invertIfNegative val="0"/>
            <c:bubble3D val="0"/>
            <c:spPr>
              <a:solidFill>
                <a:srgbClr val="66B68E"/>
              </a:solidFill>
              <a:ln>
                <a:noFill/>
              </a:ln>
              <a:scene3d>
                <a:camera prst="orthographicFront"/>
                <a:lightRig rig="threePt" dir="t"/>
              </a:scene3d>
            </c:spPr>
            <c:extLst>
              <c:ext xmlns:c16="http://schemas.microsoft.com/office/drawing/2014/chart" uri="{C3380CC4-5D6E-409C-BE32-E72D297353CC}">
                <c16:uniqueId val="{00000004-6C1C-47F7-8170-07FF8A7A80BE}"/>
              </c:ext>
            </c:extLst>
          </c:dPt>
          <c:dLbls>
            <c:numFmt formatCode="0" sourceLinked="0"/>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dochody,wydatki gr. społ-ek.'!$C$7:$H$7</c:f>
              <c:strCache>
                <c:ptCount val="6"/>
                <c:pt idx="0">
                  <c:v>Total</c:v>
                </c:pt>
                <c:pt idx="1">
                  <c:v>employees</c:v>
                </c:pt>
                <c:pt idx="2">
                  <c:v>farmers</c:v>
                </c:pt>
                <c:pt idx="3">
                  <c:v>self-employed</c:v>
                </c:pt>
                <c:pt idx="4">
                  <c:v>retirees</c:v>
                </c:pt>
                <c:pt idx="5">
                  <c:v>pensioners</c:v>
                </c:pt>
              </c:strCache>
            </c:strRef>
          </c:cat>
          <c:val>
            <c:numRef>
              <c:f>'4 dochody,wydatki gr. społ-ek.'!$C$9:$H$9</c:f>
              <c:numCache>
                <c:formatCode>0.00</c:formatCode>
                <c:ptCount val="6"/>
                <c:pt idx="0">
                  <c:v>1209.58</c:v>
                </c:pt>
                <c:pt idx="1">
                  <c:v>1186.3800000000001</c:v>
                </c:pt>
                <c:pt idx="2">
                  <c:v>839.55</c:v>
                </c:pt>
                <c:pt idx="3">
                  <c:v>1412.38</c:v>
                </c:pt>
                <c:pt idx="4">
                  <c:v>1335.94</c:v>
                </c:pt>
                <c:pt idx="5">
                  <c:v>1199.67</c:v>
                </c:pt>
              </c:numCache>
            </c:numRef>
          </c:val>
          <c:extLst>
            <c:ext xmlns:c16="http://schemas.microsoft.com/office/drawing/2014/chart" uri="{C3380CC4-5D6E-409C-BE32-E72D297353CC}">
              <c16:uniqueId val="{00000005-6C1C-47F7-8170-07FF8A7A80BE}"/>
            </c:ext>
          </c:extLst>
        </c:ser>
        <c:dLbls>
          <c:showLegendKey val="0"/>
          <c:showVal val="0"/>
          <c:showCatName val="0"/>
          <c:showSerName val="0"/>
          <c:showPercent val="0"/>
          <c:showBubbleSize val="0"/>
        </c:dLbls>
        <c:gapWidth val="50"/>
        <c:overlap val="100"/>
        <c:axId val="-142367280"/>
        <c:axId val="-142362384"/>
      </c:barChart>
      <c:barChart>
        <c:barDir val="col"/>
        <c:grouping val="clustered"/>
        <c:varyColors val="0"/>
        <c:ser>
          <c:idx val="2"/>
          <c:order val="2"/>
          <c:tx>
            <c:strRef>
              <c:f>'4 dochody,wydatki gr. społ-ek.'!$B$10</c:f>
              <c:strCache>
                <c:ptCount val="1"/>
                <c:pt idx="0">
                  <c:v>The share of expenditure in available income</c:v>
                </c:pt>
              </c:strCache>
            </c:strRef>
          </c:tx>
          <c:spPr>
            <a:solidFill>
              <a:srgbClr val="4D4D4D">
                <a:lumMod val="20000"/>
                <a:lumOff val="80000"/>
              </a:srgbClr>
            </a:solidFill>
            <a:ln w="3175">
              <a:solidFill>
                <a:srgbClr val="4D4D4D">
                  <a:lumMod val="40000"/>
                  <a:lumOff val="60000"/>
                </a:srgbClr>
              </a:solidFill>
            </a:ln>
            <a:scene3d>
              <a:camera prst="orthographicFront"/>
              <a:lightRig rig="threePt" dir="t"/>
            </a:scene3d>
          </c:spPr>
          <c:invertIfNegative val="0"/>
          <c:dPt>
            <c:idx val="0"/>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7-6C1C-47F7-8170-07FF8A7A80BE}"/>
              </c:ext>
            </c:extLst>
          </c:dPt>
          <c:dPt>
            <c:idx val="1"/>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9-6C1C-47F7-8170-07FF8A7A80BE}"/>
              </c:ext>
            </c:extLst>
          </c:dPt>
          <c:dPt>
            <c:idx val="2"/>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B-6C1C-47F7-8170-07FF8A7A80BE}"/>
              </c:ext>
            </c:extLst>
          </c:dPt>
          <c:dPt>
            <c:idx val="3"/>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D-6C1C-47F7-8170-07FF8A7A80BE}"/>
              </c:ext>
            </c:extLst>
          </c:dPt>
          <c:dPt>
            <c:idx val="4"/>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F-6C1C-47F7-8170-07FF8A7A80BE}"/>
              </c:ext>
            </c:extLst>
          </c:dPt>
          <c:dPt>
            <c:idx val="5"/>
            <c:invertIfNegative val="0"/>
            <c:bubble3D val="0"/>
            <c:spPr>
              <a:noFill/>
              <a:ln w="3175">
                <a:noFill/>
              </a:ln>
              <a:scene3d>
                <a:camera prst="orthographicFront"/>
                <a:lightRig rig="threePt" dir="t"/>
              </a:scene3d>
            </c:spPr>
            <c:extLst>
              <c:ext xmlns:c16="http://schemas.microsoft.com/office/drawing/2014/chart" uri="{C3380CC4-5D6E-409C-BE32-E72D297353CC}">
                <c16:uniqueId val="{00000011-6C1C-47F7-8170-07FF8A7A80BE}"/>
              </c:ext>
            </c:extLst>
          </c:dPt>
          <c:dLbls>
            <c:spPr>
              <a:solidFill>
                <a:srgbClr val="4D4D4D">
                  <a:lumMod val="20000"/>
                  <a:lumOff val="80000"/>
                </a:srgbClr>
              </a:solidFill>
              <a:ln w="3175">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 dochody,wydatki gr. społ-ek.'!$C$7:$H$7</c:f>
              <c:strCache>
                <c:ptCount val="6"/>
                <c:pt idx="0">
                  <c:v>Total</c:v>
                </c:pt>
                <c:pt idx="1">
                  <c:v>employees</c:v>
                </c:pt>
                <c:pt idx="2">
                  <c:v>farmers</c:v>
                </c:pt>
                <c:pt idx="3">
                  <c:v>self-employed</c:v>
                </c:pt>
                <c:pt idx="4">
                  <c:v>retirees</c:v>
                </c:pt>
                <c:pt idx="5">
                  <c:v>pensioners</c:v>
                </c:pt>
              </c:strCache>
            </c:strRef>
          </c:cat>
          <c:val>
            <c:numRef>
              <c:f>'4 dochody,wydatki gr. społ-ek.'!$C$10:$H$10</c:f>
              <c:numCache>
                <c:formatCode>0.0%</c:formatCode>
                <c:ptCount val="6"/>
                <c:pt idx="0">
                  <c:v>0.63024890449716287</c:v>
                </c:pt>
                <c:pt idx="1">
                  <c:v>0.61327791821100142</c:v>
                </c:pt>
                <c:pt idx="2">
                  <c:v>0.45293676526918325</c:v>
                </c:pt>
                <c:pt idx="3">
                  <c:v>0.63104232475638578</c:v>
                </c:pt>
                <c:pt idx="4">
                  <c:v>0.68832018630820202</c:v>
                </c:pt>
                <c:pt idx="5">
                  <c:v>0.78817284129059395</c:v>
                </c:pt>
              </c:numCache>
            </c:numRef>
          </c:val>
          <c:extLst>
            <c:ext xmlns:c16="http://schemas.microsoft.com/office/drawing/2014/chart" uri="{C3380CC4-5D6E-409C-BE32-E72D297353CC}">
              <c16:uniqueId val="{00000012-6C1C-47F7-8170-07FF8A7A80BE}"/>
            </c:ext>
          </c:extLst>
        </c:ser>
        <c:dLbls>
          <c:showLegendKey val="0"/>
          <c:showVal val="0"/>
          <c:showCatName val="0"/>
          <c:showSerName val="0"/>
          <c:showPercent val="0"/>
          <c:showBubbleSize val="0"/>
        </c:dLbls>
        <c:gapWidth val="500"/>
        <c:overlap val="-100"/>
        <c:axId val="-142358032"/>
        <c:axId val="-142360752"/>
      </c:barChart>
      <c:catAx>
        <c:axId val="-142367280"/>
        <c:scaling>
          <c:orientation val="minMax"/>
        </c:scaling>
        <c:delete val="0"/>
        <c:axPos val="b"/>
        <c:numFmt formatCode="General" sourceLinked="1"/>
        <c:majorTickMark val="out"/>
        <c:minorTickMark val="none"/>
        <c:tickLblPos val="nextTo"/>
        <c:spPr>
          <a:ln>
            <a:solidFill>
              <a:sysClr val="windowText" lastClr="000000"/>
            </a:solidFill>
          </a:ln>
        </c:spPr>
        <c:crossAx val="-142362384"/>
        <c:crosses val="autoZero"/>
        <c:auto val="1"/>
        <c:lblAlgn val="ctr"/>
        <c:lblOffset val="100"/>
        <c:noMultiLvlLbl val="0"/>
      </c:catAx>
      <c:valAx>
        <c:axId val="-142362384"/>
        <c:scaling>
          <c:orientation val="minMax"/>
          <c:max val="240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7280"/>
        <c:crosses val="autoZero"/>
        <c:crossBetween val="between"/>
        <c:majorUnit val="400"/>
      </c:valAx>
      <c:valAx>
        <c:axId val="-142360752"/>
        <c:scaling>
          <c:orientation val="minMax"/>
          <c:max val="1"/>
          <c:min val="0.60000000000000064"/>
        </c:scaling>
        <c:delete val="1"/>
        <c:axPos val="r"/>
        <c:numFmt formatCode="0.0%" sourceLinked="1"/>
        <c:majorTickMark val="none"/>
        <c:minorTickMark val="none"/>
        <c:tickLblPos val="none"/>
        <c:crossAx val="-142358032"/>
        <c:crosses val="max"/>
        <c:crossBetween val="between"/>
      </c:valAx>
      <c:catAx>
        <c:axId val="-142358032"/>
        <c:scaling>
          <c:orientation val="minMax"/>
        </c:scaling>
        <c:delete val="1"/>
        <c:axPos val="b"/>
        <c:numFmt formatCode="General" sourceLinked="1"/>
        <c:majorTickMark val="out"/>
        <c:minorTickMark val="none"/>
        <c:tickLblPos val="none"/>
        <c:crossAx val="-142360752"/>
        <c:crosses val="autoZero"/>
        <c:auto val="1"/>
        <c:lblAlgn val="ctr"/>
        <c:lblOffset val="100"/>
        <c:noMultiLvlLbl val="0"/>
      </c:catAx>
    </c:plotArea>
    <c:legend>
      <c:legendPos val="r"/>
      <c:layout>
        <c:manualLayout>
          <c:xMode val="edge"/>
          <c:yMode val="edge"/>
          <c:x val="6.7069741282339709E-2"/>
          <c:y val="0.1675266102586134"/>
          <c:w val="0.92993765184556387"/>
          <c:h val="7.1921429033504777E-2"/>
        </c:manualLayout>
      </c:layout>
      <c:overlay val="0"/>
      <c:spPr>
        <a:solidFill>
          <a:sysClr val="window" lastClr="FFFFFF"/>
        </a:solidFill>
        <a:ln w="6350">
          <a:noFill/>
        </a:ln>
      </c:spPr>
    </c:legend>
    <c:plotVisOnly val="1"/>
    <c:dispBlanksAs val="gap"/>
    <c:showDLblsOverMax val="0"/>
  </c:chart>
  <c:spPr>
    <a:ln>
      <a:noFill/>
    </a:ln>
  </c:spPr>
  <c:txPr>
    <a:bodyPr/>
    <a:lstStyle/>
    <a:p>
      <a:pPr algn="ct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9725659292588453E-2"/>
          <c:y val="0.24000483068450801"/>
          <c:w val="0.91432281902262214"/>
          <c:h val="0.67558411026842502"/>
        </c:manualLayout>
      </c:layout>
      <c:barChart>
        <c:barDir val="col"/>
        <c:grouping val="clustered"/>
        <c:varyColors val="0"/>
        <c:ser>
          <c:idx val="0"/>
          <c:order val="0"/>
          <c:tx>
            <c:strRef>
              <c:f>'3 wskaź. doch,wyd gosp. ogółem'!$B$8</c:f>
              <c:strCache>
                <c:ptCount val="1"/>
                <c:pt idx="0">
                  <c:v>Available income </c:v>
                </c:pt>
              </c:strCache>
            </c:strRef>
          </c:tx>
          <c:spPr>
            <a:solidFill>
              <a:srgbClr val="334A92"/>
            </a:solidFill>
            <a:scene3d>
              <a:camera prst="orthographicFront"/>
              <a:lightRig rig="threePt" dir="t"/>
            </a:scene3d>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 wskaź. doch,wyd gosp. ogółem'!$C$7:$G$7</c:f>
              <c:strCache>
                <c:ptCount val="5"/>
                <c:pt idx="0">
                  <c:v>employees</c:v>
                </c:pt>
                <c:pt idx="1">
                  <c:v>farmers</c:v>
                </c:pt>
                <c:pt idx="2">
                  <c:v>self-employed</c:v>
                </c:pt>
                <c:pt idx="3">
                  <c:v>retirees</c:v>
                </c:pt>
                <c:pt idx="4">
                  <c:v>pensioners</c:v>
                </c:pt>
              </c:strCache>
            </c:strRef>
          </c:cat>
          <c:val>
            <c:numRef>
              <c:f>'3 wskaź. doch,wyd gosp. ogółem'!$C$8:$G$8</c:f>
              <c:numCache>
                <c:formatCode>0.0%</c:formatCode>
                <c:ptCount val="5"/>
                <c:pt idx="0">
                  <c:v>1.0079616092037869</c:v>
                </c:pt>
                <c:pt idx="1">
                  <c:v>0.96579842747797262</c:v>
                </c:pt>
                <c:pt idx="2">
                  <c:v>1.1661933816518255</c:v>
                </c:pt>
                <c:pt idx="3">
                  <c:v>1.0112858936750015</c:v>
                </c:pt>
                <c:pt idx="4">
                  <c:v>0.79308152833718037</c:v>
                </c:pt>
              </c:numCache>
            </c:numRef>
          </c:val>
          <c:extLst>
            <c:ext xmlns:c16="http://schemas.microsoft.com/office/drawing/2014/chart" uri="{C3380CC4-5D6E-409C-BE32-E72D297353CC}">
              <c16:uniqueId val="{00000000-21CF-43E3-AFBC-FB6FD4571159}"/>
            </c:ext>
          </c:extLst>
        </c:ser>
        <c:ser>
          <c:idx val="1"/>
          <c:order val="1"/>
          <c:tx>
            <c:strRef>
              <c:f>'3 wskaź. doch,wyd gosp. ogółem'!$B$9</c:f>
              <c:strCache>
                <c:ptCount val="1"/>
                <c:pt idx="0">
                  <c:v>Expenditure</c:v>
                </c:pt>
              </c:strCache>
            </c:strRef>
          </c:tx>
          <c:spPr>
            <a:solidFill>
              <a:srgbClr val="66B68E"/>
            </a:solidFill>
            <a:scene3d>
              <a:camera prst="orthographicFront"/>
              <a:lightRig rig="threePt" dir="t"/>
            </a:scene3d>
          </c:spPr>
          <c:invertIfNegative val="0"/>
          <c:dLbls>
            <c:dLbl>
              <c:idx val="1"/>
              <c:layout>
                <c:manualLayout>
                  <c:x val="2.4792363951902808E-3"/>
                  <c:y val="1.41794016241893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F-43E3-AFBC-FB6FD457115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 wskaź. doch,wyd gosp. ogółem'!$C$7:$G$7</c:f>
              <c:strCache>
                <c:ptCount val="5"/>
                <c:pt idx="0">
                  <c:v>employees</c:v>
                </c:pt>
                <c:pt idx="1">
                  <c:v>farmers</c:v>
                </c:pt>
                <c:pt idx="2">
                  <c:v>self-employed</c:v>
                </c:pt>
                <c:pt idx="3">
                  <c:v>retirees</c:v>
                </c:pt>
                <c:pt idx="4">
                  <c:v>pensioners</c:v>
                </c:pt>
              </c:strCache>
            </c:strRef>
          </c:cat>
          <c:val>
            <c:numRef>
              <c:f>'3 wskaź. doch,wyd gosp. ogółem'!$C$9:$G$9</c:f>
              <c:numCache>
                <c:formatCode>0.0%</c:formatCode>
                <c:ptCount val="5"/>
                <c:pt idx="0">
                  <c:v>0.98081978868698239</c:v>
                </c:pt>
                <c:pt idx="1">
                  <c:v>0.69408389688982952</c:v>
                </c:pt>
                <c:pt idx="2">
                  <c:v>1.1676615023396553</c:v>
                </c:pt>
                <c:pt idx="3">
                  <c:v>1.1044660129962467</c:v>
                </c:pt>
                <c:pt idx="4">
                  <c:v>0.99180707352965503</c:v>
                </c:pt>
              </c:numCache>
            </c:numRef>
          </c:val>
          <c:extLst>
            <c:ext xmlns:c16="http://schemas.microsoft.com/office/drawing/2014/chart" uri="{C3380CC4-5D6E-409C-BE32-E72D297353CC}">
              <c16:uniqueId val="{00000002-21CF-43E3-AFBC-FB6FD4571159}"/>
            </c:ext>
          </c:extLst>
        </c:ser>
        <c:dLbls>
          <c:showLegendKey val="0"/>
          <c:showVal val="0"/>
          <c:showCatName val="0"/>
          <c:showSerName val="0"/>
          <c:showPercent val="0"/>
          <c:showBubbleSize val="0"/>
        </c:dLbls>
        <c:gapWidth val="50"/>
        <c:axId val="-142367824"/>
        <c:axId val="-142366192"/>
      </c:barChart>
      <c:catAx>
        <c:axId val="-142367824"/>
        <c:scaling>
          <c:orientation val="minMax"/>
        </c:scaling>
        <c:delete val="0"/>
        <c:axPos val="b"/>
        <c:numFmt formatCode="General" sourceLinked="1"/>
        <c:majorTickMark val="none"/>
        <c:minorTickMark val="none"/>
        <c:tickLblPos val="low"/>
        <c:spPr>
          <a:ln w="9525">
            <a:solidFill>
              <a:sysClr val="windowText" lastClr="000000"/>
            </a:solidFill>
          </a:ln>
        </c:spPr>
        <c:crossAx val="-142366192"/>
        <c:crossesAt val="1"/>
        <c:auto val="1"/>
        <c:lblAlgn val="ctr"/>
        <c:lblOffset val="100"/>
        <c:noMultiLvlLbl val="0"/>
      </c:catAx>
      <c:valAx>
        <c:axId val="-142366192"/>
        <c:scaling>
          <c:orientation val="minMax"/>
          <c:max val="1.3"/>
          <c:min val="0.60000000000000309"/>
        </c:scaling>
        <c:delete val="0"/>
        <c:axPos val="l"/>
        <c:majorGridlines>
          <c:spPr>
            <a:ln w="6350">
              <a:solidFill>
                <a:schemeClr val="bg1">
                  <a:lumMod val="65000"/>
                </a:scheme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7824"/>
        <c:crossesAt val="1"/>
        <c:crossBetween val="between"/>
      </c:valAx>
    </c:plotArea>
    <c:legend>
      <c:legendPos val="r"/>
      <c:legendEntry>
        <c:idx val="0"/>
        <c:txPr>
          <a:bodyPr/>
          <a:lstStyle/>
          <a:p>
            <a:pPr>
              <a:defRPr sz="900"/>
            </a:pPr>
            <a:endParaRPr lang="pl-PL"/>
          </a:p>
        </c:txPr>
      </c:legendEntry>
      <c:layout>
        <c:manualLayout>
          <c:xMode val="edge"/>
          <c:yMode val="edge"/>
          <c:x val="7.2428646307645908E-2"/>
          <c:y val="0.14742411799752025"/>
          <c:w val="0.89983826398791966"/>
          <c:h val="7.4161312658003645E-2"/>
        </c:manualLayout>
      </c:layout>
      <c:overlay val="0"/>
      <c:spPr>
        <a:solidFill>
          <a:sysClr val="window" lastClr="FFFFFF"/>
        </a:solidFill>
        <a:ln w="6350">
          <a:noFill/>
        </a:ln>
      </c:spPr>
      <c:txPr>
        <a:bodyPr/>
        <a:lstStyle/>
        <a:p>
          <a:pPr>
            <a:defRPr sz="900"/>
          </a:pPr>
          <a:endParaRPr lang="pl-PL"/>
        </a:p>
      </c:tx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713496750406198"/>
          <c:y val="0.11282298911449126"/>
          <c:w val="0.54659280871141114"/>
          <c:h val="0.71398267353079381"/>
        </c:manualLayout>
      </c:layout>
      <c:barChart>
        <c:barDir val="bar"/>
        <c:grouping val="clustered"/>
        <c:varyColors val="0"/>
        <c:ser>
          <c:idx val="0"/>
          <c:order val="0"/>
          <c:spPr>
            <a:solidFill>
              <a:srgbClr val="334A92"/>
            </a:solidFill>
            <a:ln>
              <a:noFill/>
            </a:ln>
            <a:scene3d>
              <a:camera prst="orthographicFront"/>
              <a:lightRig rig="threePt" dir="t"/>
            </a:scene3d>
          </c:spPr>
          <c:invertIfNegative val="0"/>
          <c:dPt>
            <c:idx val="4"/>
            <c:invertIfNegative val="0"/>
            <c:bubble3D val="0"/>
            <c:spPr>
              <a:solidFill>
                <a:srgbClr val="99A5C9"/>
              </a:solidFill>
              <a:ln>
                <a:noFill/>
              </a:ln>
              <a:scene3d>
                <a:camera prst="orthographicFront"/>
                <a:lightRig rig="threePt" dir="t"/>
              </a:scene3d>
            </c:spPr>
            <c:extLst>
              <c:ext xmlns:c16="http://schemas.microsoft.com/office/drawing/2014/chart" uri="{C3380CC4-5D6E-409C-BE32-E72D297353CC}">
                <c16:uniqueId val="{00000001-7DDA-441E-967E-C5C63B702D6D}"/>
              </c:ext>
            </c:extLst>
          </c:dPt>
          <c:dPt>
            <c:idx val="5"/>
            <c:invertIfNegative val="0"/>
            <c:bubble3D val="0"/>
            <c:spPr>
              <a:solidFill>
                <a:srgbClr val="99A5C9"/>
              </a:solidFill>
              <a:ln>
                <a:noFill/>
              </a:ln>
              <a:scene3d>
                <a:camera prst="orthographicFront"/>
                <a:lightRig rig="threePt" dir="t"/>
              </a:scene3d>
            </c:spPr>
            <c:extLst>
              <c:ext xmlns:c16="http://schemas.microsoft.com/office/drawing/2014/chart" uri="{C3380CC4-5D6E-409C-BE32-E72D297353CC}">
                <c16:uniqueId val="{00000003-7DDA-441E-967E-C5C63B702D6D}"/>
              </c:ext>
            </c:extLst>
          </c:dPt>
          <c:dPt>
            <c:idx val="7"/>
            <c:invertIfNegative val="0"/>
            <c:bubble3D val="0"/>
            <c:spPr>
              <a:solidFill>
                <a:srgbClr val="99A5C9"/>
              </a:solidFill>
              <a:ln>
                <a:noFill/>
              </a:ln>
              <a:scene3d>
                <a:camera prst="orthographicFront"/>
                <a:lightRig rig="threePt" dir="t"/>
              </a:scene3d>
            </c:spPr>
            <c:extLst>
              <c:ext xmlns:c16="http://schemas.microsoft.com/office/drawing/2014/chart" uri="{C3380CC4-5D6E-409C-BE32-E72D297353CC}">
                <c16:uniqueId val="{00000005-7DDA-441E-967E-C5C63B702D6D}"/>
              </c:ext>
            </c:extLst>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 struktura dochodu'!$B$18:$B$26</c:f>
              <c:strCache>
                <c:ptCount val="9"/>
                <c:pt idx="0">
                  <c:v>Income from hired work</c:v>
                </c:pt>
                <c:pt idx="1">
                  <c:v>Income from self-employment</c:v>
                </c:pt>
                <c:pt idx="2">
                  <c:v>Income from private farm in agriculture</c:v>
                </c:pt>
                <c:pt idx="3">
                  <c:v>Income from social security benefits</c:v>
                </c:pt>
                <c:pt idx="4">
                  <c:v>   of which: from retirement pensions</c:v>
                </c:pt>
                <c:pt idx="5">
                  <c:v>   from pensions</c:v>
                </c:pt>
                <c:pt idx="6">
                  <c:v>Income from other social benefits</c:v>
                </c:pt>
                <c:pt idx="7">
                  <c:v>   of which from child-raising benefit</c:v>
                </c:pt>
                <c:pt idx="8">
                  <c:v>Other income*</c:v>
                </c:pt>
              </c:strCache>
            </c:strRef>
          </c:cat>
          <c:val>
            <c:numRef>
              <c:f>'6 struktura dochodu'!$C$18:$C$26</c:f>
              <c:numCache>
                <c:formatCode>0.0%</c:formatCode>
                <c:ptCount val="9"/>
                <c:pt idx="0">
                  <c:v>0.53007747979637454</c:v>
                </c:pt>
                <c:pt idx="1">
                  <c:v>9.0631040897035761E-2</c:v>
                </c:pt>
                <c:pt idx="2">
                  <c:v>3.3117793258684566E-2</c:v>
                </c:pt>
                <c:pt idx="3">
                  <c:v>0.23911922092944493</c:v>
                </c:pt>
                <c:pt idx="4">
                  <c:v>0.20529280276780551</c:v>
                </c:pt>
                <c:pt idx="5">
                  <c:v>2.8991095294418016E-2</c:v>
                </c:pt>
                <c:pt idx="6">
                  <c:v>8.3357214687293207E-2</c:v>
                </c:pt>
                <c:pt idx="7">
                  <c:v>6.1139739788767251E-2</c:v>
                </c:pt>
                <c:pt idx="8">
                  <c:v>2.3702460908394597E-2</c:v>
                </c:pt>
              </c:numCache>
            </c:numRef>
          </c:val>
          <c:extLst>
            <c:ext xmlns:c16="http://schemas.microsoft.com/office/drawing/2014/chart" uri="{C3380CC4-5D6E-409C-BE32-E72D297353CC}">
              <c16:uniqueId val="{00000006-7DDA-441E-967E-C5C63B702D6D}"/>
            </c:ext>
          </c:extLst>
        </c:ser>
        <c:dLbls>
          <c:showLegendKey val="0"/>
          <c:showVal val="0"/>
          <c:showCatName val="0"/>
          <c:showSerName val="0"/>
          <c:showPercent val="0"/>
          <c:showBubbleSize val="0"/>
        </c:dLbls>
        <c:gapWidth val="50"/>
        <c:axId val="-142366736"/>
        <c:axId val="-142365648"/>
      </c:barChart>
      <c:catAx>
        <c:axId val="-142366736"/>
        <c:scaling>
          <c:orientation val="maxMin"/>
        </c:scaling>
        <c:delete val="0"/>
        <c:axPos val="l"/>
        <c:numFmt formatCode="General" sourceLinked="0"/>
        <c:majorTickMark val="out"/>
        <c:minorTickMark val="none"/>
        <c:tickLblPos val="nextTo"/>
        <c:spPr>
          <a:ln>
            <a:solidFill>
              <a:sysClr val="windowText" lastClr="000000"/>
            </a:solidFill>
          </a:ln>
        </c:spPr>
        <c:txPr>
          <a:bodyPr/>
          <a:lstStyle/>
          <a:p>
            <a:pPr>
              <a:defRPr sz="850"/>
            </a:pPr>
            <a:endParaRPr lang="pl-PL"/>
          </a:p>
        </c:txPr>
        <c:crossAx val="-142365648"/>
        <c:crossesAt val="0"/>
        <c:auto val="1"/>
        <c:lblAlgn val="ctr"/>
        <c:lblOffset val="100"/>
        <c:noMultiLvlLbl val="0"/>
      </c:catAx>
      <c:valAx>
        <c:axId val="-142365648"/>
        <c:scaling>
          <c:orientation val="minMax"/>
        </c:scaling>
        <c:delete val="0"/>
        <c:axPos val="b"/>
        <c:majorGridlines>
          <c:spPr>
            <a:ln w="6350"/>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6736"/>
        <c:crosses val="max"/>
        <c:crossBetween val="between"/>
      </c:valAx>
    </c:plotArea>
    <c:plotVisOnly val="1"/>
    <c:dispBlanksAs val="zero"/>
    <c:showDLblsOverMax val="0"/>
  </c:chart>
  <c:spPr>
    <a:ln>
      <a:noFill/>
    </a:ln>
  </c:spPr>
  <c:txPr>
    <a:bodyPr/>
    <a:lstStyle/>
    <a:p>
      <a:pPr>
        <a:spcBef>
          <a:spcPts val="1200"/>
        </a:spcBef>
        <a:spcAft>
          <a:spcPts val="1200"/>
        </a:spcAft>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0209387889013906E-2"/>
          <c:y val="0.15788034335770751"/>
          <c:w val="0.90060253253021694"/>
          <c:h val="0.76045861280276073"/>
        </c:manualLayout>
      </c:layout>
      <c:lineChart>
        <c:grouping val="standard"/>
        <c:varyColors val="0"/>
        <c:ser>
          <c:idx val="0"/>
          <c:order val="0"/>
          <c:tx>
            <c:strRef>
              <c:f>'7 Gini_miasto wieś'!$C$4</c:f>
              <c:strCache>
                <c:ptCount val="1"/>
                <c:pt idx="0">
                  <c:v>Poland</c:v>
                </c:pt>
              </c:strCache>
            </c:strRef>
          </c:tx>
          <c:spPr>
            <a:ln w="31750">
              <a:solidFill>
                <a:sysClr val="windowText" lastClr="000000"/>
              </a:solidFill>
            </a:ln>
          </c:spPr>
          <c:marker>
            <c:symbol val="circle"/>
            <c:size val="5"/>
            <c:spPr>
              <a:solidFill>
                <a:sysClr val="windowText" lastClr="000000"/>
              </a:solidFill>
              <a:ln w="6350">
                <a:noFill/>
              </a:ln>
              <a:scene3d>
                <a:camera prst="orthographicFront"/>
                <a:lightRig rig="threePt" dir="t"/>
              </a:scene3d>
            </c:spPr>
          </c:marker>
          <c:dLbls>
            <c:dLbl>
              <c:idx val="0"/>
              <c:layout>
                <c:manualLayout>
                  <c:x val="-4.4520946062777095E-2"/>
                  <c:y val="-4.6068382269113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EA-4CB4-9BB5-F0B53794F23B}"/>
                </c:ext>
              </c:extLst>
            </c:dLbl>
            <c:dLbl>
              <c:idx val="1"/>
              <c:layout>
                <c:manualLayout>
                  <c:x val="-3.6779179099451539E-2"/>
                  <c:y val="-4.2151543365887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EA-4CB4-9BB5-F0B53794F23B}"/>
                </c:ext>
              </c:extLst>
            </c:dLbl>
            <c:dLbl>
              <c:idx val="2"/>
              <c:layout>
                <c:manualLayout>
                  <c:x val="-3.9818962089692531E-2"/>
                  <c:y val="-4.6068382269113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EA-4CB4-9BB5-F0B53794F23B}"/>
                </c:ext>
              </c:extLst>
            </c:dLbl>
            <c:dLbl>
              <c:idx val="3"/>
              <c:layout>
                <c:manualLayout>
                  <c:x val="-3.9221103244947264E-2"/>
                  <c:y val="4.10099658133071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EA-4CB4-9BB5-F0B53794F23B}"/>
                </c:ext>
              </c:extLst>
            </c:dLbl>
            <c:dLbl>
              <c:idx val="4"/>
              <c:layout>
                <c:manualLayout>
                  <c:x val="-4.378475909316927E-2"/>
                  <c:y val="4.10099658133072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EA-4CB4-9BB5-F0B53794F23B}"/>
                </c:ext>
              </c:extLst>
            </c:dLbl>
            <c:dLbl>
              <c:idx val="5"/>
              <c:layout>
                <c:manualLayout>
                  <c:x val="-3.6739766328789641E-2"/>
                  <c:y val="4.1009948005084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EA-4CB4-9BB5-F0B53794F23B}"/>
                </c:ext>
              </c:extLst>
            </c:dLbl>
            <c:dLbl>
              <c:idx val="6"/>
              <c:layout>
                <c:manualLayout>
                  <c:x val="-4.4155001743754967E-2"/>
                  <c:y val="-4.6068382269113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EA-4CB4-9BB5-F0B53794F23B}"/>
                </c:ext>
              </c:extLst>
            </c:dLbl>
            <c:dLbl>
              <c:idx val="7"/>
              <c:layout>
                <c:manualLayout>
                  <c:x val="-4.4384571724988879E-2"/>
                  <c:y val="-5.0769237602697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EA-4CB4-9BB5-F0B53794F23B}"/>
                </c:ext>
              </c:extLst>
            </c:dLbl>
            <c:dLbl>
              <c:idx val="8"/>
              <c:layout>
                <c:manualLayout>
                  <c:x val="-5.0025329206478418E-2"/>
                  <c:y val="3.7229710121014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EA-4CB4-9BB5-F0B53794F23B}"/>
                </c:ext>
              </c:extLst>
            </c:dLbl>
            <c:dLbl>
              <c:idx val="9"/>
              <c:layout>
                <c:manualLayout>
                  <c:x val="-5.3007831068346001E-2"/>
                  <c:y val="5.4055662760513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EA-4CB4-9BB5-F0B53794F23B}"/>
                </c:ext>
              </c:extLst>
            </c:dLbl>
            <c:dLbl>
              <c:idx val="10"/>
              <c:layout>
                <c:manualLayout>
                  <c:x val="-7.7901788985134612E-2"/>
                  <c:y val="2.38440707778546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5EA-4CB4-9BB5-F0B53794F23B}"/>
                </c:ext>
              </c:extLst>
            </c:dLbl>
            <c:dLbl>
              <c:idx val="11"/>
              <c:layout>
                <c:manualLayout>
                  <c:x val="-7.2939169816334304E-2"/>
                  <c:y val="3.1950640278705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EA-4CB4-9BB5-F0B53794F23B}"/>
                </c:ext>
              </c:extLst>
            </c:dLbl>
            <c:dLbl>
              <c:idx val="12"/>
              <c:layout>
                <c:manualLayout>
                  <c:x val="-5.4232674040744992E-2"/>
                  <c:y val="4.1747451332891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5EA-4CB4-9BB5-F0B53794F23B}"/>
                </c:ext>
              </c:extLst>
            </c:dLbl>
            <c:dLbl>
              <c:idx val="13"/>
              <c:layout>
                <c:manualLayout>
                  <c:x val="-5.0416345781247408E-2"/>
                  <c:y val="4.3015243532514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5EA-4CB4-9BB5-F0B53794F23B}"/>
                </c:ext>
              </c:extLst>
            </c:dLbl>
            <c:dLbl>
              <c:idx val="14"/>
              <c:layout>
                <c:manualLayout>
                  <c:x val="-4.9547636965609869E-2"/>
                  <c:y val="3.73074281470634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5EA-4CB4-9BB5-F0B53794F23B}"/>
                </c:ext>
              </c:extLst>
            </c:dLbl>
            <c:dLbl>
              <c:idx val="15"/>
              <c:layout>
                <c:manualLayout>
                  <c:x val="-5.2068259039208233E-2"/>
                  <c:y val="-5.01342948985826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5EA-4CB4-9BB5-F0B53794F23B}"/>
                </c:ext>
              </c:extLst>
            </c:dLbl>
            <c:dLbl>
              <c:idx val="16"/>
              <c:layout>
                <c:manualLayout>
                  <c:x val="-1.0939611608750826E-2"/>
                  <c:y val="-4.2295154368696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EA-4CB4-9BB5-F0B53794F23B}"/>
                </c:ext>
              </c:extLst>
            </c:dLbl>
            <c:spPr>
              <a:noFill/>
              <a:ln>
                <a:noFill/>
              </a:ln>
              <a:effectLst/>
            </c:spPr>
            <c:txPr>
              <a:bodyPr/>
              <a:lstStyle/>
              <a:p>
                <a:pPr>
                  <a:defRPr sz="800">
                    <a:solidFill>
                      <a:schemeClr val="tx1"/>
                    </a:solidFill>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'7 Gini_miasto wieś'!$B$5:$B$21</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'7 Gini_miasto wieś'!$C$5:$C$21</c:f>
              <c:numCache>
                <c:formatCode>0.000</c:formatCode>
                <c:ptCount val="17"/>
                <c:pt idx="0">
                  <c:v>0.34445999999999999</c:v>
                </c:pt>
                <c:pt idx="1">
                  <c:v>0.34506999999999999</c:v>
                </c:pt>
                <c:pt idx="2">
                  <c:v>0.34034999999999999</c:v>
                </c:pt>
                <c:pt idx="3">
                  <c:v>0.33966000000000002</c:v>
                </c:pt>
                <c:pt idx="4">
                  <c:v>0.33850000000000002</c:v>
                </c:pt>
                <c:pt idx="5">
                  <c:v>0.33550492073581195</c:v>
                </c:pt>
                <c:pt idx="6">
                  <c:v>0.34236787688915998</c:v>
                </c:pt>
                <c:pt idx="7">
                  <c:v>0.33760000000000001</c:v>
                </c:pt>
                <c:pt idx="8">
                  <c:v>0.33800000000000002</c:v>
                </c:pt>
                <c:pt idx="9">
                  <c:v>0.33760000000000001</c:v>
                </c:pt>
                <c:pt idx="10">
                  <c:v>0.32600000000000001</c:v>
                </c:pt>
                <c:pt idx="11">
                  <c:v>0.3221</c:v>
                </c:pt>
                <c:pt idx="12">
                  <c:v>0.30442534851211001</c:v>
                </c:pt>
                <c:pt idx="13">
                  <c:v>0.29780000000000001</c:v>
                </c:pt>
                <c:pt idx="14">
                  <c:v>0.29899999999999999</c:v>
                </c:pt>
                <c:pt idx="15">
                  <c:v>0.30099999999999999</c:v>
                </c:pt>
                <c:pt idx="16">
                  <c:v>0.313</c:v>
                </c:pt>
              </c:numCache>
            </c:numRef>
          </c:val>
          <c:smooth val="0"/>
          <c:extLst>
            <c:ext xmlns:c16="http://schemas.microsoft.com/office/drawing/2014/chart" uri="{C3380CC4-5D6E-409C-BE32-E72D297353CC}">
              <c16:uniqueId val="{00000011-E5EA-4CB4-9BB5-F0B53794F23B}"/>
            </c:ext>
          </c:extLst>
        </c:ser>
        <c:ser>
          <c:idx val="1"/>
          <c:order val="1"/>
          <c:tx>
            <c:strRef>
              <c:f>'7 Gini_miasto wieś'!$D$4</c:f>
              <c:strCache>
                <c:ptCount val="1"/>
                <c:pt idx="0">
                  <c:v>Urban areas</c:v>
                </c:pt>
              </c:strCache>
            </c:strRef>
          </c:tx>
          <c:spPr>
            <a:ln w="31750">
              <a:solidFill>
                <a:srgbClr val="334A92"/>
              </a:solidFill>
            </a:ln>
          </c:spPr>
          <c:marker>
            <c:symbol val="circle"/>
            <c:size val="5"/>
            <c:spPr>
              <a:solidFill>
                <a:srgbClr val="334A92"/>
              </a:solidFill>
              <a:ln w="6350">
                <a:noFill/>
              </a:ln>
            </c:spPr>
          </c:marker>
          <c:dLbls>
            <c:dLbl>
              <c:idx val="0"/>
              <c:layout>
                <c:manualLayout>
                  <c:x val="-5.0687009947143209E-2"/>
                  <c:y val="-3.728217893339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5EA-4CB4-9BB5-F0B53794F23B}"/>
                </c:ext>
              </c:extLst>
            </c:dLbl>
            <c:dLbl>
              <c:idx val="1"/>
              <c:layout>
                <c:manualLayout>
                  <c:x val="-5.3821432348732823E-2"/>
                  <c:y val="4.3766036139207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5EA-4CB4-9BB5-F0B53794F23B}"/>
                </c:ext>
              </c:extLst>
            </c:dLbl>
            <c:dLbl>
              <c:idx val="2"/>
              <c:layout>
                <c:manualLayout>
                  <c:x val="-5.8979260966030816E-2"/>
                  <c:y val="3.7963430662454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5EA-4CB4-9BB5-F0B53794F23B}"/>
                </c:ext>
              </c:extLst>
            </c:dLbl>
            <c:dLbl>
              <c:idx val="3"/>
              <c:layout>
                <c:manualLayout>
                  <c:x val="-6.618727905039494E-2"/>
                  <c:y val="3.39110199088239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5EA-4CB4-9BB5-F0B53794F23B}"/>
                </c:ext>
              </c:extLst>
            </c:dLbl>
            <c:dLbl>
              <c:idx val="4"/>
              <c:layout>
                <c:manualLayout>
                  <c:x val="-7.5486501338690046E-2"/>
                  <c:y val="2.62131799286412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5EA-4CB4-9BB5-F0B53794F23B}"/>
                </c:ext>
              </c:extLst>
            </c:dLbl>
            <c:dLbl>
              <c:idx val="5"/>
              <c:layout>
                <c:manualLayout>
                  <c:x val="-5.8070194405350238E-2"/>
                  <c:y val="3.7963430662454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5EA-4CB4-9BB5-F0B53794F23B}"/>
                </c:ext>
              </c:extLst>
            </c:dLbl>
            <c:dLbl>
              <c:idx val="6"/>
              <c:layout>
                <c:manualLayout>
                  <c:x val="-3.8863560210344719E-2"/>
                  <c:y val="5.54700929362800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5EA-4CB4-9BB5-F0B53794F23B}"/>
                </c:ext>
              </c:extLst>
            </c:dLbl>
            <c:dLbl>
              <c:idx val="7"/>
              <c:layout>
                <c:manualLayout>
                  <c:x val="-5.754528177837661E-2"/>
                  <c:y val="4.26588026498298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5EA-4CB4-9BB5-F0B53794F23B}"/>
                </c:ext>
              </c:extLst>
            </c:dLbl>
            <c:dLbl>
              <c:idx val="8"/>
              <c:layout>
                <c:manualLayout>
                  <c:x val="-5.2589289113126478E-2"/>
                  <c:y val="3.86036537958008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5EA-4CB4-9BB5-F0B53794F23B}"/>
                </c:ext>
              </c:extLst>
            </c:dLbl>
            <c:dLbl>
              <c:idx val="9"/>
              <c:layout>
                <c:manualLayout>
                  <c:x val="-6.5459048310925E-2"/>
                  <c:y val="3.5690889765812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EA-4CB4-9BB5-F0B53794F23B}"/>
                </c:ext>
              </c:extLst>
            </c:dLbl>
            <c:dLbl>
              <c:idx val="10"/>
              <c:layout>
                <c:manualLayout>
                  <c:x val="-7.7047053759410691E-2"/>
                  <c:y val="3.4559849202357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5EA-4CB4-9BB5-F0B53794F23B}"/>
                </c:ext>
              </c:extLst>
            </c:dLbl>
            <c:dLbl>
              <c:idx val="11"/>
              <c:layout>
                <c:manualLayout>
                  <c:x val="-7.1750179907204836E-2"/>
                  <c:y val="3.7963430662454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5EA-4CB4-9BB5-F0B53794F23B}"/>
                </c:ext>
              </c:extLst>
            </c:dLbl>
            <c:dLbl>
              <c:idx val="12"/>
              <c:layout>
                <c:manualLayout>
                  <c:x val="-8.2087973170595893E-2"/>
                  <c:y val="1.78632502676156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5EA-4CB4-9BB5-F0B53794F23B}"/>
                </c:ext>
              </c:extLst>
            </c:dLbl>
            <c:dLbl>
              <c:idx val="13"/>
              <c:layout>
                <c:manualLayout>
                  <c:x val="-4.0477926499425582E-2"/>
                  <c:y val="-4.3896200931088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5EA-4CB4-9BB5-F0B53794F23B}"/>
                </c:ext>
              </c:extLst>
            </c:dLbl>
            <c:dLbl>
              <c:idx val="14"/>
              <c:layout>
                <c:manualLayout>
                  <c:x val="-4.2235084688920885E-2"/>
                  <c:y val="-5.3114363612309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5EA-4CB4-9BB5-F0B53794F23B}"/>
                </c:ext>
              </c:extLst>
            </c:dLbl>
            <c:dLbl>
              <c:idx val="15"/>
              <c:layout>
                <c:manualLayout>
                  <c:x val="-1.2810038760030415E-3"/>
                  <c:y val="3.13555226521831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5EA-4CB4-9BB5-F0B53794F23B}"/>
                </c:ext>
              </c:extLst>
            </c:dLbl>
            <c:dLbl>
              <c:idx val="16"/>
              <c:layout>
                <c:manualLayout>
                  <c:x val="-4.3376876142620514E-4"/>
                  <c:y val="4.62175531096308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5EA-4CB4-9BB5-F0B53794F23B}"/>
                </c:ext>
              </c:extLst>
            </c:dLbl>
            <c:spPr>
              <a:noFill/>
              <a:ln>
                <a:noFill/>
              </a:ln>
              <a:effectLst/>
            </c:spPr>
            <c:txPr>
              <a:bodyPr/>
              <a:lstStyle/>
              <a:p>
                <a:pPr>
                  <a:defRPr sz="800">
                    <a:solidFill>
                      <a:srgbClr val="334A92"/>
                    </a:solidFill>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'7 Gini_miasto wieś'!$B$5:$B$21</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'7 Gini_miasto wieś'!$D$5:$D$21</c:f>
              <c:numCache>
                <c:formatCode>0.000</c:formatCode>
                <c:ptCount val="17"/>
                <c:pt idx="0">
                  <c:v>0.33101000000000003</c:v>
                </c:pt>
                <c:pt idx="1">
                  <c:v>0.33252999999999999</c:v>
                </c:pt>
                <c:pt idx="2">
                  <c:v>0.32873999999999998</c:v>
                </c:pt>
                <c:pt idx="3">
                  <c:v>0.32499</c:v>
                </c:pt>
                <c:pt idx="4">
                  <c:v>0.31542999999999999</c:v>
                </c:pt>
                <c:pt idx="5">
                  <c:v>0.312</c:v>
                </c:pt>
                <c:pt idx="6">
                  <c:v>0.32297183540666002</c:v>
                </c:pt>
                <c:pt idx="7">
                  <c:v>0.31740000000000002</c:v>
                </c:pt>
                <c:pt idx="8">
                  <c:v>0.317</c:v>
                </c:pt>
                <c:pt idx="9">
                  <c:v>0.31240000000000001</c:v>
                </c:pt>
                <c:pt idx="10">
                  <c:v>0.30640000000000001</c:v>
                </c:pt>
                <c:pt idx="11">
                  <c:v>0.30309999999999998</c:v>
                </c:pt>
                <c:pt idx="12">
                  <c:v>0.28795411590439002</c:v>
                </c:pt>
                <c:pt idx="13">
                  <c:v>0.28089999999999998</c:v>
                </c:pt>
                <c:pt idx="14">
                  <c:v>0.28299999999999997</c:v>
                </c:pt>
                <c:pt idx="15">
                  <c:v>0.28799999999999998</c:v>
                </c:pt>
                <c:pt idx="16">
                  <c:v>0.30099999999999999</c:v>
                </c:pt>
              </c:numCache>
            </c:numRef>
          </c:val>
          <c:smooth val="0"/>
          <c:extLst>
            <c:ext xmlns:c16="http://schemas.microsoft.com/office/drawing/2014/chart" uri="{C3380CC4-5D6E-409C-BE32-E72D297353CC}">
              <c16:uniqueId val="{00000023-E5EA-4CB4-9BB5-F0B53794F23B}"/>
            </c:ext>
          </c:extLst>
        </c:ser>
        <c:ser>
          <c:idx val="2"/>
          <c:order val="2"/>
          <c:tx>
            <c:strRef>
              <c:f>'7 Gini_miasto wieś'!$E$4</c:f>
              <c:strCache>
                <c:ptCount val="1"/>
                <c:pt idx="0">
                  <c:v>Rural areas</c:v>
                </c:pt>
              </c:strCache>
            </c:strRef>
          </c:tx>
          <c:spPr>
            <a:ln w="31750">
              <a:solidFill>
                <a:srgbClr val="66B68E"/>
              </a:solidFill>
            </a:ln>
          </c:spPr>
          <c:marker>
            <c:symbol val="circle"/>
            <c:size val="5"/>
            <c:spPr>
              <a:solidFill>
                <a:srgbClr val="66B68E"/>
              </a:solidFill>
              <a:ln w="6350">
                <a:noFill/>
              </a:ln>
            </c:spPr>
          </c:marker>
          <c:dLbls>
            <c:dLbl>
              <c:idx val="0"/>
              <c:layout>
                <c:manualLayout>
                  <c:x val="-5.6879734585054888E-2"/>
                  <c:y val="4.51156225260147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5EA-4CB4-9BB5-F0B53794F23B}"/>
                </c:ext>
              </c:extLst>
            </c:dLbl>
            <c:dLbl>
              <c:idx val="1"/>
              <c:layout>
                <c:manualLayout>
                  <c:x val="-4.4204627935443053E-2"/>
                  <c:y val="-4.13675269355309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5EA-4CB4-9BB5-F0B53794F23B}"/>
                </c:ext>
              </c:extLst>
            </c:dLbl>
            <c:dLbl>
              <c:idx val="2"/>
              <c:layout>
                <c:manualLayout>
                  <c:x val="-5.0656032854883501E-2"/>
                  <c:y val="-5.07692376026970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5EA-4CB4-9BB5-F0B53794F23B}"/>
                </c:ext>
              </c:extLst>
            </c:dLbl>
            <c:dLbl>
              <c:idx val="3"/>
              <c:layout>
                <c:manualLayout>
                  <c:x val="-3.8582384342158049E-2"/>
                  <c:y val="-3.4318059787984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5EA-4CB4-9BB5-F0B53794F23B}"/>
                </c:ext>
              </c:extLst>
            </c:dLbl>
            <c:dLbl>
              <c:idx val="4"/>
              <c:layout>
                <c:manualLayout>
                  <c:x val="-4.4192169241996905E-2"/>
                  <c:y val="-4.2015841416084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5EA-4CB4-9BB5-F0B53794F23B}"/>
                </c:ext>
              </c:extLst>
            </c:dLbl>
            <c:dLbl>
              <c:idx val="5"/>
              <c:layout>
                <c:manualLayout>
                  <c:x val="-4.1903262140588683E-2"/>
                  <c:y val="-4.60683822691139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5EA-4CB4-9BB5-F0B53794F23B}"/>
                </c:ext>
              </c:extLst>
            </c:dLbl>
            <c:dLbl>
              <c:idx val="6"/>
              <c:layout>
                <c:manualLayout>
                  <c:x val="-4.4123936529273114E-2"/>
                  <c:y val="4.32478690689640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E5EA-4CB4-9BB5-F0B53794F23B}"/>
                </c:ext>
              </c:extLst>
            </c:dLbl>
            <c:dLbl>
              <c:idx val="7"/>
              <c:layout>
                <c:manualLayout>
                  <c:x val="-4.5796767036697578E-2"/>
                  <c:y val="4.32479226619287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E5EA-4CB4-9BB5-F0B53794F23B}"/>
                </c:ext>
              </c:extLst>
            </c:dLbl>
            <c:dLbl>
              <c:idx val="8"/>
              <c:layout>
                <c:manualLayout>
                  <c:x val="-5.6601612038934671E-2"/>
                  <c:y val="-4.6068252169714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E5EA-4CB4-9BB5-F0B53794F23B}"/>
                </c:ext>
              </c:extLst>
            </c:dLbl>
            <c:dLbl>
              <c:idx val="9"/>
              <c:layout>
                <c:manualLayout>
                  <c:x val="-4.3851220407195364E-2"/>
                  <c:y val="-4.2015841416084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E5EA-4CB4-9BB5-F0B53794F23B}"/>
                </c:ext>
              </c:extLst>
            </c:dLbl>
            <c:dLbl>
              <c:idx val="10"/>
              <c:layout>
                <c:manualLayout>
                  <c:x val="-9.3438357565007648E-3"/>
                  <c:y val="-3.19658627470813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E5EA-4CB4-9BB5-F0B53794F23B}"/>
                </c:ext>
              </c:extLst>
            </c:dLbl>
            <c:dLbl>
              <c:idx val="11"/>
              <c:layout>
                <c:manualLayout>
                  <c:x val="-1.1569154781942721E-2"/>
                  <c:y val="-2.72649609347817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E5EA-4CB4-9BB5-F0B53794F23B}"/>
                </c:ext>
              </c:extLst>
            </c:dLbl>
            <c:dLbl>
              <c:idx val="12"/>
              <c:layout>
                <c:manualLayout>
                  <c:x val="-2.2145838909104511E-2"/>
                  <c:y val="-4.26645462241263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E5EA-4CB4-9BB5-F0B53794F23B}"/>
                </c:ext>
              </c:extLst>
            </c:dLbl>
            <c:dLbl>
              <c:idx val="13"/>
              <c:layout>
                <c:manualLayout>
                  <c:x val="-3.9759338375748771E-2"/>
                  <c:y val="-3.8099411841081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E5EA-4CB4-9BB5-F0B53794F23B}"/>
                </c:ext>
              </c:extLst>
            </c:dLbl>
            <c:dLbl>
              <c:idx val="14"/>
              <c:layout>
                <c:manualLayout>
                  <c:x val="-4.3894977984576027E-2"/>
                  <c:y val="-3.19072589561543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E5EA-4CB4-9BB5-F0B53794F23B}"/>
                </c:ext>
              </c:extLst>
            </c:dLbl>
            <c:dLbl>
              <c:idx val="15"/>
              <c:layout>
                <c:manualLayout>
                  <c:x val="-5.1262604818503303E-2"/>
                  <c:y val="3.21172826694043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E5EA-4CB4-9BB5-F0B53794F23B}"/>
                </c:ext>
              </c:extLst>
            </c:dLbl>
            <c:dLbl>
              <c:idx val="16"/>
              <c:layout>
                <c:manualLayout>
                  <c:x val="-4.3376876142620514E-4"/>
                  <c:y val="4.3867508036259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E5EA-4CB4-9BB5-F0B53794F23B}"/>
                </c:ext>
              </c:extLst>
            </c:dLbl>
            <c:spPr>
              <a:noFill/>
              <a:ln>
                <a:noFill/>
              </a:ln>
              <a:effectLst/>
            </c:spPr>
            <c:txPr>
              <a:bodyPr/>
              <a:lstStyle/>
              <a:p>
                <a:pPr>
                  <a:defRPr sz="800">
                    <a:solidFill>
                      <a:srgbClr val="339D68"/>
                    </a:solidFill>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'7 Gini_miasto wieś'!$B$5:$B$21</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'7 Gini_miasto wieś'!$E$5:$E$21</c:f>
              <c:numCache>
                <c:formatCode>0.000</c:formatCode>
                <c:ptCount val="17"/>
                <c:pt idx="0">
                  <c:v>0.32976</c:v>
                </c:pt>
                <c:pt idx="1">
                  <c:v>0.33587</c:v>
                </c:pt>
                <c:pt idx="2">
                  <c:v>0.3306</c:v>
                </c:pt>
                <c:pt idx="3">
                  <c:v>0.34109</c:v>
                </c:pt>
                <c:pt idx="4">
                  <c:v>0.34266000000000002</c:v>
                </c:pt>
                <c:pt idx="5">
                  <c:v>0.33800000000000002</c:v>
                </c:pt>
                <c:pt idx="6">
                  <c:v>0.33903730599697002</c:v>
                </c:pt>
                <c:pt idx="7">
                  <c:v>0.33679999999999999</c:v>
                </c:pt>
                <c:pt idx="8">
                  <c:v>0.34300000000000003</c:v>
                </c:pt>
                <c:pt idx="9">
                  <c:v>0.35239999999999999</c:v>
                </c:pt>
                <c:pt idx="10">
                  <c:v>0.32850000000000001</c:v>
                </c:pt>
                <c:pt idx="11">
                  <c:v>0.3226</c:v>
                </c:pt>
                <c:pt idx="12">
                  <c:v>0.30451602001431999</c:v>
                </c:pt>
                <c:pt idx="13">
                  <c:v>0.30159999999999998</c:v>
                </c:pt>
                <c:pt idx="14">
                  <c:v>0.3</c:v>
                </c:pt>
                <c:pt idx="15">
                  <c:v>0.29799999999999999</c:v>
                </c:pt>
                <c:pt idx="16">
                  <c:v>0.31</c:v>
                </c:pt>
              </c:numCache>
            </c:numRef>
          </c:val>
          <c:smooth val="0"/>
          <c:extLst>
            <c:ext xmlns:c16="http://schemas.microsoft.com/office/drawing/2014/chart" uri="{C3380CC4-5D6E-409C-BE32-E72D297353CC}">
              <c16:uniqueId val="{00000035-E5EA-4CB4-9BB5-F0B53794F23B}"/>
            </c:ext>
          </c:extLst>
        </c:ser>
        <c:dLbls>
          <c:showLegendKey val="0"/>
          <c:showVal val="0"/>
          <c:showCatName val="0"/>
          <c:showSerName val="0"/>
          <c:showPercent val="0"/>
          <c:showBubbleSize val="0"/>
        </c:dLbls>
        <c:marker val="1"/>
        <c:smooth val="0"/>
        <c:axId val="-142372720"/>
        <c:axId val="-142370544"/>
      </c:lineChart>
      <c:catAx>
        <c:axId val="-142372720"/>
        <c:scaling>
          <c:orientation val="minMax"/>
        </c:scaling>
        <c:delete val="0"/>
        <c:axPos val="b"/>
        <c:numFmt formatCode="General" sourceLinked="1"/>
        <c:majorTickMark val="out"/>
        <c:minorTickMark val="none"/>
        <c:tickLblPos val="nextTo"/>
        <c:spPr>
          <a:ln>
            <a:solidFill>
              <a:sysClr val="windowText" lastClr="000000"/>
            </a:solidFill>
          </a:ln>
        </c:spPr>
        <c:txPr>
          <a:bodyPr/>
          <a:lstStyle/>
          <a:p>
            <a:pPr>
              <a:defRPr spc="-30" baseline="0"/>
            </a:pPr>
            <a:endParaRPr lang="pl-PL"/>
          </a:p>
        </c:txPr>
        <c:crossAx val="-142370544"/>
        <c:crosses val="autoZero"/>
        <c:auto val="1"/>
        <c:lblAlgn val="ctr"/>
        <c:lblOffset val="100"/>
        <c:noMultiLvlLbl val="0"/>
      </c:catAx>
      <c:valAx>
        <c:axId val="-142370544"/>
        <c:scaling>
          <c:orientation val="minMax"/>
          <c:max val="0.36000000000000032"/>
          <c:min val="0.28000000000000008"/>
        </c:scaling>
        <c:delete val="0"/>
        <c:axPos val="l"/>
        <c:majorGridlines>
          <c:spPr>
            <a:ln w="6350">
              <a:solidFill>
                <a:sysClr val="window" lastClr="FFFFFF">
                  <a:lumMod val="65000"/>
                </a:sysClr>
              </a:solidFill>
            </a:ln>
          </c:spPr>
        </c:majorGridlines>
        <c:numFmt formatCode="#,##0.000" sourceLinked="0"/>
        <c:majorTickMark val="out"/>
        <c:minorTickMark val="none"/>
        <c:tickLblPos val="nextTo"/>
        <c:spPr>
          <a:ln>
            <a:noFill/>
          </a:ln>
        </c:spPr>
        <c:txPr>
          <a:bodyPr/>
          <a:lstStyle/>
          <a:p>
            <a:pPr>
              <a:defRPr sz="900">
                <a:solidFill>
                  <a:sysClr val="windowText" lastClr="000000"/>
                </a:solidFill>
              </a:defRPr>
            </a:pPr>
            <a:endParaRPr lang="pl-PL"/>
          </a:p>
        </c:txPr>
        <c:crossAx val="-142372720"/>
        <c:crosses val="autoZero"/>
        <c:crossBetween val="between"/>
        <c:majorUnit val="2.0000000000000011E-2"/>
        <c:minorUnit val="2.0000000000000011E-2"/>
      </c:valAx>
      <c:spPr>
        <a:noFill/>
        <a:ln w="25400">
          <a:noFill/>
        </a:ln>
      </c:spPr>
    </c:plotArea>
    <c:legend>
      <c:legendPos val="r"/>
      <c:layout>
        <c:manualLayout>
          <c:xMode val="edge"/>
          <c:yMode val="edge"/>
          <c:x val="7.5627628330845326E-2"/>
          <c:y val="0.73835118237957575"/>
          <c:w val="0.25434418353955784"/>
          <c:h val="0.14980908537819373"/>
        </c:manualLayout>
      </c:layout>
      <c:overlay val="0"/>
      <c:spPr>
        <a:solidFill>
          <a:schemeClr val="bg1"/>
        </a:solidFill>
        <a:ln w="6350">
          <a:noFill/>
        </a:ln>
      </c:sp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7580224346956646E-2"/>
          <c:y val="0.29597625598005112"/>
          <c:w val="0.92218492219722537"/>
          <c:h val="0.61101400912698389"/>
        </c:manualLayout>
      </c:layout>
      <c:lineChart>
        <c:grouping val="standard"/>
        <c:varyColors val="0"/>
        <c:ser>
          <c:idx val="1"/>
          <c:order val="1"/>
          <c:tx>
            <c:strRef>
              <c:f>'9 wyd. mieszkanie żywność'!$D$5</c:f>
              <c:strCache>
                <c:ptCount val="1"/>
                <c:pt idx="0">
                  <c:v> Food and non-alcoholic beverages</c:v>
                </c:pt>
              </c:strCache>
            </c:strRef>
          </c:tx>
          <c:spPr>
            <a:ln w="31750">
              <a:solidFill>
                <a:srgbClr val="66B68E"/>
              </a:solidFill>
            </a:ln>
          </c:spPr>
          <c:marker>
            <c:symbol val="circle"/>
            <c:size val="5"/>
            <c:spPr>
              <a:solidFill>
                <a:srgbClr val="66B68E"/>
              </a:solidFill>
              <a:ln>
                <a:noFill/>
              </a:ln>
              <a:scene3d>
                <a:camera prst="orthographicFront"/>
                <a:lightRig rig="threePt" dir="t"/>
              </a:scene3d>
            </c:spPr>
          </c:marker>
          <c:dLbls>
            <c:spPr>
              <a:noFill/>
              <a:ln>
                <a:noFill/>
              </a:ln>
              <a:effectLst/>
            </c:spPr>
            <c:txPr>
              <a:bodyPr/>
              <a:lstStyle/>
              <a:p>
                <a:pPr>
                  <a:defRPr sz="800"/>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'9 wyd. mieszkanie żywność'!$B$6:$B$22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'9 wyd. mieszkanie żywność'!$D$6:$D$22</c:f>
              <c:numCache>
                <c:formatCode>0.0%</c:formatCode>
                <c:ptCount val="17"/>
                <c:pt idx="0">
                  <c:v>0.27795508947908354</c:v>
                </c:pt>
                <c:pt idx="1">
                  <c:v>0.27864310426506267</c:v>
                </c:pt>
                <c:pt idx="2">
                  <c:v>0.26895285240927785</c:v>
                </c:pt>
                <c:pt idx="3">
                  <c:v>0.26437866052392972</c:v>
                </c:pt>
                <c:pt idx="4">
                  <c:v>0.25378804514910625</c:v>
                </c:pt>
                <c:pt idx="5">
                  <c:v>0.24905856112868927</c:v>
                </c:pt>
                <c:pt idx="6">
                  <c:v>0.24643045481229411</c:v>
                </c:pt>
                <c:pt idx="7">
                  <c:v>0.24880070838482421</c:v>
                </c:pt>
                <c:pt idx="8">
                  <c:v>0.24917131767572315</c:v>
                </c:pt>
                <c:pt idx="9">
                  <c:v>0.24899689177733822</c:v>
                </c:pt>
                <c:pt idx="10">
                  <c:v>0.24411813782746536</c:v>
                </c:pt>
                <c:pt idx="11">
                  <c:v>0.24039809748989632</c:v>
                </c:pt>
                <c:pt idx="12">
                  <c:v>0.24167579795694744</c:v>
                </c:pt>
                <c:pt idx="13">
                  <c:v>0.24348033048859269</c:v>
                </c:pt>
                <c:pt idx="14">
                  <c:v>0.24815900780209965</c:v>
                </c:pt>
                <c:pt idx="15">
                  <c:v>0.25113243271312508</c:v>
                </c:pt>
                <c:pt idx="16">
                  <c:v>0.27679029084475604</c:v>
                </c:pt>
              </c:numCache>
            </c:numRef>
          </c:val>
          <c:smooth val="0"/>
          <c:extLst>
            <c:ext xmlns:c16="http://schemas.microsoft.com/office/drawing/2014/chart" uri="{C3380CC4-5D6E-409C-BE32-E72D297353CC}">
              <c16:uniqueId val="{00000000-94EA-4FC9-BE2D-DE44A57DA683}"/>
            </c:ext>
          </c:extLst>
        </c:ser>
        <c:dLbls>
          <c:showLegendKey val="0"/>
          <c:showVal val="0"/>
          <c:showCatName val="0"/>
          <c:showSerName val="0"/>
          <c:showPercent val="0"/>
          <c:showBubbleSize val="0"/>
        </c:dLbls>
        <c:marker val="1"/>
        <c:smooth val="0"/>
        <c:axId val="-142360208"/>
        <c:axId val="-142361840"/>
      </c:lineChart>
      <c:lineChart>
        <c:grouping val="standard"/>
        <c:varyColors val="0"/>
        <c:ser>
          <c:idx val="0"/>
          <c:order val="0"/>
          <c:tx>
            <c:strRef>
              <c:f>'9 wyd. mieszkanie żywność'!$C$5</c:f>
              <c:strCache>
                <c:ptCount val="1"/>
                <c:pt idx="0">
                  <c:v> Housing, water, electricity, gas and other fuels</c:v>
                </c:pt>
              </c:strCache>
            </c:strRef>
          </c:tx>
          <c:spPr>
            <a:ln w="31750">
              <a:solidFill>
                <a:srgbClr val="334A92"/>
              </a:solidFill>
            </a:ln>
          </c:spPr>
          <c:marker>
            <c:symbol val="circle"/>
            <c:size val="5"/>
            <c:spPr>
              <a:solidFill>
                <a:srgbClr val="334A92"/>
              </a:solidFill>
              <a:ln>
                <a:noFill/>
              </a:ln>
              <a:scene3d>
                <a:camera prst="orthographicFront"/>
                <a:lightRig rig="threePt" dir="t"/>
              </a:scene3d>
            </c:spPr>
          </c:marker>
          <c:dLbls>
            <c:spPr>
              <a:noFill/>
              <a:ln>
                <a:noFill/>
              </a:ln>
              <a:effectLst/>
            </c:spPr>
            <c:txPr>
              <a:bodyPr/>
              <a:lstStyle/>
              <a:p>
                <a:pPr>
                  <a:defRPr sz="800"/>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'9 wyd. mieszkanie żywność'!$B$6:$B$22</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'9 wyd. mieszkanie żywność'!$C$6:$C$22</c:f>
              <c:numCache>
                <c:formatCode>0.0%</c:formatCode>
                <c:ptCount val="17"/>
                <c:pt idx="0">
                  <c:v>0.20058702838253734</c:v>
                </c:pt>
                <c:pt idx="1">
                  <c:v>0.19471999310928953</c:v>
                </c:pt>
                <c:pt idx="2">
                  <c:v>0.19553674797397103</c:v>
                </c:pt>
                <c:pt idx="3">
                  <c:v>0.18273825569142546</c:v>
                </c:pt>
                <c:pt idx="4">
                  <c:v>0.18753568448328869</c:v>
                </c:pt>
                <c:pt idx="5">
                  <c:v>0.19506198454276677</c:v>
                </c:pt>
                <c:pt idx="6">
                  <c:v>0.20052137747131923</c:v>
                </c:pt>
                <c:pt idx="7">
                  <c:v>0.2062197744456013</c:v>
                </c:pt>
                <c:pt idx="8">
                  <c:v>0.20187740223437309</c:v>
                </c:pt>
                <c:pt idx="9">
                  <c:v>0.20774230008476971</c:v>
                </c:pt>
                <c:pt idx="10">
                  <c:v>0.20091032130077682</c:v>
                </c:pt>
                <c:pt idx="11">
                  <c:v>0.20113820691172021</c:v>
                </c:pt>
                <c:pt idx="12">
                  <c:v>0.19560107454667561</c:v>
                </c:pt>
                <c:pt idx="13">
                  <c:v>0.19543708136411544</c:v>
                </c:pt>
                <c:pt idx="14">
                  <c:v>0.18320610687022901</c:v>
                </c:pt>
                <c:pt idx="15">
                  <c:v>0.17969530170244383</c:v>
                </c:pt>
                <c:pt idx="16">
                  <c:v>0.18797433820003639</c:v>
                </c:pt>
              </c:numCache>
            </c:numRef>
          </c:val>
          <c:smooth val="0"/>
          <c:extLst>
            <c:ext xmlns:c16="http://schemas.microsoft.com/office/drawing/2014/chart" uri="{C3380CC4-5D6E-409C-BE32-E72D297353CC}">
              <c16:uniqueId val="{00000001-94EA-4FC9-BE2D-DE44A57DA683}"/>
            </c:ext>
          </c:extLst>
        </c:ser>
        <c:dLbls>
          <c:showLegendKey val="0"/>
          <c:showVal val="0"/>
          <c:showCatName val="0"/>
          <c:showSerName val="0"/>
          <c:showPercent val="0"/>
          <c:showBubbleSize val="0"/>
        </c:dLbls>
        <c:marker val="1"/>
        <c:smooth val="0"/>
        <c:axId val="-142359120"/>
        <c:axId val="-142359664"/>
      </c:lineChart>
      <c:catAx>
        <c:axId val="-142360208"/>
        <c:scaling>
          <c:orientation val="minMax"/>
        </c:scaling>
        <c:delete val="0"/>
        <c:axPos val="b"/>
        <c:numFmt formatCode="General" sourceLinked="1"/>
        <c:majorTickMark val="out"/>
        <c:minorTickMark val="none"/>
        <c:tickLblPos val="nextTo"/>
        <c:spPr>
          <a:ln>
            <a:solidFill>
              <a:sysClr val="windowText" lastClr="000000"/>
            </a:solidFill>
          </a:ln>
        </c:spPr>
        <c:crossAx val="-142361840"/>
        <c:crosses val="autoZero"/>
        <c:auto val="1"/>
        <c:lblAlgn val="ctr"/>
        <c:lblOffset val="100"/>
        <c:noMultiLvlLbl val="0"/>
      </c:catAx>
      <c:valAx>
        <c:axId val="-142361840"/>
        <c:scaling>
          <c:orientation val="minMax"/>
          <c:max val="0.35000000000000031"/>
          <c:min val="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0208"/>
        <c:crosses val="autoZero"/>
        <c:crossBetween val="between"/>
        <c:majorUnit val="5.0000000000000024E-2"/>
        <c:minorUnit val="1.0000000000000005E-2"/>
      </c:valAx>
      <c:valAx>
        <c:axId val="-142359664"/>
        <c:scaling>
          <c:orientation val="minMax"/>
          <c:max val="0.4"/>
          <c:min val="0"/>
        </c:scaling>
        <c:delete val="1"/>
        <c:axPos val="r"/>
        <c:numFmt formatCode="0%" sourceLinked="0"/>
        <c:majorTickMark val="out"/>
        <c:minorTickMark val="none"/>
        <c:tickLblPos val="none"/>
        <c:crossAx val="-142359120"/>
        <c:crosses val="max"/>
        <c:crossBetween val="between"/>
      </c:valAx>
      <c:catAx>
        <c:axId val="-142359120"/>
        <c:scaling>
          <c:orientation val="minMax"/>
        </c:scaling>
        <c:delete val="1"/>
        <c:axPos val="b"/>
        <c:numFmt formatCode="General" sourceLinked="1"/>
        <c:majorTickMark val="out"/>
        <c:minorTickMark val="none"/>
        <c:tickLblPos val="none"/>
        <c:crossAx val="-142359664"/>
        <c:crosses val="autoZero"/>
        <c:auto val="1"/>
        <c:lblAlgn val="ctr"/>
        <c:lblOffset val="100"/>
        <c:noMultiLvlLbl val="0"/>
      </c:catAx>
      <c:spPr>
        <a:noFill/>
        <a:ln w="25400">
          <a:noFill/>
        </a:ln>
      </c:spPr>
    </c:plotArea>
    <c:legend>
      <c:legendPos val="r"/>
      <c:layout>
        <c:manualLayout>
          <c:xMode val="edge"/>
          <c:yMode val="edge"/>
          <c:x val="4.101789247337017E-2"/>
          <c:y val="0.21061162535405967"/>
          <c:w val="0.94522820199724922"/>
          <c:h val="6.1741419915611342E-2"/>
        </c:manualLayout>
      </c:layout>
      <c:overlay val="0"/>
      <c:spPr>
        <a:solidFill>
          <a:schemeClr val="bg1"/>
        </a:solidFill>
        <a:ln w="6350">
          <a:noFill/>
        </a:ln>
      </c:spPr>
      <c:txPr>
        <a:bodyPr/>
        <a:lstStyle/>
        <a:p>
          <a:pPr>
            <a:defRPr spc="-30" baseline="0"/>
          </a:pPr>
          <a:endParaRPr lang="pl-PL"/>
        </a:p>
      </c:tx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0502221063943797"/>
          <c:y val="0.12629346320205143"/>
          <c:w val="0.45908371717573981"/>
          <c:h val="0.80645405978647511"/>
        </c:manualLayout>
      </c:layout>
      <c:barChart>
        <c:barDir val="bar"/>
        <c:grouping val="clustered"/>
        <c:varyColors val="0"/>
        <c:ser>
          <c:idx val="0"/>
          <c:order val="0"/>
          <c:spPr>
            <a:solidFill>
              <a:srgbClr val="66B68E"/>
            </a:solidFill>
            <a:ln>
              <a:noFill/>
            </a:ln>
            <a:scene3d>
              <a:camera prst="orthographicFront"/>
              <a:lightRig rig="threePt" dir="t"/>
            </a:scene3d>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 struktura wyd.'!$B$19:$B$32</c:f>
              <c:strCache>
                <c:ptCount val="14"/>
                <c:pt idx="0">
                  <c:v>food and non-alcoholic beverages</c:v>
                </c:pt>
                <c:pt idx="1">
                  <c:v>alcoholic beverages, tobacco</c:v>
                </c:pt>
                <c:pt idx="2">
                  <c:v>clothing and footwear</c:v>
                </c:pt>
                <c:pt idx="3">
                  <c:v>housing, water, electricity, gas and other fuels</c:v>
                </c:pt>
                <c:pt idx="4">
                  <c:v>furnishings, household equipment and maintenance</c:v>
                </c:pt>
                <c:pt idx="5">
                  <c:v>health</c:v>
                </c:pt>
                <c:pt idx="6">
                  <c:v>transport</c:v>
                </c:pt>
                <c:pt idx="7">
                  <c:v>communication</c:v>
                </c:pt>
                <c:pt idx="8">
                  <c:v>recreation and culture</c:v>
                </c:pt>
                <c:pt idx="9">
                  <c:v>education</c:v>
                </c:pt>
                <c:pt idx="10">
                  <c:v>restaurants and hotels</c:v>
                </c:pt>
                <c:pt idx="11">
                  <c:v>miscellaneous goods and services</c:v>
                </c:pt>
                <c:pt idx="12">
                  <c:v>other expenditures</c:v>
                </c:pt>
                <c:pt idx="13">
                  <c:v>pocket money</c:v>
                </c:pt>
              </c:strCache>
            </c:strRef>
          </c:cat>
          <c:val>
            <c:numRef>
              <c:f>'10 struktura wyd.'!$C$19:$C$32</c:f>
              <c:numCache>
                <c:formatCode>0.0%</c:formatCode>
                <c:ptCount val="14"/>
                <c:pt idx="0">
                  <c:v>0.27679029084475604</c:v>
                </c:pt>
                <c:pt idx="1">
                  <c:v>2.8745514972139095E-2</c:v>
                </c:pt>
                <c:pt idx="2">
                  <c:v>4.1386266307313284E-2</c:v>
                </c:pt>
                <c:pt idx="3">
                  <c:v>0.18797433820003639</c:v>
                </c:pt>
                <c:pt idx="4">
                  <c:v>5.7185138643165399E-2</c:v>
                </c:pt>
                <c:pt idx="5">
                  <c:v>5.2935729757436469E-2</c:v>
                </c:pt>
                <c:pt idx="6">
                  <c:v>8.8179368045106565E-2</c:v>
                </c:pt>
                <c:pt idx="7">
                  <c:v>4.9165826154532979E-2</c:v>
                </c:pt>
                <c:pt idx="8">
                  <c:v>5.7433158617040625E-2</c:v>
                </c:pt>
                <c:pt idx="9">
                  <c:v>1.0135749599034375E-2</c:v>
                </c:pt>
                <c:pt idx="10">
                  <c:v>3.8426561285735544E-2</c:v>
                </c:pt>
                <c:pt idx="11">
                  <c:v>6.1492418856131881E-2</c:v>
                </c:pt>
                <c:pt idx="12">
                  <c:v>3.7178194083896894E-2</c:v>
                </c:pt>
                <c:pt idx="13">
                  <c:v>1.2979711966137007E-2</c:v>
                </c:pt>
              </c:numCache>
            </c:numRef>
          </c:val>
          <c:extLst>
            <c:ext xmlns:c16="http://schemas.microsoft.com/office/drawing/2014/chart" uri="{C3380CC4-5D6E-409C-BE32-E72D297353CC}">
              <c16:uniqueId val="{00000000-D939-4A68-BF65-EE044E9FD8DE}"/>
            </c:ext>
          </c:extLst>
        </c:ser>
        <c:dLbls>
          <c:showLegendKey val="0"/>
          <c:showVal val="0"/>
          <c:showCatName val="0"/>
          <c:showSerName val="0"/>
          <c:showPercent val="0"/>
          <c:showBubbleSize val="0"/>
        </c:dLbls>
        <c:gapWidth val="50"/>
        <c:axId val="-142370000"/>
        <c:axId val="-142357488"/>
      </c:barChart>
      <c:catAx>
        <c:axId val="-142370000"/>
        <c:scaling>
          <c:orientation val="maxMin"/>
        </c:scaling>
        <c:delete val="0"/>
        <c:axPos val="l"/>
        <c:numFmt formatCode="General" sourceLinked="0"/>
        <c:majorTickMark val="out"/>
        <c:minorTickMark val="none"/>
        <c:tickLblPos val="nextTo"/>
        <c:spPr>
          <a:ln>
            <a:solidFill>
              <a:sysClr val="windowText" lastClr="000000"/>
            </a:solidFill>
          </a:ln>
        </c:spPr>
        <c:txPr>
          <a:bodyPr/>
          <a:lstStyle/>
          <a:p>
            <a:pPr>
              <a:defRPr sz="800" baseline="0"/>
            </a:pPr>
            <a:endParaRPr lang="pl-PL"/>
          </a:p>
        </c:txPr>
        <c:crossAx val="-142357488"/>
        <c:crossesAt val="0"/>
        <c:auto val="1"/>
        <c:lblAlgn val="ctr"/>
        <c:lblOffset val="100"/>
        <c:noMultiLvlLbl val="0"/>
      </c:catAx>
      <c:valAx>
        <c:axId val="-142357488"/>
        <c:scaling>
          <c:orientation val="minMax"/>
        </c:scaling>
        <c:delete val="0"/>
        <c:axPos val="b"/>
        <c:majorGridlines>
          <c:spPr>
            <a:ln w="6350"/>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70000"/>
        <c:crosses val="max"/>
        <c:crossBetween val="between"/>
      </c:valAx>
    </c:plotArea>
    <c:plotVisOnly val="1"/>
    <c:dispBlanksAs val="zero"/>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9018911698537696E-2"/>
          <c:y val="0.27482554757832778"/>
          <c:w val="0.92000257780277461"/>
          <c:h val="0.63742093429060076"/>
        </c:manualLayout>
      </c:layout>
      <c:barChart>
        <c:barDir val="col"/>
        <c:grouping val="clustered"/>
        <c:varyColors val="0"/>
        <c:ser>
          <c:idx val="0"/>
          <c:order val="0"/>
          <c:tx>
            <c:strRef>
              <c:f>'13 dochody wydatki kwintyle'!$B$9</c:f>
              <c:strCache>
                <c:ptCount val="1"/>
                <c:pt idx="0">
                  <c:v>Available income</c:v>
                </c:pt>
              </c:strCache>
            </c:strRef>
          </c:tx>
          <c:spPr>
            <a:solidFill>
              <a:srgbClr val="334A92"/>
            </a:solidFill>
            <a:ln w="38100"/>
            <a:scene3d>
              <a:camera prst="orthographicFront"/>
              <a:lightRig rig="threePt" dir="t"/>
            </a:scene3d>
          </c:spPr>
          <c:invertIfNegative val="0"/>
          <c:dLbls>
            <c:dLbl>
              <c:idx val="5"/>
              <c:layout>
                <c:manualLayout>
                  <c:x val="0"/>
                  <c:y val="1.08748831094908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84-420F-82C9-E7FC279C304C}"/>
                </c:ext>
              </c:extLst>
            </c:dLbl>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 dochody wydatki kwintyle'!$C$8:$H$8</c:f>
              <c:strCache>
                <c:ptCount val="6"/>
                <c:pt idx="0">
                  <c:v>Total</c:v>
                </c:pt>
                <c:pt idx="1">
                  <c:v>first</c:v>
                </c:pt>
                <c:pt idx="2">
                  <c:v>second</c:v>
                </c:pt>
                <c:pt idx="3">
                  <c:v>third</c:v>
                </c:pt>
                <c:pt idx="4">
                  <c:v>fourth</c:v>
                </c:pt>
                <c:pt idx="5">
                  <c:v>fifth</c:v>
                </c:pt>
              </c:strCache>
            </c:strRef>
          </c:cat>
          <c:val>
            <c:numRef>
              <c:f>'13 dochody wydatki kwintyle'!$C$9:$H$9</c:f>
              <c:numCache>
                <c:formatCode>0.00</c:formatCode>
                <c:ptCount val="6"/>
                <c:pt idx="0">
                  <c:v>1919.21</c:v>
                </c:pt>
                <c:pt idx="1">
                  <c:v>668.46</c:v>
                </c:pt>
                <c:pt idx="2">
                  <c:v>1309.8</c:v>
                </c:pt>
                <c:pt idx="3">
                  <c:v>1714.13</c:v>
                </c:pt>
                <c:pt idx="4">
                  <c:v>2185.4499999999998</c:v>
                </c:pt>
                <c:pt idx="5">
                  <c:v>3727.97</c:v>
                </c:pt>
              </c:numCache>
            </c:numRef>
          </c:val>
          <c:extLst>
            <c:ext xmlns:c16="http://schemas.microsoft.com/office/drawing/2014/chart" uri="{C3380CC4-5D6E-409C-BE32-E72D297353CC}">
              <c16:uniqueId val="{00000001-2984-420F-82C9-E7FC279C304C}"/>
            </c:ext>
          </c:extLst>
        </c:ser>
        <c:ser>
          <c:idx val="1"/>
          <c:order val="1"/>
          <c:tx>
            <c:strRef>
              <c:f>'13 dochody wydatki kwintyle'!$B$10</c:f>
              <c:strCache>
                <c:ptCount val="1"/>
                <c:pt idx="0">
                  <c:v>Expenditure</c:v>
                </c:pt>
              </c:strCache>
            </c:strRef>
          </c:tx>
          <c:spPr>
            <a:solidFill>
              <a:srgbClr val="66B68E"/>
            </a:solidFill>
            <a:ln w="38100"/>
            <a:effectLst/>
            <a:scene3d>
              <a:camera prst="orthographicFront"/>
              <a:lightRig rig="threePt" dir="t"/>
            </a:scene3d>
          </c:spPr>
          <c:invertIfNegative val="0"/>
          <c:dLbls>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 dochody wydatki kwintyle'!$C$8:$H$8</c:f>
              <c:strCache>
                <c:ptCount val="6"/>
                <c:pt idx="0">
                  <c:v>Total</c:v>
                </c:pt>
                <c:pt idx="1">
                  <c:v>first</c:v>
                </c:pt>
                <c:pt idx="2">
                  <c:v>second</c:v>
                </c:pt>
                <c:pt idx="3">
                  <c:v>third</c:v>
                </c:pt>
                <c:pt idx="4">
                  <c:v>fourth</c:v>
                </c:pt>
                <c:pt idx="5">
                  <c:v>fifth</c:v>
                </c:pt>
              </c:strCache>
            </c:strRef>
          </c:cat>
          <c:val>
            <c:numRef>
              <c:f>'13 dochody wydatki kwintyle'!$C$10:$H$10</c:f>
              <c:numCache>
                <c:formatCode>0.00</c:formatCode>
                <c:ptCount val="6"/>
                <c:pt idx="0">
                  <c:v>1209.58</c:v>
                </c:pt>
                <c:pt idx="1">
                  <c:v>845.86</c:v>
                </c:pt>
                <c:pt idx="2">
                  <c:v>889.11</c:v>
                </c:pt>
                <c:pt idx="3">
                  <c:v>1064.52</c:v>
                </c:pt>
                <c:pt idx="4">
                  <c:v>1320.86</c:v>
                </c:pt>
                <c:pt idx="5">
                  <c:v>1931.42</c:v>
                </c:pt>
              </c:numCache>
            </c:numRef>
          </c:val>
          <c:extLst>
            <c:ext xmlns:c16="http://schemas.microsoft.com/office/drawing/2014/chart" uri="{C3380CC4-5D6E-409C-BE32-E72D297353CC}">
              <c16:uniqueId val="{00000002-2984-420F-82C9-E7FC279C304C}"/>
            </c:ext>
          </c:extLst>
        </c:ser>
        <c:dLbls>
          <c:showLegendKey val="0"/>
          <c:showVal val="0"/>
          <c:showCatName val="0"/>
          <c:showSerName val="0"/>
          <c:showPercent val="0"/>
          <c:showBubbleSize val="0"/>
        </c:dLbls>
        <c:gapWidth val="35"/>
        <c:axId val="-142368368"/>
        <c:axId val="-142358576"/>
      </c:barChart>
      <c:barChart>
        <c:barDir val="col"/>
        <c:grouping val="clustered"/>
        <c:varyColors val="0"/>
        <c:ser>
          <c:idx val="2"/>
          <c:order val="2"/>
          <c:tx>
            <c:strRef>
              <c:f>'13 dochody wydatki kwintyle'!$B$11</c:f>
              <c:strCache>
                <c:ptCount val="1"/>
                <c:pt idx="0">
                  <c:v>The share of expenditure in available income</c:v>
                </c:pt>
              </c:strCache>
            </c:strRef>
          </c:tx>
          <c:spPr>
            <a:solidFill>
              <a:srgbClr val="5F5F5F">
                <a:lumMod val="20000"/>
                <a:lumOff val="80000"/>
              </a:srgbClr>
            </a:solidFill>
            <a:ln w="3175">
              <a:solidFill>
                <a:srgbClr val="4D4D4D">
                  <a:lumMod val="40000"/>
                  <a:lumOff val="60000"/>
                </a:srgbClr>
              </a:solidFill>
            </a:ln>
            <a:scene3d>
              <a:camera prst="orthographicFront"/>
              <a:lightRig rig="threePt" dir="t"/>
            </a:scene3d>
          </c:spPr>
          <c:invertIfNegative val="0"/>
          <c:dPt>
            <c:idx val="0"/>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4-2984-420F-82C9-E7FC279C304C}"/>
              </c:ext>
            </c:extLst>
          </c:dPt>
          <c:dPt>
            <c:idx val="1"/>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6-2984-420F-82C9-E7FC279C304C}"/>
              </c:ext>
            </c:extLst>
          </c:dPt>
          <c:dPt>
            <c:idx val="2"/>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8-2984-420F-82C9-E7FC279C304C}"/>
              </c:ext>
            </c:extLst>
          </c:dPt>
          <c:dPt>
            <c:idx val="3"/>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A-2984-420F-82C9-E7FC279C304C}"/>
              </c:ext>
            </c:extLst>
          </c:dPt>
          <c:dPt>
            <c:idx val="4"/>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C-2984-420F-82C9-E7FC279C304C}"/>
              </c:ext>
            </c:extLst>
          </c:dPt>
          <c:dPt>
            <c:idx val="5"/>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E-2984-420F-82C9-E7FC279C304C}"/>
              </c:ext>
            </c:extLst>
          </c:dPt>
          <c:dLbls>
            <c:spPr>
              <a:solidFill>
                <a:srgbClr val="4D4D4D">
                  <a:lumMod val="20000"/>
                  <a:lumOff val="80000"/>
                </a:srgbClr>
              </a:solidFill>
              <a:ln w="3175">
                <a:noFill/>
              </a:ln>
              <a:effectLst/>
              <a:scene3d>
                <a:camera prst="orthographicFront"/>
                <a:lightRig rig="threePt" dir="t"/>
              </a:scene3d>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 dochody wydatki kwintyle'!$C$8:$H$8</c:f>
              <c:strCache>
                <c:ptCount val="6"/>
                <c:pt idx="0">
                  <c:v>Total</c:v>
                </c:pt>
                <c:pt idx="1">
                  <c:v>first</c:v>
                </c:pt>
                <c:pt idx="2">
                  <c:v>second</c:v>
                </c:pt>
                <c:pt idx="3">
                  <c:v>third</c:v>
                </c:pt>
                <c:pt idx="4">
                  <c:v>fourth</c:v>
                </c:pt>
                <c:pt idx="5">
                  <c:v>fifth</c:v>
                </c:pt>
              </c:strCache>
            </c:strRef>
          </c:cat>
          <c:val>
            <c:numRef>
              <c:f>'13 dochody wydatki kwintyle'!$C$11:$H$11</c:f>
              <c:numCache>
                <c:formatCode>0.0%</c:formatCode>
                <c:ptCount val="6"/>
                <c:pt idx="0">
                  <c:v>0.63024890449716287</c:v>
                </c:pt>
                <c:pt idx="1">
                  <c:v>1.2653861113604403</c:v>
                </c:pt>
                <c:pt idx="2">
                  <c:v>0.67881355932203391</c:v>
                </c:pt>
                <c:pt idx="3">
                  <c:v>0.62102640989889912</c:v>
                </c:pt>
                <c:pt idx="4">
                  <c:v>0.60438811228808709</c:v>
                </c:pt>
                <c:pt idx="5">
                  <c:v>0.51808893311909698</c:v>
                </c:pt>
              </c:numCache>
            </c:numRef>
          </c:val>
          <c:extLst>
            <c:ext xmlns:c16="http://schemas.microsoft.com/office/drawing/2014/chart" uri="{C3380CC4-5D6E-409C-BE32-E72D297353CC}">
              <c16:uniqueId val="{0000000F-2984-420F-82C9-E7FC279C304C}"/>
            </c:ext>
          </c:extLst>
        </c:ser>
        <c:dLbls>
          <c:showLegendKey val="0"/>
          <c:showVal val="0"/>
          <c:showCatName val="0"/>
          <c:showSerName val="0"/>
          <c:showPercent val="0"/>
          <c:showBubbleSize val="0"/>
        </c:dLbls>
        <c:gapWidth val="150"/>
        <c:axId val="-142369456"/>
        <c:axId val="-142372176"/>
      </c:barChart>
      <c:catAx>
        <c:axId val="-142368368"/>
        <c:scaling>
          <c:orientation val="minMax"/>
        </c:scaling>
        <c:delete val="0"/>
        <c:axPos val="b"/>
        <c:numFmt formatCode="General" sourceLinked="1"/>
        <c:majorTickMark val="out"/>
        <c:minorTickMark val="none"/>
        <c:tickLblPos val="nextTo"/>
        <c:spPr>
          <a:ln>
            <a:solidFill>
              <a:sysClr val="windowText" lastClr="000000"/>
            </a:solidFill>
          </a:ln>
        </c:spPr>
        <c:crossAx val="-142358576"/>
        <c:crosses val="autoZero"/>
        <c:auto val="1"/>
        <c:lblAlgn val="ctr"/>
        <c:lblOffset val="100"/>
        <c:noMultiLvlLbl val="0"/>
      </c:catAx>
      <c:valAx>
        <c:axId val="-142358576"/>
        <c:scaling>
          <c:orientation val="minMax"/>
          <c:max val="4000"/>
          <c:min val="0"/>
        </c:scaling>
        <c:delete val="0"/>
        <c:axPos val="l"/>
        <c:majorGridlines>
          <c:spPr>
            <a:ln w="6350">
              <a:solidFill>
                <a:sysClr val="window" lastClr="FFFFFF">
                  <a:lumMod val="65000"/>
                  <a:alpha val="76000"/>
                </a:sysClr>
              </a:solidFill>
            </a:ln>
          </c:spPr>
        </c:majorGridlines>
        <c:numFmt formatCode="0" sourceLinked="0"/>
        <c:majorTickMark val="out"/>
        <c:minorTickMark val="none"/>
        <c:tickLblPos val="nextTo"/>
        <c:spPr>
          <a:noFill/>
          <a:ln>
            <a:noFill/>
          </a:ln>
        </c:spPr>
        <c:txPr>
          <a:bodyPr/>
          <a:lstStyle/>
          <a:p>
            <a:pPr>
              <a:defRPr sz="900">
                <a:solidFill>
                  <a:sysClr val="windowText" lastClr="000000"/>
                </a:solidFill>
              </a:defRPr>
            </a:pPr>
            <a:endParaRPr lang="pl-PL"/>
          </a:p>
        </c:txPr>
        <c:crossAx val="-142368368"/>
        <c:crosses val="autoZero"/>
        <c:crossBetween val="between"/>
      </c:valAx>
      <c:valAx>
        <c:axId val="-142372176"/>
        <c:scaling>
          <c:orientation val="minMax"/>
          <c:max val="1.4"/>
          <c:min val="0"/>
        </c:scaling>
        <c:delete val="1"/>
        <c:axPos val="r"/>
        <c:numFmt formatCode="0%" sourceLinked="0"/>
        <c:majorTickMark val="out"/>
        <c:minorTickMark val="none"/>
        <c:tickLblPos val="none"/>
        <c:crossAx val="-142369456"/>
        <c:crosses val="max"/>
        <c:crossBetween val="between"/>
        <c:majorUnit val="0.2"/>
      </c:valAx>
      <c:catAx>
        <c:axId val="-142369456"/>
        <c:scaling>
          <c:orientation val="minMax"/>
        </c:scaling>
        <c:delete val="1"/>
        <c:axPos val="b"/>
        <c:numFmt formatCode="General" sourceLinked="1"/>
        <c:majorTickMark val="out"/>
        <c:minorTickMark val="none"/>
        <c:tickLblPos val="none"/>
        <c:crossAx val="-142372176"/>
        <c:crosses val="autoZero"/>
        <c:auto val="1"/>
        <c:lblAlgn val="ctr"/>
        <c:lblOffset val="100"/>
        <c:noMultiLvlLbl val="0"/>
      </c:catAx>
    </c:plotArea>
    <c:legend>
      <c:legendPos val="r"/>
      <c:layout>
        <c:manualLayout>
          <c:xMode val="edge"/>
          <c:yMode val="edge"/>
          <c:x val="6.7434253871854713E-2"/>
          <c:y val="0.16540537724956378"/>
          <c:w val="0.93256583633365564"/>
          <c:h val="8.4510500134561461E-2"/>
        </c:manualLayout>
      </c:layout>
      <c:overlay val="0"/>
      <c:spPr>
        <a:noFill/>
        <a:ln w="6350">
          <a:noFill/>
        </a:ln>
      </c:sp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8994110111236105E-2"/>
          <c:y val="0.2467028756441941"/>
          <c:w val="0.92008928571428572"/>
          <c:h val="0.57512660370008495"/>
        </c:manualLayout>
      </c:layout>
      <c:barChart>
        <c:barDir val="col"/>
        <c:grouping val="clustered"/>
        <c:varyColors val="0"/>
        <c:ser>
          <c:idx val="0"/>
          <c:order val="0"/>
          <c:tx>
            <c:strRef>
              <c:f>'16 dochody wydatki klm'!$B$8</c:f>
              <c:strCache>
                <c:ptCount val="1"/>
                <c:pt idx="0">
                  <c:v>Available income</c:v>
                </c:pt>
              </c:strCache>
            </c:strRef>
          </c:tx>
          <c:spPr>
            <a:solidFill>
              <a:srgbClr val="334A92"/>
            </a:solidFill>
            <a:scene3d>
              <a:camera prst="orthographicFront"/>
              <a:lightRig rig="threePt" dir="t"/>
            </a:scene3d>
          </c:spPr>
          <c:invertIfNegative val="0"/>
          <c:dLbls>
            <c:dLbl>
              <c:idx val="2"/>
              <c:layout>
                <c:manualLayout>
                  <c:x val="0"/>
                  <c:y val="8.51034744331069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17-4D8B-ADC7-A53F653A4185}"/>
                </c:ext>
              </c:extLst>
            </c:dLbl>
            <c:dLbl>
              <c:idx val="6"/>
              <c:layout>
                <c:manualLayout>
                  <c:x val="9.0904284356260622E-17"/>
                  <c:y val="8.71056241426612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17-4D8B-ADC7-A53F653A4185}"/>
                </c:ext>
              </c:extLst>
            </c:dLbl>
            <c:numFmt formatCode="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 dochody wydatki klm'!$C$7:$G$7,'16 dochody wydatki klm'!$J$7:$K$7)</c:f>
              <c:strCache>
                <c:ptCount val="7"/>
                <c:pt idx="0">
                  <c:v>Total</c:v>
                </c:pt>
                <c:pt idx="1">
                  <c:v>Urban areas
in total</c:v>
                </c:pt>
                <c:pt idx="2">
                  <c:v>Towns below 20 thous.</c:v>
                </c:pt>
                <c:pt idx="3">
                  <c:v>Towns
20–99 thous.</c:v>
                </c:pt>
                <c:pt idx="4">
                  <c:v>Towns and cities
100–499 thous.</c:v>
                </c:pt>
                <c:pt idx="5">
                  <c:v>Cities
500 thous.
and over</c:v>
                </c:pt>
                <c:pt idx="6">
                  <c:v>Rural
areas</c:v>
                </c:pt>
              </c:strCache>
            </c:strRef>
          </c:cat>
          <c:val>
            <c:numRef>
              <c:f>('16 dochody wydatki klm'!$C$8:$G$8,'16 dochody wydatki klm'!$J$8:$K$8)</c:f>
              <c:numCache>
                <c:formatCode>0.00</c:formatCode>
                <c:ptCount val="7"/>
                <c:pt idx="0">
                  <c:v>1919.21</c:v>
                </c:pt>
                <c:pt idx="1">
                  <c:v>2098.2199999999998</c:v>
                </c:pt>
                <c:pt idx="2">
                  <c:v>1869.1</c:v>
                </c:pt>
                <c:pt idx="3">
                  <c:v>1929.98</c:v>
                </c:pt>
                <c:pt idx="4">
                  <c:v>2095.69</c:v>
                </c:pt>
                <c:pt idx="5">
                  <c:v>2565.62</c:v>
                </c:pt>
                <c:pt idx="6">
                  <c:v>1639.33</c:v>
                </c:pt>
              </c:numCache>
            </c:numRef>
          </c:val>
          <c:extLst>
            <c:ext xmlns:c16="http://schemas.microsoft.com/office/drawing/2014/chart" uri="{C3380CC4-5D6E-409C-BE32-E72D297353CC}">
              <c16:uniqueId val="{00000002-FB17-4D8B-ADC7-A53F653A4185}"/>
            </c:ext>
          </c:extLst>
        </c:ser>
        <c:ser>
          <c:idx val="1"/>
          <c:order val="1"/>
          <c:tx>
            <c:strRef>
              <c:f>'16 dochody wydatki klm'!$B$9</c:f>
              <c:strCache>
                <c:ptCount val="1"/>
                <c:pt idx="0">
                  <c:v>Expenditure</c:v>
                </c:pt>
              </c:strCache>
            </c:strRef>
          </c:tx>
          <c:spPr>
            <a:solidFill>
              <a:srgbClr val="66B68E"/>
            </a:solidFill>
            <a:scene3d>
              <a:camera prst="orthographicFront"/>
              <a:lightRig rig="threePt" dir="t"/>
            </a:scene3d>
          </c:spPr>
          <c:invertIfNegative val="0"/>
          <c:dLbls>
            <c:numFmt formatCode="0" sourceLinked="0"/>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 dochody wydatki klm'!$C$7:$G$7,'16 dochody wydatki klm'!$J$7:$K$7)</c:f>
              <c:strCache>
                <c:ptCount val="7"/>
                <c:pt idx="0">
                  <c:v>Total</c:v>
                </c:pt>
                <c:pt idx="1">
                  <c:v>Urban areas
in total</c:v>
                </c:pt>
                <c:pt idx="2">
                  <c:v>Towns below 20 thous.</c:v>
                </c:pt>
                <c:pt idx="3">
                  <c:v>Towns
20–99 thous.</c:v>
                </c:pt>
                <c:pt idx="4">
                  <c:v>Towns and cities
100–499 thous.</c:v>
                </c:pt>
                <c:pt idx="5">
                  <c:v>Cities
500 thous.
and over</c:v>
                </c:pt>
                <c:pt idx="6">
                  <c:v>Rural
areas</c:v>
                </c:pt>
              </c:strCache>
            </c:strRef>
          </c:cat>
          <c:val>
            <c:numRef>
              <c:f>('16 dochody wydatki klm'!$C$9:$G$9,'16 dochody wydatki klm'!$J$9:$K$9)</c:f>
              <c:numCache>
                <c:formatCode>0.00</c:formatCode>
                <c:ptCount val="7"/>
                <c:pt idx="0">
                  <c:v>1209.58</c:v>
                </c:pt>
                <c:pt idx="1">
                  <c:v>1346.85</c:v>
                </c:pt>
                <c:pt idx="2">
                  <c:v>1211.6500000000001</c:v>
                </c:pt>
                <c:pt idx="3">
                  <c:v>1200.0899999999999</c:v>
                </c:pt>
                <c:pt idx="4">
                  <c:v>1363.81</c:v>
                </c:pt>
                <c:pt idx="5">
                  <c:v>1665.51</c:v>
                </c:pt>
                <c:pt idx="6">
                  <c:v>994.97</c:v>
                </c:pt>
              </c:numCache>
            </c:numRef>
          </c:val>
          <c:extLst>
            <c:ext xmlns:c16="http://schemas.microsoft.com/office/drawing/2014/chart" uri="{C3380CC4-5D6E-409C-BE32-E72D297353CC}">
              <c16:uniqueId val="{00000003-FB17-4D8B-ADC7-A53F653A4185}"/>
            </c:ext>
          </c:extLst>
        </c:ser>
        <c:ser>
          <c:idx val="2"/>
          <c:order val="2"/>
          <c:tx>
            <c:strRef>
              <c:f>'16 dochody wydatki klm'!$B$10</c:f>
              <c:strCache>
                <c:ptCount val="1"/>
                <c:pt idx="0">
                  <c:v>The share of expenditure in available income</c:v>
                </c:pt>
              </c:strCache>
            </c:strRef>
          </c:tx>
          <c:spPr>
            <a:solidFill>
              <a:srgbClr val="4D4D4D">
                <a:lumMod val="20000"/>
                <a:lumOff val="80000"/>
              </a:srgbClr>
            </a:solidFill>
            <a:ln w="3175">
              <a:solidFill>
                <a:srgbClr val="4D4D4D">
                  <a:lumMod val="40000"/>
                  <a:lumOff val="60000"/>
                </a:srgbClr>
              </a:solidFill>
            </a:ln>
            <a:scene3d>
              <a:camera prst="orthographicFront"/>
              <a:lightRig rig="threePt" dir="t"/>
            </a:scene3d>
          </c:spPr>
          <c:invertIfNegative val="0"/>
          <c:dPt>
            <c:idx val="0"/>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5-FB17-4D8B-ADC7-A53F653A4185}"/>
              </c:ext>
            </c:extLst>
          </c:dPt>
          <c:dPt>
            <c:idx val="1"/>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7-FB17-4D8B-ADC7-A53F653A4185}"/>
              </c:ext>
            </c:extLst>
          </c:dPt>
          <c:dPt>
            <c:idx val="2"/>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9-FB17-4D8B-ADC7-A53F653A4185}"/>
              </c:ext>
            </c:extLst>
          </c:dPt>
          <c:dPt>
            <c:idx val="3"/>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B-FB17-4D8B-ADC7-A53F653A4185}"/>
              </c:ext>
            </c:extLst>
          </c:dPt>
          <c:dPt>
            <c:idx val="4"/>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D-FB17-4D8B-ADC7-A53F653A4185}"/>
              </c:ext>
            </c:extLst>
          </c:dPt>
          <c:dPt>
            <c:idx val="5"/>
            <c:invertIfNegative val="0"/>
            <c:bubble3D val="0"/>
            <c:spPr>
              <a:noFill/>
              <a:ln w="3175">
                <a:noFill/>
              </a:ln>
              <a:scene3d>
                <a:camera prst="orthographicFront"/>
                <a:lightRig rig="threePt" dir="t"/>
              </a:scene3d>
            </c:spPr>
            <c:extLst>
              <c:ext xmlns:c16="http://schemas.microsoft.com/office/drawing/2014/chart" uri="{C3380CC4-5D6E-409C-BE32-E72D297353CC}">
                <c16:uniqueId val="{0000000F-FB17-4D8B-ADC7-A53F653A4185}"/>
              </c:ext>
            </c:extLst>
          </c:dPt>
          <c:dPt>
            <c:idx val="6"/>
            <c:invertIfNegative val="0"/>
            <c:bubble3D val="0"/>
            <c:spPr>
              <a:noFill/>
              <a:ln w="3175">
                <a:noFill/>
              </a:ln>
              <a:scene3d>
                <a:camera prst="orthographicFront"/>
                <a:lightRig rig="threePt" dir="t"/>
              </a:scene3d>
            </c:spPr>
            <c:extLst>
              <c:ext xmlns:c16="http://schemas.microsoft.com/office/drawing/2014/chart" uri="{C3380CC4-5D6E-409C-BE32-E72D297353CC}">
                <c16:uniqueId val="{00000011-FB17-4D8B-ADC7-A53F653A4185}"/>
              </c:ext>
            </c:extLst>
          </c:dPt>
          <c:dPt>
            <c:idx val="7"/>
            <c:invertIfNegative val="0"/>
            <c:bubble3D val="0"/>
            <c:spPr>
              <a:noFill/>
              <a:ln w="3175">
                <a:noFill/>
              </a:ln>
              <a:scene3d>
                <a:camera prst="orthographicFront"/>
                <a:lightRig rig="threePt" dir="t"/>
              </a:scene3d>
            </c:spPr>
            <c:extLst>
              <c:ext xmlns:c16="http://schemas.microsoft.com/office/drawing/2014/chart" uri="{C3380CC4-5D6E-409C-BE32-E72D297353CC}">
                <c16:uniqueId val="{00000013-FB17-4D8B-ADC7-A53F653A4185}"/>
              </c:ext>
            </c:extLst>
          </c:dPt>
          <c:dLbls>
            <c:spPr>
              <a:solidFill>
                <a:srgbClr val="4D4D4D">
                  <a:lumMod val="20000"/>
                  <a:lumOff val="80000"/>
                </a:srgbClr>
              </a:solidFill>
              <a:ln w="3175">
                <a:noFill/>
              </a:ln>
              <a:effectLst/>
            </c:spPr>
            <c:txPr>
              <a:bodyPr/>
              <a:lstStyle/>
              <a:p>
                <a:pPr>
                  <a:defRPr sz="800">
                    <a:latin typeface="Fira Sans" panose="020B0503050000020004" pitchFamily="34" charset="0"/>
                    <a:ea typeface="Fira Sans" panose="020B0503050000020004" pitchFamily="34" charset="0"/>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 dochody wydatki klm'!$C$7:$G$7,'16 dochody wydatki klm'!$J$7:$K$7)</c:f>
              <c:strCache>
                <c:ptCount val="7"/>
                <c:pt idx="0">
                  <c:v>Total</c:v>
                </c:pt>
                <c:pt idx="1">
                  <c:v>Urban areas
in total</c:v>
                </c:pt>
                <c:pt idx="2">
                  <c:v>Towns below 20 thous.</c:v>
                </c:pt>
                <c:pt idx="3">
                  <c:v>Towns
20–99 thous.</c:v>
                </c:pt>
                <c:pt idx="4">
                  <c:v>Towns and cities
100–499 thous.</c:v>
                </c:pt>
                <c:pt idx="5">
                  <c:v>Cities
500 thous.
and over</c:v>
                </c:pt>
                <c:pt idx="6">
                  <c:v>Rural
areas</c:v>
                </c:pt>
              </c:strCache>
            </c:strRef>
          </c:cat>
          <c:val>
            <c:numRef>
              <c:f>('16 dochody wydatki klm'!$C$10:$G$10,'16 dochody wydatki klm'!$J$10:$K$10)</c:f>
              <c:numCache>
                <c:formatCode>0.0%</c:formatCode>
                <c:ptCount val="7"/>
                <c:pt idx="0">
                  <c:v>0.63024890449716287</c:v>
                </c:pt>
                <c:pt idx="1">
                  <c:v>0.64190123056686144</c:v>
                </c:pt>
                <c:pt idx="2">
                  <c:v>0.64825316997485427</c:v>
                </c:pt>
                <c:pt idx="3">
                  <c:v>0.62181473383143859</c:v>
                </c:pt>
                <c:pt idx="4">
                  <c:v>0.65076895914949251</c:v>
                </c:pt>
                <c:pt idx="5">
                  <c:v>0.64916472431614969</c:v>
                </c:pt>
                <c:pt idx="6">
                  <c:v>0.60693698035172905</c:v>
                </c:pt>
              </c:numCache>
            </c:numRef>
          </c:val>
          <c:extLst>
            <c:ext xmlns:c16="http://schemas.microsoft.com/office/drawing/2014/chart" uri="{C3380CC4-5D6E-409C-BE32-E72D297353CC}">
              <c16:uniqueId val="{00000014-FB17-4D8B-ADC7-A53F653A4185}"/>
            </c:ext>
          </c:extLst>
        </c:ser>
        <c:dLbls>
          <c:showLegendKey val="0"/>
          <c:showVal val="0"/>
          <c:showCatName val="0"/>
          <c:showSerName val="0"/>
          <c:showPercent val="0"/>
          <c:showBubbleSize val="0"/>
        </c:dLbls>
        <c:gapWidth val="50"/>
        <c:overlap val="100"/>
        <c:axId val="-142365104"/>
        <c:axId val="-142371088"/>
      </c:barChart>
      <c:catAx>
        <c:axId val="-142365104"/>
        <c:scaling>
          <c:orientation val="minMax"/>
        </c:scaling>
        <c:delete val="0"/>
        <c:axPos val="b"/>
        <c:numFmt formatCode="General" sourceLinked="1"/>
        <c:majorTickMark val="out"/>
        <c:minorTickMark val="none"/>
        <c:tickLblPos val="nextTo"/>
        <c:spPr>
          <a:ln>
            <a:solidFill>
              <a:sysClr val="windowText" lastClr="000000"/>
            </a:solidFill>
          </a:ln>
        </c:spPr>
        <c:crossAx val="-142371088"/>
        <c:crosses val="autoZero"/>
        <c:auto val="1"/>
        <c:lblAlgn val="ctr"/>
        <c:lblOffset val="100"/>
        <c:noMultiLvlLbl val="0"/>
      </c:catAx>
      <c:valAx>
        <c:axId val="-142371088"/>
        <c:scaling>
          <c:orientation val="minMax"/>
          <c:max val="3000"/>
        </c:scaling>
        <c:delete val="0"/>
        <c:axPos val="l"/>
        <c:majorGridlines>
          <c:spPr>
            <a:ln w="6350">
              <a:solidFill>
                <a:sysClr val="window" lastClr="FFFFFF">
                  <a:lumMod val="65000"/>
                </a:sysClr>
              </a:solidFill>
            </a:ln>
          </c:spPr>
        </c:majorGridlines>
        <c:numFmt formatCode="0" sourceLinked="0"/>
        <c:majorTickMark val="out"/>
        <c:minorTickMark val="none"/>
        <c:tickLblPos val="nextTo"/>
        <c:spPr>
          <a:ln>
            <a:noFill/>
          </a:ln>
        </c:spPr>
        <c:txPr>
          <a:bodyPr/>
          <a:lstStyle/>
          <a:p>
            <a:pPr>
              <a:defRPr sz="900">
                <a:solidFill>
                  <a:sysClr val="windowText" lastClr="000000"/>
                </a:solidFill>
              </a:defRPr>
            </a:pPr>
            <a:endParaRPr lang="pl-PL"/>
          </a:p>
        </c:txPr>
        <c:crossAx val="-142365104"/>
        <c:crosses val="autoZero"/>
        <c:crossBetween val="between"/>
        <c:majorUnit val="500"/>
      </c:valAx>
    </c:plotArea>
    <c:legend>
      <c:legendPos val="r"/>
      <c:layout>
        <c:manualLayout>
          <c:xMode val="edge"/>
          <c:yMode val="edge"/>
          <c:x val="7.1842414268688704E-2"/>
          <c:y val="0.15390539686188859"/>
          <c:w val="0.92815758573131046"/>
          <c:h val="7.3944543428421827E-2"/>
        </c:manualLayout>
      </c:layout>
      <c:overlay val="0"/>
      <c:spPr>
        <a:solidFill>
          <a:sysClr val="window" lastClr="FFFFFF"/>
        </a:solidFill>
        <a:ln w="6350">
          <a:noFill/>
        </a:ln>
      </c:spPr>
    </c:legend>
    <c:plotVisOnly val="1"/>
    <c:dispBlanksAs val="gap"/>
    <c:showDLblsOverMax val="0"/>
  </c:chart>
  <c:spPr>
    <a:ln>
      <a:noFill/>
    </a:ln>
  </c:spPr>
  <c:txPr>
    <a:bodyPr/>
    <a:lstStyle/>
    <a:p>
      <a:pPr>
        <a:defRPr sz="900">
          <a:latin typeface="Fira Sans" panose="020B0503050000020004" pitchFamily="34" charset="0"/>
          <a:ea typeface="Fira Sans" panose="020B0503050000020004" pitchFamily="34" charset="0"/>
        </a:defRPr>
      </a:pPr>
      <a:endParaRPr lang="pl-PL"/>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6.24303E-7</cdr:y>
    </cdr:from>
    <cdr:to>
      <cdr:x>0.99927</cdr:x>
      <cdr:y>0.20323</cdr:y>
    </cdr:to>
    <cdr:sp macro="" textlink="">
      <cdr:nvSpPr>
        <cdr:cNvPr id="3" name="pole tekstowe 2"/>
        <cdr:cNvSpPr txBox="1"/>
      </cdr:nvSpPr>
      <cdr:spPr>
        <a:xfrm xmlns:a="http://schemas.openxmlformats.org/drawingml/2006/main">
          <a:off x="0" y="2"/>
          <a:ext cx="5116902" cy="651052"/>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endParaRPr lang="pl-PL" sz="900" b="1">
            <a:solidFill>
              <a:sysClr val="windowText" lastClr="000000"/>
            </a:solidFill>
            <a:latin typeface="Fira Sans" panose="020B0503050000020004" pitchFamily="34" charset="0"/>
            <a:ea typeface="Fira Sans" panose="020B0503050000020004" pitchFamily="34" charset="0"/>
            <a:cs typeface="Arial" panose="020B0604020202020204" pitchFamily="34" charset="0"/>
          </a:endParaRPr>
        </a:p>
        <a:p xmlns:a="http://schemas.openxmlformats.org/drawingml/2006/main">
          <a:pPr algn="l"/>
          <a:endParaRPr lang="pl-PL" sz="900" b="1">
            <a:solidFill>
              <a:sysClr val="windowText" lastClr="000000"/>
            </a:solidFill>
            <a:latin typeface="Fira Sans" panose="020B0503050000020004" pitchFamily="34" charset="0"/>
            <a:ea typeface="Fira Sans" panose="020B0503050000020004" pitchFamily="34" charset="0"/>
            <a:cs typeface="Arial" panose="020B0604020202020204" pitchFamily="34" charset="0"/>
          </a:endParaRPr>
        </a:p>
      </cdr:txBody>
    </cdr:sp>
  </cdr:relSizeAnchor>
  <cdr:relSizeAnchor xmlns:cdr="http://schemas.openxmlformats.org/drawingml/2006/chartDrawing">
    <cdr:from>
      <cdr:x>0</cdr:x>
      <cdr:y>0.18236</cdr:y>
    </cdr:from>
    <cdr:to>
      <cdr:x>0.05952</cdr:x>
      <cdr:y>0.23783</cdr:y>
    </cdr:to>
    <cdr:sp macro="" textlink="">
      <cdr:nvSpPr>
        <cdr:cNvPr id="4" name="Pole tekstowe 1"/>
        <cdr:cNvSpPr txBox="1"/>
      </cdr:nvSpPr>
      <cdr:spPr>
        <a:xfrm xmlns:a="http://schemas.openxmlformats.org/drawingml/2006/main">
          <a:off x="0" y="544899"/>
          <a:ext cx="304894" cy="165744"/>
        </a:xfrm>
        <a:prstGeom xmlns:a="http://schemas.openxmlformats.org/drawingml/2006/main" prst="rect">
          <a:avLst/>
        </a:prstGeom>
      </cdr:spPr>
      <cdr:txBody>
        <a:bodyPr xmlns:a="http://schemas.openxmlformats.org/drawingml/2006/main" wrap="square" lIns="0" tIns="0" rIns="0" bIns="0" rtlCol="0" anchor="ctr"/>
        <a:lstStyle xmlns:a="http://schemas.openxmlformats.org/drawingml/2006/main"/>
        <a:p xmlns:a="http://schemas.openxmlformats.org/drawingml/2006/main">
          <a:pPr algn="ctr"/>
          <a:r>
            <a:rPr lang="pl-PL" sz="900">
              <a:latin typeface="Fira Sans" panose="020B0503050000020004" pitchFamily="34" charset="0"/>
              <a:ea typeface="Fira Sans" panose="020B0503050000020004" pitchFamily="34" charset="0"/>
            </a:rPr>
            <a:t>PLN</a:t>
          </a:r>
        </a:p>
      </cdr:txBody>
    </cdr:sp>
  </cdr:relSizeAnchor>
  <cdr:relSizeAnchor xmlns:cdr="http://schemas.openxmlformats.org/drawingml/2006/chartDrawing">
    <cdr:from>
      <cdr:x>0</cdr:x>
      <cdr:y>0</cdr:y>
    </cdr:from>
    <cdr:to>
      <cdr:x>1</cdr:x>
      <cdr:y>0.16615</cdr:y>
    </cdr:to>
    <cdr:sp macro="" textlink="">
      <cdr:nvSpPr>
        <cdr:cNvPr id="5" name="pole tekstowe 1"/>
        <cdr:cNvSpPr txBox="1"/>
      </cdr:nvSpPr>
      <cdr:spPr>
        <a:xfrm xmlns:a="http://schemas.openxmlformats.org/drawingml/2006/main">
          <a:off x="0" y="0"/>
          <a:ext cx="5122545" cy="492287"/>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 Level of average monthly income and expenditure</a:t>
          </a:r>
          <a:r>
            <a:rPr lang="pl-PL" sz="900" b="0" baseline="3000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2</a:t>
          </a:r>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per capita in households</a:t>
          </a:r>
        </a:p>
        <a:p xmlns:a="http://schemas.openxmlformats.org/drawingml/2006/main">
          <a:pPr algn="l"/>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and the share of expenditure</a:t>
          </a:r>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in available income, 2004–2020</a:t>
          </a:r>
        </a:p>
        <a:p xmlns:a="http://schemas.openxmlformats.org/drawingml/2006/main">
          <a:pPr algn="l"/>
          <a:endPar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cdr:y>
    </cdr:from>
    <cdr:to>
      <cdr:x>0.99968</cdr:x>
      <cdr:y>0.18532</cdr:y>
    </cdr:to>
    <cdr:sp macro="" textlink="">
      <cdr:nvSpPr>
        <cdr:cNvPr id="2" name="Pole tekstowe 1"/>
        <cdr:cNvSpPr txBox="1"/>
      </cdr:nvSpPr>
      <cdr:spPr>
        <a:xfrm xmlns:a="http://schemas.openxmlformats.org/drawingml/2006/main">
          <a:off x="0" y="0"/>
          <a:ext cx="5120906" cy="491319"/>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10.</a:t>
          </a:r>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Average monthly consumption of selected food products per capita in households</a:t>
          </a:r>
          <a:b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br>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by quintile groups in 2020</a:t>
          </a:r>
        </a:p>
      </cdr:txBody>
    </cdr:sp>
  </cdr:relSizeAnchor>
  <cdr:relSizeAnchor xmlns:cdr="http://schemas.openxmlformats.org/drawingml/2006/chartDrawing">
    <cdr:from>
      <cdr:x>0</cdr:x>
      <cdr:y>0.178</cdr:y>
    </cdr:from>
    <cdr:to>
      <cdr:x>0.03719</cdr:x>
      <cdr:y>0.23629</cdr:y>
    </cdr:to>
    <cdr:sp macro="" textlink="">
      <cdr:nvSpPr>
        <cdr:cNvPr id="3" name="Pole tekstowe 1"/>
        <cdr:cNvSpPr txBox="1"/>
      </cdr:nvSpPr>
      <cdr:spPr>
        <a:xfrm xmlns:a="http://schemas.openxmlformats.org/drawingml/2006/main">
          <a:off x="0" y="474165"/>
          <a:ext cx="190555" cy="155274"/>
        </a:xfrm>
        <a:prstGeom xmlns:a="http://schemas.openxmlformats.org/drawingml/2006/main" prst="rect">
          <a:avLst/>
        </a:prstGeom>
      </cdr:spPr>
      <cdr:txBody>
        <a:bodyPr xmlns:a="http://schemas.openxmlformats.org/drawingml/2006/main" wrap="square" lIns="0" tIns="0" rIns="0" bIns="0" rtlCol="0" anchor="ctr"/>
        <a:lstStyle xmlns:a="http://schemas.openxmlformats.org/drawingml/2006/main"/>
        <a:p xmlns:a="http://schemas.openxmlformats.org/drawingml/2006/main">
          <a:pPr algn="ctr"/>
          <a:r>
            <a:rPr lang="pl-PL" sz="900">
              <a:latin typeface="Fira Sans" panose="020B0503050000020004" pitchFamily="34" charset="0"/>
              <a:ea typeface="Fira Sans" panose="020B0503050000020004" pitchFamily="34" charset="0"/>
            </a:rPr>
            <a:t>kg</a:t>
          </a: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0.99968</cdr:x>
      <cdr:y>0.16988</cdr:y>
    </cdr:to>
    <cdr:sp macro="" textlink="">
      <cdr:nvSpPr>
        <cdr:cNvPr id="2" name="Pole tekstowe 1"/>
        <cdr:cNvSpPr txBox="1"/>
      </cdr:nvSpPr>
      <cdr:spPr>
        <a:xfrm xmlns:a="http://schemas.openxmlformats.org/drawingml/2006/main">
          <a:off x="0" y="0"/>
          <a:ext cx="5120906" cy="450376"/>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11. Average monthly consumption of selected food products per capita in households</a:t>
          </a:r>
        </a:p>
        <a:p xmlns:a="http://schemas.openxmlformats.org/drawingml/2006/main">
          <a:pPr algn="l"/>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by place of residence in 2020</a:t>
          </a:r>
        </a:p>
      </cdr:txBody>
    </cdr:sp>
  </cdr:relSizeAnchor>
  <cdr:relSizeAnchor xmlns:cdr="http://schemas.openxmlformats.org/drawingml/2006/chartDrawing">
    <cdr:from>
      <cdr:x>0</cdr:x>
      <cdr:y>0.16968</cdr:y>
    </cdr:from>
    <cdr:to>
      <cdr:x>0.03719</cdr:x>
      <cdr:y>0.22797</cdr:y>
    </cdr:to>
    <cdr:sp macro="" textlink="">
      <cdr:nvSpPr>
        <cdr:cNvPr id="3" name="Pole tekstowe 1"/>
        <cdr:cNvSpPr txBox="1"/>
      </cdr:nvSpPr>
      <cdr:spPr>
        <a:xfrm xmlns:a="http://schemas.openxmlformats.org/drawingml/2006/main">
          <a:off x="0" y="451986"/>
          <a:ext cx="190555" cy="155274"/>
        </a:xfrm>
        <a:prstGeom xmlns:a="http://schemas.openxmlformats.org/drawingml/2006/main" prst="rect">
          <a:avLst/>
        </a:prstGeom>
      </cdr:spPr>
      <cdr:txBody>
        <a:bodyPr xmlns:a="http://schemas.openxmlformats.org/drawingml/2006/main" wrap="square" lIns="0" tIns="0" rIns="0" bIns="0" rtlCol="0" anchor="ctr"/>
        <a:lstStyle xmlns:a="http://schemas.openxmlformats.org/drawingml/2006/main"/>
        <a:p xmlns:a="http://schemas.openxmlformats.org/drawingml/2006/main">
          <a:pPr algn="ctr"/>
          <a:r>
            <a:rPr lang="pl-PL" sz="900">
              <a:latin typeface="Fira Sans" panose="020B0503050000020004" pitchFamily="34" charset="0"/>
              <a:ea typeface="Fira Sans" panose="020B0503050000020004" pitchFamily="34" charset="0"/>
            </a:rPr>
            <a:t>kg</a:t>
          </a:r>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3.7037E-7</cdr:y>
    </cdr:from>
    <cdr:to>
      <cdr:x>0.99945</cdr:x>
      <cdr:y>0.127</cdr:y>
    </cdr:to>
    <cdr:sp macro="" textlink="">
      <cdr:nvSpPr>
        <cdr:cNvPr id="2" name="pole tekstowe 1"/>
        <cdr:cNvSpPr txBox="1"/>
      </cdr:nvSpPr>
      <cdr:spPr>
        <a:xfrm xmlns:a="http://schemas.openxmlformats.org/drawingml/2006/main">
          <a:off x="0" y="1"/>
          <a:ext cx="5120997" cy="342899"/>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12.</a:t>
          </a:r>
          <a:r>
            <a:rPr lang="pl-PL" sz="900" b="0" i="1"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Households equipped with selected durable goods by quintile groups in 2020</a:t>
          </a:r>
        </a:p>
        <a:p xmlns:a="http://schemas.openxmlformats.org/drawingml/2006/main">
          <a:pPr algn="l"/>
          <a:endPar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cdr:x>
      <cdr:y>4.29336E-7</cdr:y>
    </cdr:from>
    <cdr:to>
      <cdr:x>0.99945</cdr:x>
      <cdr:y>0.14722</cdr:y>
    </cdr:to>
    <cdr:sp macro="" textlink="">
      <cdr:nvSpPr>
        <cdr:cNvPr id="2" name="pole tekstowe 1"/>
        <cdr:cNvSpPr txBox="1"/>
      </cdr:nvSpPr>
      <cdr:spPr>
        <a:xfrm xmlns:a="http://schemas.openxmlformats.org/drawingml/2006/main">
          <a:off x="0" y="1"/>
          <a:ext cx="5120997" cy="342900"/>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spc="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13.</a:t>
          </a:r>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Households equipped with selected durable goods by place of residence in 2020</a:t>
          </a:r>
        </a:p>
        <a:p xmlns:a="http://schemas.openxmlformats.org/drawingml/2006/main">
          <a:pPr algn="l"/>
          <a:endPar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0.00304</cdr:y>
    </cdr:from>
    <cdr:to>
      <cdr:x>0.99979</cdr:x>
      <cdr:y>0.17037</cdr:y>
    </cdr:to>
    <cdr:sp macro="" textlink="">
      <cdr:nvSpPr>
        <cdr:cNvPr id="4" name="pole tekstowe 3"/>
        <cdr:cNvSpPr txBox="1"/>
      </cdr:nvSpPr>
      <cdr:spPr>
        <a:xfrm xmlns:a="http://schemas.openxmlformats.org/drawingml/2006/main">
          <a:off x="0" y="7988"/>
          <a:ext cx="5122739" cy="439687"/>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14</a:t>
          </a:r>
          <a:r>
            <a:rPr lang="pl-PL" sz="900" b="0" i="1"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Dwellings equipped with selected technical and sanitary installations</a:t>
          </a:r>
        </a:p>
        <a:p xmlns:a="http://schemas.openxmlformats.org/drawingml/2006/main">
          <a:pPr algn="l"/>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by place of residence in 2020</a:t>
          </a:r>
        </a:p>
        <a:p xmlns:a="http://schemas.openxmlformats.org/drawingml/2006/main">
          <a:pPr algn="l"/>
          <a:endPar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cdr:x>
      <cdr:y>0.00304</cdr:y>
    </cdr:from>
    <cdr:to>
      <cdr:x>0.99979</cdr:x>
      <cdr:y>0.16312</cdr:y>
    </cdr:to>
    <cdr:sp macro="" textlink="">
      <cdr:nvSpPr>
        <cdr:cNvPr id="4" name="pole tekstowe 3"/>
        <cdr:cNvSpPr txBox="1"/>
      </cdr:nvSpPr>
      <cdr:spPr>
        <a:xfrm xmlns:a="http://schemas.openxmlformats.org/drawingml/2006/main">
          <a:off x="0" y="7988"/>
          <a:ext cx="5122739" cy="420637"/>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15. Dwellings equipped with selected technical and sanitary installation</a:t>
          </a:r>
        </a:p>
        <a:p xmlns:a="http://schemas.openxmlformats.org/drawingml/2006/main">
          <a:pPr algn="l"/>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by quintile groups in 2020</a:t>
          </a:r>
        </a:p>
      </cdr:txBody>
    </cdr:sp>
  </cdr:relSizeAnchor>
</c:userShapes>
</file>

<file path=word/drawings/drawing16.xml><?xml version="1.0" encoding="utf-8"?>
<c:userShapes xmlns:c="http://schemas.openxmlformats.org/drawingml/2006/chart">
  <cdr:relSizeAnchor xmlns:cdr="http://schemas.openxmlformats.org/drawingml/2006/chartDrawing">
    <cdr:from>
      <cdr:x>0</cdr:x>
      <cdr:y>0</cdr:y>
    </cdr:from>
    <cdr:to>
      <cdr:x>0</cdr:x>
      <cdr:y>0</cdr:y>
    </cdr:to>
    <cdr:sp macro="" textlink="">
      <cdr:nvSpPr>
        <cdr:cNvPr id="2" name="pole tekstowe 1"/>
        <cdr:cNvSpPr txBox="1"/>
      </cdr:nvSpPr>
      <cdr:spPr>
        <a:xfrm xmlns:a="http://schemas.openxmlformats.org/drawingml/2006/main">
          <a:off x="0" y="1"/>
          <a:ext cx="6092456" cy="861236"/>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ctr"/>
          <a:r>
            <a:rPr lang="pl-PL" sz="1050" b="1"/>
            <a:t>Wykres 20.</a:t>
          </a:r>
        </a:p>
        <a:p xmlns:a="http://schemas.openxmlformats.org/drawingml/2006/main">
          <a:pPr algn="ctr"/>
          <a:r>
            <a:rPr lang="pl-PL" sz="1050" b="1"/>
            <a:t>Subiektywna ocena sytuacji materialnej gospodarstw domowych według grup społeczno ekonomicznych w 2014 r.</a:t>
          </a:r>
          <a:endParaRPr lang="pl-PL" sz="1050">
            <a:effectLst/>
          </a:endParaRPr>
        </a:p>
      </cdr:txBody>
    </cdr:sp>
  </cdr:relSizeAnchor>
  <cdr:relSizeAnchor xmlns:cdr="http://schemas.openxmlformats.org/drawingml/2006/chartDrawing">
    <cdr:from>
      <cdr:x>0</cdr:x>
      <cdr:y>0.42818</cdr:y>
    </cdr:from>
    <cdr:to>
      <cdr:x>0.05542</cdr:x>
      <cdr:y>0.512</cdr:y>
    </cdr:to>
    <cdr:sp macro="" textlink="">
      <cdr:nvSpPr>
        <cdr:cNvPr id="3" name="pole tekstowe 2"/>
        <cdr:cNvSpPr txBox="1"/>
      </cdr:nvSpPr>
      <cdr:spPr>
        <a:xfrm xmlns:a="http://schemas.openxmlformats.org/drawingml/2006/main" rot="16200000">
          <a:off x="23812" y="1862137"/>
          <a:ext cx="371475"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a:p>
      </cdr:txBody>
    </cdr:sp>
  </cdr:relSizeAnchor>
  <cdr:relSizeAnchor xmlns:cdr="http://schemas.openxmlformats.org/drawingml/2006/chartDrawing">
    <cdr:from>
      <cdr:x>0</cdr:x>
      <cdr:y>2.31487E-7</cdr:y>
    </cdr:from>
    <cdr:to>
      <cdr:x>0.99688</cdr:x>
      <cdr:y>0.0882</cdr:y>
    </cdr:to>
    <cdr:sp macro="" textlink="">
      <cdr:nvSpPr>
        <cdr:cNvPr id="4" name="pole tekstowe 3"/>
        <cdr:cNvSpPr txBox="1"/>
      </cdr:nvSpPr>
      <cdr:spPr>
        <a:xfrm xmlns:a="http://schemas.openxmlformats.org/drawingml/2006/main">
          <a:off x="0" y="1"/>
          <a:ext cx="5107829" cy="381000"/>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spc="-2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16.</a:t>
          </a:r>
          <a:r>
            <a:rPr lang="pl-PL" sz="900" b="0" spc="-2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i="1" spc="-2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2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Subjective evaluation of financial situation of households by socio-ecenomic groups 2020</a:t>
          </a:r>
        </a:p>
        <a:p xmlns:a="http://schemas.openxmlformats.org/drawingml/2006/main">
          <a:pPr algn="l"/>
          <a:endParaRPr lang="pl-PL" sz="900" b="1"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cdr:y>
    </cdr:from>
    <cdr:to>
      <cdr:x>0.99963</cdr:x>
      <cdr:y>0.11921</cdr:y>
    </cdr:to>
    <cdr:sp macro="" textlink="">
      <cdr:nvSpPr>
        <cdr:cNvPr id="2" name="pole tekstowe 1"/>
        <cdr:cNvSpPr txBox="1"/>
      </cdr:nvSpPr>
      <cdr:spPr>
        <a:xfrm xmlns:a="http://schemas.openxmlformats.org/drawingml/2006/main">
          <a:off x="0" y="0"/>
          <a:ext cx="5120650" cy="390525"/>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17.</a:t>
          </a:r>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Subjective evaluation of financial situation of households by place of residence in 2020</a:t>
          </a:r>
        </a:p>
        <a:p xmlns:a="http://schemas.openxmlformats.org/drawingml/2006/main">
          <a:pPr algn="l"/>
          <a:endPar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0.01657</cdr:x>
      <cdr:y>0.23341</cdr:y>
    </cdr:from>
    <cdr:to>
      <cdr:x>0.04528</cdr:x>
      <cdr:y>0.27782</cdr:y>
    </cdr:to>
    <cdr:sp macro="" textlink="">
      <cdr:nvSpPr>
        <cdr:cNvPr id="2" name="Pole tekstowe 1"/>
        <cdr:cNvSpPr txBox="1"/>
      </cdr:nvSpPr>
      <cdr:spPr>
        <a:xfrm xmlns:a="http://schemas.openxmlformats.org/drawingml/2006/main">
          <a:off x="103793" y="994673"/>
          <a:ext cx="179884" cy="1892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pl-PL" sz="1000"/>
        </a:p>
      </cdr:txBody>
    </cdr:sp>
  </cdr:relSizeAnchor>
  <cdr:relSizeAnchor xmlns:cdr="http://schemas.openxmlformats.org/drawingml/2006/chartDrawing">
    <cdr:from>
      <cdr:x>0</cdr:x>
      <cdr:y>0</cdr:y>
    </cdr:from>
    <cdr:to>
      <cdr:x>0.99959</cdr:x>
      <cdr:y>0.13444</cdr:y>
    </cdr:to>
    <cdr:sp macro="" textlink="">
      <cdr:nvSpPr>
        <cdr:cNvPr id="4" name="Pole tekstowe 3"/>
        <cdr:cNvSpPr txBox="1"/>
      </cdr:nvSpPr>
      <cdr:spPr>
        <a:xfrm xmlns:a="http://schemas.openxmlformats.org/drawingml/2006/main">
          <a:off x="0" y="0"/>
          <a:ext cx="5120700" cy="517814"/>
        </a:xfrm>
        <a:prstGeom xmlns:a="http://schemas.openxmlformats.org/drawingml/2006/main" prst="rect">
          <a:avLst/>
        </a:prstGeom>
      </cdr:spPr>
      <cdr:txBody>
        <a:bodyPr xmlns:a="http://schemas.openxmlformats.org/drawingml/2006/main" vertOverflow="clip" wrap="square" lIns="0" rIns="0" rtlCol="0" anchor="t"/>
        <a:lstStyle xmlns:a="http://schemas.openxmlformats.org/drawingml/2006/main"/>
        <a:p xmlns:a="http://schemas.openxmlformats.org/drawingml/2006/main">
          <a:pPr algn="l"/>
          <a:r>
            <a:rPr lang="pl-PL" sz="900" b="0" i="0" u="none" strike="noStrike" spc="0">
              <a:effectLst/>
              <a:latin typeface="Fira Sans SemiBold" panose="020B0603050000020004" pitchFamily="34" charset="0"/>
              <a:ea typeface="Fira Sans SemiBold" panose="020B0603050000020004" pitchFamily="34" charset="0"/>
              <a:cs typeface="+mn-cs"/>
            </a:rPr>
            <a:t>Graph 18.</a:t>
          </a:r>
          <a:r>
            <a:rPr lang="pl-PL" sz="900" b="0" i="0" u="none" strike="noStrike" spc="0" baseline="0">
              <a:effectLst/>
              <a:latin typeface="Fira Sans SemiBold" panose="020B0603050000020004" pitchFamily="34" charset="0"/>
              <a:ea typeface="Fira Sans SemiBold" panose="020B0603050000020004" pitchFamily="34" charset="0"/>
              <a:cs typeface="+mn-cs"/>
            </a:rPr>
            <a:t> Subjective evaluation* of households which, as a result of the COVID-19 pandemic, </a:t>
          </a:r>
          <a:br>
            <a:rPr lang="pl-PL" sz="900" b="0" i="0" u="none" strike="noStrike" spc="0" baseline="0">
              <a:effectLst/>
              <a:latin typeface="Fira Sans SemiBold" panose="020B0603050000020004" pitchFamily="34" charset="0"/>
              <a:ea typeface="Fira Sans SemiBold" panose="020B0603050000020004" pitchFamily="34" charset="0"/>
              <a:cs typeface="+mn-cs"/>
            </a:rPr>
          </a:br>
          <a:r>
            <a:rPr lang="pl-PL" sz="900" b="0" i="0" u="none" strike="noStrike" spc="0" baseline="0">
              <a:effectLst/>
              <a:latin typeface="Fira Sans SemiBold" panose="020B0603050000020004" pitchFamily="34" charset="0"/>
              <a:ea typeface="Fira Sans SemiBold" panose="020B0603050000020004" pitchFamily="34" charset="0"/>
              <a:cs typeface="+mn-cs"/>
            </a:rPr>
            <a:t>                   had to reduce expenditure by socio-economic goups in Q2-4 2020</a:t>
          </a:r>
          <a:endParaRPr lang="pl-PL" sz="900" b="0" i="0" u="none" strike="noStrike" spc="0">
            <a:effectLst/>
            <a:latin typeface="Fira Sans SemiBold" panose="020B0603050000020004" pitchFamily="34" charset="0"/>
            <a:ea typeface="Fira Sans SemiBold" panose="020B0603050000020004" pitchFamily="34" charset="0"/>
            <a:cs typeface="+mn-cs"/>
          </a:endParaRPr>
        </a:p>
      </cdr:txBody>
    </cdr:sp>
  </cdr:relSizeAnchor>
  <cdr:relSizeAnchor xmlns:cdr="http://schemas.openxmlformats.org/drawingml/2006/chartDrawing">
    <cdr:from>
      <cdr:x>0</cdr:x>
      <cdr:y>0.95172</cdr:y>
    </cdr:from>
    <cdr:to>
      <cdr:x>0.82855</cdr:x>
      <cdr:y>1</cdr:y>
    </cdr:to>
    <cdr:sp macro="" textlink="">
      <cdr:nvSpPr>
        <cdr:cNvPr id="5" name="pole tekstowe 1">
          <a:extLst xmlns:a="http://schemas.openxmlformats.org/drawingml/2006/main">
            <a:ext uri="{FF2B5EF4-FFF2-40B4-BE49-F238E27FC236}">
              <a16:creationId xmlns:a16="http://schemas.microsoft.com/office/drawing/2014/main" id="{83F60988-4C62-424E-831E-0972ACE303C2}"/>
            </a:ext>
          </a:extLst>
        </cdr:cNvPr>
        <cdr:cNvSpPr txBox="1"/>
      </cdr:nvSpPr>
      <cdr:spPr>
        <a:xfrm xmlns:a="http://schemas.openxmlformats.org/drawingml/2006/main">
          <a:off x="0" y="3905250"/>
          <a:ext cx="4222187" cy="198120"/>
        </a:xfrm>
        <a:prstGeom xmlns:a="http://schemas.openxmlformats.org/drawingml/2006/main" prst="rect">
          <a:avLst/>
        </a:prstGeom>
      </cdr:spPr>
      <cdr:txBody>
        <a:bodyPr xmlns:a="http://schemas.openxmlformats.org/drawingml/2006/main" wrap="square" lIns="36000" tIns="0" rIns="3600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latin typeface="Fira Sans" panose="020B0503050000020004" pitchFamily="34" charset="0"/>
              <a:ea typeface="Fira Sans" panose="020B0503050000020004" pitchFamily="34" charset="0"/>
              <a:cs typeface="Arial" panose="020B0604020202020204" pitchFamily="34" charset="0"/>
            </a:rPr>
            <a:t>* </a:t>
          </a:r>
          <a:r>
            <a:rPr lang="pl-PL" sz="800" baseline="0">
              <a:latin typeface="Fira Sans" panose="020B0503050000020004" pitchFamily="34" charset="0"/>
              <a:ea typeface="Fira Sans" panose="020B0503050000020004" pitchFamily="34" charset="0"/>
              <a:cs typeface="Arial" panose="020B0604020202020204" pitchFamily="34" charset="0"/>
            </a:rPr>
            <a:t>"Hard to say" evaluation was not included.</a:t>
          </a:r>
          <a:endParaRPr lang="pl-PL" sz="800">
            <a:latin typeface="Fira Sans" panose="020B0503050000020004" pitchFamily="34" charset="0"/>
            <a:ea typeface="Fira Sans" panose="020B0503050000020004" pitchFamily="34" charset="0"/>
            <a:cs typeface="Arial" panose="020B0604020202020204"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0.01657</cdr:x>
      <cdr:y>0.23341</cdr:y>
    </cdr:from>
    <cdr:to>
      <cdr:x>0.04528</cdr:x>
      <cdr:y>0.27782</cdr:y>
    </cdr:to>
    <cdr:sp macro="" textlink="">
      <cdr:nvSpPr>
        <cdr:cNvPr id="2" name="Pole tekstowe 1"/>
        <cdr:cNvSpPr txBox="1"/>
      </cdr:nvSpPr>
      <cdr:spPr>
        <a:xfrm xmlns:a="http://schemas.openxmlformats.org/drawingml/2006/main">
          <a:off x="103793" y="994673"/>
          <a:ext cx="179884" cy="1892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pl-PL" sz="1000"/>
        </a:p>
      </cdr:txBody>
    </cdr:sp>
  </cdr:relSizeAnchor>
  <cdr:relSizeAnchor xmlns:cdr="http://schemas.openxmlformats.org/drawingml/2006/chartDrawing">
    <cdr:from>
      <cdr:x>0</cdr:x>
      <cdr:y>0</cdr:y>
    </cdr:from>
    <cdr:to>
      <cdr:x>0.99959</cdr:x>
      <cdr:y>0.11082</cdr:y>
    </cdr:to>
    <cdr:sp macro="" textlink="">
      <cdr:nvSpPr>
        <cdr:cNvPr id="4" name="Pole tekstowe 3"/>
        <cdr:cNvSpPr txBox="1"/>
      </cdr:nvSpPr>
      <cdr:spPr>
        <a:xfrm xmlns:a="http://schemas.openxmlformats.org/drawingml/2006/main">
          <a:off x="0" y="0"/>
          <a:ext cx="5106851" cy="409575"/>
        </a:xfrm>
        <a:prstGeom xmlns:a="http://schemas.openxmlformats.org/drawingml/2006/main" prst="rect">
          <a:avLst/>
        </a:prstGeom>
      </cdr:spPr>
      <cdr:txBody>
        <a:bodyPr xmlns:a="http://schemas.openxmlformats.org/drawingml/2006/main" vertOverflow="clip" wrap="square" lIns="0" rIns="0" rtlCol="0" anchor="t"/>
        <a:lstStyle xmlns:a="http://schemas.openxmlformats.org/drawingml/2006/main"/>
        <a:p xmlns:a="http://schemas.openxmlformats.org/drawingml/2006/main">
          <a:pPr algn="l"/>
          <a:r>
            <a:rPr lang="pl-PL" sz="900" b="0" i="0" u="none" strike="noStrike" spc="0">
              <a:effectLst/>
              <a:latin typeface="Fira Sans SemiBold" panose="020B0603050000020004" pitchFamily="34" charset="0"/>
              <a:ea typeface="Fira Sans SemiBold" panose="020B0603050000020004" pitchFamily="34" charset="0"/>
              <a:cs typeface="+mn-cs"/>
            </a:rPr>
            <a:t>Graph 19.</a:t>
          </a:r>
          <a:r>
            <a:rPr lang="pl-PL" sz="900" b="0" i="0" u="none" strike="noStrike" spc="0" baseline="0">
              <a:effectLst/>
              <a:latin typeface="Fira Sans SemiBold" panose="020B0603050000020004" pitchFamily="34" charset="0"/>
              <a:ea typeface="Fira Sans SemiBold" panose="020B0603050000020004" pitchFamily="34" charset="0"/>
              <a:cs typeface="+mn-cs"/>
            </a:rPr>
            <a:t> Subjective evaluation* of changes in inccome of households,</a:t>
          </a:r>
          <a:r>
            <a:rPr lang="pl-PL" sz="900" b="0" i="0" u="none" strike="noStrike" spc="0">
              <a:effectLst/>
              <a:latin typeface="Fira Sans SemiBold" panose="020B0603050000020004" pitchFamily="34" charset="0"/>
              <a:ea typeface="Fira Sans SemiBold" panose="020B0603050000020004" pitchFamily="34" charset="0"/>
              <a:cs typeface="+mn-cs"/>
            </a:rPr>
            <a:t> as a result of the COVID-19</a:t>
          </a:r>
          <a:br>
            <a:rPr lang="pl-PL" sz="900" b="0" i="0" u="none" strike="noStrike" spc="0">
              <a:effectLst/>
              <a:latin typeface="Fira Sans SemiBold" panose="020B0603050000020004" pitchFamily="34" charset="0"/>
              <a:ea typeface="Fira Sans SemiBold" panose="020B0603050000020004" pitchFamily="34" charset="0"/>
              <a:cs typeface="+mn-cs"/>
            </a:rPr>
          </a:br>
          <a:r>
            <a:rPr lang="pl-PL" sz="900" b="0" i="0" u="none" strike="noStrike" spc="0">
              <a:effectLst/>
              <a:latin typeface="Fira Sans SemiBold" panose="020B0603050000020004" pitchFamily="34" charset="0"/>
              <a:ea typeface="Fira Sans SemiBold" panose="020B0603050000020004" pitchFamily="34" charset="0"/>
              <a:cs typeface="+mn-cs"/>
            </a:rPr>
            <a:t>                  pandemic,</a:t>
          </a:r>
          <a:r>
            <a:rPr lang="pl-PL" sz="900" b="0" i="0" u="none" strike="noStrike" spc="0" baseline="0">
              <a:effectLst/>
              <a:latin typeface="Fira Sans SemiBold" panose="020B0603050000020004" pitchFamily="34" charset="0"/>
              <a:ea typeface="Fira Sans SemiBold" panose="020B0603050000020004" pitchFamily="34" charset="0"/>
              <a:cs typeface="+mn-cs"/>
            </a:rPr>
            <a:t> by socio-economic groups in Q2-4 2020</a:t>
          </a:r>
          <a:endParaRPr lang="pl-PL" sz="900" b="0" i="0" u="none" strike="noStrike" spc="0">
            <a:effectLst/>
            <a:latin typeface="Fira Sans SemiBold" panose="020B0603050000020004" pitchFamily="34" charset="0"/>
            <a:ea typeface="Fira Sans SemiBold" panose="020B0603050000020004" pitchFamily="34" charset="0"/>
            <a:cs typeface="+mn-cs"/>
          </a:endParaRPr>
        </a:p>
      </cdr:txBody>
    </cdr:sp>
  </cdr:relSizeAnchor>
  <cdr:relSizeAnchor xmlns:cdr="http://schemas.openxmlformats.org/drawingml/2006/chartDrawing">
    <cdr:from>
      <cdr:x>0</cdr:x>
      <cdr:y>0.95072</cdr:y>
    </cdr:from>
    <cdr:to>
      <cdr:x>0.82855</cdr:x>
      <cdr:y>1</cdr:y>
    </cdr:to>
    <cdr:sp macro="" textlink="">
      <cdr:nvSpPr>
        <cdr:cNvPr id="5" name="pole tekstowe 1">
          <a:extLst xmlns:a="http://schemas.openxmlformats.org/drawingml/2006/main">
            <a:ext uri="{FF2B5EF4-FFF2-40B4-BE49-F238E27FC236}">
              <a16:creationId xmlns:a16="http://schemas.microsoft.com/office/drawing/2014/main" id="{83F60988-4C62-424E-831E-0972ACE303C2}"/>
            </a:ext>
          </a:extLst>
        </cdr:cNvPr>
        <cdr:cNvSpPr txBox="1"/>
      </cdr:nvSpPr>
      <cdr:spPr>
        <a:xfrm xmlns:a="http://schemas.openxmlformats.org/drawingml/2006/main">
          <a:off x="0" y="3724275"/>
          <a:ext cx="4244285" cy="193040"/>
        </a:xfrm>
        <a:prstGeom xmlns:a="http://schemas.openxmlformats.org/drawingml/2006/main" prst="rect">
          <a:avLst/>
        </a:prstGeom>
      </cdr:spPr>
      <cdr:txBody>
        <a:bodyPr xmlns:a="http://schemas.openxmlformats.org/drawingml/2006/main" wrap="square" lIns="36000" tIns="0" rIns="3600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latin typeface="Fira Sans" panose="020B0503050000020004" pitchFamily="34" charset="0"/>
              <a:ea typeface="Fira Sans" panose="020B0503050000020004" pitchFamily="34" charset="0"/>
              <a:cs typeface="Arial" panose="020B0604020202020204" pitchFamily="34" charset="0"/>
            </a:rPr>
            <a:t>* "Hard to say" evaluation was not included.</a:t>
          </a:r>
        </a:p>
      </cdr:txBody>
    </cdr:sp>
  </cdr:relSizeAnchor>
  <cdr:relSizeAnchor xmlns:cdr="http://schemas.openxmlformats.org/drawingml/2006/chartDrawing">
    <cdr:from>
      <cdr:x>0.09297</cdr:x>
      <cdr:y>0.13384</cdr:y>
    </cdr:from>
    <cdr:to>
      <cdr:x>0.20268</cdr:x>
      <cdr:y>0.1949</cdr:y>
    </cdr:to>
    <cdr:sp macro="" textlink="">
      <cdr:nvSpPr>
        <cdr:cNvPr id="6" name="pole tekstowe 1">
          <a:extLst xmlns:a="http://schemas.openxmlformats.org/drawingml/2006/main">
            <a:ext uri="{FF2B5EF4-FFF2-40B4-BE49-F238E27FC236}">
              <a16:creationId xmlns:a16="http://schemas.microsoft.com/office/drawing/2014/main" id="{EC7366BE-C0CF-4CE4-9C4B-83B5B3F65EE0}"/>
            </a:ext>
          </a:extLst>
        </cdr:cNvPr>
        <cdr:cNvSpPr txBox="1"/>
      </cdr:nvSpPr>
      <cdr:spPr>
        <a:xfrm xmlns:a="http://schemas.openxmlformats.org/drawingml/2006/main">
          <a:off x="476250" y="524302"/>
          <a:ext cx="561975" cy="239191"/>
        </a:xfrm>
        <a:prstGeom xmlns:a="http://schemas.openxmlformats.org/drawingml/2006/main" prst="rect">
          <a:avLst/>
        </a:prstGeom>
      </cdr:spPr>
      <cdr:txBody>
        <a:bodyPr xmlns:a="http://schemas.openxmlformats.org/drawingml/2006/main" wrap="square" lIns="36000" tIns="0" rIns="3600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900">
              <a:latin typeface="Fira Sans" panose="020B0503050000020004" pitchFamily="34" charset="0"/>
              <a:ea typeface="Fira Sans" panose="020B0503050000020004" pitchFamily="34" charset="0"/>
              <a:cs typeface="Arial" panose="020B0604020202020204" pitchFamily="34" charset="0"/>
            </a:rPr>
            <a:t>Income:</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0.18708</cdr:y>
    </cdr:from>
    <cdr:to>
      <cdr:x>0.05952</cdr:x>
      <cdr:y>0.24255</cdr:y>
    </cdr:to>
    <cdr:sp macro="" textlink="">
      <cdr:nvSpPr>
        <cdr:cNvPr id="4" name="Pole tekstowe 1"/>
        <cdr:cNvSpPr txBox="1"/>
      </cdr:nvSpPr>
      <cdr:spPr>
        <a:xfrm xmlns:a="http://schemas.openxmlformats.org/drawingml/2006/main">
          <a:off x="0" y="563927"/>
          <a:ext cx="304780" cy="167205"/>
        </a:xfrm>
        <a:prstGeom xmlns:a="http://schemas.openxmlformats.org/drawingml/2006/main" prst="rect">
          <a:avLst/>
        </a:prstGeom>
      </cdr:spPr>
      <cdr:txBody>
        <a:bodyPr xmlns:a="http://schemas.openxmlformats.org/drawingml/2006/main" wrap="square" lIns="0" tIns="0" rIns="0" bIns="0" rtlCol="0" anchor="ctr"/>
        <a:lstStyle xmlns:a="http://schemas.openxmlformats.org/drawingml/2006/main"/>
        <a:p xmlns:a="http://schemas.openxmlformats.org/drawingml/2006/main">
          <a:pPr algn="ctr"/>
          <a:r>
            <a:rPr lang="pl-PL" sz="900">
              <a:latin typeface="Fira Sans" panose="020B0503050000020004" pitchFamily="34" charset="0"/>
              <a:ea typeface="Fira Sans" panose="020B0503050000020004" pitchFamily="34" charset="0"/>
            </a:rPr>
            <a:t>PLN</a:t>
          </a:r>
        </a:p>
      </cdr:txBody>
    </cdr:sp>
  </cdr:relSizeAnchor>
  <cdr:relSizeAnchor xmlns:cdr="http://schemas.openxmlformats.org/drawingml/2006/chartDrawing">
    <cdr:from>
      <cdr:x>0</cdr:x>
      <cdr:y>0</cdr:y>
    </cdr:from>
    <cdr:to>
      <cdr:x>1</cdr:x>
      <cdr:y>0.1622</cdr:y>
    </cdr:to>
    <cdr:sp macro="" textlink="">
      <cdr:nvSpPr>
        <cdr:cNvPr id="5" name="pole tekstowe 1"/>
        <cdr:cNvSpPr txBox="1"/>
      </cdr:nvSpPr>
      <cdr:spPr>
        <a:xfrm xmlns:a="http://schemas.openxmlformats.org/drawingml/2006/main">
          <a:off x="0" y="0"/>
          <a:ext cx="5120640" cy="488927"/>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2.</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Average monthly available income and expenditure per capita in households and the share</a:t>
          </a:r>
        </a:p>
        <a:p xmlns:a="http://schemas.openxmlformats.org/drawingml/2006/main">
          <a:pPr algn="l"/>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of average</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monthly expenditure in available income by socio-economic groups</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in 2020</a:t>
          </a:r>
          <a:endPar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0.42394</cdr:x>
      <cdr:y>0.53125</cdr:y>
    </cdr:from>
    <cdr:to>
      <cdr:x>0.82001</cdr:x>
      <cdr:y>0.6079</cdr:y>
    </cdr:to>
    <cdr:sp macro="" textlink="">
      <cdr:nvSpPr>
        <cdr:cNvPr id="2" name="pole tekstowe 1"/>
        <cdr:cNvSpPr txBox="1"/>
      </cdr:nvSpPr>
      <cdr:spPr>
        <a:xfrm xmlns:a="http://schemas.openxmlformats.org/drawingml/2006/main">
          <a:off x="2171655" y="1649612"/>
          <a:ext cx="2028886" cy="238009"/>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pl-PL" sz="900" b="0" i="0">
              <a:solidFill>
                <a:sysClr val="windowText" lastClr="000000"/>
              </a:solidFill>
              <a:latin typeface="Fira Sans" panose="020B0503050000020004" pitchFamily="34" charset="0"/>
              <a:ea typeface="Fira Sans" panose="020B0503050000020004" pitchFamily="34" charset="0"/>
              <a:cs typeface="Arial" panose="020B0604020202020204" pitchFamily="34" charset="0"/>
            </a:rPr>
            <a:t>National</a:t>
          </a:r>
          <a:r>
            <a:rPr lang="pl-PL" sz="900" b="0" i="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rPr>
            <a:t> average</a:t>
          </a:r>
          <a:r>
            <a:rPr lang="pl-PL" sz="900" b="0" i="0">
              <a:solidFill>
                <a:sysClr val="windowText" lastClr="000000"/>
              </a:solidFill>
              <a:latin typeface="Fira Sans" panose="020B0503050000020004" pitchFamily="34" charset="0"/>
              <a:ea typeface="Fira Sans" panose="020B0503050000020004" pitchFamily="34" charset="0"/>
              <a:cs typeface="Arial" panose="020B0604020202020204" pitchFamily="34" charset="0"/>
            </a:rPr>
            <a:t> = 100%</a:t>
          </a:r>
        </a:p>
      </cdr:txBody>
    </cdr:sp>
  </cdr:relSizeAnchor>
  <cdr:relSizeAnchor xmlns:cdr="http://schemas.openxmlformats.org/drawingml/2006/chartDrawing">
    <cdr:from>
      <cdr:x>0</cdr:x>
      <cdr:y>0</cdr:y>
    </cdr:from>
    <cdr:to>
      <cdr:x>1</cdr:x>
      <cdr:y>0.16755</cdr:y>
    </cdr:to>
    <cdr:sp macro="" textlink="">
      <cdr:nvSpPr>
        <cdr:cNvPr id="4" name="pole tekstowe 2"/>
        <cdr:cNvSpPr txBox="1"/>
      </cdr:nvSpPr>
      <cdr:spPr>
        <a:xfrm xmlns:a="http://schemas.openxmlformats.org/drawingml/2006/main">
          <a:off x="0" y="0"/>
          <a:ext cx="5122545" cy="520268"/>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3. Indicator of average monthly available income and expenditure per capita in households</a:t>
          </a:r>
        </a:p>
        <a:p xmlns:a="http://schemas.openxmlformats.org/drawingml/2006/main">
          <a:pPr algn="l"/>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by socjo-economic groups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compared to</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the national average</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in 2020</a:t>
          </a:r>
        </a:p>
        <a:p xmlns:a="http://schemas.openxmlformats.org/drawingml/2006/main">
          <a:pPr algn="l"/>
          <a:endPar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1</cdr:x>
      <cdr:y>0.10221</cdr:y>
    </cdr:to>
    <cdr:sp macro="" textlink="">
      <cdr:nvSpPr>
        <cdr:cNvPr id="4" name="pole tekstowe 1"/>
        <cdr:cNvSpPr txBox="1"/>
      </cdr:nvSpPr>
      <cdr:spPr>
        <a:xfrm xmlns:a="http://schemas.openxmlformats.org/drawingml/2006/main">
          <a:off x="0" y="0"/>
          <a:ext cx="5120640" cy="373844"/>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4. Structure of average monthly available income per capita in households in 2020</a:t>
          </a:r>
        </a:p>
        <a:p xmlns:a="http://schemas.openxmlformats.org/drawingml/2006/main">
          <a:pPr algn="l"/>
          <a:endPar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dr:relSizeAnchor xmlns:cdr="http://schemas.openxmlformats.org/drawingml/2006/chartDrawing">
    <cdr:from>
      <cdr:x>0</cdr:x>
      <cdr:y>0.92235</cdr:y>
    </cdr:from>
    <cdr:to>
      <cdr:x>1</cdr:x>
      <cdr:y>1</cdr:y>
    </cdr:to>
    <cdr:sp macro="" textlink="">
      <cdr:nvSpPr>
        <cdr:cNvPr id="5" name="pole tekstowe 1"/>
        <cdr:cNvSpPr txBox="1"/>
      </cdr:nvSpPr>
      <cdr:spPr>
        <a:xfrm xmlns:a="http://schemas.openxmlformats.org/drawingml/2006/main">
          <a:off x="0" y="3552825"/>
          <a:ext cx="5120640" cy="299085"/>
        </a:xfrm>
        <a:prstGeom xmlns:a="http://schemas.openxmlformats.org/drawingml/2006/main" prst="rect">
          <a:avLst/>
        </a:prstGeom>
      </cdr:spPr>
      <cdr:txBody>
        <a:bodyPr xmlns:a="http://schemas.openxmlformats.org/drawingml/2006/main" wrap="square" lIns="36000" tIns="0" rIns="3600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baseline="0">
              <a:latin typeface="Fira Sans" panose="020B0503050000020004" pitchFamily="34" charset="0"/>
              <a:ea typeface="Fira Sans" panose="020B0503050000020004" pitchFamily="34" charset="0"/>
              <a:cs typeface="Arial" panose="020B0604020202020204" pitchFamily="34" charset="0"/>
            </a:rPr>
            <a:t>*In the category 'Other income' are included: income from property, income from real estate renting and other income. </a:t>
          </a:r>
          <a:endParaRPr lang="pl-PL" sz="800">
            <a:latin typeface="Fira Sans" panose="020B0503050000020004" pitchFamily="34" charset="0"/>
            <a:ea typeface="Fira Sans" panose="020B05030500000200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0.00304</cdr:y>
    </cdr:from>
    <cdr:to>
      <cdr:x>0.99963</cdr:x>
      <cdr:y>0.17346</cdr:y>
    </cdr:to>
    <cdr:sp macro="" textlink="">
      <cdr:nvSpPr>
        <cdr:cNvPr id="4" name="pole tekstowe 3"/>
        <cdr:cNvSpPr txBox="1"/>
      </cdr:nvSpPr>
      <cdr:spPr>
        <a:xfrm xmlns:a="http://schemas.openxmlformats.org/drawingml/2006/main">
          <a:off x="0" y="9849"/>
          <a:ext cx="5120650" cy="552126"/>
        </a:xfrm>
        <a:prstGeom xmlns:a="http://schemas.openxmlformats.org/drawingml/2006/main" prst="rect">
          <a:avLst/>
        </a:prstGeom>
      </cdr:spPr>
      <cdr:txBody>
        <a:bodyPr xmlns:a="http://schemas.openxmlformats.org/drawingml/2006/main" vertOverflow="clip" wrap="square" lIns="0" tIns="36000" rIns="0" bIns="36000" rtlCol="0" anchor="t"/>
        <a:lstStyle xmlns:a="http://schemas.openxmlformats.org/drawingml/2006/main"/>
        <a:p xmlns:a="http://schemas.openxmlformats.org/drawingml/2006/main">
          <a:pPr algn="l"/>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5. Difference in income measured by Gini coefficient for Poland</a:t>
          </a:r>
        </a:p>
        <a:p xmlns:a="http://schemas.openxmlformats.org/drawingml/2006/main">
          <a:pPr algn="l"/>
          <a:r>
            <a:rPr lang="pl-PL" sz="900" b="0"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by place of residence, 2004–2020</a:t>
          </a:r>
        </a:p>
        <a:p xmlns:a="http://schemas.openxmlformats.org/drawingml/2006/main">
          <a:pPr algn="l"/>
          <a:endParaRPr lang="pl-PL" sz="900" b="0" i="1" spc="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cdr:y>
    </cdr:from>
    <cdr:to>
      <cdr:x>1</cdr:x>
      <cdr:y>0.17825</cdr:y>
    </cdr:to>
    <cdr:sp macro="" textlink="">
      <cdr:nvSpPr>
        <cdr:cNvPr id="3" name="pole tekstowe 1"/>
        <cdr:cNvSpPr txBox="1"/>
      </cdr:nvSpPr>
      <cdr:spPr>
        <a:xfrm xmlns:a="http://schemas.openxmlformats.org/drawingml/2006/main">
          <a:off x="0" y="0"/>
          <a:ext cx="5122545" cy="519763"/>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6. Share of average monthly expenditure per capita on food and non-alcoholic beverages</a:t>
          </a:r>
        </a:p>
        <a:p xmlns:a="http://schemas.openxmlformats.org/drawingml/2006/main">
          <a:pPr algn="l"/>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and housing,</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water, electricity, gas and other fuels in the total expenditure of households,</a:t>
          </a:r>
        </a:p>
        <a:p xmlns:a="http://schemas.openxmlformats.org/drawingml/2006/main">
          <a:pPr algn="l"/>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2004–2020</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1</cdr:x>
      <cdr:y>0.13346</cdr:y>
    </cdr:to>
    <cdr:sp macro="" textlink="">
      <cdr:nvSpPr>
        <cdr:cNvPr id="3" name="pole tekstowe 1"/>
        <cdr:cNvSpPr txBox="1"/>
      </cdr:nvSpPr>
      <cdr:spPr>
        <a:xfrm xmlns:a="http://schemas.openxmlformats.org/drawingml/2006/main">
          <a:off x="0" y="0"/>
          <a:ext cx="5122545" cy="552466"/>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7.</a:t>
          </a:r>
          <a:r>
            <a:rPr lang="pl-PL" sz="900" b="0" i="1"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t>
          </a:r>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Structure of average monthly expenditure per capita in households</a:t>
          </a:r>
        </a:p>
        <a:p xmlns:a="http://schemas.openxmlformats.org/drawingml/2006/main">
          <a:pPr algn="l"/>
          <a:r>
            <a:rPr lang="pl-PL" sz="900" b="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(in % of total expenditure) in 2020</a:t>
          </a:r>
        </a:p>
      </cdr:txBody>
    </cdr:sp>
  </cdr:relSizeAnchor>
</c:userShapes>
</file>

<file path=word/drawings/drawing8.xml><?xml version="1.0" encoding="utf-8"?>
<c:userShapes xmlns:c="http://schemas.openxmlformats.org/drawingml/2006/chart">
  <cdr:relSizeAnchor xmlns:cdr="http://schemas.openxmlformats.org/drawingml/2006/chartDrawing">
    <cdr:from>
      <cdr:x>0.17616</cdr:x>
      <cdr:y>0.01509</cdr:y>
    </cdr:from>
    <cdr:to>
      <cdr:x>0.85986</cdr:x>
      <cdr:y>0.10776</cdr:y>
    </cdr:to>
    <cdr:sp macro="" textlink="">
      <cdr:nvSpPr>
        <cdr:cNvPr id="5" name="pole tekstowe 4"/>
        <cdr:cNvSpPr txBox="1"/>
      </cdr:nvSpPr>
      <cdr:spPr>
        <a:xfrm xmlns:a="http://schemas.openxmlformats.org/drawingml/2006/main">
          <a:off x="1281114" y="66676"/>
          <a:ext cx="4972050" cy="409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0.0871</cdr:x>
      <cdr:y>0.00647</cdr:y>
    </cdr:from>
    <cdr:to>
      <cdr:x>0.89915</cdr:x>
      <cdr:y>0.11853</cdr:y>
    </cdr:to>
    <cdr:sp macro="" textlink="">
      <cdr:nvSpPr>
        <cdr:cNvPr id="8" name="pole tekstowe 7"/>
        <cdr:cNvSpPr txBox="1"/>
      </cdr:nvSpPr>
      <cdr:spPr>
        <a:xfrm xmlns:a="http://schemas.openxmlformats.org/drawingml/2006/main">
          <a:off x="633414" y="28576"/>
          <a:ext cx="5905500"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0.09889</cdr:x>
      <cdr:y>0.01293</cdr:y>
    </cdr:from>
    <cdr:to>
      <cdr:x>0.87033</cdr:x>
      <cdr:y>0.13147</cdr:y>
    </cdr:to>
    <cdr:sp macro="" textlink="">
      <cdr:nvSpPr>
        <cdr:cNvPr id="9" name="pole tekstowe 8"/>
        <cdr:cNvSpPr txBox="1"/>
      </cdr:nvSpPr>
      <cdr:spPr>
        <a:xfrm xmlns:a="http://schemas.openxmlformats.org/drawingml/2006/main">
          <a:off x="719139" y="57151"/>
          <a:ext cx="5610225" cy="523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cdr:x>
      <cdr:y>0.18533</cdr:y>
    </cdr:from>
    <cdr:to>
      <cdr:x>0.0595</cdr:x>
      <cdr:y>0.23844</cdr:y>
    </cdr:to>
    <cdr:sp macro="" textlink="">
      <cdr:nvSpPr>
        <cdr:cNvPr id="6" name="Pole tekstowe 1"/>
        <cdr:cNvSpPr txBox="1"/>
      </cdr:nvSpPr>
      <cdr:spPr>
        <a:xfrm xmlns:a="http://schemas.openxmlformats.org/drawingml/2006/main">
          <a:off x="0" y="533704"/>
          <a:ext cx="304791" cy="152942"/>
        </a:xfrm>
        <a:prstGeom xmlns:a="http://schemas.openxmlformats.org/drawingml/2006/main" prst="rect">
          <a:avLst/>
        </a:prstGeom>
      </cdr:spPr>
      <cdr:txBody>
        <a:bodyPr xmlns:a="http://schemas.openxmlformats.org/drawingml/2006/main" wrap="square" lIns="0" tIns="0" rIns="0" bIns="0" rtlCol="0" anchor="ctr"/>
        <a:lstStyle xmlns:a="http://schemas.openxmlformats.org/drawingml/2006/main"/>
        <a:p xmlns:a="http://schemas.openxmlformats.org/drawingml/2006/main">
          <a:pPr algn="ctr"/>
          <a:r>
            <a:rPr lang="pl-PL" sz="900">
              <a:latin typeface="Fira Sans" panose="020B0503050000020004" pitchFamily="34" charset="0"/>
              <a:ea typeface="Fira Sans" panose="020B0503050000020004" pitchFamily="34" charset="0"/>
            </a:rPr>
            <a:t>PLN</a:t>
          </a:r>
        </a:p>
      </cdr:txBody>
    </cdr:sp>
  </cdr:relSizeAnchor>
  <cdr:relSizeAnchor xmlns:cdr="http://schemas.openxmlformats.org/drawingml/2006/chartDrawing">
    <cdr:from>
      <cdr:x>0</cdr:x>
      <cdr:y>0</cdr:y>
    </cdr:from>
    <cdr:to>
      <cdr:x>1</cdr:x>
      <cdr:y>0.17971</cdr:y>
    </cdr:to>
    <cdr:sp macro="" textlink="">
      <cdr:nvSpPr>
        <cdr:cNvPr id="7" name="pole tekstowe 1"/>
        <cdr:cNvSpPr txBox="1"/>
      </cdr:nvSpPr>
      <cdr:spPr>
        <a:xfrm xmlns:a="http://schemas.openxmlformats.org/drawingml/2006/main">
          <a:off x="0" y="0"/>
          <a:ext cx="5122545" cy="517515"/>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spc="-10">
              <a:solidFill>
                <a:sysClr val="windowText" lastClr="000000"/>
              </a:solidFill>
              <a:effectLst/>
              <a:latin typeface="Fira Sans SemiBold" panose="020B0603050000020004" pitchFamily="34" charset="0"/>
              <a:ea typeface="Fira Sans SemiBold" panose="020B0603050000020004" pitchFamily="34" charset="0"/>
              <a:cs typeface="Arial" panose="020B0604020202020204" pitchFamily="34" charset="0"/>
            </a:rPr>
            <a:t>Graph 8</a:t>
          </a:r>
          <a:r>
            <a:rPr lang="pl-PL" sz="900" b="0" i="1" spc="-10">
              <a:solidFill>
                <a:sysClr val="windowText" lastClr="000000"/>
              </a:solidFill>
              <a:effectLst/>
              <a:latin typeface="Fira Sans SemiBold" panose="020B0603050000020004" pitchFamily="34" charset="0"/>
              <a:ea typeface="Fira Sans SemiBold" panose="020B0603050000020004" pitchFamily="34" charset="0"/>
              <a:cs typeface="Arial" panose="020B0604020202020204" pitchFamily="34" charset="0"/>
            </a:rPr>
            <a:t>.</a:t>
          </a:r>
          <a:r>
            <a:rPr lang="pl-PL" sz="900" b="0" i="1" spc="-10" baseline="0">
              <a:solidFill>
                <a:sysClr val="windowText" lastClr="000000"/>
              </a:solidFill>
              <a:effectLst/>
              <a:latin typeface="Fira Sans SemiBold" panose="020B0603050000020004" pitchFamily="34" charset="0"/>
              <a:ea typeface="Fira Sans SemiBold" panose="020B0603050000020004" pitchFamily="34" charset="0"/>
              <a:cs typeface="Arial" panose="020B0604020202020204" pitchFamily="34" charset="0"/>
            </a:rPr>
            <a:t> </a:t>
          </a:r>
          <a:r>
            <a:rPr lang="pl-PL" sz="900" b="0" spc="-10" baseline="0">
              <a:solidFill>
                <a:sysClr val="windowText" lastClr="000000"/>
              </a:solidFill>
              <a:effectLst/>
              <a:latin typeface="Fira Sans SemiBold" panose="020B0603050000020004" pitchFamily="34" charset="0"/>
              <a:ea typeface="Fira Sans SemiBold" panose="020B0603050000020004" pitchFamily="34" charset="0"/>
              <a:cs typeface="Arial" panose="020B0604020202020204" pitchFamily="34" charset="0"/>
            </a:rPr>
            <a:t>Average monthly available income and expenditure per capita in households and the share</a:t>
          </a:r>
        </a:p>
        <a:p xmlns:a="http://schemas.openxmlformats.org/drawingml/2006/main">
          <a:pPr algn="l"/>
          <a:r>
            <a:rPr lang="pl-PL" sz="900" b="0" spc="-10" baseline="0">
              <a:solidFill>
                <a:sysClr val="windowText" lastClr="000000"/>
              </a:solidFill>
              <a:effectLst/>
              <a:latin typeface="Fira Sans SemiBold" panose="020B0603050000020004" pitchFamily="34" charset="0"/>
              <a:ea typeface="Fira Sans SemiBold" panose="020B0603050000020004" pitchFamily="34" charset="0"/>
              <a:cs typeface="Arial" panose="020B0604020202020204" pitchFamily="34" charset="0"/>
            </a:rPr>
            <a:t>                 of average monthly expenditure in available income by quintile groups in 2020</a:t>
          </a:r>
          <a:endParaRPr lang="pl-PL" sz="900" b="0" spc="-10">
            <a:latin typeface="Fira Sans SemiBold" panose="020B0603050000020004" pitchFamily="34" charset="0"/>
            <a:ea typeface="Fira Sans SemiBold" panose="020B06030500000200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0.00372</cdr:x>
      <cdr:y>0.16254</cdr:y>
    </cdr:from>
    <cdr:to>
      <cdr:x>0.06322</cdr:x>
      <cdr:y>0.2245</cdr:y>
    </cdr:to>
    <cdr:sp macro="" textlink="">
      <cdr:nvSpPr>
        <cdr:cNvPr id="3" name="Pole tekstowe 1"/>
        <cdr:cNvSpPr txBox="1"/>
      </cdr:nvSpPr>
      <cdr:spPr>
        <a:xfrm xmlns:a="http://schemas.openxmlformats.org/drawingml/2006/main">
          <a:off x="19050" y="509039"/>
          <a:ext cx="304791" cy="194048"/>
        </a:xfrm>
        <a:prstGeom xmlns:a="http://schemas.openxmlformats.org/drawingml/2006/main" prst="rect">
          <a:avLst/>
        </a:prstGeom>
      </cdr:spPr>
      <cdr:txBody>
        <a:bodyPr xmlns:a="http://schemas.openxmlformats.org/drawingml/2006/main" wrap="square" lIns="0" tIns="0" rIns="0" bIns="0" rtlCol="0" anchor="ctr"/>
        <a:lstStyle xmlns:a="http://schemas.openxmlformats.org/drawingml/2006/main"/>
        <a:p xmlns:a="http://schemas.openxmlformats.org/drawingml/2006/main">
          <a:pPr algn="ctr"/>
          <a:r>
            <a:rPr lang="pl-PL" sz="900">
              <a:latin typeface="Fira Sans" panose="020B0503050000020004" pitchFamily="34" charset="0"/>
              <a:ea typeface="Fira Sans" panose="020B0503050000020004" pitchFamily="34" charset="0"/>
            </a:rPr>
            <a:t>PLN</a:t>
          </a:r>
        </a:p>
      </cdr:txBody>
    </cdr:sp>
  </cdr:relSizeAnchor>
  <cdr:relSizeAnchor xmlns:cdr="http://schemas.openxmlformats.org/drawingml/2006/chartDrawing">
    <cdr:from>
      <cdr:x>0</cdr:x>
      <cdr:y>0</cdr:y>
    </cdr:from>
    <cdr:to>
      <cdr:x>1</cdr:x>
      <cdr:y>0.164</cdr:y>
    </cdr:to>
    <cdr:sp macro="" textlink="">
      <cdr:nvSpPr>
        <cdr:cNvPr id="4" name="pole tekstowe 1"/>
        <cdr:cNvSpPr txBox="1"/>
      </cdr:nvSpPr>
      <cdr:spPr>
        <a:xfrm xmlns:a="http://schemas.openxmlformats.org/drawingml/2006/main">
          <a:off x="0" y="0"/>
          <a:ext cx="5122545" cy="513618"/>
        </a:xfrm>
        <a:prstGeom xmlns:a="http://schemas.openxmlformats.org/drawingml/2006/main" prst="rect">
          <a:avLst/>
        </a:prstGeom>
      </cdr:spPr>
      <cdr:txBody>
        <a:bodyPr xmlns:a="http://schemas.openxmlformats.org/drawingml/2006/main" wrap="square" lIns="0" tIns="36000" rIns="0" bIns="36000"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900" b="0" spc="-1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Graph 9.</a:t>
          </a:r>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Average monthly available income and expenditure per capita in households and the share</a:t>
          </a:r>
        </a:p>
        <a:p xmlns:a="http://schemas.openxmlformats.org/drawingml/2006/main">
          <a:pPr algn="l"/>
          <a:r>
            <a:rPr lang="pl-PL" sz="900" b="0" spc="-10" baseline="0">
              <a:solidFill>
                <a:sysClr val="windowText" lastClr="000000"/>
              </a:solidFill>
              <a:latin typeface="Fira Sans SemiBold" panose="020B0603050000020004" pitchFamily="34" charset="0"/>
              <a:ea typeface="Fira Sans SemiBold" panose="020B0603050000020004" pitchFamily="34" charset="0"/>
              <a:cs typeface="Arial" panose="020B0604020202020204" pitchFamily="34" charset="0"/>
            </a:rPr>
            <a:t>                 of expenditure in available income by class of locality in 2020</a:t>
          </a:r>
        </a:p>
      </cdr:txBody>
    </cdr:sp>
  </cdr:relSizeAnchor>
</c:userShapes>
</file>

<file path=word/theme/theme1.xml><?xml version="1.0" encoding="utf-8"?>
<a:theme xmlns:a="http://schemas.openxmlformats.org/drawingml/2006/main" name="Motyw pakietu Office">
  <a:themeElements>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GRANATOWY LOGO">
    <a:dk1>
      <a:sysClr val="windowText" lastClr="000000"/>
    </a:dk1>
    <a:lt1>
      <a:sysClr val="window" lastClr="FFFFFF"/>
    </a:lt1>
    <a:dk2>
      <a:srgbClr val="F0AB00"/>
    </a:dk2>
    <a:lt2>
      <a:srgbClr val="CF0B2D"/>
    </a:lt2>
    <a:accent1>
      <a:srgbClr val="001D77"/>
    </a:accent1>
    <a:accent2>
      <a:srgbClr val="334A92"/>
    </a:accent2>
    <a:accent3>
      <a:srgbClr val="6677AD"/>
    </a:accent3>
    <a:accent4>
      <a:srgbClr val="99A5C9"/>
    </a:accent4>
    <a:accent5>
      <a:srgbClr val="CCD2E4"/>
    </a:accent5>
    <a:accent6>
      <a:srgbClr val="D0CFCF"/>
    </a:accent6>
    <a:hlink>
      <a:srgbClr val="AAA9A9"/>
    </a:hlink>
    <a:folHlink>
      <a:srgbClr val="605D5C"/>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zwaPliku xmlns="8C029B3F-2CC4-4A59-AF0D-A90575FA3373">The situation of households in 2020 on the basis of results of the Household Budgets Survey.docx</NazwaPliku>
    <Odbiorcy2 xmlns="8C029B3F-2CC4-4A59-AF0D-A90575FA3373" xsi:nil="true"/>
    <Osoba xmlns="8C029B3F-2CC4-4A59-AF0D-A90575FA3373">STAT\LysonP</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8C029B3F-2CC4-4A59-AF0D-A90575FA3373"/>
    <ds:schemaRef ds:uri="http://schemas.microsoft.com/sharepoint/v3"/>
  </ds:schemaRefs>
</ds:datastoreItem>
</file>

<file path=customXml/itemProps2.xml><?xml version="1.0" encoding="utf-8"?>
<ds:datastoreItem xmlns:ds="http://schemas.openxmlformats.org/officeDocument/2006/customXml" ds:itemID="{3E7A28B2-CA8D-4849-AFEA-4AACE0C2CEC4}">
  <ds:schemaRefs>
    <ds:schemaRef ds:uri="http://schemas.openxmlformats.org/officeDocument/2006/bibliography"/>
  </ds:schemaRefs>
</ds:datastoreItem>
</file>

<file path=customXml/itemProps3.xml><?xml version="1.0" encoding="utf-8"?>
<ds:datastoreItem xmlns:ds="http://schemas.openxmlformats.org/officeDocument/2006/customXml" ds:itemID="{8DAE1288-9B74-45B8-8B27-A1CBECE1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3918</Words>
  <Characters>23511</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situation of households in 2020 on the basis of results of the Household Budget Survey</dc:title>
  <dc:subject>The situation of households in 2020 on the basis of results of the Household Budget Survey</dc:subject>
  <dc:creator>Statistics Poland</dc:creator>
  <cp:keywords>Living conditions</cp:keywords>
  <cp:lastPrinted>2020-06-26T11:49:00Z</cp:lastPrinted>
  <dcterms:created xsi:type="dcterms:W3CDTF">2021-05-31T07:26:00Z</dcterms:created>
  <dcterms:modified xsi:type="dcterms:W3CDTF">2021-05-31T07:26:00Z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