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400B1108" w:rsidR="00690129" w:rsidRPr="007D728A" w:rsidRDefault="00600D19" w:rsidP="007D728A">
      <w:pPr>
        <w:pStyle w:val="Tytuinfomacjisygnalnej"/>
        <w:rPr>
          <w:lang w:val="en-GB"/>
        </w:rPr>
      </w:pPr>
      <w:bookmarkStart w:id="0" w:name="_GoBack"/>
      <w:bookmarkEnd w:id="0"/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>in January</w:t>
      </w:r>
      <w:r w:rsidR="00542848" w:rsidRPr="007D728A">
        <w:rPr>
          <w:lang w:val="en-GB"/>
        </w:rPr>
        <w:t xml:space="preserve"> </w:t>
      </w:r>
      <w:r w:rsidR="00914321">
        <w:rPr>
          <w:lang w:val="en-GB"/>
        </w:rPr>
        <w:t xml:space="preserve">– </w:t>
      </w:r>
      <w:r w:rsidR="00F87227">
        <w:rPr>
          <w:lang w:val="en-GB"/>
        </w:rPr>
        <w:t>May</w:t>
      </w:r>
      <w:r w:rsidR="00914321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6E3560">
        <w:rPr>
          <w:lang w:val="en-GB"/>
        </w:rPr>
        <w:t>2</w:t>
      </w:r>
    </w:p>
    <w:p w14:paraId="27F3C078" w14:textId="6B4DFF23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27DD236E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 in January - May amounted to PLN minus 49.3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18EC427B" w:rsidR="00143398" w:rsidRPr="007D728A" w:rsidRDefault="00143398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49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3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bn</w:t>
                            </w:r>
                          </w:p>
                          <w:p w14:paraId="29BD9083" w14:textId="77777777" w:rsidR="00143398" w:rsidRPr="008C09C1" w:rsidRDefault="00143398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417B72" id="Pole tekstowe 2" o:spid="_x0000_s1026" alt="The balance in foreign trade turnover in January - May amounted to PLN minus 49.3 bn. 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" fillcolor="#001d77" stroked="f">
                <v:stroke joinstyle="miter"/>
                <v:textbox>
                  <w:txbxContent>
                    <w:p w14:paraId="2D8A326F" w14:textId="18EC427B" w:rsidR="00143398" w:rsidRPr="007D728A" w:rsidRDefault="00143398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49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3</w:t>
                      </w:r>
                      <w:r w:rsidRPr="008C09C1">
                        <w:rPr>
                          <w:rStyle w:val="WartowskanikaZnak"/>
                        </w:rPr>
                        <w:t xml:space="preserve"> bn</w:t>
                      </w:r>
                    </w:p>
                    <w:p w14:paraId="29BD9083" w14:textId="77777777" w:rsidR="00143398" w:rsidRPr="008C09C1" w:rsidRDefault="00143398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143398" w:rsidRPr="005C1756" w:rsidRDefault="00143398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143398" w:rsidRPr="005C1756" w:rsidRDefault="00143398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>in January</w:t>
      </w:r>
      <w:r w:rsidR="00FF352D" w:rsidRPr="001C578A">
        <w:rPr>
          <w:spacing w:val="-4"/>
          <w:lang w:val="en-GB"/>
        </w:rPr>
        <w:t xml:space="preserve"> - </w:t>
      </w:r>
      <w:r w:rsidR="00F87227">
        <w:rPr>
          <w:spacing w:val="-4"/>
          <w:lang w:val="en-GB"/>
        </w:rPr>
        <w:t>May</w:t>
      </w:r>
      <w:r w:rsidR="00670E27" w:rsidRPr="001C578A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2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r w:rsidR="00F87227" w:rsidRPr="00F87227">
        <w:rPr>
          <w:spacing w:val="-4"/>
          <w:lang w:val="en-GB"/>
        </w:rPr>
        <w:t>625</w:t>
      </w:r>
      <w:r w:rsidR="00F87227">
        <w:rPr>
          <w:spacing w:val="-4"/>
          <w:lang w:val="en-GB"/>
        </w:rPr>
        <w:t>.</w:t>
      </w:r>
      <w:r w:rsidR="00F87227" w:rsidRPr="00F87227">
        <w:rPr>
          <w:spacing w:val="-4"/>
          <w:lang w:val="en-GB"/>
        </w:rPr>
        <w:t>5</w:t>
      </w:r>
      <w:r w:rsidR="00F87227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r w:rsidR="00F87227">
        <w:rPr>
          <w:spacing w:val="-4"/>
          <w:lang w:val="en-GB"/>
        </w:rPr>
        <w:t>674</w:t>
      </w:r>
      <w:r w:rsidR="00787480">
        <w:rPr>
          <w:spacing w:val="-4"/>
          <w:lang w:val="en-GB"/>
        </w:rPr>
        <w:t>.</w:t>
      </w:r>
      <w:r w:rsidR="00F87227">
        <w:rPr>
          <w:spacing w:val="-4"/>
          <w:lang w:val="en-GB"/>
        </w:rPr>
        <w:t>8</w:t>
      </w:r>
      <w:r w:rsidR="00AB0960" w:rsidRPr="00AB0960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50A24" w:rsidRPr="001C578A">
        <w:rPr>
          <w:spacing w:val="-4"/>
          <w:lang w:val="en-GB"/>
        </w:rPr>
        <w:t>negative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AB0960">
        <w:rPr>
          <w:spacing w:val="-4"/>
          <w:lang w:val="en-GB"/>
        </w:rPr>
        <w:t>4</w:t>
      </w:r>
      <w:r w:rsidR="00F87227">
        <w:rPr>
          <w:spacing w:val="-4"/>
          <w:lang w:val="en-GB"/>
        </w:rPr>
        <w:t>9</w:t>
      </w:r>
      <w:r w:rsidR="005A5483" w:rsidRPr="001C578A">
        <w:rPr>
          <w:spacing w:val="-4"/>
          <w:lang w:val="en-GB"/>
        </w:rPr>
        <w:t>.</w:t>
      </w:r>
      <w:r w:rsidR="00F87227">
        <w:rPr>
          <w:spacing w:val="-4"/>
          <w:lang w:val="en-GB"/>
        </w:rPr>
        <w:t>3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1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positive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5A5483" w:rsidRPr="001C578A">
        <w:rPr>
          <w:spacing w:val="-4"/>
          <w:lang w:val="en-GB"/>
        </w:rPr>
        <w:t>1</w:t>
      </w:r>
      <w:r w:rsidR="00506215">
        <w:rPr>
          <w:spacing w:val="-4"/>
          <w:lang w:val="en-GB"/>
        </w:rPr>
        <w:t>6</w:t>
      </w:r>
      <w:r w:rsidR="005A5483" w:rsidRPr="001C578A">
        <w:rPr>
          <w:spacing w:val="-4"/>
          <w:lang w:val="en-GB"/>
        </w:rPr>
        <w:t>.</w:t>
      </w:r>
      <w:r w:rsidR="00506215">
        <w:rPr>
          <w:spacing w:val="-4"/>
          <w:lang w:val="en-GB"/>
        </w:rPr>
        <w:t>8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6E3560" w:rsidRPr="005A5483">
        <w:rPr>
          <w:spacing w:val="-4"/>
          <w:lang w:val="en-GB"/>
        </w:rPr>
        <w:t>1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506215">
        <w:rPr>
          <w:spacing w:val="-4"/>
          <w:lang w:val="en-GB"/>
        </w:rPr>
        <w:t>20</w:t>
      </w:r>
      <w:r w:rsidR="008E184F" w:rsidRPr="005A5483">
        <w:rPr>
          <w:spacing w:val="-4"/>
          <w:lang w:val="en-GB"/>
        </w:rPr>
        <w:t>.</w:t>
      </w:r>
      <w:r w:rsidR="00506215">
        <w:rPr>
          <w:spacing w:val="-4"/>
          <w:lang w:val="en-GB"/>
        </w:rPr>
        <w:t>4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6C7A67" w:rsidRPr="005A5483">
        <w:rPr>
          <w:spacing w:val="-4"/>
          <w:lang w:val="en-GB"/>
        </w:rPr>
        <w:t>3</w:t>
      </w:r>
      <w:r w:rsidR="00506215">
        <w:rPr>
          <w:spacing w:val="-4"/>
          <w:lang w:val="en-GB"/>
        </w:rPr>
        <w:t>4</w:t>
      </w:r>
      <w:r w:rsidR="00843261" w:rsidRPr="005A5483">
        <w:rPr>
          <w:spacing w:val="-4"/>
          <w:lang w:val="en-GB"/>
        </w:rPr>
        <w:t>.</w:t>
      </w:r>
      <w:r w:rsidR="00506215">
        <w:rPr>
          <w:spacing w:val="-4"/>
          <w:lang w:val="en-GB"/>
        </w:rPr>
        <w:t>3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143398" w:rsidRPr="00070820" w:rsidRDefault="0014339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143398" w:rsidRPr="00070820" w:rsidRDefault="0014339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0C58145D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AB0960">
        <w:rPr>
          <w:rFonts w:eastAsia="Times New Roman" w:cs="Times New Roman"/>
          <w:szCs w:val="19"/>
          <w:lang w:val="en-GB" w:eastAsia="pl-PL"/>
        </w:rPr>
        <w:t>1</w:t>
      </w:r>
      <w:r w:rsidR="00506215">
        <w:rPr>
          <w:rFonts w:eastAsia="Times New Roman" w:cs="Times New Roman"/>
          <w:szCs w:val="19"/>
          <w:lang w:val="en-GB" w:eastAsia="pl-PL"/>
        </w:rPr>
        <w:t>52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506215">
        <w:rPr>
          <w:rFonts w:eastAsia="Times New Roman" w:cs="Times New Roman"/>
          <w:szCs w:val="19"/>
          <w:lang w:val="en-GB" w:eastAsia="pl-PL"/>
        </w:rPr>
        <w:t>64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506215">
        <w:rPr>
          <w:rFonts w:eastAsia="Times New Roman" w:cs="Times New Roman"/>
          <w:szCs w:val="19"/>
          <w:lang w:val="en-GB" w:eastAsia="pl-PL"/>
        </w:rPr>
        <w:t>10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>
        <w:rPr>
          <w:rFonts w:eastAsia="Times New Roman" w:cs="Times New Roman"/>
          <w:szCs w:val="19"/>
          <w:lang w:val="en-GB" w:eastAsia="pl-PL"/>
        </w:rPr>
        <w:t>2</w:t>
      </w:r>
      <w:r w:rsidR="006234BA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506215">
        <w:rPr>
          <w:rFonts w:eastAsia="Times New Roman" w:cs="Times New Roman"/>
          <w:szCs w:val="19"/>
          <w:lang w:val="en-GB" w:eastAsia="pl-PL"/>
        </w:rPr>
        <w:t>2</w:t>
      </w:r>
      <w:r w:rsidR="00892546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0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positive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6234BA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7EBB192F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506215">
        <w:rPr>
          <w:rFonts w:eastAsia="Times New Roman" w:cs="Times New Roman"/>
          <w:szCs w:val="19"/>
          <w:lang w:val="en-GB" w:eastAsia="pl-PL"/>
        </w:rPr>
        <w:t>36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2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506215">
        <w:rPr>
          <w:rFonts w:eastAsia="Times New Roman" w:cs="Times New Roman"/>
          <w:szCs w:val="19"/>
          <w:lang w:val="en-GB" w:eastAsia="pl-PL"/>
        </w:rPr>
        <w:t>4</w:t>
      </w:r>
      <w:r w:rsidR="006234BA">
        <w:rPr>
          <w:rFonts w:eastAsia="Times New Roman" w:cs="Times New Roman"/>
          <w:szCs w:val="19"/>
          <w:lang w:val="en-GB" w:eastAsia="pl-PL"/>
        </w:rPr>
        <w:t>6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9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>increase in exports of 1</w:t>
      </w:r>
      <w:r w:rsidR="00506215">
        <w:rPr>
          <w:rFonts w:eastAsia="Times New Roman" w:cs="Times New Roman"/>
          <w:szCs w:val="19"/>
          <w:lang w:val="en-GB" w:eastAsia="pl-PL"/>
        </w:rPr>
        <w:t>9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892546">
        <w:rPr>
          <w:rFonts w:eastAsia="Times New Roman" w:cs="Times New Roman"/>
          <w:szCs w:val="19"/>
          <w:lang w:val="en-GB" w:eastAsia="pl-PL"/>
        </w:rPr>
        <w:t>3</w:t>
      </w:r>
      <w:r w:rsidR="006234BA">
        <w:rPr>
          <w:rFonts w:eastAsia="Times New Roman" w:cs="Times New Roman"/>
          <w:szCs w:val="19"/>
          <w:lang w:val="en-GB" w:eastAsia="pl-PL"/>
        </w:rPr>
        <w:t>2.</w:t>
      </w:r>
      <w:r w:rsidR="00506215">
        <w:rPr>
          <w:rFonts w:eastAsia="Times New Roman" w:cs="Times New Roman"/>
          <w:szCs w:val="19"/>
          <w:lang w:val="en-GB" w:eastAsia="pl-PL"/>
        </w:rPr>
        <w:t>8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506215">
        <w:rPr>
          <w:rFonts w:eastAsia="Times New Roman" w:cs="Times New Roman"/>
          <w:szCs w:val="19"/>
          <w:lang w:val="en-GB" w:eastAsia="pl-PL"/>
        </w:rPr>
        <w:t>10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positive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6234BA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>
        <w:rPr>
          <w:rFonts w:eastAsia="Times New Roman" w:cs="Times New Roman"/>
          <w:szCs w:val="19"/>
          <w:lang w:val="en-GB" w:eastAsia="pl-PL"/>
        </w:rPr>
        <w:t>1.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143398" w:rsidRPr="00F63B71" w:rsidRDefault="001433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143398" w:rsidRPr="00F63B71" w:rsidRDefault="0014339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143398" w:rsidRPr="00F63B71" w:rsidRDefault="001433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143398" w:rsidRPr="00F63B71" w:rsidRDefault="0014339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3130F53F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892546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BA6984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714A8B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14A8B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714A8B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14A8B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14A8B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1553B0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and 6.</w:t>
      </w:r>
      <w:r w:rsidR="001553B0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 in the January</w:t>
      </w:r>
      <w:r>
        <w:rPr>
          <w:rFonts w:eastAsia="Times New Roman" w:cs="Times New Roman"/>
          <w:szCs w:val="19"/>
          <w:lang w:val="en-GB" w:eastAsia="pl-PL"/>
        </w:rPr>
        <w:t xml:space="preserve"> - </w:t>
      </w:r>
      <w:r w:rsidR="00F87227">
        <w:rPr>
          <w:rFonts w:eastAsia="Times New Roman" w:cs="Times New Roman"/>
          <w:szCs w:val="19"/>
          <w:lang w:val="en-GB" w:eastAsia="pl-PL"/>
        </w:rPr>
        <w:t>May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 period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4E1CDE8B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1553B0">
        <w:rPr>
          <w:rFonts w:eastAsia="Times New Roman" w:cs="Times New Roman"/>
          <w:szCs w:val="19"/>
          <w:lang w:val="en-GB" w:eastAsia="pl-PL"/>
        </w:rPr>
        <w:t>52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1553B0">
        <w:rPr>
          <w:rFonts w:eastAsia="Times New Roman" w:cs="Times New Roman"/>
          <w:szCs w:val="19"/>
          <w:lang w:val="en-GB" w:eastAsia="pl-PL"/>
        </w:rPr>
        <w:t>37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1553B0">
        <w:rPr>
          <w:rFonts w:eastAsia="Times New Roman" w:cs="Times New Roman"/>
          <w:szCs w:val="19"/>
          <w:lang w:val="en-GB" w:eastAsia="pl-PL"/>
        </w:rPr>
        <w:t>33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and with the countries of Central and Eastern Europe minus PLN </w:t>
      </w:r>
      <w:r w:rsidR="001553B0">
        <w:rPr>
          <w:rFonts w:eastAsia="Times New Roman" w:cs="Times New Roman"/>
          <w:szCs w:val="19"/>
          <w:lang w:val="en-GB" w:eastAsia="pl-PL"/>
        </w:rPr>
        <w:t>32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(minus USD </w:t>
      </w:r>
      <w:r w:rsidR="001553B0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1553B0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bn). The positive balance was obtained in turnover with the developed countries PLN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="006234BA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1553B0">
        <w:rPr>
          <w:rFonts w:eastAsia="Times New Roman" w:cs="Times New Roman"/>
          <w:szCs w:val="19"/>
          <w:lang w:val="en-GB" w:eastAsia="pl-PL"/>
        </w:rPr>
        <w:t>33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6234BA">
        <w:rPr>
          <w:rFonts w:eastAsia="Times New Roman" w:cs="Times New Roman"/>
          <w:szCs w:val="19"/>
          <w:lang w:val="en-GB" w:eastAsia="pl-PL"/>
        </w:rPr>
        <w:t>2</w:t>
      </w:r>
      <w:r w:rsidR="001553B0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1553B0">
        <w:rPr>
          <w:rFonts w:eastAsia="Times New Roman" w:cs="Times New Roman"/>
          <w:szCs w:val="19"/>
          <w:lang w:val="en-GB" w:eastAsia="pl-PL"/>
        </w:rPr>
        <w:t>124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1553B0">
        <w:rPr>
          <w:rFonts w:eastAsia="Times New Roman" w:cs="Times New Roman"/>
          <w:szCs w:val="19"/>
          <w:lang w:val="en-GB" w:eastAsia="pl-PL"/>
        </w:rPr>
        <w:t>30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6234BA">
        <w:rPr>
          <w:rFonts w:eastAsia="Times New Roman" w:cs="Times New Roman"/>
          <w:szCs w:val="19"/>
          <w:lang w:val="en-GB" w:eastAsia="pl-PL"/>
        </w:rPr>
        <w:t>2</w:t>
      </w:r>
      <w:r w:rsidR="001553B0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226BC946" w:rsidR="004B64A7" w:rsidRPr="000C2149" w:rsidRDefault="00AB584F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056848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31DEB4B0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2818BE8E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748579AB" w:rsidR="004B64A7" w:rsidRPr="000C2149" w:rsidRDefault="00AB584F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B7104B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</w:t>
            </w:r>
            <w:r w:rsidR="00927476">
              <w:rPr>
                <w:rFonts w:cs="Arial"/>
                <w:sz w:val="16"/>
                <w:szCs w:val="16"/>
              </w:rPr>
              <w:t>1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7DA9F4DF" w:rsidR="004B64A7" w:rsidRPr="000C2149" w:rsidRDefault="00AB584F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AB584F" w:rsidRPr="00E33A76" w14:paraId="59C5A22F" w14:textId="77777777" w:rsidTr="009835E7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2" w:space="0" w:color="auto"/>
              <w:right w:val="single" w:sz="2" w:space="0" w:color="auto"/>
            </w:tcBorders>
            <w:vAlign w:val="center"/>
          </w:tcPr>
          <w:p w14:paraId="36EB39F3" w14:textId="77777777" w:rsidR="00AB584F" w:rsidRPr="00E33A76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1AFCDC" w14:textId="0E5B8EA2" w:rsidR="00AB584F" w:rsidRPr="003E52E2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625</w:t>
            </w:r>
            <w:r>
              <w:rPr>
                <w:b/>
                <w:sz w:val="16"/>
                <w:szCs w:val="16"/>
              </w:rPr>
              <w:t>.</w:t>
            </w:r>
            <w:r w:rsidRPr="006834E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637F1B" w14:textId="45B5A8AB" w:rsidR="00AB584F" w:rsidRPr="003E52E2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152</w:t>
            </w:r>
            <w:r>
              <w:rPr>
                <w:b/>
                <w:sz w:val="16"/>
                <w:szCs w:val="16"/>
              </w:rPr>
              <w:t>.</w:t>
            </w:r>
            <w:r w:rsidRPr="006834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0FF9F6" w14:textId="5F5A4592" w:rsidR="00AB584F" w:rsidRPr="003E52E2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136</w:t>
            </w:r>
            <w:r>
              <w:rPr>
                <w:b/>
                <w:sz w:val="16"/>
                <w:szCs w:val="16"/>
              </w:rPr>
              <w:t>.</w:t>
            </w:r>
            <w:r w:rsidRPr="006834E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F53354" w14:textId="1FC59F8C" w:rsidR="00AB584F" w:rsidRPr="004B131D" w:rsidRDefault="00AB584F" w:rsidP="00AB584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120</w:t>
            </w:r>
            <w:r>
              <w:rPr>
                <w:b/>
                <w:sz w:val="16"/>
                <w:szCs w:val="16"/>
              </w:rPr>
              <w:t>.</w:t>
            </w:r>
            <w:r w:rsidRPr="00910CE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BED2A4" w14:textId="6FF5FF11" w:rsidR="00AB584F" w:rsidRPr="003E52E2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110</w:t>
            </w:r>
            <w:r>
              <w:rPr>
                <w:b/>
                <w:sz w:val="16"/>
                <w:szCs w:val="16"/>
              </w:rPr>
              <w:t>.</w:t>
            </w:r>
            <w:r w:rsidRPr="00910CE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3AF19" w14:textId="02C986D2" w:rsidR="00AB584F" w:rsidRPr="003E52E2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119</w:t>
            </w:r>
            <w:r>
              <w:rPr>
                <w:b/>
                <w:sz w:val="16"/>
                <w:szCs w:val="16"/>
              </w:rPr>
              <w:t>.</w:t>
            </w:r>
            <w:r w:rsidRPr="00910CE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8143E6" w14:textId="79923374" w:rsidR="00AB584F" w:rsidRPr="00842E53" w:rsidRDefault="00AB584F" w:rsidP="00AB584F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910CE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216A506" w14:textId="675CD37F" w:rsidR="00AB584F" w:rsidRPr="00842E53" w:rsidRDefault="00AB584F" w:rsidP="00AB584F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910CE0">
              <w:rPr>
                <w:b/>
                <w:sz w:val="16"/>
                <w:szCs w:val="16"/>
              </w:rPr>
              <w:t>0</w:t>
            </w:r>
          </w:p>
        </w:tc>
      </w:tr>
      <w:tr w:rsidR="00AB584F" w:rsidRPr="00E33A76" w14:paraId="3204AD9E" w14:textId="77777777" w:rsidTr="009835E7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BB819" w14:textId="77777777" w:rsidR="00AB584F" w:rsidRPr="00E33A76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025473" w14:textId="5042948F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551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6E908D" w14:textId="237CA406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134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AC43B7" w14:textId="352170A6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AEC329" w14:textId="05B8FD1F" w:rsidR="00AB584F" w:rsidRPr="004B131D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122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1C327" w14:textId="57098748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112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287F0A" w14:textId="0CB9C2F8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121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9E9498" w14:textId="424C9748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>86</w:t>
            </w:r>
            <w:r>
              <w:rPr>
                <w:sz w:val="16"/>
                <w:szCs w:val="16"/>
              </w:rPr>
              <w:t>.</w:t>
            </w:r>
            <w:r w:rsidRPr="009D6BF2">
              <w:rPr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4B79610" w14:textId="373CD273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>88.2</w:t>
            </w:r>
          </w:p>
        </w:tc>
      </w:tr>
      <w:tr w:rsidR="00AB584F" w:rsidRPr="00E33A76" w14:paraId="62E5DF04" w14:textId="77777777" w:rsidTr="009835E7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55D03" w14:textId="77777777" w:rsidR="00AB584F" w:rsidRPr="00E33A76" w:rsidRDefault="00AB584F" w:rsidP="00AB584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4E3B65" w14:textId="5CADE817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478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495C8B" w14:textId="1F626E13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702BF2" w14:textId="2399ABC9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52A885" w14:textId="55832FF9" w:rsidR="00AB584F" w:rsidRPr="004B131D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122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17ECB5" w14:textId="7FCA010D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112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E08EEE" w14:textId="5D389BFC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121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D81C9F" w14:textId="2111FF1D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>75</w:t>
            </w:r>
            <w:r>
              <w:rPr>
                <w:sz w:val="16"/>
                <w:szCs w:val="16"/>
              </w:rPr>
              <w:t>.</w:t>
            </w:r>
            <w:r w:rsidRPr="009D6BF2">
              <w:rPr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ECEE9A2" w14:textId="7ABB28A1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>76.5</w:t>
            </w:r>
          </w:p>
        </w:tc>
      </w:tr>
      <w:tr w:rsidR="00AB584F" w:rsidRPr="00A52E81" w14:paraId="5547B3FC" w14:textId="77777777" w:rsidTr="009835E7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97D56" w14:textId="77777777" w:rsidR="00AB584F" w:rsidRPr="00E33A76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3A20C3" w14:textId="5888A688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373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07AE7B" w14:textId="263E767D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90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BD9620" w14:textId="52BC7C98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81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35239E" w14:textId="6566C7FA" w:rsidR="00AB584F" w:rsidRPr="004B131D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120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A41DA6" w14:textId="6F880A6C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110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121417" w14:textId="3D6E2F44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119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998555" w14:textId="04AABE3B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.</w:t>
            </w:r>
            <w:r w:rsidRPr="009D6BF2">
              <w:rPr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29CD298" w14:textId="1E5871E1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>59.6</w:t>
            </w:r>
          </w:p>
        </w:tc>
      </w:tr>
      <w:tr w:rsidR="00AB584F" w:rsidRPr="00A52E81" w14:paraId="1024F990" w14:textId="77777777" w:rsidTr="009835E7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0AF2E" w14:textId="77777777" w:rsidR="00AB584F" w:rsidRPr="00A52E81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D4004" w14:textId="502F9F6E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EDBE29" w14:textId="118DFBBD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A4E32B" w14:textId="7021EBD3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ABABE8" w14:textId="00571602" w:rsidR="00AB584F" w:rsidRPr="004B131D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116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EEC178" w14:textId="549D1762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107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80D86F" w14:textId="208F4924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115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FBEADF" w14:textId="75308E23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.</w:t>
            </w:r>
            <w:r w:rsidRPr="009D6BF2">
              <w:rPr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16E50F7" w14:textId="723C8116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 xml:space="preserve"> 7.7</w:t>
            </w:r>
          </w:p>
        </w:tc>
      </w:tr>
      <w:tr w:rsidR="00AB584F" w:rsidRPr="00E33A76" w14:paraId="244F4AED" w14:textId="77777777" w:rsidTr="009835E7">
        <w:trPr>
          <w:trHeight w:val="248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6B704" w14:textId="77777777" w:rsidR="00AB584F" w:rsidRPr="00890348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280D03" w14:textId="74F26CE8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880FF8" w14:textId="73EEF7FE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D97BCD" w14:textId="4D03F945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6F5817" w14:textId="14530891" w:rsidR="00AB584F" w:rsidRPr="004B131D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93447E" w14:textId="4B8958C8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B78352" w14:textId="320157CD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>88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35A9D7" w14:textId="18ECFE3D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</w:rPr>
              <w:t>.</w:t>
            </w:r>
            <w:r w:rsidRPr="009D6BF2">
              <w:rPr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9C1A121" w14:textId="3F801AE2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 xml:space="preserve"> 4.1</w:t>
            </w:r>
          </w:p>
        </w:tc>
      </w:tr>
      <w:tr w:rsidR="00AB584F" w:rsidRPr="00E33A76" w14:paraId="1A13722B" w14:textId="77777777" w:rsidTr="009835E7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A3B12" w14:textId="77777777" w:rsidR="00AB584F" w:rsidRPr="00A00ADB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B8D443" w14:textId="3CD52E59" w:rsidR="00AB584F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674</w:t>
            </w:r>
            <w:r>
              <w:rPr>
                <w:b/>
                <w:sz w:val="16"/>
                <w:szCs w:val="16"/>
              </w:rPr>
              <w:t>.</w:t>
            </w:r>
            <w:r w:rsidRPr="006834E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B40D6B" w14:textId="4D420C59" w:rsidR="00AB584F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164</w:t>
            </w:r>
            <w:r>
              <w:rPr>
                <w:b/>
                <w:sz w:val="16"/>
                <w:szCs w:val="16"/>
              </w:rPr>
              <w:t>.</w:t>
            </w:r>
            <w:r w:rsidRPr="006834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739E1C" w14:textId="3770FA05" w:rsidR="00AB584F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146</w:t>
            </w:r>
            <w:r>
              <w:rPr>
                <w:b/>
                <w:sz w:val="16"/>
                <w:szCs w:val="16"/>
              </w:rPr>
              <w:t>.</w:t>
            </w:r>
            <w:r w:rsidRPr="006834E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8562A6" w14:textId="662A8AB5" w:rsidR="00AB584F" w:rsidRPr="004B131D" w:rsidRDefault="00AB584F" w:rsidP="00AB584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134</w:t>
            </w:r>
            <w:r>
              <w:rPr>
                <w:b/>
                <w:sz w:val="16"/>
                <w:szCs w:val="16"/>
              </w:rPr>
              <w:t>.</w:t>
            </w:r>
            <w:r w:rsidRPr="00910CE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266946" w14:textId="7F098F51" w:rsidR="00AB584F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123</w:t>
            </w:r>
            <w:r>
              <w:rPr>
                <w:b/>
                <w:sz w:val="16"/>
                <w:szCs w:val="16"/>
              </w:rPr>
              <w:t>.</w:t>
            </w:r>
            <w:r w:rsidRPr="00910CE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A17CB7" w14:textId="2A200C2C" w:rsidR="00AB584F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132</w:t>
            </w:r>
            <w:r>
              <w:rPr>
                <w:b/>
                <w:sz w:val="16"/>
                <w:szCs w:val="16"/>
              </w:rPr>
              <w:t>.</w:t>
            </w:r>
            <w:r w:rsidRPr="00910CE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3A73F6" w14:textId="006D32D8" w:rsidR="00AB584F" w:rsidRPr="003E52E2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910CE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A7F8B65" w14:textId="69B187A2" w:rsidR="00AB584F" w:rsidRPr="003E52E2" w:rsidRDefault="00AB584F" w:rsidP="00AB584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910CE0">
              <w:rPr>
                <w:b/>
                <w:sz w:val="16"/>
                <w:szCs w:val="16"/>
              </w:rPr>
              <w:t>0</w:t>
            </w:r>
          </w:p>
        </w:tc>
      </w:tr>
      <w:tr w:rsidR="00AB584F" w:rsidRPr="00E33A76" w14:paraId="05358BA4" w14:textId="77777777" w:rsidTr="009835E7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F923E" w14:textId="77777777" w:rsidR="00AB584F" w:rsidRPr="00E33A76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6A3E53" w14:textId="42C21C55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415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E5BBEA" w14:textId="5BFCE7D3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66B79A" w14:textId="615B3A98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90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9E869A" w14:textId="52BD8815" w:rsidR="00AB584F" w:rsidRPr="004B131D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128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9EC54C" w14:textId="2FD74C0A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117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03B81E" w14:textId="4362264A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126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BB49FE" w14:textId="39FD00D8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>64.5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7125437" w14:textId="7F92565A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>61.6</w:t>
            </w:r>
          </w:p>
        </w:tc>
      </w:tr>
      <w:tr w:rsidR="00AB584F" w:rsidRPr="00E33A76" w14:paraId="4395F4EF" w14:textId="77777777" w:rsidTr="009835E7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AB4E4" w14:textId="77777777" w:rsidR="00AB584F" w:rsidRPr="00E33A76" w:rsidRDefault="00AB584F" w:rsidP="00AB584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3A965F" w14:textId="4109CABF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354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A7AAFA" w14:textId="245815F0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86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72B4F" w14:textId="75DB2F53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256485" w14:textId="252AB2BD" w:rsidR="00AB584F" w:rsidRPr="004B131D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125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8E0EAB" w14:textId="1211FD49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115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D5937C" w14:textId="324548E5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124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87BBF6" w14:textId="4D9C9F91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>56.1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C42A3E3" w14:textId="4C01293E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>52.5</w:t>
            </w:r>
          </w:p>
        </w:tc>
      </w:tr>
      <w:tr w:rsidR="00AB584F" w:rsidRPr="00E33A76" w14:paraId="18248C1A" w14:textId="77777777" w:rsidTr="009835E7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25AE0" w14:textId="77777777" w:rsidR="00AB584F" w:rsidRPr="00E33A76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C52C5A" w14:textId="5DBFA305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292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433E9B" w14:textId="2ACAE9FA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71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C585D8" w14:textId="2FA68878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AC7886" w14:textId="5A93B9F7" w:rsidR="00AB584F" w:rsidRPr="004B131D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125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988A57" w14:textId="17E9F95A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114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00765" w14:textId="225FCDBA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123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2874BA" w14:textId="2A9929BD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>46.5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612BE8B" w14:textId="2EFE5162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>43.3</w:t>
            </w:r>
          </w:p>
        </w:tc>
      </w:tr>
      <w:tr w:rsidR="00AB584F" w:rsidRPr="00E33A76" w14:paraId="73DA072E" w14:textId="77777777" w:rsidTr="009835E7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F7E5D" w14:textId="77777777" w:rsidR="00AB584F" w:rsidRPr="00E33A76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3F831C" w14:textId="2150DA54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95B465" w14:textId="3593FAB4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365DC1" w14:textId="35D1FA70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B7B7DD" w14:textId="277A3B10" w:rsidR="00AB584F" w:rsidRPr="004B131D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139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1571C6" w14:textId="7229EA03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127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BAA6A0" w14:textId="1895118C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137</w:t>
            </w:r>
            <w:r>
              <w:rPr>
                <w:sz w:val="16"/>
                <w:szCs w:val="16"/>
              </w:rPr>
              <w:t>.</w:t>
            </w:r>
            <w:r w:rsidRPr="00910CE0">
              <w:rPr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971EF9" w14:textId="0264C587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>28.8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48BD794" w14:textId="198253EF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>29.8</w:t>
            </w:r>
          </w:p>
        </w:tc>
      </w:tr>
      <w:tr w:rsidR="00AB584F" w:rsidRPr="00EC3376" w14:paraId="3D963D09" w14:textId="77777777" w:rsidTr="009835E7">
        <w:trPr>
          <w:trHeight w:val="355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25551" w14:textId="77777777" w:rsidR="00AB584F" w:rsidRPr="003B46F9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9FC398" w14:textId="5EB60EEE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1F566B" w14:textId="6A7FA0A3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430331" w14:textId="3AF36DAB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E2ABF" w14:textId="7FEF4DBA" w:rsidR="00AB584F" w:rsidRPr="004B131D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31C3E">
              <w:rPr>
                <w:sz w:val="16"/>
                <w:szCs w:val="16"/>
              </w:rPr>
              <w:t xml:space="preserve">  173</w:t>
            </w:r>
            <w:r>
              <w:rPr>
                <w:sz w:val="16"/>
                <w:szCs w:val="16"/>
              </w:rPr>
              <w:t>.</w:t>
            </w:r>
            <w:r w:rsidRPr="00D31C3E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1AA0DA" w14:textId="1CDCAA0A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31C3E">
              <w:rPr>
                <w:sz w:val="16"/>
                <w:szCs w:val="16"/>
              </w:rPr>
              <w:t>159</w:t>
            </w:r>
            <w:r>
              <w:rPr>
                <w:sz w:val="16"/>
                <w:szCs w:val="16"/>
              </w:rPr>
              <w:t>.</w:t>
            </w:r>
            <w:r w:rsidRPr="00D31C3E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999F43" w14:textId="7671C39B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31C3E">
              <w:rPr>
                <w:sz w:val="16"/>
                <w:szCs w:val="16"/>
              </w:rPr>
              <w:t>172</w:t>
            </w:r>
            <w:r>
              <w:rPr>
                <w:sz w:val="16"/>
                <w:szCs w:val="16"/>
              </w:rPr>
              <w:t>.</w:t>
            </w:r>
            <w:r w:rsidRPr="00D31C3E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7FC5E6" w14:textId="4D9F6968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 xml:space="preserve"> 6.7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3D7EC6E" w14:textId="28F46EAA" w:rsidR="00AB584F" w:rsidRPr="00787480" w:rsidRDefault="00AB584F" w:rsidP="00AB58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480">
              <w:rPr>
                <w:sz w:val="16"/>
                <w:szCs w:val="16"/>
              </w:rPr>
              <w:t xml:space="preserve"> 8.6</w:t>
            </w:r>
          </w:p>
        </w:tc>
      </w:tr>
      <w:tr w:rsidR="00AB584F" w:rsidRPr="00EC3376" w14:paraId="10226BDF" w14:textId="77777777" w:rsidTr="009835E7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04C86" w14:textId="77777777" w:rsidR="00AB584F" w:rsidRPr="00EC3376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748ABE" w14:textId="5618148C" w:rsidR="00AB584F" w:rsidRPr="003E52E2" w:rsidRDefault="00AB584F" w:rsidP="00AB584F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-49</w:t>
            </w:r>
            <w:r>
              <w:rPr>
                <w:b/>
                <w:sz w:val="16"/>
                <w:szCs w:val="16"/>
              </w:rPr>
              <w:t>.</w:t>
            </w:r>
            <w:r w:rsidRPr="006834E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FB8199" w14:textId="4A97BA0A" w:rsidR="00AB584F" w:rsidRPr="003E52E2" w:rsidRDefault="00AB584F" w:rsidP="00AB584F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-12</w:t>
            </w:r>
            <w:r>
              <w:rPr>
                <w:b/>
                <w:sz w:val="16"/>
                <w:szCs w:val="16"/>
              </w:rPr>
              <w:t>.</w:t>
            </w:r>
            <w:r w:rsidRPr="006834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A7BDFA" w14:textId="6D29452D" w:rsidR="00AB584F" w:rsidRPr="003E52E2" w:rsidRDefault="00AB584F" w:rsidP="00AB584F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-10</w:t>
            </w:r>
            <w:r>
              <w:rPr>
                <w:b/>
                <w:sz w:val="16"/>
                <w:szCs w:val="16"/>
              </w:rPr>
              <w:t>.</w:t>
            </w:r>
            <w:r w:rsidRPr="006834E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2FC8CE" w14:textId="3FF2BFA6" w:rsidR="00AB584F" w:rsidRPr="00C912FD" w:rsidRDefault="00AB584F" w:rsidP="00AB584F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376E64" w14:textId="00FAAF3A" w:rsidR="00AB584F" w:rsidRPr="00C912FD" w:rsidRDefault="00AB584F" w:rsidP="00AB584F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92A701" w14:textId="07A02938" w:rsidR="00AB584F" w:rsidRPr="00C912FD" w:rsidRDefault="00AB584F" w:rsidP="00AB584F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D9F71" w14:textId="63749AD8" w:rsidR="00AB584F" w:rsidRPr="00C912FD" w:rsidRDefault="00AB584F" w:rsidP="00AB584F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C7A6FDE" w14:textId="47E4A2EB" w:rsidR="00AB584F" w:rsidRPr="00C912FD" w:rsidRDefault="00AB584F" w:rsidP="00AB584F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AB584F" w:rsidRPr="00EC3376" w14:paraId="6DAA6AA5" w14:textId="77777777" w:rsidTr="009835E7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03C9" w14:textId="77777777" w:rsidR="00AB584F" w:rsidRPr="00EC3376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4AEB38" w14:textId="06CBF221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135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2E9BD5" w14:textId="065A6830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1D2813" w14:textId="3A94ECB4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9737BF" w14:textId="2C813424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4261DE" w14:textId="4511579B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B1666E" w14:textId="436591D2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34934" w14:textId="24D59EA5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40C0F0E" w14:textId="0B256BD2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AB584F" w:rsidRPr="00E33A76" w14:paraId="43FEDD3A" w14:textId="77777777" w:rsidTr="009835E7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A1E9F" w14:textId="77777777" w:rsidR="00AB584F" w:rsidRPr="00EC3376" w:rsidRDefault="00AB584F" w:rsidP="00AB584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059C25" w14:textId="675BF85A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124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3FDE1" w14:textId="76CC1580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6F4A53" w14:textId="58A0C730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8324B9" w14:textId="7EA3E831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24AD7D" w14:textId="010C8602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207DE9" w14:textId="695449C4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8B23E4" w14:textId="27935C9E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CECD046" w14:textId="64C21FCE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AB584F" w:rsidRPr="00E33A76" w14:paraId="1D3A10F7" w14:textId="77777777" w:rsidTr="009835E7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9E512" w14:textId="77777777" w:rsidR="00AB584F" w:rsidRPr="00E33A76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55A5B4" w14:textId="311F65D0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C2ACC6" w14:textId="1D73FA91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6B2596" w14:textId="59DA3AB5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8DB67F" w14:textId="74A4F286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9EF929" w14:textId="481DA405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AC95742" w14:textId="51825390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25761D" w14:textId="39AD665F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D31092E" w14:textId="5EE7F68A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AB584F" w:rsidRPr="00E33A76" w14:paraId="28B61C88" w14:textId="77777777" w:rsidTr="009835E7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992BE" w14:textId="77777777" w:rsidR="00AB584F" w:rsidRPr="00E33A76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6F7A03" w14:textId="59329C16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-152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A889A7" w14:textId="1ED2912B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-37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B586DC" w14:textId="1F4B819C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-33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0392CB" w14:textId="38FBEA75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234CA9" w14:textId="474D94DD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40E434" w14:textId="7DBBD288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7FA5FD" w14:textId="7BA50BFC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E0FA192" w14:textId="264A080E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AB584F" w:rsidRPr="0062578F" w14:paraId="26CCE1E2" w14:textId="77777777" w:rsidTr="009835E7">
        <w:trPr>
          <w:trHeight w:val="258"/>
        </w:trPr>
        <w:tc>
          <w:tcPr>
            <w:tcW w:w="2552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71539D" w14:textId="77777777" w:rsidR="00AB584F" w:rsidRPr="003B46F9" w:rsidRDefault="00AB584F" w:rsidP="00AB58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FA18F71" w14:textId="65964357" w:rsidR="00AB584F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-32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408C0FC" w14:textId="7D85F81B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-8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EE062B5" w14:textId="73FB5387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-7</w:t>
            </w:r>
            <w:r>
              <w:rPr>
                <w:sz w:val="16"/>
                <w:szCs w:val="16"/>
              </w:rPr>
              <w:t>.</w:t>
            </w:r>
            <w:r w:rsidRPr="006834EC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41378774" w14:textId="6E645CAF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A5454D8" w14:textId="305CBA49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6047A4EE" w14:textId="2F791FFB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378F1CB9" w14:textId="4D82046B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14F8B63D" w:rsidR="00AB584F" w:rsidRPr="003E52E2" w:rsidRDefault="00AB584F" w:rsidP="00AB584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143398" w:rsidRPr="003F7B61" w:rsidRDefault="001433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143398" w:rsidRPr="003F7B61" w:rsidRDefault="0014339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143398" w:rsidRPr="003F7B61" w:rsidRDefault="001433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143398" w:rsidRPr="003F7B61" w:rsidRDefault="0014339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3C8EB704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AB0960">
        <w:rPr>
          <w:shd w:val="clear" w:color="auto" w:fill="FFFFFF"/>
          <w:lang w:val="en-GB"/>
        </w:rPr>
        <w:t xml:space="preserve">January - </w:t>
      </w:r>
      <w:r w:rsidR="00F87227">
        <w:rPr>
          <w:shd w:val="clear" w:color="auto" w:fill="FFFFFF"/>
          <w:lang w:val="en-GB"/>
        </w:rPr>
        <w:t>May</w:t>
      </w:r>
      <w:r w:rsidR="00CB203F" w:rsidRPr="001C578A">
        <w:rPr>
          <w:shd w:val="clear" w:color="auto" w:fill="FFFFFF"/>
          <w:lang w:val="en-GB"/>
        </w:rPr>
        <w:t xml:space="preserve"> of 2022</w:t>
      </w:r>
      <w:r w:rsidRPr="001C578A">
        <w:rPr>
          <w:shd w:val="clear" w:color="auto" w:fill="FFFFFF"/>
          <w:lang w:val="en-GB"/>
        </w:rPr>
        <w:t xml:space="preserve"> among the main trade partners of Poland a decrease both in exports and imports was not observed compared to the same period of the last year.</w:t>
      </w:r>
    </w:p>
    <w:p w14:paraId="194B76DF" w14:textId="23723A15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6234BA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% (65.</w:t>
      </w:r>
      <w:r w:rsidR="00D120E7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% in the same period of the last year), while in total imports – 6</w:t>
      </w:r>
      <w:r w:rsidR="00755812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AB584F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% (in comparison with 6</w:t>
      </w:r>
      <w:r w:rsidR="000C1EA8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AB584F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% in January - </w:t>
      </w:r>
      <w:r w:rsidR="00F87227">
        <w:rPr>
          <w:shd w:val="clear" w:color="auto" w:fill="FFFFFF"/>
          <w:lang w:val="en-GB"/>
        </w:rPr>
        <w:t>May</w:t>
      </w:r>
      <w:r w:rsidRPr="001C578A">
        <w:rPr>
          <w:shd w:val="clear" w:color="auto" w:fill="FFFFFF"/>
          <w:lang w:val="en-GB"/>
        </w:rPr>
        <w:t xml:space="preserve"> 2021).</w:t>
      </w:r>
    </w:p>
    <w:p w14:paraId="0293B44E" w14:textId="1851F137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share of Germany in exports decreased in comparison with the corresponding period of the last year by 1.</w:t>
      </w:r>
      <w:r w:rsidR="00AB584F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 pp and amounted to 27.</w:t>
      </w:r>
      <w:r w:rsidR="00AB584F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1.</w:t>
      </w:r>
      <w:r w:rsidR="00AB584F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B017A9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B017A9">
        <w:rPr>
          <w:shd w:val="clear" w:color="auto" w:fill="FFFFFF"/>
          <w:lang w:val="en-GB"/>
        </w:rPr>
        <w:t>34</w:t>
      </w:r>
      <w:r w:rsidRPr="001C578A">
        <w:rPr>
          <w:shd w:val="clear" w:color="auto" w:fill="FFFFFF"/>
          <w:lang w:val="en-GB"/>
        </w:rPr>
        <w:t>.</w:t>
      </w:r>
      <w:r w:rsidR="00B017A9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 xml:space="preserve"> bn (USD </w:t>
      </w:r>
      <w:r w:rsidR="00B017A9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B017A9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 bn, EUR </w:t>
      </w:r>
      <w:r w:rsidR="00B017A9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.</w:t>
      </w:r>
      <w:r w:rsidR="00B017A9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B017A9">
        <w:rPr>
          <w:shd w:val="clear" w:color="auto" w:fill="FFFFFF"/>
          <w:lang w:val="en-GB"/>
        </w:rPr>
        <w:t>40</w:t>
      </w:r>
      <w:r w:rsidRPr="001C578A">
        <w:rPr>
          <w:shd w:val="clear" w:color="auto" w:fill="FFFFFF"/>
          <w:lang w:val="en-GB"/>
        </w:rPr>
        <w:t>.</w:t>
      </w:r>
      <w:r w:rsidR="00B017A9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 bn (USD </w:t>
      </w:r>
      <w:r w:rsidR="00B017A9">
        <w:rPr>
          <w:shd w:val="clear" w:color="auto" w:fill="FFFFFF"/>
          <w:lang w:val="en-GB"/>
        </w:rPr>
        <w:t>10</w:t>
      </w:r>
      <w:r w:rsidRPr="001C578A">
        <w:rPr>
          <w:shd w:val="clear" w:color="auto" w:fill="FFFFFF"/>
          <w:lang w:val="en-GB"/>
        </w:rPr>
        <w:t>.</w:t>
      </w:r>
      <w:r w:rsidR="000C1EA8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bn, EUR </w:t>
      </w:r>
      <w:r w:rsidR="00B017A9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B017A9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bn) in the same period of 2021.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3A3BC2A7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- May of 2022 amounted to PLN 11.1 bn, USD 2.7 bn and EUR 2.4 b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2C5359AA" w:rsidR="00143398" w:rsidRPr="00C2060C" w:rsidRDefault="00143398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January - </w:t>
                            </w:r>
                            <w:r>
                              <w:rPr>
                                <w:lang w:val="en-GB"/>
                              </w:rPr>
                              <w:t>May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of 2022 amounted to PLN </w:t>
                            </w:r>
                            <w:r>
                              <w:rPr>
                                <w:lang w:val="en-GB"/>
                              </w:rPr>
                              <w:t>11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7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143398" w:rsidRPr="00FB3665" w:rsidRDefault="00143398" w:rsidP="00A00ADB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6880433E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143398" w:rsidRPr="00DB5C76" w:rsidRDefault="001433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143398" w:rsidRPr="00DB5C76" w:rsidRDefault="0014339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50BBD" id="Pole tekstowe 14" o:spid="_x0000_s1031" type="#_x0000_t202" alt="Imports from the United Kingdom in January - May of 2022 amounted to PLN 11.1 bn, USD 2.7 bn and EUR 2.4 bn.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" filled="f" stroked="f">
                <v:textbox>
                  <w:txbxContent>
                    <w:p w14:paraId="04279E4C" w14:textId="2C5359AA" w:rsidR="00143398" w:rsidRPr="00C2060C" w:rsidRDefault="00143398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January - </w:t>
                      </w:r>
                      <w:r>
                        <w:rPr>
                          <w:lang w:val="en-GB"/>
                        </w:rPr>
                        <w:t>May</w:t>
                      </w:r>
                      <w:r w:rsidRPr="00C2060C">
                        <w:rPr>
                          <w:lang w:val="en-GB"/>
                        </w:rPr>
                        <w:t xml:space="preserve"> of 2022 amounted to PLN </w:t>
                      </w:r>
                      <w:r>
                        <w:rPr>
                          <w:lang w:val="en-GB"/>
                        </w:rPr>
                        <w:t>11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7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143398" w:rsidRPr="00FB3665" w:rsidRDefault="00143398" w:rsidP="00A00ADB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</w:p>
                    <w:p w14:paraId="6880433E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143398" w:rsidRPr="00DB5C76" w:rsidRDefault="001433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143398" w:rsidRPr="00DB5C76" w:rsidRDefault="0014339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0BE1BFE7" w:rsidR="00FE46DF" w:rsidRPr="000C2149" w:rsidRDefault="00AB584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CB203F" w:rsidRPr="005F3D74">
              <w:rPr>
                <w:rFonts w:cs="Arial"/>
                <w:sz w:val="16"/>
                <w:szCs w:val="16"/>
              </w:rPr>
              <w:t xml:space="preserve"> </w:t>
            </w:r>
            <w:r w:rsidR="00FE46DF" w:rsidRPr="005F3D74">
              <w:rPr>
                <w:rFonts w:cs="Arial"/>
                <w:sz w:val="16"/>
                <w:szCs w:val="16"/>
              </w:rPr>
              <w:t>20</w:t>
            </w:r>
            <w:r w:rsidR="00FE46D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358C8045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289DF0B0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0396B5B5" w:rsidR="00FE46DF" w:rsidRPr="000C2149" w:rsidRDefault="00AB584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CB203F">
              <w:rPr>
                <w:rFonts w:cs="Arial"/>
                <w:sz w:val="16"/>
                <w:szCs w:val="16"/>
              </w:rPr>
              <w:t xml:space="preserve"> </w:t>
            </w:r>
            <w:r w:rsidR="00FE46DF">
              <w:rPr>
                <w:rFonts w:cs="Arial"/>
                <w:sz w:val="16"/>
                <w:szCs w:val="16"/>
              </w:rPr>
              <w:t>2021</w:t>
            </w:r>
            <w:r w:rsidR="00FE46DF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02FF5FA9" w:rsidR="00FE46DF" w:rsidRPr="000C2149" w:rsidRDefault="00AB584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B017A9" w:rsidRPr="00366025" w14:paraId="03DA5BD7" w14:textId="77777777" w:rsidTr="009835E7"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02C04B7" w14:textId="695B53FE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BDBCB7" w14:textId="7A029DBA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174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FDA952" w14:textId="68AED341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59DE9" w14:textId="02791840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97B56F" w14:textId="7E4EEAAB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18293B" w14:textId="36D2F055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F2A854" w14:textId="17582914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308DEF" w14:textId="469DBBFF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2C1E77D" w14:textId="7A8E2184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9</w:t>
            </w:r>
          </w:p>
        </w:tc>
      </w:tr>
      <w:tr w:rsidR="00B017A9" w:rsidRPr="00366025" w14:paraId="1E9918C5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1E7C6" w14:textId="6F8D34A2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>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257843" w14:textId="192D920A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837A62" w14:textId="6390BF01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FAC57D" w14:textId="6A4DD2D7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77159D" w14:textId="48E30EEA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134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8513A3" w14:textId="68461B79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123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4F0165" w14:textId="57BF4237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133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F56DD7" w14:textId="6CB6B958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683852F" w14:textId="1C3F634A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</w:tr>
      <w:tr w:rsidR="00B017A9" w:rsidRPr="00366025" w14:paraId="0F91466E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7F5FC" w14:textId="0E87FB60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84BC22" w14:textId="517159C6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23A4C" w14:textId="5344CFC3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F33632" w14:textId="55F52164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730C08" w14:textId="2EEFA5F4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A17004" w14:textId="32A5FC6B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530C85" w14:textId="10A27887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13ED3D" w14:textId="63069453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480E2FF" w14:textId="3D196A43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8</w:t>
            </w:r>
          </w:p>
        </w:tc>
      </w:tr>
      <w:tr w:rsidR="00B017A9" w:rsidRPr="00366025" w14:paraId="6C743883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7974B" w14:textId="2F546085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83EDF6" w14:textId="2B335BB8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4CEEC6" w14:textId="322C2816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711E3C" w14:textId="28C4B832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A1CAD3" w14:textId="790D533A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122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EED120" w14:textId="78384FF8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D9959D" w14:textId="53114138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4D6B78" w14:textId="0EF57B53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820C6B8" w14:textId="70020544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</w:tr>
      <w:tr w:rsidR="00B017A9" w:rsidRPr="00366025" w14:paraId="61021D50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8F838" w14:textId="52CF2900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47554A" w14:textId="0DE07495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9F9C4C" w14:textId="536A2C97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3BF417" w14:textId="6E89AD25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0FE029" w14:textId="3310E2CB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117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175B83" w14:textId="11C1FFDA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1E8987" w14:textId="2146DF60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8EF130" w14:textId="5037E3F1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5C77C8D" w14:textId="5B5E2BA1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8</w:t>
            </w:r>
          </w:p>
        </w:tc>
      </w:tr>
      <w:tr w:rsidR="00B017A9" w:rsidRPr="00366025" w14:paraId="30F7DF69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B7C14" w14:textId="2294AD66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43C1F8" w14:textId="4E330797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74EB23" w14:textId="06AA2C1B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6D5F5A" w14:textId="205D3D26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EFDE09" w14:textId="6FF37B74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127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25A6B0" w14:textId="613D763C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784FE2" w14:textId="740A7820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125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9D4F71" w14:textId="70F4EC06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3FD8C31" w14:textId="11D8E930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5</w:t>
            </w:r>
          </w:p>
        </w:tc>
      </w:tr>
      <w:tr w:rsidR="00B017A9" w:rsidRPr="00366025" w14:paraId="41F20A50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428E0C" w14:textId="6239E723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50201B" w14:textId="644D9F67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EC52B3" w14:textId="582ECA25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2D5AEB" w14:textId="2DFE34A7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05C48F" w14:textId="2823EEAE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140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527DF7" w14:textId="5C63BA5C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128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B7224F" w14:textId="5952D47A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138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ABDF4D" w14:textId="08654B4C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7A28C6D" w14:textId="58AEB7DB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</w:tr>
      <w:tr w:rsidR="00B017A9" w:rsidRPr="00366025" w14:paraId="4E626E87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827B4C" w14:textId="631AF0D8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C10374" w14:textId="6BB3CDD3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AE41E6" w14:textId="5950D5D7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22D658" w14:textId="67F60FBC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85B3E0" w14:textId="0B86755B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143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528446" w14:textId="7680CA6C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131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93A7C" w14:textId="216236E2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142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3584B5" w14:textId="68F816A1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630EF8A" w14:textId="76CD2515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9</w:t>
            </w:r>
          </w:p>
        </w:tc>
      </w:tr>
      <w:tr w:rsidR="00B017A9" w:rsidRPr="00366025" w14:paraId="5986B491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71260" w14:textId="177553B4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C8C4D8" w14:textId="2B52E20E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344F63" w14:textId="7AB9CECB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D6564B" w14:textId="240BD8E5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B9401C" w14:textId="2C96FB44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DD22E0" w14:textId="18DCC8F4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8FC7C4" w14:textId="09270B8A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EF5C41" w14:textId="232EC9CF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DB31056" w14:textId="1DA3AC08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7</w:t>
            </w:r>
          </w:p>
        </w:tc>
      </w:tr>
      <w:tr w:rsidR="00B017A9" w:rsidRPr="00366025" w14:paraId="0EA1EAA4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A0C4C" w14:textId="65F0A87B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468F7C" w14:textId="72173540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FB53A7" w14:textId="0AACD335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4EBB6" w14:textId="677C21FC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9367E0" w14:textId="06293C6A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125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04F682" w14:textId="3CB5655C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71B5EA" w14:textId="58526741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124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5C9FF0" w14:textId="5480AD8E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7706A11" w14:textId="71DC8845" w:rsidR="00B017A9" w:rsidRP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17A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B017A9">
              <w:rPr>
                <w:sz w:val="16"/>
                <w:szCs w:val="16"/>
              </w:rPr>
              <w:t>6</w:t>
            </w:r>
          </w:p>
        </w:tc>
      </w:tr>
      <w:tr w:rsidR="00541F44" w:rsidRPr="00366025" w14:paraId="1DDB2631" w14:textId="77777777" w:rsidTr="009835E7">
        <w:tc>
          <w:tcPr>
            <w:tcW w:w="802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B017A9" w:rsidRPr="00366025" w14:paraId="52AB274A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4DAC6" w14:textId="3F6C6577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C7E2" w14:textId="49BD3509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140.2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5D695" w14:textId="2944E153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5F5C9" w14:textId="4F8A8812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2F55D" w14:textId="7436D68F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128.1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C65B" w14:textId="74EC88D4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5552C" w14:textId="06B84374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126.7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130BC" w14:textId="3C3679D6" w:rsidR="00B017A9" w:rsidRPr="00D538DE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297552C" w14:textId="66E14ECC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20.8</w:t>
            </w:r>
          </w:p>
        </w:tc>
      </w:tr>
      <w:tr w:rsidR="00B017A9" w:rsidRPr="00366025" w14:paraId="001211A1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F2577" w14:textId="4C0B4563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D0911" w14:textId="3B91B63C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1ABE9" w14:textId="513D5179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0894" w14:textId="0F0FC436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EBDDA" w14:textId="3B8185A2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139.2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34DA" w14:textId="0AAB82FB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6752C" w14:textId="7171CCC1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137.6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C9FAFE" w14:textId="7AB2EFCB" w:rsidR="00B017A9" w:rsidRPr="00411B9B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14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8AEAC3B" w14:textId="2BB5FA07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14.5</w:t>
            </w:r>
          </w:p>
        </w:tc>
      </w:tr>
      <w:tr w:rsidR="00B017A9" w:rsidRPr="00366025" w14:paraId="31E0EFF9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AF7D2" w14:textId="05C16B10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22530" w14:textId="2C4A2C9E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940C8" w14:textId="3E06E4E3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72826" w14:textId="55A22E13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C29E5" w14:textId="12A5A3E2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182.0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02C34" w14:textId="6F8D20B6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168.0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CA3F4" w14:textId="1622D0DB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180.5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6A920B" w14:textId="003AF775" w:rsidR="00B017A9" w:rsidRPr="00411B9B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57197FF" w14:textId="6EFECABB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6.5</w:t>
            </w:r>
          </w:p>
        </w:tc>
      </w:tr>
      <w:tr w:rsidR="00B017A9" w:rsidRPr="00366025" w14:paraId="007D7959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62F13C" w14:textId="0CB6325A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5319" w14:textId="02548EC8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9F127" w14:textId="03FA7105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1D71" w14:textId="40F162E1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73B56" w14:textId="35B89B56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120.2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C306E" w14:textId="5F743A5B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110.4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AB744" w14:textId="6BC242C6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15743B" w14:textId="0FA5A2C7" w:rsidR="00B017A9" w:rsidRPr="00D538DE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818F50B" w14:textId="3C90113E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4.8</w:t>
            </w:r>
          </w:p>
        </w:tc>
      </w:tr>
      <w:tr w:rsidR="00B017A9" w:rsidRPr="00366025" w14:paraId="36C7D93B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A4F058" w14:textId="491FCC4F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555D6" w14:textId="53C952B9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AA6F7" w14:textId="1A4D0399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442BA" w14:textId="02C54466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89C1" w14:textId="24CD857C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129.1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15CBA" w14:textId="76AB109D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118.2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EF41B" w14:textId="4AF1CBFE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E793EA" w14:textId="5B84E963" w:rsidR="00B017A9" w:rsidRPr="00D538DE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D224542" w14:textId="63774A4A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3.9</w:t>
            </w:r>
          </w:p>
        </w:tc>
      </w:tr>
      <w:tr w:rsidR="00B017A9" w:rsidRPr="00366025" w14:paraId="79E0D569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5879F" w14:textId="6DB27DC6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0BAC7" w14:textId="63A893A4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A19DF" w14:textId="68F94531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F2E9E" w14:textId="64C7616E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C3C7D" w14:textId="054869BB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173.0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96020" w14:textId="7553041C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158.2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987DD" w14:textId="5F2B222D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171.0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4DF3C3" w14:textId="4AEA73E4" w:rsidR="00B017A9" w:rsidRPr="00D538DE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18D6ED0" w14:textId="2C0A8E14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3.6</w:t>
            </w:r>
          </w:p>
        </w:tc>
      </w:tr>
      <w:tr w:rsidR="00B017A9" w:rsidRPr="00366025" w14:paraId="0CC70FAD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6811A9" w14:textId="3DCCD8FD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A4541" w14:textId="199E6233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FA5AD" w14:textId="2443935A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3E099" w14:textId="6182B6B0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2613" w14:textId="2718655C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126.5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D6E3C" w14:textId="761072A2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116.0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ACAA4" w14:textId="621DDB86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DCBD10" w14:textId="574272AC" w:rsidR="00B017A9" w:rsidRPr="00D538DE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D4DCD3A" w14:textId="52792C5C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3.1</w:t>
            </w:r>
          </w:p>
        </w:tc>
      </w:tr>
      <w:tr w:rsidR="00B017A9" w:rsidRPr="00366025" w14:paraId="75707DBC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B11F03" w14:textId="26D7BF26" w:rsidR="00B017A9" w:rsidRPr="00366025" w:rsidRDefault="00B017A9" w:rsidP="00B017A9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F94A6" w14:textId="730899D6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86FC" w14:textId="7B053817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553D9" w14:textId="1B4A782F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EB807" w14:textId="5069C732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69253" w14:textId="2A149390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85352" w14:textId="79243B85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C12A1C" w14:textId="3A8C5327" w:rsidR="00B017A9" w:rsidRPr="00D538DE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1794C4A" w14:textId="3322D125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3.0</w:t>
            </w:r>
          </w:p>
        </w:tc>
      </w:tr>
      <w:tr w:rsidR="00B017A9" w:rsidRPr="00025467" w14:paraId="05E48D02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480BE" w14:textId="434F6F68" w:rsidR="00B017A9" w:rsidRPr="00C448F9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BE526" w14:textId="73A6FA00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29A7A" w14:textId="76043772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D1296" w14:textId="3BE0A626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EDD48" w14:textId="67049CAD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121.8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BF65D" w14:textId="692367D2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71425" w14:textId="1A5BE810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120.5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DC986C" w14:textId="551C5EA0" w:rsidR="00B017A9" w:rsidRPr="00D538DE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ED03DEE" w14:textId="59533F14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2.3</w:t>
            </w:r>
          </w:p>
        </w:tc>
      </w:tr>
      <w:tr w:rsidR="00B017A9" w:rsidRPr="00025467" w14:paraId="0E840032" w14:textId="77777777" w:rsidTr="009835E7">
        <w:tc>
          <w:tcPr>
            <w:tcW w:w="2268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C024C63" w14:textId="016516F1" w:rsidR="00B017A9" w:rsidRPr="00782B51" w:rsidRDefault="00B017A9" w:rsidP="00B017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393074" w14:textId="62EB0959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04BEB7" w14:textId="42F65055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152D99" w14:textId="598C10C7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832C7D" w14:textId="769AEDBE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4E79F3" w14:textId="7566050E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A91E25" w14:textId="657F9CF0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5AF63420" w14:textId="090A463E" w:rsidR="00B017A9" w:rsidRPr="00D538DE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23AA2CA" w14:textId="1C2CE851" w:rsidR="00B017A9" w:rsidRDefault="00B017A9" w:rsidP="00B017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2.1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69EE8029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A47A1C">
        <w:rPr>
          <w:shd w:val="clear" w:color="auto" w:fill="FFFFFF"/>
          <w:lang w:val="en-GB"/>
        </w:rPr>
        <w:t>4</w:t>
      </w:r>
      <w:r w:rsidR="00C912FD">
        <w:rPr>
          <w:shd w:val="clear" w:color="auto" w:fill="FFFFFF"/>
          <w:lang w:val="en-GB"/>
        </w:rPr>
        <w:t>7</w:t>
      </w:r>
      <w:r w:rsidR="00A47A1C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>.</w:t>
      </w:r>
      <w:r w:rsidR="00A47A1C">
        <w:rPr>
          <w:shd w:val="clear" w:color="auto" w:fill="FFFFFF"/>
          <w:lang w:val="en-GB"/>
        </w:rPr>
        <w:t>8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A47A1C">
        <w:rPr>
          <w:shd w:val="clear" w:color="auto" w:fill="FFFFFF"/>
          <w:lang w:val="en-GB"/>
        </w:rPr>
        <w:t>4</w:t>
      </w:r>
      <w:r w:rsidR="00C912FD">
        <w:rPr>
          <w:shd w:val="clear" w:color="auto" w:fill="FFFFFF"/>
          <w:lang w:val="en-GB"/>
        </w:rPr>
        <w:t>3</w:t>
      </w:r>
      <w:r w:rsidR="00A47A1C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>.</w:t>
      </w:r>
      <w:r w:rsidR="00A47A1C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A47A1C">
        <w:rPr>
          <w:shd w:val="clear" w:color="auto" w:fill="FFFFFF"/>
          <w:lang w:val="en-GB"/>
        </w:rPr>
        <w:t>370</w:t>
      </w:r>
      <w:r w:rsidRPr="001D7DC0">
        <w:rPr>
          <w:shd w:val="clear" w:color="auto" w:fill="FFFFFF"/>
          <w:lang w:val="en-GB"/>
        </w:rPr>
        <w:t>.</w:t>
      </w:r>
      <w:r w:rsidR="00A47A1C">
        <w:rPr>
          <w:shd w:val="clear" w:color="auto" w:fill="FFFFFF"/>
          <w:lang w:val="en-GB"/>
        </w:rPr>
        <w:t>8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A47A1C">
        <w:rPr>
          <w:shd w:val="clear" w:color="auto" w:fill="FFFFFF"/>
          <w:lang w:val="en-GB"/>
        </w:rPr>
        <w:t>344</w:t>
      </w:r>
      <w:r w:rsidRPr="001D7DC0">
        <w:rPr>
          <w:shd w:val="clear" w:color="auto" w:fill="FFFFFF"/>
          <w:lang w:val="en-GB"/>
        </w:rPr>
        <w:t>.</w:t>
      </w:r>
      <w:r w:rsidR="00A47A1C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bn in the same period of 202</w:t>
      </w:r>
      <w:r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6078CDD7" w:rsidR="0051165C" w:rsidRPr="008848F4" w:rsidRDefault="00AB584F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CB203F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8B7FB0"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2FC7485D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513E9D0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24F93C9E" w:rsidR="0051165C" w:rsidRPr="000C2149" w:rsidRDefault="00CB203F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AB0960">
              <w:rPr>
                <w:rFonts w:cs="Arial"/>
                <w:sz w:val="16"/>
                <w:szCs w:val="16"/>
              </w:rPr>
              <w:t>IV</w:t>
            </w:r>
            <w:r w:rsidR="00C904ED">
              <w:rPr>
                <w:rFonts w:cs="Arial"/>
                <w:sz w:val="16"/>
                <w:szCs w:val="16"/>
              </w:rPr>
              <w:t xml:space="preserve"> </w:t>
            </w:r>
            <w:r w:rsidR="008B7FB0">
              <w:rPr>
                <w:rFonts w:cs="Arial"/>
                <w:sz w:val="16"/>
                <w:szCs w:val="16"/>
              </w:rPr>
              <w:t>202</w:t>
            </w:r>
            <w:r w:rsidR="00E4315D">
              <w:rPr>
                <w:rFonts w:cs="Arial"/>
                <w:sz w:val="16"/>
                <w:szCs w:val="16"/>
              </w:rPr>
              <w:t>1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10392A32" w:rsidR="0051165C" w:rsidRPr="000C2149" w:rsidRDefault="00AB584F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A47A1C" w:rsidRPr="0051165C" w14:paraId="684437F1" w14:textId="77777777" w:rsidTr="009835E7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2" w:space="0" w:color="auto"/>
              <w:right w:val="single" w:sz="2" w:space="0" w:color="auto"/>
            </w:tcBorders>
            <w:vAlign w:val="center"/>
          </w:tcPr>
          <w:p w14:paraId="1E13D083" w14:textId="77777777" w:rsidR="00A47A1C" w:rsidRPr="00A00ADB" w:rsidRDefault="00A47A1C" w:rsidP="00A47A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33050F" w14:textId="00333194" w:rsidR="00A47A1C" w:rsidRDefault="00A47A1C" w:rsidP="00A47A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674</w:t>
            </w:r>
            <w:r w:rsidR="003B024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55F7A0" w14:textId="243ECC74" w:rsidR="00A47A1C" w:rsidRPr="00A56BA0" w:rsidRDefault="00A47A1C" w:rsidP="00A47A1C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164</w:t>
            </w:r>
            <w:r w:rsidR="003B024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9939C" w14:textId="731460D1" w:rsidR="00A47A1C" w:rsidRPr="00A56BA0" w:rsidRDefault="00A47A1C" w:rsidP="00A47A1C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146</w:t>
            </w:r>
            <w:r w:rsidR="003B024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70A363" w14:textId="1228E554" w:rsidR="00A47A1C" w:rsidRDefault="00A47A1C" w:rsidP="00A47A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134</w:t>
            </w:r>
            <w:r w:rsidR="003B024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38CD07" w14:textId="061F8903" w:rsidR="00A47A1C" w:rsidRDefault="00A47A1C" w:rsidP="00A47A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</w:t>
            </w:r>
            <w:r w:rsidR="003B024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1E6AFF" w14:textId="325215E1" w:rsidR="00A47A1C" w:rsidRDefault="00A47A1C" w:rsidP="00A47A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132</w:t>
            </w:r>
            <w:r w:rsidR="003B024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FB903A" w14:textId="2C6D3619" w:rsidR="00A47A1C" w:rsidRPr="00C36D99" w:rsidRDefault="00A47A1C" w:rsidP="00A47A1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B024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CD8E7DF" w14:textId="2E8DE526" w:rsidR="00A47A1C" w:rsidRPr="00C36D99" w:rsidRDefault="00A47A1C" w:rsidP="00A47A1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B024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47A1C" w:rsidRPr="00D9471B" w14:paraId="232345C9" w14:textId="77777777" w:rsidTr="009835E7">
        <w:trPr>
          <w:trHeight w:val="35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301E7" w14:textId="77777777" w:rsidR="00A47A1C" w:rsidRPr="0051165C" w:rsidRDefault="00A47A1C" w:rsidP="00A47A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0CBD3C" w14:textId="57E786B0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474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450C2" w14:textId="381AC904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5AF186" w14:textId="38BEA3D1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F093B8" w14:textId="6E3E71AC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FE537" w14:textId="2C914CAD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E953FB" w14:textId="2D1D364A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47BEB1" w14:textId="440C4620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06B658B" w14:textId="45E952D1" w:rsidR="00A47A1C" w:rsidRPr="00D9471B" w:rsidRDefault="00A47A1C" w:rsidP="00A47A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A47A1C" w:rsidRPr="00FA00B8" w14:paraId="3263382C" w14:textId="77777777" w:rsidTr="009835E7">
        <w:trPr>
          <w:trHeight w:val="34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90404" w14:textId="77777777" w:rsidR="00A47A1C" w:rsidRPr="0051165C" w:rsidRDefault="00A47A1C" w:rsidP="00A47A1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5BD8AE" w14:textId="5CBAAD38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432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947323" w14:textId="4CFC6FBA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1DD28" w14:textId="2766DF8E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5E2066" w14:textId="49476CFD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0DACDD" w14:textId="5BAA2DF3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D82E3" w14:textId="7C18EBBB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307D3" w14:textId="370442E2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ACFD676" w14:textId="7E4E68C4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A47A1C" w:rsidRPr="00FA00B8" w14:paraId="6ADD21EF" w14:textId="77777777" w:rsidTr="009835E7">
        <w:trPr>
          <w:trHeight w:val="35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EC405" w14:textId="77777777" w:rsidR="00A47A1C" w:rsidRPr="00FA00B8" w:rsidRDefault="00A47A1C" w:rsidP="00A47A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62AF58" w14:textId="668B99A3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364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EDBC04" w14:textId="3DCA5332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52BD0C" w14:textId="43759FA2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2B35CD" w14:textId="6B5CD53C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BB50B" w14:textId="73A64E68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D29FC" w14:textId="7635BE66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06ADC" w14:textId="626FB98D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C704A3F" w14:textId="52D90F3A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A47A1C" w:rsidRPr="0051165C" w14:paraId="21016E56" w14:textId="77777777" w:rsidTr="009835E7">
        <w:trPr>
          <w:trHeight w:val="34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BBFDE" w14:textId="77777777" w:rsidR="00A47A1C" w:rsidRPr="00FA00B8" w:rsidRDefault="00A47A1C" w:rsidP="00A47A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AC6CD0" w14:textId="237FD3FD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70DC6" w14:textId="2E5A3453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85732" w14:textId="799DE6EA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75FEB2" w14:textId="450A0CB2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8AADD" w14:textId="6A449EDA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F9C9B" w14:textId="3A4282C2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A7A241" w14:textId="0554C838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E085713" w14:textId="116D58FE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A47A1C" w:rsidRPr="0051165C" w14:paraId="7005C847" w14:textId="77777777" w:rsidTr="009835E7">
        <w:trPr>
          <w:trHeight w:val="355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2AB96" w14:textId="77777777" w:rsidR="00A47A1C" w:rsidRPr="00BA58B2" w:rsidRDefault="00A47A1C" w:rsidP="00A47A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AD8B3C" w14:textId="163EE7D9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C34C4B" w14:textId="72BE741E" w:rsidR="00A47A1C" w:rsidRPr="00A56BA0" w:rsidRDefault="00A47A1C" w:rsidP="00A47A1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52CEBC" w14:textId="4664E5C9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D1D4F2" w14:textId="75DA6600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172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E308CD" w14:textId="39513832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D585DA" w14:textId="370AF79D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7CCCE4" w14:textId="72DC1D3D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4CD38B9" w14:textId="0DF62354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A47A1C" w:rsidRPr="0051165C" w14:paraId="7C5BD268" w14:textId="77777777" w:rsidTr="009835E7">
        <w:trPr>
          <w:trHeight w:val="34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1390A" w14:textId="77777777" w:rsidR="00A47A1C" w:rsidRPr="0051165C" w:rsidRDefault="00A47A1C" w:rsidP="00A47A1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56082D" w14:textId="020B6E06" w:rsidR="00A47A1C" w:rsidRDefault="00A47A1C" w:rsidP="00A47A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-49</w:t>
            </w:r>
            <w:r w:rsidR="003B024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84947D" w14:textId="1285BFFE" w:rsidR="00A47A1C" w:rsidRDefault="00A47A1C" w:rsidP="00A47A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</w:t>
            </w:r>
            <w:r w:rsidR="003B024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418010" w14:textId="4ED451FB" w:rsidR="00A47A1C" w:rsidRDefault="00A47A1C" w:rsidP="00A47A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-10</w:t>
            </w:r>
            <w:r w:rsidR="003B024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ABB03" w14:textId="384DEA25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5035C" w14:textId="7BF82F3B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9EACC6" w14:textId="516322D3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7054A" w14:textId="0C7C559E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172CE2A" w14:textId="60754683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A47A1C" w:rsidRPr="0051165C" w14:paraId="7E1667D2" w14:textId="77777777" w:rsidTr="009835E7">
        <w:trPr>
          <w:trHeight w:val="35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3E5FA" w14:textId="77777777" w:rsidR="00A47A1C" w:rsidRPr="0051165C" w:rsidRDefault="00A47A1C" w:rsidP="00A47A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BA8DF2" w14:textId="11159325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E46CDB" w14:textId="2B22B28B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0F5A2" w14:textId="3E6D3CF3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C2D29" w14:textId="54C68F48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D212F" w14:textId="4C0496DD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EF71F" w14:textId="486B4CA0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B268B" w14:textId="38728F0E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F828ADE" w14:textId="3DADCB2B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47A1C" w:rsidRPr="0051165C" w14:paraId="084E8084" w14:textId="77777777" w:rsidTr="009835E7">
        <w:trPr>
          <w:trHeight w:val="34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9E930" w14:textId="77777777" w:rsidR="00A47A1C" w:rsidRPr="0051165C" w:rsidRDefault="00A47A1C" w:rsidP="00A47A1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93A0B0" w14:textId="3AEB0BE1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88805D" w14:textId="621EDC5E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B15684" w14:textId="6E4F5A36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0BAA0" w14:textId="2D52BAB3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14808F" w14:textId="4804633F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94F8A3" w14:textId="68A098E7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138DD0" w14:textId="26E86590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6341D22" w14:textId="096495B6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47A1C" w:rsidRPr="0051165C" w14:paraId="3D5F8544" w14:textId="77777777" w:rsidTr="009835E7">
        <w:trPr>
          <w:trHeight w:val="35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4EF4A" w14:textId="77777777" w:rsidR="00A47A1C" w:rsidRPr="0051165C" w:rsidRDefault="00A47A1C" w:rsidP="00A47A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7CD195" w14:textId="69EB5B73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8129F5" w14:textId="3FF272FF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353E6" w14:textId="549114F9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68BB9" w14:textId="29224C7E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CB2AFF" w14:textId="78DC68BA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3D5CF8" w14:textId="4021269C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2451F6" w14:textId="01D29F9B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069293A" w14:textId="5C27B52F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47A1C" w:rsidRPr="0051165C" w14:paraId="45847327" w14:textId="77777777" w:rsidTr="009835E7">
        <w:trPr>
          <w:trHeight w:val="34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84A76" w14:textId="77777777" w:rsidR="00A47A1C" w:rsidRPr="0051165C" w:rsidRDefault="00A47A1C" w:rsidP="00A47A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9D52A7" w14:textId="5B76B413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-92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78BCF0" w14:textId="050F754D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-22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F52F15" w14:textId="38C61BBA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-20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1C280D" w14:textId="3B38B6DB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93206" w14:textId="673F9F27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40C59B" w14:textId="6221B951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E99257" w14:textId="272ECE2C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A9FF4F0" w14:textId="53ED0875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47A1C" w:rsidRPr="0051165C" w14:paraId="3277A872" w14:textId="77777777" w:rsidTr="009835E7">
        <w:trPr>
          <w:trHeight w:val="258"/>
        </w:trPr>
        <w:tc>
          <w:tcPr>
            <w:tcW w:w="2237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428274" w14:textId="77777777" w:rsidR="00A47A1C" w:rsidRPr="00BA58B2" w:rsidRDefault="00A47A1C" w:rsidP="00A47A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393431A" w14:textId="7E0EBEDE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38227AB" w14:textId="7418FF88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338A230" w14:textId="432F78CD" w:rsidR="00A47A1C" w:rsidRDefault="00A47A1C" w:rsidP="00A47A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</w:t>
            </w:r>
            <w:r w:rsidR="003B024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EB2E7D3" w14:textId="1C99ECCA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0746211" w14:textId="064B9220" w:rsidR="00A47A1C" w:rsidRPr="00C36D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BE30CE7" w14:textId="31F2ACCD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072D4F6" w14:textId="253ACEF4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260B4325" w:rsidR="00A47A1C" w:rsidRPr="00957699" w:rsidRDefault="00A47A1C" w:rsidP="00A47A1C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3945F980" w:rsidR="00B92B28" w:rsidRPr="000C2149" w:rsidRDefault="00AB584F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CB203F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2BD0E5F2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02162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3D70414F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1B53EB14" w:rsidR="00B92B28" w:rsidRPr="000C2149" w:rsidRDefault="00AB584F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CB203F"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>202</w:t>
            </w:r>
            <w:r w:rsidR="00021626">
              <w:rPr>
                <w:rFonts w:cs="Arial"/>
                <w:sz w:val="16"/>
                <w:szCs w:val="16"/>
              </w:rPr>
              <w:t>1</w:t>
            </w:r>
            <w:r w:rsidR="00241800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03E7A979" w:rsidR="00B92B28" w:rsidRPr="000C2149" w:rsidRDefault="00AB584F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336BC" w:rsidRPr="00366025" w14:paraId="11B4C489" w14:textId="77777777" w:rsidTr="009835E7"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DD4D295" w14:textId="0D369FDD" w:rsidR="008336BC" w:rsidRPr="0038490F" w:rsidRDefault="008336BC" w:rsidP="008336B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9F87DA" w14:textId="67F6D7A0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172.8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2B9B5A" w14:textId="38F7C2AA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F3876A" w14:textId="0C008E4D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9EBE6F" w14:textId="519EE733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126.4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FC6265" w14:textId="3ECDC772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6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578DC4" w14:textId="1A99450A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E66036" w14:textId="10AEF0DD" w:rsidR="008336BC" w:rsidRPr="00386DF6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205C072" w14:textId="19735B19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25.6</w:t>
            </w:r>
          </w:p>
        </w:tc>
      </w:tr>
      <w:tr w:rsidR="008336BC" w:rsidRPr="00366025" w14:paraId="6D0EE025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47D8E" w14:textId="5AFDD2E0" w:rsidR="008336BC" w:rsidRPr="0038490F" w:rsidRDefault="008336BC" w:rsidP="008336B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B19CDB" w14:textId="6FABAFDF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DB6974" w14:textId="5CCAE1A0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9768F" w14:textId="7199C1E8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F629AF" w14:textId="474B5DD8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AA0155" w14:textId="32FB563E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01DCCA" w14:textId="77FCA1DD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801317" w14:textId="29F0A324" w:rsidR="008336BC" w:rsidRPr="00386DF6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692DCC" w14:textId="59206BFB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</w:tr>
      <w:tr w:rsidR="008336BC" w:rsidRPr="00366025" w14:paraId="363D4F13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9E100" w14:textId="783B032B" w:rsidR="008336BC" w:rsidRPr="0038490F" w:rsidRDefault="008336BC" w:rsidP="008336B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Russia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F9BD0D" w14:textId="3BF26E26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D685E5" w14:textId="5020C7F7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DB8ADE" w14:textId="7B4D3CD5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6B36F8" w14:textId="3F46754B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183.8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28BD82" w14:textId="00A31B90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169.7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FAEFE9" w14:textId="1A1198A0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182.2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D25C4B" w14:textId="453191EF" w:rsidR="008336BC" w:rsidRPr="00386DF6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22B67E3" w14:textId="4F629DD4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</w:tr>
      <w:tr w:rsidR="008336BC" w:rsidRPr="00366025" w14:paraId="61BB8B73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F5D0C" w14:textId="7CC3EC9B" w:rsidR="008336BC" w:rsidRPr="0038490F" w:rsidRDefault="008336BC" w:rsidP="008336B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718AB3" w14:textId="5F9A8950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E2B9BC" w14:textId="06A98296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FC50CB" w14:textId="0E8D1D33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B43A02" w14:textId="34EF3273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131.7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225CC3" w14:textId="60FCACAC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4D4608" w14:textId="3DD5390F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130.2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848CA8" w14:textId="2CB473F4" w:rsidR="008336BC" w:rsidRPr="00386DF6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214C44D" w14:textId="6CACC3AB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</w:tr>
      <w:tr w:rsidR="008336BC" w:rsidRPr="00366025" w14:paraId="655D5B60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1A493" w14:textId="0AF58681" w:rsidR="008336BC" w:rsidRPr="0038490F" w:rsidRDefault="008336BC" w:rsidP="008336B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738786" w14:textId="1118B5EB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32.3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22FDB7" w14:textId="4F77BD10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6C2DBE" w14:textId="7FCA3507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23D12D" w14:textId="2FF31E7F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1C8EA1" w14:textId="33589479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9883D1" w14:textId="2CEF8FC7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05ADC9" w14:textId="25010A4F" w:rsidR="008336BC" w:rsidRPr="009E6058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3E8CF17" w14:textId="63E55B64" w:rsidR="008336BC" w:rsidRPr="009E6058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</w:tr>
      <w:tr w:rsidR="008336BC" w:rsidRPr="00366025" w14:paraId="3B24B404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770A7" w14:textId="0835BC56" w:rsidR="008336BC" w:rsidRPr="0038490F" w:rsidRDefault="008336BC" w:rsidP="008336B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F99D64" w14:textId="41A70CB8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1806A7" w14:textId="4D8F2B7C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C4224A" w14:textId="5034AB2F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6440C1" w14:textId="5692F167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151E15" w14:textId="6C262C25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FC9AA" w14:textId="1C9426BA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588E3F" w14:textId="2BCF5A92" w:rsidR="008336BC" w:rsidRPr="00051D28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B55F1A9" w14:textId="3FD0039A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</w:tr>
      <w:tr w:rsidR="008336BC" w:rsidRPr="00366025" w14:paraId="3256B01B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ACC35" w14:textId="1086EEEF" w:rsidR="008336BC" w:rsidRPr="0038490F" w:rsidRDefault="008336BC" w:rsidP="008336B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18BD0F" w14:textId="32F886D6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19BDF1" w14:textId="1BA5A600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98AA0F" w14:textId="2B27FFCA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C0BD50" w14:textId="06F34533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2BAB48" w14:textId="7FBB254F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112.4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56E7DC" w14:textId="317103B8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09C2C1" w14:textId="750796CE" w:rsidR="008336BC" w:rsidRPr="0086358D" w:rsidRDefault="008336BC" w:rsidP="008336BC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3814C3E" w14:textId="642FB5ED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3.6</w:t>
            </w:r>
          </w:p>
        </w:tc>
      </w:tr>
      <w:tr w:rsidR="008336BC" w:rsidRPr="00366025" w14:paraId="5922DD04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EBD85" w14:textId="49254B92" w:rsidR="008336BC" w:rsidRPr="0038490F" w:rsidRDefault="008336BC" w:rsidP="008336BC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France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A97C9F" w14:textId="1A0DA7AD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A96B" w14:textId="586B43BA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56368C" w14:textId="1D0109D9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77A068" w14:textId="712B72CA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517FE3" w14:textId="6359F410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3F398" w14:textId="29D6EEF4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C4D6AD" w14:textId="695A1678" w:rsidR="008336BC" w:rsidRPr="00386DF6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16C7720" w14:textId="2EF62355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</w:tr>
      <w:tr w:rsidR="008336BC" w:rsidRPr="00366025" w14:paraId="5370525D" w14:textId="77777777" w:rsidTr="009835E7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5CCDA" w14:textId="7FF57E63" w:rsidR="008336BC" w:rsidRPr="0038490F" w:rsidRDefault="008336BC" w:rsidP="008336B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109E57" w14:textId="6FF669DF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972C99" w14:textId="08DD0ACC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96BDE1" w14:textId="04CE3739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FF217A" w14:textId="2921539D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230.6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B41CC4" w14:textId="2FDCF0A2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210.8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C03DB5" w14:textId="3CDB5EA9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227.9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0C0C90" w14:textId="02BAA5A9" w:rsidR="008336BC" w:rsidRPr="00386DF6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54AD8E9" w14:textId="28617623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8336BC" w:rsidRPr="00366025" w14:paraId="7A056665" w14:textId="77777777" w:rsidTr="009835E7">
        <w:tc>
          <w:tcPr>
            <w:tcW w:w="2268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7148D09" w14:textId="09C8DE1E" w:rsidR="008336BC" w:rsidRPr="0038490F" w:rsidRDefault="008336BC" w:rsidP="008336B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A733E2E" w14:textId="4EE085AF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2252F20" w14:textId="33C78395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678D8BE1" w14:textId="5DA5AB0D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3C3C2BDB" w14:textId="10DFB9AA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6B6B375D" w14:textId="14E24958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B37DD94" w14:textId="371B36D9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793C34BA" w14:textId="588F89A9" w:rsidR="008336BC" w:rsidRPr="00386DF6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5B48B028" w:rsidR="008336BC" w:rsidRPr="006C40EF" w:rsidRDefault="008336BC" w:rsidP="008336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3C361AF1" w14:textId="77777777" w:rsidR="0038490F" w:rsidRPr="00B5363E" w:rsidRDefault="0038490F" w:rsidP="001D7DC0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</w:t>
      </w:r>
      <w:r w:rsidR="003F16AB" w:rsidRPr="00B5363E">
        <w:rPr>
          <w:rFonts w:ascii="Fira Sans" w:hAnsi="Fira Sans"/>
          <w:b/>
          <w:szCs w:val="19"/>
          <w:lang w:val="en-GB"/>
        </w:rPr>
        <w:t>s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by country of consignment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– countries</w:t>
      </w:r>
    </w:p>
    <w:p w14:paraId="56DE3500" w14:textId="581B0645" w:rsidR="00E73C91" w:rsidRPr="001D7DC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7F6EA5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>.</w:t>
      </w:r>
      <w:r w:rsidR="007F6EA5">
        <w:rPr>
          <w:shd w:val="clear" w:color="auto" w:fill="FFFFFF"/>
          <w:lang w:val="en-GB"/>
        </w:rPr>
        <w:t>8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5D5863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5D5863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0.</w:t>
      </w:r>
      <w:r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 w:rsidR="00D865A3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pp. </w:t>
      </w:r>
    </w:p>
    <w:p w14:paraId="5BC38F73" w14:textId="3F0345FD" w:rsidR="00546F85" w:rsidRPr="00B5363E" w:rsidRDefault="000B741F" w:rsidP="001D7DC0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77A3C56F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May of 2022 according by country of consignment in comparison with imports by country of origin was lower by 4.9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6FC20443" w:rsidR="00143398" w:rsidRPr="001D7DC0" w:rsidRDefault="00143398" w:rsidP="00C0310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May of 2022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9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093ACDD4" w14:textId="77777777" w:rsidR="00143398" w:rsidRPr="00193D62" w:rsidRDefault="001433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143398" w:rsidRPr="00193D62" w:rsidRDefault="001433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143398" w:rsidRPr="00193D62" w:rsidRDefault="001433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143398" w:rsidRPr="00193D62" w:rsidRDefault="001433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143398" w:rsidRPr="00193D62" w:rsidRDefault="001433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143398" w:rsidRPr="00193D62" w:rsidRDefault="001433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143398" w:rsidRPr="00193D62" w:rsidRDefault="001433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143398" w:rsidRPr="00193D62" w:rsidRDefault="001433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143398" w:rsidRPr="00193D62" w:rsidRDefault="001433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143398" w:rsidRPr="00193D62" w:rsidRDefault="001433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143398" w:rsidRPr="00193D62" w:rsidRDefault="001433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143398" w:rsidRPr="00193D62" w:rsidRDefault="00143398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C55A9" id="Pole tekstowe 32" o:spid="_x0000_s1032" type="#_x0000_t202" alt="Imports from China in January - May of 2022 according by country of consignment in comparison with imports by country of origin was lower by 4.9 pp" style="position:absolute;margin-left:458.35pt;margin-top:10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" filled="f" stroked="f">
                <v:textbox>
                  <w:txbxContent>
                    <w:p w14:paraId="3F49B1E7" w14:textId="6FC20443" w:rsidR="00143398" w:rsidRPr="001D7DC0" w:rsidRDefault="00143398" w:rsidP="00C0310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May of 2022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9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093ACDD4" w14:textId="77777777" w:rsidR="00143398" w:rsidRPr="00193D62" w:rsidRDefault="001433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143398" w:rsidRPr="00193D62" w:rsidRDefault="001433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143398" w:rsidRPr="00193D62" w:rsidRDefault="001433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143398" w:rsidRPr="00193D62" w:rsidRDefault="001433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143398" w:rsidRPr="00193D62" w:rsidRDefault="001433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143398" w:rsidRPr="00193D62" w:rsidRDefault="001433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143398" w:rsidRPr="00193D62" w:rsidRDefault="001433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143398" w:rsidRPr="00193D62" w:rsidRDefault="001433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143398" w:rsidRPr="00193D62" w:rsidRDefault="001433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143398" w:rsidRPr="00193D62" w:rsidRDefault="001433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143398" w:rsidRPr="00193D62" w:rsidRDefault="001433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143398" w:rsidRPr="00193D62" w:rsidRDefault="00143398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B5363E">
        <w:rPr>
          <w:lang w:val="en-GB"/>
        </w:rPr>
        <w:t xml:space="preserve">Table 4. Imports by country of consignment – countries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6C5911DE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 xml:space="preserve">In January – </w:t>
      </w:r>
      <w:r w:rsidR="00F87227">
        <w:rPr>
          <w:shd w:val="clear" w:color="auto" w:fill="FFFFFF"/>
          <w:lang w:val="en-GB"/>
        </w:rPr>
        <w:t>May</w:t>
      </w:r>
      <w:r>
        <w:rPr>
          <w:shd w:val="clear" w:color="auto" w:fill="FFFFFF"/>
          <w:lang w:val="en-GB"/>
        </w:rPr>
        <w:t xml:space="preserve"> this year</w:t>
      </w:r>
      <w:r w:rsidRPr="006D21E6">
        <w:rPr>
          <w:shd w:val="clear" w:color="auto" w:fill="FFFFFF"/>
          <w:lang w:val="en-GB"/>
        </w:rPr>
        <w:t xml:space="preserve"> trade</w:t>
      </w:r>
      <w:r>
        <w:rPr>
          <w:shd w:val="clear" w:color="auto" w:fill="FFFFFF"/>
          <w:lang w:val="en-GB"/>
        </w:rPr>
        <w:t>,</w:t>
      </w:r>
      <w:r w:rsidRPr="006D21E6">
        <w:rPr>
          <w:shd w:val="clear" w:color="auto" w:fill="FFFFFF"/>
          <w:lang w:val="en-GB"/>
        </w:rPr>
        <w:t xml:space="preserve"> turnover in goods according to the SITC nomenclature compared to the same period of 202</w:t>
      </w:r>
      <w:r>
        <w:rPr>
          <w:shd w:val="clear" w:color="auto" w:fill="FFFFFF"/>
          <w:lang w:val="en-GB"/>
        </w:rPr>
        <w:t xml:space="preserve">1,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13E39924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7F6EA5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631D25" w:rsidRPr="00FA7066">
        <w:rPr>
          <w:spacing w:val="-2"/>
          <w:shd w:val="clear" w:color="auto" w:fill="FFFFFF"/>
          <w:lang w:val="en-GB"/>
        </w:rPr>
        <w:t>2</w:t>
      </w:r>
      <w:r w:rsidR="008336BC">
        <w:rPr>
          <w:spacing w:val="-2"/>
          <w:shd w:val="clear" w:color="auto" w:fill="FFFFFF"/>
          <w:lang w:val="en-GB"/>
        </w:rPr>
        <w:t>11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2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8336BC">
        <w:rPr>
          <w:spacing w:val="-2"/>
          <w:shd w:val="clear" w:color="auto" w:fill="FFFFFF"/>
          <w:lang w:val="en-GB"/>
        </w:rPr>
        <w:t>58</w:t>
      </w:r>
      <w:r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7F6EA5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8336BC">
        <w:rPr>
          <w:spacing w:val="-2"/>
          <w:shd w:val="clear" w:color="auto" w:fill="FFFFFF"/>
          <w:lang w:val="en-GB"/>
        </w:rPr>
        <w:t>7</w:t>
      </w:r>
      <w:r w:rsidR="00631D25" w:rsidRPr="00FA7066">
        <w:rPr>
          <w:spacing w:val="-2"/>
          <w:shd w:val="clear" w:color="auto" w:fill="FFFFFF"/>
          <w:lang w:val="en-GB"/>
        </w:rPr>
        <w:t>2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1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336BC">
        <w:rPr>
          <w:spacing w:val="-2"/>
          <w:shd w:val="clear" w:color="auto" w:fill="FFFFFF"/>
          <w:lang w:val="en-GB"/>
        </w:rPr>
        <w:t>32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9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manufactured goods classified chiefly by material (by 2</w:t>
      </w:r>
      <w:r w:rsidR="008336BC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>.</w:t>
      </w:r>
      <w:r w:rsidR="00631D25" w:rsidRPr="00FA7066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D918FF" w:rsidRPr="00FA7066">
        <w:rPr>
          <w:spacing w:val="-2"/>
          <w:shd w:val="clear" w:color="auto" w:fill="FFFFFF"/>
          <w:lang w:val="en-GB"/>
        </w:rPr>
        <w:t>food and live animals (by 2</w:t>
      </w:r>
      <w:r w:rsidR="008336BC">
        <w:rPr>
          <w:spacing w:val="-2"/>
          <w:shd w:val="clear" w:color="auto" w:fill="FFFFFF"/>
          <w:lang w:val="en-GB"/>
        </w:rPr>
        <w:t>5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0</w:t>
      </w:r>
      <w:r w:rsidR="00D918FF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7F6EA5" w:rsidRPr="00FA7066">
        <w:rPr>
          <w:spacing w:val="-2"/>
          <w:shd w:val="clear" w:color="auto" w:fill="FFFFFF"/>
          <w:lang w:val="en-GB"/>
        </w:rPr>
        <w:t>2</w:t>
      </w:r>
      <w:r w:rsidR="00D918FF" w:rsidRPr="00FA7066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%), miscellaneous manufactured articles (by 1</w:t>
      </w:r>
      <w:r w:rsidR="008336BC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8336BC">
        <w:rPr>
          <w:spacing w:val="-2"/>
          <w:shd w:val="clear" w:color="auto" w:fill="FFFFFF"/>
          <w:lang w:val="en-GB"/>
        </w:rPr>
        <w:t>9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2</w:t>
      </w:r>
      <w:r w:rsidR="008336BC" w:rsidRPr="00FA7066">
        <w:rPr>
          <w:spacing w:val="-2"/>
          <w:shd w:val="clear" w:color="auto" w:fill="FFFFFF"/>
          <w:lang w:val="en-GB"/>
        </w:rPr>
        <w:t>%</w:t>
      </w:r>
      <w:r w:rsidR="008336BC">
        <w:rPr>
          <w:spacing w:val="-2"/>
          <w:shd w:val="clear" w:color="auto" w:fill="FFFFFF"/>
          <w:lang w:val="en-GB"/>
        </w:rPr>
        <w:t xml:space="preserve">) and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8336BC">
        <w:rPr>
          <w:spacing w:val="-2"/>
          <w:shd w:val="clear" w:color="auto" w:fill="FFFFFF"/>
          <w:lang w:val="en-GB"/>
        </w:rPr>
        <w:t>4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4</w:t>
      </w:r>
      <w:r w:rsidR="00D918FF" w:rsidRPr="00FA7066">
        <w:rPr>
          <w:spacing w:val="-2"/>
          <w:shd w:val="clear" w:color="auto" w:fill="FFFFFF"/>
          <w:lang w:val="en-GB"/>
        </w:rPr>
        <w:t xml:space="preserve"> %).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71845115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commodities and transaction not classified elsewhere in the SITC (by </w:t>
      </w:r>
      <w:r w:rsidR="00E23434" w:rsidRPr="00FA7066">
        <w:rPr>
          <w:spacing w:val="-2"/>
          <w:shd w:val="clear" w:color="auto" w:fill="FFFFFF"/>
          <w:lang w:val="en-GB"/>
        </w:rPr>
        <w:t>3</w:t>
      </w:r>
      <w:r w:rsidR="008336BC">
        <w:rPr>
          <w:spacing w:val="-2"/>
          <w:shd w:val="clear" w:color="auto" w:fill="FFFFFF"/>
          <w:lang w:val="en-GB"/>
        </w:rPr>
        <w:t>69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>animal and vegetable oils, fats and waxes (by 11</w:t>
      </w:r>
      <w:r w:rsidR="00C16478">
        <w:rPr>
          <w:spacing w:val="-2"/>
          <w:shd w:val="clear" w:color="auto" w:fill="FFFFFF"/>
          <w:lang w:val="en-GB"/>
        </w:rPr>
        <w:t>5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C16478">
        <w:rPr>
          <w:spacing w:val="-2"/>
          <w:shd w:val="clear" w:color="auto" w:fill="FFFFFF"/>
          <w:lang w:val="en-GB"/>
        </w:rPr>
        <w:t>5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="00E23434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C16478">
        <w:rPr>
          <w:spacing w:val="-2"/>
          <w:shd w:val="clear" w:color="auto" w:fill="FFFFFF"/>
          <w:lang w:val="en-GB"/>
        </w:rPr>
        <w:t>08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C16478">
        <w:rPr>
          <w:spacing w:val="-2"/>
          <w:shd w:val="clear" w:color="auto" w:fill="FFFFFF"/>
          <w:lang w:val="en-GB"/>
        </w:rPr>
        <w:t>2</w:t>
      </w:r>
      <w:r w:rsidR="00E23434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crude materials inedible, except fuels (by 4</w:t>
      </w:r>
      <w:r w:rsidR="00C16478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>.</w:t>
      </w:r>
      <w:r w:rsidR="00C16478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%), manufactured goods classified chiefly by material (by 3</w:t>
      </w:r>
      <w:r w:rsidR="00D918FF" w:rsidRPr="00FA7066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>.</w:t>
      </w:r>
      <w:r w:rsidR="00C16478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C16478">
        <w:rPr>
          <w:spacing w:val="-2"/>
          <w:shd w:val="clear" w:color="auto" w:fill="FFFFFF"/>
          <w:lang w:val="en-GB"/>
        </w:rPr>
        <w:t>30</w:t>
      </w:r>
      <w:r w:rsidRPr="00FA7066">
        <w:rPr>
          <w:spacing w:val="-2"/>
          <w:shd w:val="clear" w:color="auto" w:fill="FFFFFF"/>
          <w:lang w:val="en-GB"/>
        </w:rPr>
        <w:t>.</w:t>
      </w:r>
      <w:r w:rsidR="00C16478">
        <w:rPr>
          <w:spacing w:val="-2"/>
          <w:shd w:val="clear" w:color="auto" w:fill="FFFFFF"/>
          <w:lang w:val="en-GB"/>
        </w:rPr>
        <w:t>9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E23434" w:rsidRPr="00FA7066">
        <w:rPr>
          <w:spacing w:val="-2"/>
          <w:shd w:val="clear" w:color="auto" w:fill="FFFFFF"/>
          <w:lang w:val="en-GB"/>
        </w:rPr>
        <w:t>miscellaneous manufactured articles (by 2</w:t>
      </w:r>
      <w:r w:rsidR="00C16478">
        <w:rPr>
          <w:spacing w:val="-2"/>
          <w:shd w:val="clear" w:color="auto" w:fill="FFFFFF"/>
          <w:lang w:val="en-GB"/>
        </w:rPr>
        <w:t>7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C16478">
        <w:rPr>
          <w:spacing w:val="-2"/>
          <w:shd w:val="clear" w:color="auto" w:fill="FFFFFF"/>
          <w:lang w:val="en-GB"/>
        </w:rPr>
        <w:t>5</w:t>
      </w:r>
      <w:r w:rsidR="00E23434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D918FF" w:rsidRPr="00FA7066">
        <w:rPr>
          <w:spacing w:val="-2"/>
          <w:shd w:val="clear" w:color="auto" w:fill="FFFFFF"/>
          <w:lang w:val="en-GB"/>
        </w:rPr>
        <w:t>2</w:t>
      </w:r>
      <w:r w:rsidR="00C16478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>.</w:t>
      </w:r>
      <w:r w:rsidR="00C16478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C16478">
        <w:rPr>
          <w:spacing w:val="-2"/>
          <w:shd w:val="clear" w:color="auto" w:fill="FFFFFF"/>
          <w:lang w:val="en-GB"/>
        </w:rPr>
        <w:t>20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C16478">
        <w:rPr>
          <w:spacing w:val="-2"/>
          <w:shd w:val="clear" w:color="auto" w:fill="FFFFFF"/>
          <w:lang w:val="en-GB"/>
        </w:rPr>
        <w:t>0</w:t>
      </w:r>
      <w:r w:rsidR="00D918FF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and machinery and transport equipment (by 1</w:t>
      </w:r>
      <w:r w:rsidR="00E23434" w:rsidRPr="00FA7066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>.</w:t>
      </w:r>
      <w:r w:rsidR="00C16478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>%).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3B9B3595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January 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– </w:t>
      </w:r>
      <w:r w:rsidR="00F87227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May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943943" w:rsidRPr="00943943">
        <w:rPr>
          <w:noProof/>
          <w:lang w:val="en-GB"/>
        </w:rPr>
        <w:t xml:space="preserve"> </w:t>
      </w:r>
    </w:p>
    <w:p w14:paraId="4C635771" w14:textId="187AF1E1" w:rsidR="00EF10F8" w:rsidRDefault="00EF10F8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3F9DF691" wp14:editId="4A728A8B">
            <wp:extent cx="5105400" cy="2743200"/>
            <wp:effectExtent l="0" t="0" r="0" b="0"/>
            <wp:docPr id="4" name="Wykres 4" descr="Chart 1. Composition of exports by sections according to SITC nomenclature in January – May 2022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7DAEF288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January 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– </w:t>
      </w:r>
      <w:r w:rsidR="00F87227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May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1F76B0" w:rsidRPr="001F76B0">
        <w:rPr>
          <w:noProof/>
          <w:lang w:val="en-GB"/>
        </w:rPr>
        <w:t xml:space="preserve"> </w:t>
      </w:r>
      <w:bookmarkStart w:id="1" w:name="_Hlk97571462"/>
    </w:p>
    <w:p w14:paraId="6F3AF64C" w14:textId="15F5879D" w:rsidR="00D918FF" w:rsidRPr="00E23015" w:rsidRDefault="00EF10F8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07605CD1" wp14:editId="5B34CCE7">
            <wp:extent cx="4572000" cy="2743200"/>
            <wp:effectExtent l="0" t="0" r="0" b="0"/>
            <wp:docPr id="1" name="Wykres 1" descr="Chart 2. Composition of imports by sections according to SITC nomenclature in January – May 2022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1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9835E7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04FAD234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55ED40F" w14:textId="5F841835" w:rsidR="00C16478" w:rsidRPr="008843E2" w:rsidRDefault="005E668B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4" w:tooltip="Link to the publication: Foreign trade. Prices in foreign trade " w:history="1">
              <w:r w:rsidR="00C16478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0C0CACC8" w14:textId="478F7B07" w:rsidR="00A16C0D" w:rsidRPr="00A16C0D" w:rsidRDefault="005E668B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1" w:history="1">
              <w:r w:rsidR="00A16C0D" w:rsidRPr="00A16C0D">
                <w:rPr>
                  <w:rStyle w:val="Hipercze"/>
                  <w:lang w:val="en-US"/>
                </w:rPr>
                <w:t>Yearbook of Foreign Trade Statistics of Poland 2021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2743BEAE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Database. </w:t>
              </w:r>
              <w:hyperlink r:id="rId28" w:tooltip="Link to the main page - Database. Analytical Platform  - SWAiD - Knowledge Databases. Foreign trade  " w:history="1">
                <w:r w:rsidRPr="00A16C0D">
                  <w:rPr>
                    <w:rStyle w:val="Hipercze"/>
                    <w:lang w:val="en-US"/>
                  </w:rPr>
                  <w:t>Analytical Platform  - SWAiD - Knowledge Databases</w:t>
                </w:r>
              </w:hyperlink>
              <w:r w:rsidRPr="00A16C0D">
                <w:rPr>
                  <w:rStyle w:val="Hipercze"/>
                  <w:lang w:val="en-US"/>
                </w:rPr>
                <w:t xml:space="preserve">.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39BCCED4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9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325FE" w14:textId="77777777" w:rsidR="005E668B" w:rsidRDefault="005E668B" w:rsidP="000662E2">
      <w:pPr>
        <w:spacing w:after="0" w:line="240" w:lineRule="auto"/>
      </w:pPr>
      <w:r>
        <w:separator/>
      </w:r>
    </w:p>
  </w:endnote>
  <w:endnote w:type="continuationSeparator" w:id="0">
    <w:p w14:paraId="45C9DAD5" w14:textId="77777777" w:rsidR="005E668B" w:rsidRDefault="005E66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143398" w:rsidRDefault="001433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518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143398" w:rsidRDefault="001433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143398" w:rsidRDefault="001433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518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143398" w:rsidRDefault="001433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FF0A5" w14:textId="77777777" w:rsidR="005E668B" w:rsidRDefault="005E668B" w:rsidP="000662E2">
      <w:pPr>
        <w:spacing w:after="0" w:line="240" w:lineRule="auto"/>
      </w:pPr>
      <w:r>
        <w:separator/>
      </w:r>
    </w:p>
  </w:footnote>
  <w:footnote w:type="continuationSeparator" w:id="0">
    <w:p w14:paraId="0E3DE6C3" w14:textId="77777777" w:rsidR="005E668B" w:rsidRDefault="005E668B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143398" w:rsidRPr="00645281" w:rsidRDefault="00143398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143398" w:rsidRPr="00645281" w:rsidRDefault="00143398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143398" w:rsidRPr="00AD195B" w:rsidRDefault="00143398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143398" w:rsidRPr="006D21E6" w:rsidRDefault="00143398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143398" w:rsidRDefault="0014339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143398" w:rsidRDefault="001433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143398" w:rsidRDefault="0014339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40AD27F0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143398" w:rsidRPr="003C6C8D" w:rsidRDefault="00143398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143398" w:rsidRPr="003C6C8D" w:rsidRDefault="00143398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143398" w:rsidRDefault="0014339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633748D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Fifteenth of July two thousand and twenty-tw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1C7AD04F" w:rsidR="00143398" w:rsidRPr="00C97596" w:rsidRDefault="001433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Fifteenth of July two thousand and twenty-two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" filled="f" stroked="f">
              <v:textbox>
                <w:txbxContent>
                  <w:p w14:paraId="1422A680" w14:textId="1C7AD04F" w:rsidR="00143398" w:rsidRPr="00C97596" w:rsidRDefault="001433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143398" w:rsidRDefault="00143398">
    <w:pPr>
      <w:pStyle w:val="Nagwek"/>
    </w:pPr>
  </w:p>
  <w:p w14:paraId="0A165AB8" w14:textId="77777777" w:rsidR="00143398" w:rsidRDefault="001433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464C"/>
    <w:rsid w:val="00044B1C"/>
    <w:rsid w:val="00044DD0"/>
    <w:rsid w:val="00045325"/>
    <w:rsid w:val="0004582E"/>
    <w:rsid w:val="00045E8E"/>
    <w:rsid w:val="000470AA"/>
    <w:rsid w:val="00054F28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475A"/>
    <w:rsid w:val="00095C32"/>
    <w:rsid w:val="000A0658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17486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55BC"/>
    <w:rsid w:val="00357611"/>
    <w:rsid w:val="00357BC2"/>
    <w:rsid w:val="003604DE"/>
    <w:rsid w:val="00361189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2E2"/>
    <w:rsid w:val="003E5DEB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87962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31D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913"/>
    <w:rsid w:val="005102D5"/>
    <w:rsid w:val="00510700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50618"/>
    <w:rsid w:val="005509AA"/>
    <w:rsid w:val="005520D8"/>
    <w:rsid w:val="005540B1"/>
    <w:rsid w:val="00556CF1"/>
    <w:rsid w:val="00557D82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D17"/>
    <w:rsid w:val="00575E53"/>
    <w:rsid w:val="00576019"/>
    <w:rsid w:val="005762A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BAC"/>
    <w:rsid w:val="005D6F5C"/>
    <w:rsid w:val="005E045B"/>
    <w:rsid w:val="005E0799"/>
    <w:rsid w:val="005E2DCC"/>
    <w:rsid w:val="005E668B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EC3"/>
    <w:rsid w:val="007128E2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42C5"/>
    <w:rsid w:val="00735413"/>
    <w:rsid w:val="007405D5"/>
    <w:rsid w:val="00744279"/>
    <w:rsid w:val="00744595"/>
    <w:rsid w:val="00745695"/>
    <w:rsid w:val="00746173"/>
    <w:rsid w:val="00746187"/>
    <w:rsid w:val="007476ED"/>
    <w:rsid w:val="007534D2"/>
    <w:rsid w:val="007551C5"/>
    <w:rsid w:val="00755490"/>
    <w:rsid w:val="00755812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0C3C"/>
    <w:rsid w:val="008336BC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D5E"/>
    <w:rsid w:val="008B6256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518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0E7"/>
    <w:rsid w:val="00D125C7"/>
    <w:rsid w:val="00D1451F"/>
    <w:rsid w:val="00D16674"/>
    <w:rsid w:val="00D203BB"/>
    <w:rsid w:val="00D261A2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D30"/>
    <w:rsid w:val="00D47FF0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0D93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7C8F"/>
    <w:rsid w:val="00F30DD0"/>
    <w:rsid w:val="00F31512"/>
    <w:rsid w:val="00F32749"/>
    <w:rsid w:val="00F32A03"/>
    <w:rsid w:val="00F3415A"/>
    <w:rsid w:val="00F34433"/>
    <w:rsid w:val="00F34675"/>
    <w:rsid w:val="00F35071"/>
    <w:rsid w:val="00F35D91"/>
    <w:rsid w:val="00F365FB"/>
    <w:rsid w:val="00F37172"/>
    <w:rsid w:val="00F3724C"/>
    <w:rsid w:val="00F429DA"/>
    <w:rsid w:val="00F4477E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2B46"/>
    <w:rsid w:val="00F75638"/>
    <w:rsid w:val="00F7639D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A00B8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1,9,15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2021-prices-in-foreign-trade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FFE-443A-AB95-8C32879CDA5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FFE-443A-AB95-8C32879CDA5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FFE-443A-AB95-8C32879CDA5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FFE-443A-AB95-8C32879CDA5B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FFE-443A-AB95-8C32879CDA5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FFE-443A-AB95-8C32879CDA5B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FFE-443A-AB95-8C32879CDA5B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FFE-443A-AB95-8C32879CDA5B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FFE-443A-AB95-8C32879CDA5B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FFE-443A-AB95-8C32879CDA5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0.42</c:v>
                </c:pt>
                <c:pt idx="1">
                  <c:v>16.350000000000001</c:v>
                </c:pt>
                <c:pt idx="2">
                  <c:v>34.869999999999997</c:v>
                </c:pt>
                <c:pt idx="3">
                  <c:v>19.32</c:v>
                </c:pt>
                <c:pt idx="4">
                  <c:v>10.42</c:v>
                </c:pt>
                <c:pt idx="5">
                  <c:v>0.27</c:v>
                </c:pt>
                <c:pt idx="6">
                  <c:v>3.59</c:v>
                </c:pt>
                <c:pt idx="7">
                  <c:v>2.4</c:v>
                </c:pt>
                <c:pt idx="8">
                  <c:v>1.59</c:v>
                </c:pt>
                <c:pt idx="9">
                  <c:v>10.7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FE-443A-AB95-8C32879CDA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9009136"/>
        <c:axId val="129006416"/>
      </c:barChart>
      <c:catAx>
        <c:axId val="129009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9006416"/>
        <c:crosses val="autoZero"/>
        <c:auto val="1"/>
        <c:lblAlgn val="ctr"/>
        <c:lblOffset val="100"/>
        <c:noMultiLvlLbl val="0"/>
      </c:catAx>
      <c:valAx>
        <c:axId val="1290064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29009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50A-4035-86E8-A6EFF4BF9C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50A-4035-86E8-A6EFF4BF9C0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50A-4035-86E8-A6EFF4BF9C0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50A-4035-86E8-A6EFF4BF9C0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50A-4035-86E8-A6EFF4BF9C0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50A-4035-86E8-A6EFF4BF9C0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50A-4035-86E8-A6EFF4BF9C0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50A-4035-86E8-A6EFF4BF9C0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50A-4035-86E8-A6EFF4BF9C0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50A-4035-86E8-A6EFF4BF9C0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5.01</c:v>
                </c:pt>
                <c:pt idx="1">
                  <c:v>13.1</c:v>
                </c:pt>
                <c:pt idx="2">
                  <c:v>29.96</c:v>
                </c:pt>
                <c:pt idx="3">
                  <c:v>18.059999999999999</c:v>
                </c:pt>
                <c:pt idx="4">
                  <c:v>14.63</c:v>
                </c:pt>
                <c:pt idx="5">
                  <c:v>0.67</c:v>
                </c:pt>
                <c:pt idx="6">
                  <c:v>8.32</c:v>
                </c:pt>
                <c:pt idx="7">
                  <c:v>3.21</c:v>
                </c:pt>
                <c:pt idx="8">
                  <c:v>0.65</c:v>
                </c:pt>
                <c:pt idx="9">
                  <c:v>6.39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0A-4035-86E8-A6EFF4BF9C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9008592"/>
        <c:axId val="69494992"/>
      </c:barChart>
      <c:catAx>
        <c:axId val="129008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9494992"/>
        <c:crosses val="autoZero"/>
        <c:auto val="1"/>
        <c:lblAlgn val="ctr"/>
        <c:lblOffset val="100"/>
        <c:noMultiLvlLbl val="0"/>
      </c:catAx>
      <c:valAx>
        <c:axId val="694949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29008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C75E3-9E12-4301-A3B8-319F467F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1804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January-May 2022</dc:title>
  <dc:subject/>
  <dc:creator>Statistics Poland</dc:creator>
  <cp:keywords/>
  <dc:description/>
  <cp:lastModifiedBy>Putkowska Beata</cp:lastModifiedBy>
  <cp:revision>3</cp:revision>
  <cp:lastPrinted>2022-07-14T09:04:00Z</cp:lastPrinted>
  <dcterms:created xsi:type="dcterms:W3CDTF">2022-07-07T14:05:00Z</dcterms:created>
  <dcterms:modified xsi:type="dcterms:W3CDTF">2022-07-15T05:53:00Z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