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8474AE">
        <w:rPr>
          <w:rFonts w:cs="Arial"/>
          <w:lang w:val="en-US"/>
        </w:rPr>
        <w:t xml:space="preserve"> </w:t>
      </w:r>
      <w:r w:rsidR="00465AF0">
        <w:rPr>
          <w:rFonts w:cs="Arial"/>
          <w:lang w:val="en-US"/>
        </w:rPr>
        <w:t xml:space="preserve">December </w:t>
      </w:r>
      <w:r w:rsidR="00D13520" w:rsidRPr="00FF2C0B">
        <w:rPr>
          <w:rFonts w:cs="Arial"/>
          <w:szCs w:val="40"/>
          <w:lang w:val="en-US"/>
        </w:rPr>
        <w:t>20</w:t>
      </w:r>
      <w:r w:rsidR="006F4002">
        <w:rPr>
          <w:rFonts w:cs="Arial"/>
          <w:szCs w:val="40"/>
          <w:lang w:val="en-US"/>
        </w:rPr>
        <w:t>21</w:t>
      </w:r>
    </w:p>
    <w:p w:rsidR="00393761" w:rsidRPr="00CF541C" w:rsidRDefault="00393761" w:rsidP="00074DD8">
      <w:pPr>
        <w:pStyle w:val="tytuinformacji"/>
        <w:rPr>
          <w:rFonts w:asciiTheme="majorHAnsi" w:hAnsiTheme="majorHAnsi"/>
          <w:sz w:val="18"/>
          <w:szCs w:val="18"/>
          <w:lang w:val="en-US"/>
        </w:rPr>
      </w:pPr>
    </w:p>
    <w:p w:rsidR="00A13753" w:rsidRPr="009F2D80" w:rsidRDefault="00AB3C32" w:rsidP="00A13753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42900" cy="32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65AF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465AF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42900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65AF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465AF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>In</w:t>
      </w:r>
      <w:r w:rsidR="0012005F">
        <w:rPr>
          <w:rFonts w:cs="Arial"/>
          <w:lang w:val="en-US"/>
        </w:rPr>
        <w:t xml:space="preserve"> </w:t>
      </w:r>
      <w:r w:rsidR="00465AF0">
        <w:rPr>
          <w:rFonts w:cs="Arial"/>
          <w:lang w:val="en-US"/>
        </w:rPr>
        <w:t xml:space="preserve">December </w:t>
      </w:r>
      <w:r w:rsidR="003910EE" w:rsidRPr="003910EE">
        <w:rPr>
          <w:rFonts w:cs="Arial"/>
          <w:lang w:val="en-US"/>
        </w:rPr>
        <w:t>20</w:t>
      </w:r>
      <w:r w:rsidR="005358B2">
        <w:rPr>
          <w:rFonts w:cs="Arial"/>
          <w:lang w:val="en-US"/>
        </w:rPr>
        <w:t>21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B62867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</w:t>
      </w:r>
      <w:r w:rsidR="00465AF0">
        <w:rPr>
          <w:rFonts w:cs="Arial"/>
          <w:lang w:val="en-US"/>
        </w:rPr>
        <w:t xml:space="preserve"> 8</w:t>
      </w:r>
      <w:r w:rsidR="001A40AB">
        <w:rPr>
          <w:rFonts w:cs="Arial"/>
          <w:lang w:val="en-US"/>
        </w:rPr>
        <w:t>.</w:t>
      </w:r>
      <w:r w:rsidR="00465AF0">
        <w:rPr>
          <w:rFonts w:cs="Arial"/>
          <w:lang w:val="en-US"/>
        </w:rPr>
        <w:t>0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DC7EC5">
        <w:rPr>
          <w:rFonts w:cs="Arial"/>
          <w:lang w:val="en-US"/>
        </w:rPr>
        <w:t>higher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than the year before (against a </w:t>
      </w:r>
      <w:r w:rsidR="000861E5">
        <w:rPr>
          <w:rFonts w:cs="Arial"/>
          <w:lang w:val="en-US"/>
        </w:rPr>
        <w:t>de</w:t>
      </w:r>
      <w:r w:rsidR="00DC7EC5">
        <w:rPr>
          <w:rFonts w:cs="Arial"/>
          <w:lang w:val="en-US"/>
        </w:rPr>
        <w:t xml:space="preserve">crease </w:t>
      </w:r>
      <w:r w:rsidR="00517462">
        <w:rPr>
          <w:rFonts w:cs="Arial"/>
          <w:lang w:val="en-US"/>
        </w:rPr>
        <w:t>of</w:t>
      </w:r>
      <w:r w:rsidR="00F02D59">
        <w:rPr>
          <w:rFonts w:cs="Arial"/>
          <w:lang w:val="en-US"/>
        </w:rPr>
        <w:t> </w:t>
      </w:r>
      <w:r w:rsidR="00465AF0">
        <w:rPr>
          <w:rFonts w:cs="Arial"/>
          <w:lang w:val="en-US"/>
        </w:rPr>
        <w:t>0</w:t>
      </w:r>
      <w:r w:rsidR="005C50E9">
        <w:rPr>
          <w:rFonts w:cs="Arial"/>
          <w:lang w:val="en-US"/>
        </w:rPr>
        <w:t>.</w:t>
      </w:r>
      <w:r w:rsidR="00465AF0">
        <w:rPr>
          <w:rFonts w:cs="Arial"/>
          <w:lang w:val="en-US"/>
        </w:rPr>
        <w:t>8</w:t>
      </w:r>
      <w:r w:rsidR="004B784E">
        <w:rPr>
          <w:rFonts w:cs="Arial"/>
          <w:lang w:val="en-US"/>
        </w:rPr>
        <w:t>% in</w:t>
      </w:r>
      <w:r w:rsidR="001A3446">
        <w:rPr>
          <w:rFonts w:cs="Arial"/>
          <w:lang w:val="en-US"/>
        </w:rPr>
        <w:t> </w:t>
      </w:r>
      <w:r w:rsidR="00465AF0">
        <w:rPr>
          <w:rFonts w:cs="Arial"/>
          <w:lang w:val="en-US"/>
        </w:rPr>
        <w:t>Dece</w:t>
      </w:r>
      <w:r w:rsidR="00F645EF">
        <w:rPr>
          <w:rFonts w:cs="Arial"/>
          <w:lang w:val="en-US"/>
        </w:rPr>
        <w:t>mb</w:t>
      </w:r>
      <w:r w:rsidR="000861E5">
        <w:rPr>
          <w:rFonts w:cs="Arial"/>
          <w:lang w:val="en-US"/>
        </w:rPr>
        <w:t>er</w:t>
      </w:r>
      <w:r w:rsidR="00FB6284">
        <w:rPr>
          <w:rFonts w:cs="Arial"/>
          <w:lang w:val="en-US"/>
        </w:rPr>
        <w:t xml:space="preserve"> </w:t>
      </w:r>
      <w:r w:rsidR="00264323">
        <w:rPr>
          <w:rFonts w:cs="Arial"/>
          <w:lang w:val="en-US"/>
        </w:rPr>
        <w:t>2020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AD64BD">
        <w:rPr>
          <w:lang w:val="en-US"/>
        </w:rPr>
        <w:t xml:space="preserve"> </w:t>
      </w:r>
      <w:r w:rsidR="00465AF0">
        <w:rPr>
          <w:lang w:val="en-US"/>
        </w:rPr>
        <w:t>Novem</w:t>
      </w:r>
      <w:r w:rsidR="000861E5">
        <w:rPr>
          <w:lang w:val="en-US"/>
        </w:rPr>
        <w:t>ber</w:t>
      </w:r>
      <w:r w:rsidR="00FB6284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2959EC">
        <w:rPr>
          <w:lang w:val="en-US"/>
        </w:rPr>
        <w:t>21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465AF0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F645EF">
        <w:rPr>
          <w:lang w:val="en-US"/>
        </w:rPr>
        <w:t>1</w:t>
      </w:r>
      <w:r w:rsidR="00465AF0">
        <w:rPr>
          <w:lang w:val="en-US"/>
        </w:rPr>
        <w:t>4</w:t>
      </w:r>
      <w:r w:rsidR="002B5519">
        <w:rPr>
          <w:lang w:val="en-US"/>
        </w:rPr>
        <w:t>.</w:t>
      </w:r>
      <w:r w:rsidR="00465AF0">
        <w:rPr>
          <w:lang w:val="en-US"/>
        </w:rPr>
        <w:t>9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A13753">
        <w:rPr>
          <w:lang w:val="en-US"/>
        </w:rPr>
        <w:t>I</w:t>
      </w:r>
      <w:r w:rsidR="00FB6284">
        <w:rPr>
          <w:lang w:val="en-US"/>
        </w:rPr>
        <w:t>n the period of January-</w:t>
      </w:r>
      <w:r w:rsidR="00465AF0">
        <w:rPr>
          <w:lang w:val="en-US"/>
        </w:rPr>
        <w:t>Decem</w:t>
      </w:r>
      <w:r w:rsidR="000861E5">
        <w:rPr>
          <w:lang w:val="en-US"/>
        </w:rPr>
        <w:t>ber</w:t>
      </w:r>
      <w:r w:rsidR="00A13753">
        <w:rPr>
          <w:rStyle w:val="Odwoanieprzypisudolnego"/>
          <w:lang w:val="en-US"/>
        </w:rPr>
        <w:footnoteReference w:id="2"/>
      </w:r>
      <w:r w:rsidR="00A13753" w:rsidRPr="009F2D80">
        <w:rPr>
          <w:lang w:val="en-US"/>
        </w:rPr>
        <w:t xml:space="preserve"> 20</w:t>
      </w:r>
      <w:r w:rsidR="00BC3A0B">
        <w:rPr>
          <w:lang w:val="en-US"/>
        </w:rPr>
        <w:t>21</w:t>
      </w:r>
      <w:r w:rsidR="00A13753">
        <w:rPr>
          <w:lang w:val="en-US"/>
        </w:rPr>
        <w:t xml:space="preserve"> retail </w:t>
      </w:r>
      <w:r w:rsidR="00465AF0">
        <w:rPr>
          <w:lang w:val="en-US"/>
        </w:rPr>
        <w:t>sales y/y were by 8</w:t>
      </w:r>
      <w:r w:rsidR="00A13753" w:rsidRPr="009F2D80">
        <w:rPr>
          <w:lang w:val="en-US"/>
        </w:rPr>
        <w:t>.</w:t>
      </w:r>
      <w:r w:rsidR="00465AF0">
        <w:rPr>
          <w:lang w:val="en-US"/>
        </w:rPr>
        <w:t>1</w:t>
      </w:r>
      <w:r w:rsidR="00A13753" w:rsidRPr="009F2D80">
        <w:rPr>
          <w:lang w:val="en-US"/>
        </w:rPr>
        <w:t xml:space="preserve">% </w:t>
      </w:r>
      <w:r w:rsidR="000734BD">
        <w:rPr>
          <w:lang w:val="en-US"/>
        </w:rPr>
        <w:t>higher</w:t>
      </w:r>
      <w:r w:rsidR="00A13753" w:rsidRPr="009F2D80">
        <w:rPr>
          <w:lang w:val="en-US"/>
        </w:rPr>
        <w:t xml:space="preserve"> (against a </w:t>
      </w:r>
      <w:r w:rsidR="00721CCE">
        <w:rPr>
          <w:lang w:val="en-US"/>
        </w:rPr>
        <w:t xml:space="preserve">decrease </w:t>
      </w:r>
      <w:r w:rsidR="00A13753" w:rsidRPr="009F2D80">
        <w:rPr>
          <w:lang w:val="en-US"/>
        </w:rPr>
        <w:t xml:space="preserve">of </w:t>
      </w:r>
      <w:r w:rsidR="00337210">
        <w:rPr>
          <w:lang w:val="en-US"/>
        </w:rPr>
        <w:t>3.1</w:t>
      </w:r>
      <w:r w:rsidR="00A13753" w:rsidRPr="009F2D80">
        <w:rPr>
          <w:lang w:val="en-US"/>
        </w:rPr>
        <w:t>% in 20</w:t>
      </w:r>
      <w:r w:rsidR="00BC3A0B">
        <w:rPr>
          <w:lang w:val="en-US"/>
        </w:rPr>
        <w:t>20</w:t>
      </w:r>
      <w:r w:rsidR="00A13753" w:rsidRPr="009F2D80">
        <w:rPr>
          <w:lang w:val="en-US"/>
        </w:rPr>
        <w:t>).</w:t>
      </w:r>
    </w:p>
    <w:p w:rsidR="009F2D80" w:rsidRDefault="009F2D80" w:rsidP="009F2D80">
      <w:pPr>
        <w:pStyle w:val="LID"/>
        <w:rPr>
          <w:lang w:val="en-US"/>
        </w:rPr>
      </w:pPr>
    </w:p>
    <w:p w:rsidR="00C42772" w:rsidRDefault="00C42772" w:rsidP="009F2D80">
      <w:pPr>
        <w:pStyle w:val="LID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150370</wp:posOffset>
                </wp:positionV>
                <wp:extent cx="1844040" cy="1099820"/>
                <wp:effectExtent l="0" t="0" r="0" b="5080"/>
                <wp:wrapTight wrapText="bothSides">
                  <wp:wrapPolygon edited="0">
                    <wp:start x="669" y="0"/>
                    <wp:lineTo x="669" y="21326"/>
                    <wp:lineTo x="20752" y="21326"/>
                    <wp:lineTo x="20752" y="0"/>
                    <wp:lineTo x="66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110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1EE" w:rsidRPr="000F4044" w:rsidRDefault="00EB27E5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906D08">
                              <w:rPr>
                                <w:rFonts w:cs="Arial"/>
                                <w:lang w:val="en-US"/>
                              </w:rPr>
                              <w:t xml:space="preserve">December 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 w:rsidR="004F4C33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="0060546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AF23EB">
                              <w:rPr>
                                <w:rFonts w:cs="Arial"/>
                                <w:lang w:val="en-US"/>
                              </w:rPr>
                              <w:t>an</w:t>
                            </w:r>
                            <w:r w:rsidR="00BA0814">
                              <w:rPr>
                                <w:rFonts w:cs="Arial"/>
                                <w:lang w:val="en-US"/>
                              </w:rPr>
                              <w:t xml:space="preserve"> increase in retail sales </w:t>
                            </w:r>
                            <w:r w:rsidR="00DD220F">
                              <w:rPr>
                                <w:rFonts w:cs="Arial"/>
                                <w:lang w:val="en-US"/>
                              </w:rPr>
                              <w:t>y/y</w:t>
                            </w:r>
                            <w:r w:rsidR="00605467">
                              <w:rPr>
                                <w:rFonts w:cs="Arial"/>
                                <w:lang w:val="en-US"/>
                              </w:rPr>
                              <w:t xml:space="preserve"> was </w:t>
                            </w:r>
                            <w:r w:rsidR="00AF23EB">
                              <w:rPr>
                                <w:rFonts w:cs="Arial"/>
                                <w:lang w:val="en-US"/>
                              </w:rPr>
                              <w:t>recorded in the majority of groups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4pt;margin-top:11.85pt;width:145.2pt;height:86.6pt;z-index:-2516418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" filled="f" stroked="f">
                <v:textbox>
                  <w:txbxContent>
                    <w:p w:rsidR="004C01EE" w:rsidRPr="000F4044" w:rsidRDefault="00EB27E5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906D08">
                        <w:rPr>
                          <w:rFonts w:cs="Arial"/>
                          <w:lang w:val="en-US"/>
                        </w:rPr>
                        <w:t xml:space="preserve">December </w:t>
                      </w:r>
                      <w:r w:rsidR="004633DD">
                        <w:rPr>
                          <w:rFonts w:cs="Arial"/>
                          <w:lang w:val="en-US"/>
                        </w:rPr>
                        <w:t>202</w:t>
                      </w:r>
                      <w:r w:rsidR="004F4C33">
                        <w:rPr>
                          <w:rFonts w:cs="Arial"/>
                          <w:lang w:val="en-US"/>
                        </w:rPr>
                        <w:t>1</w:t>
                      </w:r>
                      <w:r w:rsidR="0060546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AF23EB">
                        <w:rPr>
                          <w:rFonts w:cs="Arial"/>
                          <w:lang w:val="en-US"/>
                        </w:rPr>
                        <w:t>an</w:t>
                      </w:r>
                      <w:r w:rsidR="00BA0814">
                        <w:rPr>
                          <w:rFonts w:cs="Arial"/>
                          <w:lang w:val="en-US"/>
                        </w:rPr>
                        <w:t xml:space="preserve"> increase in retail sales </w:t>
                      </w:r>
                      <w:r w:rsidR="00DD220F">
                        <w:rPr>
                          <w:rFonts w:cs="Arial"/>
                          <w:lang w:val="en-US"/>
                        </w:rPr>
                        <w:t>y/y</w:t>
                      </w:r>
                      <w:r w:rsidR="00605467">
                        <w:rPr>
                          <w:rFonts w:cs="Arial"/>
                          <w:lang w:val="en-US"/>
                        </w:rPr>
                        <w:t xml:space="preserve"> was </w:t>
                      </w:r>
                      <w:r w:rsidR="00AF23EB">
                        <w:rPr>
                          <w:rFonts w:cs="Arial"/>
                          <w:lang w:val="en-US"/>
                        </w:rPr>
                        <w:t>recorded in the majority of groups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B0314E" w:rsidRDefault="001A468C" w:rsidP="00B90528">
      <w:pPr>
        <w:spacing w:after="240"/>
        <w:rPr>
          <w:szCs w:val="19"/>
          <w:lang w:val="en-US" w:eastAsia="pl-PL"/>
        </w:rPr>
      </w:pPr>
      <w:r w:rsidRPr="000F4D8F">
        <w:rPr>
          <w:spacing w:val="-4"/>
          <w:lang w:val="en-US" w:eastAsia="pl-PL"/>
        </w:rPr>
        <w:t>In</w:t>
      </w:r>
      <w:r w:rsidR="00FD3D8E" w:rsidRPr="000F4D8F">
        <w:rPr>
          <w:spacing w:val="-4"/>
          <w:lang w:val="en-US" w:eastAsia="pl-PL"/>
        </w:rPr>
        <w:t xml:space="preserve"> </w:t>
      </w:r>
      <w:r w:rsidR="00906D08">
        <w:rPr>
          <w:spacing w:val="-4"/>
          <w:lang w:val="en-US" w:eastAsia="pl-PL"/>
        </w:rPr>
        <w:t>Decem</w:t>
      </w:r>
      <w:r w:rsidR="00337210">
        <w:rPr>
          <w:spacing w:val="-4"/>
          <w:lang w:val="en-US" w:eastAsia="pl-PL"/>
        </w:rPr>
        <w:t>b</w:t>
      </w:r>
      <w:r w:rsidR="00143F7E">
        <w:rPr>
          <w:spacing w:val="-4"/>
          <w:lang w:val="en-US" w:eastAsia="pl-PL"/>
        </w:rPr>
        <w:t>er</w:t>
      </w:r>
      <w:r w:rsidR="00047EAE" w:rsidRPr="000F4D8F">
        <w:rPr>
          <w:spacing w:val="-4"/>
          <w:lang w:val="en-US" w:eastAsia="pl-PL"/>
        </w:rPr>
        <w:t xml:space="preserve"> 2021</w:t>
      </w:r>
      <w:r w:rsidR="006F2EE7">
        <w:rPr>
          <w:spacing w:val="-4"/>
          <w:lang w:val="en-US" w:eastAsia="pl-PL"/>
        </w:rPr>
        <w:t>,</w:t>
      </w:r>
      <w:r w:rsidR="00AF559C">
        <w:rPr>
          <w:spacing w:val="-4"/>
          <w:lang w:val="en-US" w:eastAsia="pl-PL"/>
        </w:rPr>
        <w:t xml:space="preserve"> </w:t>
      </w:r>
      <w:r w:rsidR="002E54B9" w:rsidRPr="000F4D8F">
        <w:rPr>
          <w:spacing w:val="-4"/>
          <w:lang w:val="en-US" w:eastAsia="pl-PL"/>
        </w:rPr>
        <w:t xml:space="preserve">the </w:t>
      </w:r>
      <w:r w:rsidR="00023F53" w:rsidRPr="000F4D8F">
        <w:rPr>
          <w:spacing w:val="-4"/>
          <w:lang w:val="en-US" w:eastAsia="pl-PL"/>
        </w:rPr>
        <w:t>largest</w:t>
      </w:r>
      <w:r w:rsidR="00AD3CEA" w:rsidRPr="000F4D8F">
        <w:rPr>
          <w:spacing w:val="-4"/>
          <w:lang w:val="en-US" w:eastAsia="pl-PL"/>
        </w:rPr>
        <w:t xml:space="preserve"> </w:t>
      </w:r>
      <w:r w:rsidR="00D52391" w:rsidRPr="000F4D8F">
        <w:rPr>
          <w:spacing w:val="-4"/>
          <w:lang w:val="en-US" w:eastAsia="pl-PL"/>
        </w:rPr>
        <w:t>in</w:t>
      </w:r>
      <w:r w:rsidR="002E54B9" w:rsidRPr="000F4D8F">
        <w:rPr>
          <w:spacing w:val="-4"/>
          <w:lang w:val="en-US" w:eastAsia="pl-PL"/>
        </w:rPr>
        <w:t xml:space="preserve">crease in retail sales </w:t>
      </w:r>
      <w:r w:rsidR="00A85C13" w:rsidRPr="000F4D8F">
        <w:rPr>
          <w:spacing w:val="-4"/>
          <w:lang w:val="en-US" w:eastAsia="pl-PL"/>
        </w:rPr>
        <w:t xml:space="preserve">(at constant prices) </w:t>
      </w:r>
      <w:r w:rsidRPr="000F4D8F">
        <w:rPr>
          <w:spacing w:val="-4"/>
          <w:lang w:val="en-US" w:eastAsia="pl-PL"/>
        </w:rPr>
        <w:t xml:space="preserve">compared </w:t>
      </w:r>
      <w:r w:rsidRPr="000F4D8F">
        <w:rPr>
          <w:rFonts w:cs="Arial"/>
          <w:spacing w:val="-4"/>
          <w:lang w:val="en-US"/>
        </w:rPr>
        <w:t xml:space="preserve">to the </w:t>
      </w:r>
      <w:r w:rsidR="005B66F7" w:rsidRPr="006F2EE7">
        <w:rPr>
          <w:rFonts w:cs="Arial"/>
          <w:lang w:val="en-US"/>
        </w:rPr>
        <w:t>corresponding period of</w:t>
      </w:r>
      <w:r w:rsidR="00047EAE" w:rsidRPr="006F2EE7">
        <w:rPr>
          <w:rFonts w:cs="Arial"/>
          <w:lang w:val="en-US"/>
        </w:rPr>
        <w:t xml:space="preserve"> 2020</w:t>
      </w:r>
      <w:r w:rsidR="006F2EE7" w:rsidRPr="006F2EE7">
        <w:rPr>
          <w:rFonts w:cs="Arial"/>
          <w:lang w:val="en-US"/>
        </w:rPr>
        <w:t xml:space="preserve"> </w:t>
      </w:r>
      <w:r w:rsidR="002E54B9" w:rsidRPr="006F2EE7">
        <w:rPr>
          <w:lang w:val="en-US" w:eastAsia="pl-PL"/>
        </w:rPr>
        <w:t>was</w:t>
      </w:r>
      <w:r w:rsidR="00A03C64" w:rsidRPr="006F2EE7">
        <w:rPr>
          <w:lang w:val="en-US" w:eastAsia="pl-PL"/>
        </w:rPr>
        <w:t xml:space="preserve"> </w:t>
      </w:r>
      <w:r w:rsidR="006F2EE7" w:rsidRPr="006F2EE7">
        <w:rPr>
          <w:lang w:val="en-US" w:eastAsia="pl-PL"/>
        </w:rPr>
        <w:t xml:space="preserve">still </w:t>
      </w:r>
      <w:r w:rsidR="00A03C64" w:rsidRPr="006F2EE7">
        <w:rPr>
          <w:lang w:val="en-US" w:eastAsia="pl-PL"/>
        </w:rPr>
        <w:t>re</w:t>
      </w:r>
      <w:r w:rsidR="004B494B">
        <w:rPr>
          <w:lang w:val="en-US" w:eastAsia="pl-PL"/>
        </w:rPr>
        <w:t>corded</w:t>
      </w:r>
      <w:r w:rsidR="00AD3CEA" w:rsidRPr="006F2EE7">
        <w:rPr>
          <w:lang w:val="en-US" w:eastAsia="pl-PL"/>
        </w:rPr>
        <w:t xml:space="preserve"> by</w:t>
      </w:r>
      <w:r w:rsidRPr="006F2EE7">
        <w:rPr>
          <w:lang w:val="en-US" w:eastAsia="pl-PL"/>
        </w:rPr>
        <w:t xml:space="preserve"> </w:t>
      </w:r>
      <w:r w:rsidR="000449A8" w:rsidRPr="006F2EE7">
        <w:rPr>
          <w:lang w:val="en-US" w:eastAsia="pl-PL"/>
        </w:rPr>
        <w:t xml:space="preserve">units </w:t>
      </w:r>
      <w:r w:rsidR="00D52391" w:rsidRPr="006F2EE7">
        <w:rPr>
          <w:lang w:val="en-US" w:eastAsia="pl-PL"/>
        </w:rPr>
        <w:t xml:space="preserve">trading in </w:t>
      </w:r>
      <w:r w:rsidR="00353C98" w:rsidRPr="006F2EE7">
        <w:rPr>
          <w:rFonts w:cs="Arial"/>
          <w:szCs w:val="19"/>
          <w:lang w:val="en-US"/>
        </w:rPr>
        <w:t>textiles, clothing, footwear</w:t>
      </w:r>
      <w:r w:rsidR="00353C98" w:rsidRPr="000F4D8F">
        <w:rPr>
          <w:rFonts w:cs="Arial"/>
          <w:spacing w:val="-4"/>
          <w:szCs w:val="19"/>
          <w:lang w:val="en-US"/>
        </w:rPr>
        <w:t xml:space="preserve"> </w:t>
      </w:r>
      <w:r w:rsidR="00EA7C26" w:rsidRPr="00B0314E">
        <w:rPr>
          <w:rFonts w:cs="Arial"/>
          <w:szCs w:val="19"/>
          <w:lang w:val="en-US"/>
        </w:rPr>
        <w:t>(by</w:t>
      </w:r>
      <w:r w:rsidR="00C564D2" w:rsidRPr="00B0314E">
        <w:rPr>
          <w:rFonts w:cs="Arial"/>
          <w:szCs w:val="19"/>
          <w:lang w:val="en-US"/>
        </w:rPr>
        <w:t> </w:t>
      </w:r>
      <w:r w:rsidR="006F2EE7" w:rsidRPr="00B0314E">
        <w:rPr>
          <w:rFonts w:cs="Arial"/>
          <w:szCs w:val="19"/>
          <w:lang w:val="en-US"/>
        </w:rPr>
        <w:t>31.1</w:t>
      </w:r>
      <w:r w:rsidR="00EA7C26" w:rsidRPr="00B0314E">
        <w:rPr>
          <w:rFonts w:cs="Arial"/>
          <w:szCs w:val="19"/>
          <w:lang w:val="en-US"/>
        </w:rPr>
        <w:t>% against a</w:t>
      </w:r>
      <w:r w:rsidR="00205E2F" w:rsidRPr="00B0314E">
        <w:rPr>
          <w:rFonts w:cs="Arial"/>
          <w:szCs w:val="19"/>
          <w:lang w:val="en-US"/>
        </w:rPr>
        <w:t xml:space="preserve"> </w:t>
      </w:r>
      <w:r w:rsidR="00DE6AE5" w:rsidRPr="00B0314E">
        <w:rPr>
          <w:rFonts w:cs="Arial"/>
          <w:szCs w:val="19"/>
          <w:lang w:val="en-US"/>
        </w:rPr>
        <w:t>de</w:t>
      </w:r>
      <w:r w:rsidR="00D52391" w:rsidRPr="00B0314E">
        <w:rPr>
          <w:rFonts w:cs="Arial"/>
          <w:szCs w:val="19"/>
          <w:lang w:val="en-US"/>
        </w:rPr>
        <w:t>crease</w:t>
      </w:r>
      <w:r w:rsidR="00EA7C26" w:rsidRPr="00B0314E">
        <w:rPr>
          <w:rFonts w:cs="Arial"/>
          <w:szCs w:val="19"/>
          <w:lang w:val="en-US"/>
        </w:rPr>
        <w:t xml:space="preserve"> of </w:t>
      </w:r>
      <w:r w:rsidR="006F2EE7" w:rsidRPr="00B0314E">
        <w:rPr>
          <w:rFonts w:cs="Arial"/>
          <w:szCs w:val="19"/>
          <w:lang w:val="en-US"/>
        </w:rPr>
        <w:t>10</w:t>
      </w:r>
      <w:r w:rsidR="00310F16" w:rsidRPr="00B0314E">
        <w:rPr>
          <w:rFonts w:cs="Arial"/>
          <w:szCs w:val="19"/>
          <w:lang w:val="en-US"/>
        </w:rPr>
        <w:t>.9</w:t>
      </w:r>
      <w:r w:rsidR="00EA7C26" w:rsidRPr="00B0314E">
        <w:rPr>
          <w:rFonts w:cs="Arial"/>
          <w:szCs w:val="19"/>
          <w:lang w:val="en-US"/>
        </w:rPr>
        <w:t xml:space="preserve">% the year before). </w:t>
      </w:r>
      <w:r w:rsidR="00505D4A" w:rsidRPr="00B0314E">
        <w:rPr>
          <w:rFonts w:cs="Arial"/>
          <w:szCs w:val="19"/>
          <w:lang w:val="en-US"/>
        </w:rPr>
        <w:t>H</w:t>
      </w:r>
      <w:r w:rsidR="0036191F" w:rsidRPr="00B0314E">
        <w:rPr>
          <w:rFonts w:cs="Arial"/>
          <w:szCs w:val="19"/>
          <w:lang w:val="en-US"/>
        </w:rPr>
        <w:t>igher sales than “total” sales</w:t>
      </w:r>
      <w:r w:rsidR="00AD741A">
        <w:rPr>
          <w:rFonts w:cs="Arial"/>
          <w:szCs w:val="19"/>
          <w:lang w:val="en-US"/>
        </w:rPr>
        <w:t>,</w:t>
      </w:r>
      <w:r w:rsidR="0036191F" w:rsidRPr="00B0314E">
        <w:rPr>
          <w:rFonts w:cs="Arial"/>
          <w:szCs w:val="19"/>
          <w:lang w:val="en-US"/>
        </w:rPr>
        <w:t xml:space="preserve"> </w:t>
      </w:r>
      <w:r w:rsidR="00AD741A" w:rsidRPr="00B0314E">
        <w:rPr>
          <w:szCs w:val="19"/>
          <w:lang w:val="en-US" w:eastAsia="pl-PL"/>
        </w:rPr>
        <w:t>among the categories presented</w:t>
      </w:r>
      <w:r w:rsidR="00AD741A">
        <w:rPr>
          <w:szCs w:val="19"/>
          <w:lang w:val="en-US" w:eastAsia="pl-PL"/>
        </w:rPr>
        <w:t>,</w:t>
      </w:r>
      <w:r w:rsidR="00AD741A" w:rsidRPr="00B0314E">
        <w:rPr>
          <w:rFonts w:cs="Arial"/>
          <w:szCs w:val="19"/>
          <w:lang w:val="en-US"/>
        </w:rPr>
        <w:t xml:space="preserve"> </w:t>
      </w:r>
      <w:r w:rsidR="0036191F" w:rsidRPr="00B0314E">
        <w:rPr>
          <w:rFonts w:cs="Arial"/>
          <w:szCs w:val="19"/>
          <w:lang w:val="en-US"/>
        </w:rPr>
        <w:t xml:space="preserve">were also observed </w:t>
      </w:r>
      <w:r w:rsidR="00D12726" w:rsidRPr="00B0314E">
        <w:rPr>
          <w:rFonts w:cs="Arial"/>
          <w:szCs w:val="19"/>
          <w:lang w:val="en-US"/>
        </w:rPr>
        <w:t xml:space="preserve">in </w:t>
      </w:r>
      <w:r w:rsidR="00FD3D8E" w:rsidRPr="00B0314E">
        <w:rPr>
          <w:rFonts w:cs="Arial"/>
          <w:szCs w:val="19"/>
          <w:lang w:val="en-US"/>
        </w:rPr>
        <w:t>the group</w:t>
      </w:r>
      <w:r w:rsidR="00310F16" w:rsidRPr="00B0314E">
        <w:rPr>
          <w:rFonts w:cs="Arial"/>
          <w:szCs w:val="19"/>
          <w:lang w:val="en-US"/>
        </w:rPr>
        <w:t>s:</w:t>
      </w:r>
      <w:r w:rsidR="00A04F19" w:rsidRPr="00B0314E">
        <w:rPr>
          <w:rFonts w:cs="Arial"/>
          <w:szCs w:val="19"/>
          <w:lang w:val="en-US"/>
        </w:rPr>
        <w:t xml:space="preserve"> “others” (by </w:t>
      </w:r>
      <w:r w:rsidR="00237575">
        <w:rPr>
          <w:rFonts w:cs="Arial"/>
          <w:szCs w:val="19"/>
          <w:lang w:val="en-US"/>
        </w:rPr>
        <w:t>20.3</w:t>
      </w:r>
      <w:r w:rsidR="00A04F19" w:rsidRPr="00B0314E">
        <w:rPr>
          <w:rFonts w:cs="Arial"/>
          <w:szCs w:val="19"/>
          <w:lang w:val="en-US"/>
        </w:rPr>
        <w:t>%)</w:t>
      </w:r>
      <w:r w:rsidR="00205E2F" w:rsidRPr="00B0314E">
        <w:rPr>
          <w:rFonts w:cs="Arial"/>
          <w:szCs w:val="19"/>
          <w:lang w:val="en-US"/>
        </w:rPr>
        <w:t xml:space="preserve"> and </w:t>
      </w:r>
      <w:r w:rsidR="00310F16" w:rsidRPr="00B0314E">
        <w:rPr>
          <w:rFonts w:cs="Arial"/>
          <w:szCs w:val="19"/>
          <w:lang w:val="en-US"/>
        </w:rPr>
        <w:t>“pharmace</w:t>
      </w:r>
      <w:r w:rsidR="004A70F5" w:rsidRPr="00B0314E">
        <w:rPr>
          <w:rFonts w:cs="Arial"/>
          <w:szCs w:val="19"/>
          <w:lang w:val="en-US"/>
        </w:rPr>
        <w:t>u</w:t>
      </w:r>
      <w:r w:rsidR="0027343F" w:rsidRPr="00B0314E">
        <w:rPr>
          <w:rFonts w:cs="Arial"/>
          <w:szCs w:val="19"/>
          <w:lang w:val="en-US"/>
        </w:rPr>
        <w:t>ticals, cosmetics, orthopae</w:t>
      </w:r>
      <w:r w:rsidR="00237575">
        <w:rPr>
          <w:rFonts w:cs="Arial"/>
          <w:szCs w:val="19"/>
          <w:lang w:val="en-US"/>
        </w:rPr>
        <w:t>dic equipment (by 18.8</w:t>
      </w:r>
      <w:r w:rsidR="00310F16" w:rsidRPr="00B0314E">
        <w:rPr>
          <w:rFonts w:cs="Arial"/>
          <w:szCs w:val="19"/>
          <w:lang w:val="en-US"/>
        </w:rPr>
        <w:t>%)</w:t>
      </w:r>
      <w:r w:rsidR="00205E2F" w:rsidRPr="00B0314E">
        <w:rPr>
          <w:rFonts w:cs="Arial"/>
          <w:szCs w:val="19"/>
          <w:lang w:val="en-US"/>
        </w:rPr>
        <w:t>.</w:t>
      </w:r>
      <w:r w:rsidR="00310F16" w:rsidRPr="00B0314E">
        <w:rPr>
          <w:rFonts w:cs="Arial"/>
          <w:szCs w:val="19"/>
          <w:lang w:val="en-US"/>
        </w:rPr>
        <w:t xml:space="preserve"> </w:t>
      </w:r>
      <w:r w:rsidR="00FD3D8E" w:rsidRPr="00B0314E">
        <w:rPr>
          <w:szCs w:val="19"/>
          <w:lang w:val="en-US" w:eastAsia="pl-PL"/>
        </w:rPr>
        <w:t>A decrease in sales</w:t>
      </w:r>
      <w:r w:rsidR="004B494B">
        <w:rPr>
          <w:szCs w:val="19"/>
          <w:lang w:val="en-US" w:eastAsia="pl-PL"/>
        </w:rPr>
        <w:t>, as in previous months,</w:t>
      </w:r>
      <w:r w:rsidR="00D95D0E" w:rsidRPr="00B0314E">
        <w:rPr>
          <w:szCs w:val="19"/>
          <w:lang w:val="en-US" w:eastAsia="pl-PL"/>
        </w:rPr>
        <w:t xml:space="preserve"> </w:t>
      </w:r>
      <w:r w:rsidR="00FD3D8E" w:rsidRPr="00B0314E">
        <w:rPr>
          <w:szCs w:val="19"/>
          <w:lang w:val="en-US" w:eastAsia="pl-PL"/>
        </w:rPr>
        <w:t>was reported</w:t>
      </w:r>
      <w:r w:rsidR="00D95D0E" w:rsidRPr="00B0314E">
        <w:rPr>
          <w:szCs w:val="19"/>
          <w:lang w:val="en-US" w:eastAsia="pl-PL"/>
        </w:rPr>
        <w:t xml:space="preserve"> </w:t>
      </w:r>
      <w:r w:rsidR="00FD3D8E" w:rsidRPr="00B0314E">
        <w:rPr>
          <w:szCs w:val="19"/>
          <w:lang w:val="en-US" w:eastAsia="pl-PL"/>
        </w:rPr>
        <w:t xml:space="preserve">by units </w:t>
      </w:r>
      <w:r w:rsidR="00463743" w:rsidRPr="00B0314E">
        <w:rPr>
          <w:szCs w:val="19"/>
          <w:lang w:val="en-US" w:eastAsia="pl-PL"/>
        </w:rPr>
        <w:t xml:space="preserve">selling </w:t>
      </w:r>
      <w:r w:rsidR="00A91A79" w:rsidRPr="00B0314E">
        <w:rPr>
          <w:szCs w:val="19"/>
          <w:lang w:val="en-US" w:eastAsia="pl-PL"/>
        </w:rPr>
        <w:t>mot</w:t>
      </w:r>
      <w:r w:rsidR="00143F7E" w:rsidRPr="00B0314E">
        <w:rPr>
          <w:szCs w:val="19"/>
          <w:lang w:val="en-US" w:eastAsia="pl-PL"/>
        </w:rPr>
        <w:t>or vehicles, motorcycles, parts</w:t>
      </w:r>
      <w:r w:rsidR="00A91A79" w:rsidRPr="00B0314E">
        <w:rPr>
          <w:szCs w:val="19"/>
          <w:lang w:val="en-US" w:eastAsia="pl-PL"/>
        </w:rPr>
        <w:t xml:space="preserve"> (by</w:t>
      </w:r>
      <w:r w:rsidR="00C564D2" w:rsidRPr="00B0314E">
        <w:rPr>
          <w:szCs w:val="19"/>
          <w:lang w:val="en-US" w:eastAsia="pl-PL"/>
        </w:rPr>
        <w:t> </w:t>
      </w:r>
      <w:r w:rsidR="004B494B">
        <w:rPr>
          <w:szCs w:val="19"/>
          <w:lang w:val="en-US" w:eastAsia="pl-PL"/>
        </w:rPr>
        <w:t>8.5</w:t>
      </w:r>
      <w:r w:rsidR="00A91A79" w:rsidRPr="00B0314E">
        <w:rPr>
          <w:szCs w:val="19"/>
          <w:lang w:val="en-US" w:eastAsia="pl-PL"/>
        </w:rPr>
        <w:t xml:space="preserve">%). </w:t>
      </w:r>
      <w:r w:rsidR="00713FF1" w:rsidRPr="00B0314E">
        <w:rPr>
          <w:spacing w:val="-4"/>
          <w:szCs w:val="19"/>
          <w:lang w:val="en-US" w:eastAsia="pl-PL"/>
        </w:rPr>
        <w:br/>
      </w:r>
      <w:r w:rsidR="003802B7" w:rsidRPr="00B0314E">
        <w:rPr>
          <w:szCs w:val="19"/>
          <w:lang w:val="en-US" w:eastAsia="pl-PL"/>
        </w:rPr>
        <w:t>I</w:t>
      </w:r>
      <w:r w:rsidR="00D9217F" w:rsidRPr="00B0314E">
        <w:rPr>
          <w:szCs w:val="19"/>
          <w:lang w:val="en-US" w:eastAsia="pl-PL"/>
        </w:rPr>
        <w:t>n</w:t>
      </w:r>
      <w:r w:rsidR="0071101A" w:rsidRPr="00B0314E">
        <w:rPr>
          <w:szCs w:val="19"/>
          <w:lang w:val="en-US" w:eastAsia="pl-PL"/>
        </w:rPr>
        <w:t xml:space="preserve"> </w:t>
      </w:r>
      <w:r w:rsidR="00C71271" w:rsidRPr="00B0314E">
        <w:rPr>
          <w:szCs w:val="19"/>
          <w:lang w:val="en-US" w:eastAsia="pl-PL"/>
        </w:rPr>
        <w:t>Decem</w:t>
      </w:r>
      <w:r w:rsidR="008C78F9" w:rsidRPr="00B0314E">
        <w:rPr>
          <w:szCs w:val="19"/>
          <w:lang w:val="en-US" w:eastAsia="pl-PL"/>
        </w:rPr>
        <w:t>b</w:t>
      </w:r>
      <w:r w:rsidR="005C2BBA" w:rsidRPr="00B0314E">
        <w:rPr>
          <w:szCs w:val="19"/>
          <w:lang w:val="en-US" w:eastAsia="pl-PL"/>
        </w:rPr>
        <w:t>er</w:t>
      </w:r>
      <w:r w:rsidR="00A73098" w:rsidRPr="00B0314E">
        <w:rPr>
          <w:szCs w:val="19"/>
          <w:lang w:val="en-US" w:eastAsia="pl-PL"/>
        </w:rPr>
        <w:t xml:space="preserve"> </w:t>
      </w:r>
      <w:r w:rsidR="00D9217F" w:rsidRPr="00B0314E">
        <w:rPr>
          <w:szCs w:val="19"/>
          <w:lang w:val="en-US" w:eastAsia="pl-PL"/>
        </w:rPr>
        <w:t>c</w:t>
      </w:r>
      <w:r w:rsidR="00832DB5" w:rsidRPr="00B0314E">
        <w:rPr>
          <w:szCs w:val="19"/>
          <w:lang w:val="en-US" w:eastAsia="pl-PL"/>
        </w:rPr>
        <w:t xml:space="preserve">ompared with </w:t>
      </w:r>
      <w:r w:rsidR="00205E2F" w:rsidRPr="00B0314E">
        <w:rPr>
          <w:szCs w:val="19"/>
          <w:lang w:val="en-US" w:eastAsia="pl-PL"/>
        </w:rPr>
        <w:t>Novem</w:t>
      </w:r>
      <w:r w:rsidR="005C2BBA" w:rsidRPr="00B0314E">
        <w:rPr>
          <w:szCs w:val="19"/>
          <w:lang w:val="en-US" w:eastAsia="pl-PL"/>
        </w:rPr>
        <w:t>ber</w:t>
      </w:r>
      <w:r w:rsidR="004C61D9" w:rsidRPr="00B0314E">
        <w:rPr>
          <w:szCs w:val="19"/>
          <w:lang w:val="en-US" w:eastAsia="pl-PL"/>
        </w:rPr>
        <w:t xml:space="preserve"> </w:t>
      </w:r>
      <w:r w:rsidR="004672EC">
        <w:rPr>
          <w:szCs w:val="19"/>
          <w:lang w:val="en-US" w:eastAsia="pl-PL"/>
        </w:rPr>
        <w:t>2021</w:t>
      </w:r>
      <w:r w:rsidR="00EA65C5" w:rsidRPr="00B0314E">
        <w:rPr>
          <w:szCs w:val="19"/>
          <w:lang w:val="en-US" w:eastAsia="pl-PL"/>
        </w:rPr>
        <w:t>,</w:t>
      </w:r>
      <w:r w:rsidR="00D9217F" w:rsidRPr="00B0314E">
        <w:rPr>
          <w:szCs w:val="19"/>
          <w:lang w:val="en-US" w:eastAsia="pl-PL"/>
        </w:rPr>
        <w:t xml:space="preserve"> a</w:t>
      </w:r>
      <w:r w:rsidR="00796E7C" w:rsidRPr="00B0314E">
        <w:rPr>
          <w:szCs w:val="19"/>
          <w:lang w:val="en-US" w:eastAsia="pl-PL"/>
        </w:rPr>
        <w:t>n</w:t>
      </w:r>
      <w:r w:rsidR="00D9217F" w:rsidRPr="00B0314E">
        <w:rPr>
          <w:szCs w:val="19"/>
          <w:lang w:val="en-US" w:eastAsia="pl-PL"/>
        </w:rPr>
        <w:t xml:space="preserve"> </w:t>
      </w:r>
      <w:r w:rsidR="00796E7C" w:rsidRPr="00B0314E">
        <w:rPr>
          <w:szCs w:val="19"/>
          <w:lang w:val="en-US" w:eastAsia="pl-PL"/>
        </w:rPr>
        <w:t>in</w:t>
      </w:r>
      <w:r w:rsidR="000D004E" w:rsidRPr="00B0314E">
        <w:rPr>
          <w:szCs w:val="19"/>
          <w:lang w:val="en-US" w:eastAsia="pl-PL"/>
        </w:rPr>
        <w:t>crease</w:t>
      </w:r>
      <w:r w:rsidR="00EA65C5" w:rsidRPr="00B0314E">
        <w:rPr>
          <w:szCs w:val="19"/>
          <w:lang w:val="en-US" w:eastAsia="pl-PL"/>
        </w:rPr>
        <w:t xml:space="preserve"> in retail sales</w:t>
      </w:r>
      <w:r w:rsidR="003802B7" w:rsidRPr="00B0314E">
        <w:rPr>
          <w:szCs w:val="19"/>
          <w:lang w:val="en-US" w:eastAsia="pl-PL"/>
        </w:rPr>
        <w:t xml:space="preserve"> value</w:t>
      </w:r>
      <w:r w:rsidR="00EA65C5" w:rsidRPr="00B0314E">
        <w:rPr>
          <w:szCs w:val="19"/>
          <w:lang w:val="en-US" w:eastAsia="pl-PL"/>
        </w:rPr>
        <w:t xml:space="preserve"> via Internet </w:t>
      </w:r>
      <w:r w:rsidR="004E2CD5" w:rsidRPr="00B0314E">
        <w:rPr>
          <w:szCs w:val="19"/>
          <w:lang w:val="en-US" w:eastAsia="pl-PL"/>
        </w:rPr>
        <w:t>at</w:t>
      </w:r>
      <w:r w:rsidR="00B61E73">
        <w:rPr>
          <w:szCs w:val="19"/>
          <w:lang w:val="en-US" w:eastAsia="pl-PL"/>
        </w:rPr>
        <w:t> </w:t>
      </w:r>
      <w:r w:rsidR="004E2CD5" w:rsidRPr="00B0314E">
        <w:rPr>
          <w:szCs w:val="19"/>
          <w:lang w:val="en-US" w:eastAsia="pl-PL"/>
        </w:rPr>
        <w:t xml:space="preserve">current prices </w:t>
      </w:r>
      <w:r w:rsidR="00EA65C5" w:rsidRPr="00B0314E">
        <w:rPr>
          <w:szCs w:val="19"/>
          <w:lang w:val="en-US" w:eastAsia="pl-PL"/>
        </w:rPr>
        <w:t>was recorded</w:t>
      </w:r>
      <w:r w:rsidR="00D9217F" w:rsidRPr="00B0314E">
        <w:rPr>
          <w:szCs w:val="19"/>
          <w:lang w:val="en-US" w:eastAsia="pl-PL"/>
        </w:rPr>
        <w:t xml:space="preserve"> (by </w:t>
      </w:r>
      <w:r w:rsidR="007A5EB7">
        <w:rPr>
          <w:szCs w:val="19"/>
          <w:lang w:val="en-US" w:eastAsia="pl-PL"/>
        </w:rPr>
        <w:t>3.2</w:t>
      </w:r>
      <w:r w:rsidR="00D9217F" w:rsidRPr="00B0314E">
        <w:rPr>
          <w:szCs w:val="19"/>
          <w:lang w:val="en-US" w:eastAsia="pl-PL"/>
        </w:rPr>
        <w:t>%)</w:t>
      </w:r>
      <w:r w:rsidR="00F84171" w:rsidRPr="00B0314E">
        <w:rPr>
          <w:szCs w:val="19"/>
          <w:lang w:val="en-US" w:eastAsia="pl-PL"/>
        </w:rPr>
        <w:t>.</w:t>
      </w:r>
      <w:r w:rsidR="009D09A5" w:rsidRPr="00B0314E">
        <w:rPr>
          <w:szCs w:val="19"/>
          <w:lang w:val="en-US" w:eastAsia="pl-PL"/>
        </w:rPr>
        <w:t xml:space="preserve"> </w:t>
      </w:r>
      <w:r w:rsidR="00F84171" w:rsidRPr="00B0314E">
        <w:rPr>
          <w:szCs w:val="19"/>
          <w:lang w:val="en-US" w:eastAsia="pl-PL"/>
        </w:rPr>
        <w:t>T</w:t>
      </w:r>
      <w:r w:rsidR="004E2CD5" w:rsidRPr="00B0314E">
        <w:rPr>
          <w:szCs w:val="19"/>
          <w:lang w:val="en-US" w:eastAsia="pl-PL"/>
        </w:rPr>
        <w:t xml:space="preserve">he share of such sales </w:t>
      </w:r>
      <w:r w:rsidR="00BE4966">
        <w:rPr>
          <w:szCs w:val="19"/>
          <w:lang w:val="en-US" w:eastAsia="pl-PL"/>
        </w:rPr>
        <w:t>decreased from 11</w:t>
      </w:r>
      <w:r w:rsidR="00E70BA6" w:rsidRPr="00B0314E">
        <w:rPr>
          <w:szCs w:val="19"/>
          <w:lang w:val="en-US" w:eastAsia="pl-PL"/>
        </w:rPr>
        <w:t>.4%</w:t>
      </w:r>
      <w:r w:rsidR="007C3BC1" w:rsidRPr="00B0314E">
        <w:rPr>
          <w:szCs w:val="19"/>
          <w:lang w:val="en-US" w:eastAsia="pl-PL"/>
        </w:rPr>
        <w:t xml:space="preserve"> </w:t>
      </w:r>
      <w:r w:rsidR="00A06718" w:rsidRPr="00B0314E">
        <w:rPr>
          <w:szCs w:val="19"/>
          <w:lang w:val="en-US" w:eastAsia="pl-PL"/>
        </w:rPr>
        <w:t>in</w:t>
      </w:r>
      <w:r w:rsidR="00B61E73">
        <w:rPr>
          <w:szCs w:val="19"/>
          <w:lang w:val="en-US" w:eastAsia="pl-PL"/>
        </w:rPr>
        <w:t> </w:t>
      </w:r>
      <w:r w:rsidR="00BE4966">
        <w:rPr>
          <w:szCs w:val="19"/>
          <w:lang w:val="en-US" w:eastAsia="pl-PL"/>
        </w:rPr>
        <w:t>Novem</w:t>
      </w:r>
      <w:r w:rsidR="00A06718" w:rsidRPr="00B0314E">
        <w:rPr>
          <w:szCs w:val="19"/>
          <w:lang w:val="en-US" w:eastAsia="pl-PL"/>
        </w:rPr>
        <w:t xml:space="preserve">ber </w:t>
      </w:r>
      <w:r w:rsidR="00E70BA6" w:rsidRPr="00B0314E">
        <w:rPr>
          <w:szCs w:val="19"/>
          <w:lang w:val="en-US" w:eastAsia="pl-PL"/>
        </w:rPr>
        <w:t>to 1</w:t>
      </w:r>
      <w:r w:rsidR="00BE4966">
        <w:rPr>
          <w:szCs w:val="19"/>
          <w:lang w:val="en-US" w:eastAsia="pl-PL"/>
        </w:rPr>
        <w:t>0.2</w:t>
      </w:r>
      <w:r w:rsidR="00E70BA6" w:rsidRPr="00B0314E">
        <w:rPr>
          <w:szCs w:val="19"/>
          <w:lang w:val="en-US" w:eastAsia="pl-PL"/>
        </w:rPr>
        <w:t>%</w:t>
      </w:r>
      <w:r w:rsidR="00A06718" w:rsidRPr="00B0314E">
        <w:rPr>
          <w:szCs w:val="19"/>
          <w:lang w:val="en-US" w:eastAsia="pl-PL"/>
        </w:rPr>
        <w:t xml:space="preserve"> in </w:t>
      </w:r>
      <w:r w:rsidR="00BE4966">
        <w:rPr>
          <w:szCs w:val="19"/>
          <w:lang w:val="en-US" w:eastAsia="pl-PL"/>
        </w:rPr>
        <w:t>Dec</w:t>
      </w:r>
      <w:r w:rsidR="00A06718" w:rsidRPr="00B0314E">
        <w:rPr>
          <w:szCs w:val="19"/>
          <w:lang w:val="en-US" w:eastAsia="pl-PL"/>
        </w:rPr>
        <w:t xml:space="preserve">ember </w:t>
      </w:r>
      <w:r w:rsidR="004672EC">
        <w:rPr>
          <w:szCs w:val="19"/>
          <w:lang w:val="en-US" w:eastAsia="pl-PL"/>
        </w:rPr>
        <w:t>2021</w:t>
      </w:r>
      <w:r w:rsidR="00E70BA6" w:rsidRPr="00B0314E">
        <w:rPr>
          <w:szCs w:val="19"/>
          <w:lang w:val="en-US" w:eastAsia="pl-PL"/>
        </w:rPr>
        <w:t xml:space="preserve">. </w:t>
      </w:r>
      <w:r w:rsidR="00E95BFC" w:rsidRPr="00B0314E">
        <w:rPr>
          <w:szCs w:val="19"/>
          <w:lang w:val="en-US" w:eastAsia="pl-PL"/>
        </w:rPr>
        <w:t>The</w:t>
      </w:r>
      <w:r w:rsidR="00B3020A" w:rsidRPr="00B0314E">
        <w:rPr>
          <w:szCs w:val="19"/>
          <w:lang w:val="en-US" w:eastAsia="pl-PL"/>
        </w:rPr>
        <w:t> </w:t>
      </w:r>
      <w:r w:rsidR="00E95BFC" w:rsidRPr="00B0314E">
        <w:rPr>
          <w:szCs w:val="19"/>
          <w:lang w:val="en-US" w:eastAsia="pl-PL"/>
        </w:rPr>
        <w:t xml:space="preserve">highest </w:t>
      </w:r>
      <w:r w:rsidR="00AD741A">
        <w:rPr>
          <w:szCs w:val="19"/>
          <w:lang w:val="en-US" w:eastAsia="pl-PL"/>
        </w:rPr>
        <w:t>de</w:t>
      </w:r>
      <w:r w:rsidR="003C65DF" w:rsidRPr="00B0314E">
        <w:rPr>
          <w:szCs w:val="19"/>
          <w:lang w:val="en-US" w:eastAsia="pl-PL"/>
        </w:rPr>
        <w:t>crease</w:t>
      </w:r>
      <w:r w:rsidR="003E3153" w:rsidRPr="00B0314E">
        <w:rPr>
          <w:szCs w:val="19"/>
          <w:lang w:val="en-US" w:eastAsia="pl-PL"/>
        </w:rPr>
        <w:t xml:space="preserve"> in the share of sales</w:t>
      </w:r>
      <w:r w:rsidR="003C65DF" w:rsidRPr="00B0314E">
        <w:rPr>
          <w:szCs w:val="19"/>
          <w:lang w:val="en-US" w:eastAsia="pl-PL"/>
        </w:rPr>
        <w:t xml:space="preserve"> </w:t>
      </w:r>
      <w:r w:rsidR="00E70BA6" w:rsidRPr="00B0314E">
        <w:rPr>
          <w:szCs w:val="19"/>
          <w:lang w:val="en-US" w:eastAsia="pl-PL"/>
        </w:rPr>
        <w:t xml:space="preserve">was </w:t>
      </w:r>
      <w:r w:rsidR="00F02FA5" w:rsidRPr="00B0314E">
        <w:rPr>
          <w:szCs w:val="19"/>
          <w:lang w:val="en-US" w:eastAsia="pl-PL"/>
        </w:rPr>
        <w:t>reported</w:t>
      </w:r>
      <w:r w:rsidR="007439A7" w:rsidRPr="00B0314E">
        <w:rPr>
          <w:szCs w:val="19"/>
          <w:lang w:val="en-US" w:eastAsia="pl-PL"/>
        </w:rPr>
        <w:t xml:space="preserve"> by enterprises classified into the group</w:t>
      </w:r>
      <w:r w:rsidR="00E70BA6" w:rsidRPr="00B0314E">
        <w:rPr>
          <w:szCs w:val="19"/>
          <w:lang w:val="en-US" w:eastAsia="pl-PL"/>
        </w:rPr>
        <w:t>s:</w:t>
      </w:r>
      <w:r w:rsidR="00B34D48" w:rsidRPr="00B0314E">
        <w:rPr>
          <w:szCs w:val="19"/>
          <w:lang w:val="en-US" w:eastAsia="pl-PL"/>
        </w:rPr>
        <w:t xml:space="preserve"> </w:t>
      </w:r>
      <w:r w:rsidR="00E70BA6" w:rsidRPr="00B0314E">
        <w:rPr>
          <w:szCs w:val="19"/>
          <w:lang w:val="en-US" w:eastAsia="pl-PL"/>
        </w:rPr>
        <w:t>“</w:t>
      </w:r>
      <w:r w:rsidR="00E70BA6" w:rsidRPr="00B0314E">
        <w:rPr>
          <w:rFonts w:cs="Arial"/>
          <w:szCs w:val="19"/>
          <w:lang w:val="en-US"/>
        </w:rPr>
        <w:t>textiles, clothing, footwear</w:t>
      </w:r>
      <w:r w:rsidR="00E95BFC" w:rsidRPr="00B0314E">
        <w:rPr>
          <w:szCs w:val="19"/>
          <w:lang w:val="en-US" w:eastAsia="pl-PL"/>
        </w:rPr>
        <w:t xml:space="preserve">” </w:t>
      </w:r>
      <w:r w:rsidR="00C4368B" w:rsidRPr="00B0314E">
        <w:rPr>
          <w:szCs w:val="19"/>
          <w:lang w:val="en-US" w:eastAsia="pl-PL"/>
        </w:rPr>
        <w:t>(from</w:t>
      </w:r>
      <w:r w:rsidR="004E36D5" w:rsidRPr="00B0314E">
        <w:rPr>
          <w:szCs w:val="19"/>
          <w:lang w:val="en-US" w:eastAsia="pl-PL"/>
        </w:rPr>
        <w:t xml:space="preserve"> </w:t>
      </w:r>
      <w:r w:rsidR="00AD741A">
        <w:rPr>
          <w:szCs w:val="19"/>
          <w:lang w:val="en-US" w:eastAsia="pl-PL"/>
        </w:rPr>
        <w:t>28.6</w:t>
      </w:r>
      <w:r w:rsidR="00C4368B" w:rsidRPr="00B0314E">
        <w:rPr>
          <w:szCs w:val="19"/>
          <w:lang w:val="en-US" w:eastAsia="pl-PL"/>
        </w:rPr>
        <w:t xml:space="preserve">% </w:t>
      </w:r>
      <w:r w:rsidR="00B5714B" w:rsidRPr="00B0314E">
        <w:rPr>
          <w:szCs w:val="19"/>
          <w:lang w:val="en-US" w:eastAsia="pl-PL"/>
        </w:rPr>
        <w:t>a</w:t>
      </w:r>
      <w:r w:rsidR="00B61E73">
        <w:rPr>
          <w:szCs w:val="19"/>
          <w:lang w:val="en-US" w:eastAsia="pl-PL"/>
        </w:rPr>
        <w:t> </w:t>
      </w:r>
      <w:r w:rsidR="00B5714B" w:rsidRPr="00B0314E">
        <w:rPr>
          <w:szCs w:val="19"/>
          <w:lang w:val="en-US" w:eastAsia="pl-PL"/>
        </w:rPr>
        <w:t xml:space="preserve">month ago </w:t>
      </w:r>
      <w:r w:rsidR="00C4368B" w:rsidRPr="00B0314E">
        <w:rPr>
          <w:szCs w:val="19"/>
          <w:lang w:val="en-US" w:eastAsia="pl-PL"/>
        </w:rPr>
        <w:t>to</w:t>
      </w:r>
      <w:r w:rsidR="00064736" w:rsidRPr="00B0314E">
        <w:rPr>
          <w:szCs w:val="19"/>
          <w:lang w:val="en-US" w:eastAsia="pl-PL"/>
        </w:rPr>
        <w:t xml:space="preserve"> </w:t>
      </w:r>
      <w:r w:rsidR="00AD741A">
        <w:rPr>
          <w:szCs w:val="19"/>
          <w:lang w:val="en-US" w:eastAsia="pl-PL"/>
        </w:rPr>
        <w:t>24.0</w:t>
      </w:r>
      <w:r w:rsidR="00E70BA6" w:rsidRPr="00B0314E">
        <w:rPr>
          <w:szCs w:val="19"/>
          <w:lang w:val="en-US" w:eastAsia="pl-PL"/>
        </w:rPr>
        <w:t xml:space="preserve">%), </w:t>
      </w:r>
      <w:r w:rsidR="00E95BFC" w:rsidRPr="00B0314E">
        <w:rPr>
          <w:szCs w:val="19"/>
          <w:lang w:val="en-US" w:eastAsia="pl-PL"/>
        </w:rPr>
        <w:t xml:space="preserve">“newspapers, books, other sale in specialized stores” </w:t>
      </w:r>
      <w:r w:rsidR="008F4F49" w:rsidRPr="00B0314E">
        <w:rPr>
          <w:szCs w:val="19"/>
          <w:lang w:val="en-US" w:eastAsia="pl-PL"/>
        </w:rPr>
        <w:t xml:space="preserve">(from </w:t>
      </w:r>
      <w:r w:rsidR="00AD741A">
        <w:rPr>
          <w:szCs w:val="19"/>
          <w:lang w:val="en-US" w:eastAsia="pl-PL"/>
        </w:rPr>
        <w:t>26</w:t>
      </w:r>
      <w:r w:rsidR="00BA7A43" w:rsidRPr="00B0314E">
        <w:rPr>
          <w:szCs w:val="19"/>
          <w:lang w:val="en-US" w:eastAsia="pl-PL"/>
        </w:rPr>
        <w:t>.</w:t>
      </w:r>
      <w:r w:rsidR="00AD741A">
        <w:rPr>
          <w:szCs w:val="19"/>
          <w:lang w:val="en-US" w:eastAsia="pl-PL"/>
        </w:rPr>
        <w:t>6</w:t>
      </w:r>
      <w:r w:rsidR="00BA7A43" w:rsidRPr="00B0314E">
        <w:rPr>
          <w:szCs w:val="19"/>
          <w:lang w:val="en-US" w:eastAsia="pl-PL"/>
        </w:rPr>
        <w:t>% to</w:t>
      </w:r>
      <w:r w:rsidR="00B61E73">
        <w:rPr>
          <w:szCs w:val="19"/>
          <w:lang w:val="en-US" w:eastAsia="pl-PL"/>
        </w:rPr>
        <w:t> </w:t>
      </w:r>
      <w:r w:rsidR="00AD741A">
        <w:rPr>
          <w:szCs w:val="19"/>
          <w:lang w:val="en-US" w:eastAsia="pl-PL"/>
        </w:rPr>
        <w:t>23</w:t>
      </w:r>
      <w:r w:rsidR="00BA7A43" w:rsidRPr="00B0314E">
        <w:rPr>
          <w:szCs w:val="19"/>
          <w:lang w:val="en-US" w:eastAsia="pl-PL"/>
        </w:rPr>
        <w:t>.</w:t>
      </w:r>
      <w:r w:rsidR="00AD741A">
        <w:rPr>
          <w:szCs w:val="19"/>
          <w:lang w:val="en-US" w:eastAsia="pl-PL"/>
        </w:rPr>
        <w:t>2</w:t>
      </w:r>
      <w:r w:rsidR="00BA7A43" w:rsidRPr="00B0314E">
        <w:rPr>
          <w:szCs w:val="19"/>
          <w:lang w:val="en-US" w:eastAsia="pl-PL"/>
        </w:rPr>
        <w:t>% respectively)</w:t>
      </w:r>
      <w:r w:rsidR="00E70BA6" w:rsidRPr="00B0314E">
        <w:rPr>
          <w:szCs w:val="19"/>
          <w:lang w:val="en-US" w:eastAsia="pl-PL"/>
        </w:rPr>
        <w:t xml:space="preserve"> and “furniture, radio, TV a</w:t>
      </w:r>
      <w:r w:rsidR="00AD741A">
        <w:rPr>
          <w:szCs w:val="19"/>
          <w:lang w:val="en-US" w:eastAsia="pl-PL"/>
        </w:rPr>
        <w:t>nd household appliances” from 20.3</w:t>
      </w:r>
      <w:r w:rsidR="00E70BA6" w:rsidRPr="00B0314E">
        <w:rPr>
          <w:szCs w:val="19"/>
          <w:lang w:val="en-US" w:eastAsia="pl-PL"/>
        </w:rPr>
        <w:t xml:space="preserve">% to </w:t>
      </w:r>
      <w:r w:rsidR="00AD741A">
        <w:rPr>
          <w:szCs w:val="19"/>
          <w:lang w:val="en-US" w:eastAsia="pl-PL"/>
        </w:rPr>
        <w:t>17.5</w:t>
      </w:r>
      <w:r w:rsidR="00E70BA6" w:rsidRPr="00B0314E">
        <w:rPr>
          <w:szCs w:val="19"/>
          <w:lang w:val="en-US" w:eastAsia="pl-PL"/>
        </w:rPr>
        <w:t>%).</w:t>
      </w:r>
    </w:p>
    <w:p w:rsidR="001B1379" w:rsidRDefault="008C6D41" w:rsidP="00B90528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5259CA" w:rsidRDefault="00B90528" w:rsidP="004C5861">
      <w:pPr>
        <w:pStyle w:val="tytuwykresu"/>
        <w:spacing w:after="0"/>
        <w:rPr>
          <w:shd w:val="clear" w:color="auto" w:fill="FFFFFF"/>
          <w:lang w:val="en-US"/>
        </w:rPr>
      </w:pPr>
      <w:r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92384" behindDoc="0" locked="0" layoutInCell="1" allowOverlap="1" wp14:anchorId="55D5E989" wp14:editId="0A6D0E68">
            <wp:simplePos x="0" y="0"/>
            <wp:positionH relativeFrom="margin">
              <wp:posOffset>0</wp:posOffset>
            </wp:positionH>
            <wp:positionV relativeFrom="margin">
              <wp:posOffset>4777740</wp:posOffset>
            </wp:positionV>
            <wp:extent cx="5118735" cy="2532380"/>
            <wp:effectExtent l="0" t="0" r="5715" b="1270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:rsidR="00667CFF" w:rsidRPr="00275391" w:rsidRDefault="00A808AA" w:rsidP="00667CFF">
      <w:pPr>
        <w:pStyle w:val="Nagwek1"/>
        <w:rPr>
          <w:rFonts w:ascii="Fira Sans" w:hAnsi="Fira Sans" w:cs="Arial"/>
          <w:b/>
          <w:color w:val="auto"/>
          <w:sz w:val="18"/>
          <w:szCs w:val="18"/>
          <w:lang w:val="en-US"/>
        </w:rPr>
      </w:pPr>
      <w:r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1A005A" w:rsidRPr="00413C1A" w:rsidTr="008076D0">
        <w:trPr>
          <w:gridAfter w:val="3"/>
          <w:wAfter w:w="3402" w:type="dxa"/>
          <w:cantSplit/>
          <w:trHeight w:val="406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1A005A" w:rsidRPr="00413C1A" w:rsidTr="008076D0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1C35BF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B610C3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1C35BF" w:rsidP="008F526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01-12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1A005A" w:rsidRPr="00E8308F" w:rsidTr="008076D0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A005A" w:rsidRPr="00413C1A" w:rsidRDefault="001A005A" w:rsidP="008076D0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A005A" w:rsidRPr="00413C1A" w:rsidRDefault="001C35BF" w:rsidP="00FA5EA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1A005A" w:rsidRPr="00272B8C">
              <w:rPr>
                <w:rFonts w:cs="Arial"/>
                <w:sz w:val="16"/>
                <w:szCs w:val="16"/>
              </w:rPr>
              <w:t xml:space="preserve"> 20</w:t>
            </w:r>
            <w:r w:rsidR="00723956" w:rsidRPr="00272B8C">
              <w:rPr>
                <w:rFonts w:cs="Arial"/>
                <w:sz w:val="16"/>
                <w:szCs w:val="16"/>
              </w:rPr>
              <w:t>21</w:t>
            </w:r>
            <w:r w:rsidR="001A005A" w:rsidRPr="00272B8C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413C1A" w:rsidRDefault="001C35BF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 xml:space="preserve"> 2020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E8308F" w:rsidRDefault="001C35BF" w:rsidP="001C35BF">
            <w:pPr>
              <w:spacing w:after="0" w:line="240" w:lineRule="auto"/>
              <w:jc w:val="center"/>
              <w:rPr>
                <w:rFonts w:cs="Arial"/>
                <w:color w:val="000000"/>
                <w:spacing w:val="-10"/>
                <w:sz w:val="16"/>
                <w:szCs w:val="16"/>
              </w:rPr>
            </w:pPr>
            <w:r w:rsidRPr="00E8308F">
              <w:rPr>
                <w:rFonts w:cs="Arial"/>
                <w:color w:val="000000"/>
                <w:spacing w:val="-10"/>
                <w:sz w:val="16"/>
                <w:szCs w:val="16"/>
              </w:rPr>
              <w:t>01-12</w:t>
            </w:r>
            <w:r w:rsidR="001A005A" w:rsidRPr="00E8308F">
              <w:rPr>
                <w:rFonts w:cs="Arial"/>
                <w:color w:val="000000"/>
                <w:spacing w:val="-10"/>
                <w:sz w:val="16"/>
                <w:szCs w:val="16"/>
              </w:rPr>
              <w:t xml:space="preserve"> </w:t>
            </w:r>
            <w:r w:rsidRPr="00E8308F">
              <w:rPr>
                <w:rFonts w:cs="Arial"/>
                <w:color w:val="000000"/>
                <w:spacing w:val="-10"/>
                <w:sz w:val="16"/>
                <w:szCs w:val="16"/>
              </w:rPr>
              <w:t xml:space="preserve"> </w:t>
            </w:r>
            <w:r w:rsidR="001A005A" w:rsidRPr="00E8308F">
              <w:rPr>
                <w:rFonts w:cs="Arial"/>
                <w:color w:val="000000"/>
                <w:spacing w:val="-10"/>
                <w:sz w:val="16"/>
                <w:szCs w:val="16"/>
              </w:rPr>
              <w:t>20</w:t>
            </w:r>
            <w:r w:rsidR="00723956" w:rsidRPr="00E8308F">
              <w:rPr>
                <w:rFonts w:cs="Arial"/>
                <w:color w:val="000000"/>
                <w:spacing w:val="-10"/>
                <w:sz w:val="16"/>
                <w:szCs w:val="16"/>
              </w:rPr>
              <w:t>20</w:t>
            </w:r>
            <w:r w:rsidR="001A005A" w:rsidRPr="00E8308F">
              <w:rPr>
                <w:rFonts w:cs="Arial"/>
                <w:color w:val="000000"/>
                <w:spacing w:val="-10"/>
                <w:sz w:val="16"/>
                <w:szCs w:val="16"/>
              </w:rPr>
              <w:t>=100</w:t>
            </w:r>
          </w:p>
        </w:tc>
      </w:tr>
      <w:tr w:rsidR="00725B20" w:rsidRPr="00F2453E" w:rsidTr="008076D0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725B20" w:rsidRPr="00413C1A" w:rsidRDefault="00725B20" w:rsidP="00725B20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114.</w:t>
            </w:r>
            <w:r w:rsidR="00725B20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</w:t>
            </w:r>
            <w:r w:rsidR="00725B20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</w:t>
            </w:r>
            <w:r w:rsidR="00725B20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25B20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25B20" w:rsidRPr="00F2453E" w:rsidRDefault="00725B20" w:rsidP="00725B20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725B20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725B20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725B20" w:rsidP="00725B2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25B20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25B20" w:rsidRPr="00F2453E" w:rsidRDefault="00725B20" w:rsidP="00725B2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725B20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25B20" w:rsidRPr="00413C1A" w:rsidRDefault="00725B20" w:rsidP="00725B2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725B20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25B20" w:rsidRPr="00413C1A" w:rsidRDefault="00725B20" w:rsidP="00725B2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725B20" w:rsidRPr="00413C1A" w:rsidTr="008076D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25B20" w:rsidRPr="00413C1A" w:rsidRDefault="00725B20" w:rsidP="00725B2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725B20" w:rsidP="00725B2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725B20" w:rsidP="00725B2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725B20" w:rsidP="00725B2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725B20" w:rsidRPr="00A44D35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25B20" w:rsidRPr="00413C1A" w:rsidRDefault="00725B20" w:rsidP="00725B2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725B20" w:rsidRPr="00A44D35" w:rsidTr="008076D0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725B20" w:rsidRPr="00413C1A" w:rsidRDefault="00725B20" w:rsidP="00725B2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725B20" w:rsidRPr="00A44D35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25B20" w:rsidRPr="00413C1A" w:rsidRDefault="00725B20" w:rsidP="00725B2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725B20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25B20" w:rsidRPr="00413C1A" w:rsidRDefault="00725B20" w:rsidP="00725B2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725B20" w:rsidRPr="009E4A91" w:rsidTr="008076D0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25B20" w:rsidRPr="00413C1A" w:rsidRDefault="00725B20" w:rsidP="00725B2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25B20" w:rsidRPr="00F156AE" w:rsidRDefault="00926F49" w:rsidP="00725B2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725B2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A556DA" w:rsidRDefault="00A556DA" w:rsidP="00B67AB9">
      <w:pPr>
        <w:rPr>
          <w:rFonts w:eastAsia="Times New Roman" w:cs="Arial"/>
          <w:b/>
          <w:bCs/>
          <w:szCs w:val="24"/>
          <w:lang w:val="en-US" w:eastAsia="pl-PL"/>
        </w:rPr>
      </w:pPr>
    </w:p>
    <w:p w:rsidR="00B67AB9" w:rsidRDefault="00B67AB9" w:rsidP="00B67AB9">
      <w:pPr>
        <w:rPr>
          <w:rFonts w:eastAsia="Times New Roman" w:cs="Arial"/>
          <w:b/>
          <w:bCs/>
          <w:sz w:val="18"/>
          <w:szCs w:val="18"/>
          <w:lang w:val="en-US" w:eastAsia="pl-PL"/>
        </w:rPr>
      </w:pPr>
      <w:r w:rsidRPr="00275391">
        <w:rPr>
          <w:rFonts w:eastAsia="Times New Roman" w:cs="Arial"/>
          <w:b/>
          <w:bCs/>
          <w:sz w:val="18"/>
          <w:szCs w:val="18"/>
          <w:lang w:val="en-US" w:eastAsia="pl-PL"/>
        </w:rPr>
        <w:t>Table 2. Index numbers of retail sales (current prices)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906D08" w:rsidRPr="00906D08" w:rsidTr="001E2A14">
        <w:trPr>
          <w:gridAfter w:val="4"/>
          <w:wAfter w:w="4536" w:type="dxa"/>
          <w:cantSplit/>
          <w:trHeight w:val="600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906D08" w:rsidRPr="00906D08" w:rsidRDefault="000830C4" w:rsidP="00906D08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906D08" w:rsidRPr="00906D08" w:rsidTr="001E2A14">
        <w:trPr>
          <w:cantSplit/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:rsidR="00906D08" w:rsidRPr="00906D08" w:rsidRDefault="00906D08" w:rsidP="00906D08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06D08" w:rsidRPr="00906D08" w:rsidRDefault="00E8308F" w:rsidP="00906D0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906D08" w:rsidRPr="00906D08">
              <w:rPr>
                <w:rFonts w:cs="Arial"/>
                <w:color w:val="000000"/>
                <w:sz w:val="16"/>
                <w:szCs w:val="16"/>
              </w:rPr>
              <w:t xml:space="preserve"> 2021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06D08" w:rsidRPr="00906D08" w:rsidRDefault="00E8308F" w:rsidP="00E8308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01</w:t>
            </w:r>
            <w:r w:rsidR="00906D08" w:rsidRPr="00906D08">
              <w:rPr>
                <w:rFonts w:cs="Arial"/>
                <w:color w:val="000000"/>
                <w:sz w:val="16"/>
                <w:szCs w:val="16"/>
              </w:rPr>
              <w:t>–</w:t>
            </w: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906D08" w:rsidRPr="00906D08">
              <w:rPr>
                <w:rFonts w:cs="Arial"/>
                <w:color w:val="000000"/>
                <w:sz w:val="16"/>
                <w:szCs w:val="16"/>
              </w:rPr>
              <w:t xml:space="preserve"> 2021</w:t>
            </w:r>
          </w:p>
        </w:tc>
      </w:tr>
      <w:tr w:rsidR="00906D08" w:rsidRPr="00906D08" w:rsidTr="001E2A14">
        <w:trPr>
          <w:trHeight w:val="340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906D08" w:rsidRPr="00906D08" w:rsidRDefault="00906D08" w:rsidP="00906D0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906D08" w:rsidRPr="00906D08" w:rsidRDefault="00E8308F" w:rsidP="00906D0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</w:t>
            </w:r>
            <w:r w:rsidR="00906D08" w:rsidRPr="00906D08">
              <w:rPr>
                <w:rFonts w:cs="Arial"/>
                <w:color w:val="000000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906D08" w:rsidRPr="00906D08" w:rsidRDefault="00E8308F" w:rsidP="00906D0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906D08" w:rsidRPr="00906D08">
              <w:rPr>
                <w:rFonts w:cs="Arial"/>
                <w:color w:val="000000"/>
                <w:sz w:val="16"/>
                <w:szCs w:val="16"/>
              </w:rPr>
              <w:t xml:space="preserve"> 2020=100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906D08" w:rsidRPr="00906D08" w:rsidRDefault="00E8308F" w:rsidP="00E8308F">
            <w:pPr>
              <w:spacing w:after="0" w:line="240" w:lineRule="auto"/>
              <w:jc w:val="center"/>
              <w:rPr>
                <w:rFonts w:cs="Arial"/>
                <w:color w:val="000000"/>
                <w:spacing w:val="-8"/>
                <w:sz w:val="16"/>
                <w:szCs w:val="16"/>
              </w:rPr>
            </w:pPr>
            <w:r w:rsidRPr="00E8308F">
              <w:rPr>
                <w:rFonts w:cs="Arial"/>
                <w:color w:val="000000"/>
                <w:spacing w:val="-8"/>
                <w:sz w:val="16"/>
                <w:szCs w:val="16"/>
              </w:rPr>
              <w:t>01</w:t>
            </w:r>
            <w:r w:rsidR="00906D08" w:rsidRPr="00906D08">
              <w:rPr>
                <w:rFonts w:cs="Arial"/>
                <w:color w:val="000000"/>
                <w:spacing w:val="-8"/>
                <w:sz w:val="16"/>
                <w:szCs w:val="16"/>
              </w:rPr>
              <w:t>–</w:t>
            </w:r>
            <w:r w:rsidRPr="00E8308F">
              <w:rPr>
                <w:rFonts w:cs="Arial"/>
                <w:color w:val="000000"/>
                <w:spacing w:val="-8"/>
                <w:sz w:val="16"/>
                <w:szCs w:val="16"/>
              </w:rPr>
              <w:t xml:space="preserve">12 </w:t>
            </w:r>
            <w:r w:rsidR="00906D08" w:rsidRPr="00906D08">
              <w:rPr>
                <w:rFonts w:cs="Arial"/>
                <w:color w:val="000000"/>
                <w:spacing w:val="-8"/>
                <w:sz w:val="16"/>
                <w:szCs w:val="16"/>
              </w:rPr>
              <w:t>2020=100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906D08" w:rsidRPr="00906D08" w:rsidRDefault="000830C4" w:rsidP="000830C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Structure in </w:t>
            </w:r>
            <w:r w:rsidR="00906D08" w:rsidRPr="00906D08">
              <w:rPr>
                <w:rFonts w:cs="Arial"/>
                <w:color w:val="000000"/>
                <w:sz w:val="16"/>
                <w:szCs w:val="16"/>
              </w:rPr>
              <w:t> %</w:t>
            </w:r>
          </w:p>
        </w:tc>
      </w:tr>
      <w:tr w:rsidR="000830C4" w:rsidRPr="00906D08" w:rsidTr="000830C4">
        <w:trPr>
          <w:trHeight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30C4" w:rsidRPr="00413C1A" w:rsidRDefault="000830C4" w:rsidP="000830C4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115.8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116.9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112.9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30C4" w:rsidRPr="001F551D" w:rsidRDefault="000830C4" w:rsidP="000830C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0830C4" w:rsidRPr="00906D08" w:rsidTr="000830C4">
        <w:trPr>
          <w:trHeight w:val="369"/>
        </w:trPr>
        <w:tc>
          <w:tcPr>
            <w:tcW w:w="3261" w:type="dxa"/>
            <w:shd w:val="clear" w:color="auto" w:fill="auto"/>
            <w:vAlign w:val="center"/>
          </w:tcPr>
          <w:p w:rsidR="000830C4" w:rsidRPr="00F2453E" w:rsidRDefault="000830C4" w:rsidP="000830C4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1F551D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830C4" w:rsidRPr="00906D08" w:rsidTr="000830C4">
        <w:trPr>
          <w:trHeight w:val="369"/>
        </w:trPr>
        <w:tc>
          <w:tcPr>
            <w:tcW w:w="3261" w:type="dxa"/>
            <w:shd w:val="clear" w:color="auto" w:fill="auto"/>
            <w:vAlign w:val="center"/>
          </w:tcPr>
          <w:p w:rsidR="000830C4" w:rsidRPr="00F2453E" w:rsidRDefault="000830C4" w:rsidP="000830C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1F551D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</w:tr>
      <w:tr w:rsidR="000830C4" w:rsidRPr="00906D08" w:rsidTr="000830C4">
        <w:trPr>
          <w:trHeight w:val="369"/>
        </w:trPr>
        <w:tc>
          <w:tcPr>
            <w:tcW w:w="3261" w:type="dxa"/>
            <w:shd w:val="clear" w:color="auto" w:fill="auto"/>
            <w:vAlign w:val="center"/>
          </w:tcPr>
          <w:p w:rsidR="000830C4" w:rsidRPr="00413C1A" w:rsidRDefault="000830C4" w:rsidP="000830C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1F551D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14.4</w:t>
            </w:r>
          </w:p>
        </w:tc>
      </w:tr>
      <w:tr w:rsidR="000830C4" w:rsidRPr="00906D08" w:rsidTr="000830C4">
        <w:trPr>
          <w:trHeight w:val="369"/>
        </w:trPr>
        <w:tc>
          <w:tcPr>
            <w:tcW w:w="3261" w:type="dxa"/>
            <w:shd w:val="clear" w:color="auto" w:fill="auto"/>
            <w:vAlign w:val="center"/>
          </w:tcPr>
          <w:p w:rsidR="000830C4" w:rsidRPr="00413C1A" w:rsidRDefault="000830C4" w:rsidP="000830C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1F551D" w:rsidRDefault="000830C4" w:rsidP="000830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24.7</w:t>
            </w:r>
          </w:p>
        </w:tc>
      </w:tr>
      <w:tr w:rsidR="000830C4" w:rsidRPr="00906D08" w:rsidTr="000830C4">
        <w:trPr>
          <w:trHeight w:val="567"/>
        </w:trPr>
        <w:tc>
          <w:tcPr>
            <w:tcW w:w="3261" w:type="dxa"/>
            <w:shd w:val="clear" w:color="auto" w:fill="auto"/>
            <w:vAlign w:val="center"/>
          </w:tcPr>
          <w:p w:rsidR="000830C4" w:rsidRPr="00413C1A" w:rsidRDefault="000830C4" w:rsidP="000830C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906D08" w:rsidRDefault="000830C4" w:rsidP="000830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06D08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906D08" w:rsidRDefault="000830C4" w:rsidP="000830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06D08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906D08" w:rsidRDefault="000830C4" w:rsidP="000830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06D08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906D08" w:rsidRDefault="000830C4" w:rsidP="000830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06D08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0830C4" w:rsidRPr="00906D08" w:rsidTr="000830C4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</w:tcPr>
          <w:p w:rsidR="000830C4" w:rsidRPr="00413C1A" w:rsidRDefault="000830C4" w:rsidP="000830C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1F551D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6.9</w:t>
            </w:r>
          </w:p>
        </w:tc>
      </w:tr>
      <w:tr w:rsidR="000830C4" w:rsidRPr="00906D08" w:rsidTr="000830C4">
        <w:trPr>
          <w:cantSplit/>
          <w:trHeight w:val="424"/>
        </w:trPr>
        <w:tc>
          <w:tcPr>
            <w:tcW w:w="3261" w:type="dxa"/>
            <w:shd w:val="clear" w:color="auto" w:fill="auto"/>
            <w:vAlign w:val="center"/>
          </w:tcPr>
          <w:p w:rsidR="000830C4" w:rsidRPr="00413C1A" w:rsidRDefault="000830C4" w:rsidP="000830C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1F551D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6.6</w:t>
            </w:r>
          </w:p>
        </w:tc>
      </w:tr>
      <w:tr w:rsidR="000830C4" w:rsidRPr="00906D08" w:rsidTr="000830C4">
        <w:trPr>
          <w:cantSplit/>
          <w:trHeight w:val="370"/>
        </w:trPr>
        <w:tc>
          <w:tcPr>
            <w:tcW w:w="3261" w:type="dxa"/>
            <w:shd w:val="clear" w:color="auto" w:fill="auto"/>
            <w:vAlign w:val="center"/>
          </w:tcPr>
          <w:p w:rsidR="000830C4" w:rsidRPr="00413C1A" w:rsidRDefault="000830C4" w:rsidP="000830C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1F551D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9.4</w:t>
            </w:r>
          </w:p>
        </w:tc>
      </w:tr>
      <w:tr w:rsidR="000830C4" w:rsidRPr="00906D08" w:rsidTr="000830C4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</w:tcPr>
          <w:p w:rsidR="000830C4" w:rsidRPr="00413C1A" w:rsidRDefault="000830C4" w:rsidP="000830C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143.8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0C4" w:rsidRPr="001F551D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4.9</w:t>
            </w:r>
          </w:p>
        </w:tc>
      </w:tr>
      <w:tr w:rsidR="000830C4" w:rsidRPr="00906D08" w:rsidTr="000830C4">
        <w:trPr>
          <w:cantSplit/>
          <w:trHeight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0830C4" w:rsidRPr="00413C1A" w:rsidRDefault="000830C4" w:rsidP="000830C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30C4" w:rsidRPr="00F156AE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30C4" w:rsidRPr="001F551D" w:rsidRDefault="000830C4" w:rsidP="000830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9.0</w:t>
            </w:r>
          </w:p>
        </w:tc>
      </w:tr>
    </w:tbl>
    <w:p w:rsidR="001A005A" w:rsidRDefault="00906D08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 </w:t>
      </w:r>
      <w:r w:rsidR="001A005A" w:rsidRPr="00B73F57">
        <w:rPr>
          <w:sz w:val="16"/>
          <w:szCs w:val="16"/>
          <w:lang w:val="en-US" w:eastAsia="pl-PL"/>
        </w:rPr>
        <w:t xml:space="preserve">(.) </w:t>
      </w:r>
      <w:r w:rsidR="001A005A"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="001A005A" w:rsidRPr="00B73F57">
        <w:rPr>
          <w:rStyle w:val="tlid-translation"/>
          <w:sz w:val="16"/>
          <w:szCs w:val="16"/>
          <w:lang w:val="en"/>
        </w:rPr>
        <w:t>confidentiality</w:t>
      </w:r>
      <w:r w:rsidR="001A005A">
        <w:rPr>
          <w:rStyle w:val="tlid-translation"/>
          <w:sz w:val="16"/>
          <w:szCs w:val="16"/>
          <w:lang w:val="en"/>
        </w:rPr>
        <w:t>) or providing</w:t>
      </w:r>
      <w:r w:rsidR="001A005A" w:rsidRPr="00B73F57">
        <w:rPr>
          <w:rStyle w:val="tlid-translation"/>
          <w:sz w:val="16"/>
          <w:szCs w:val="16"/>
          <w:lang w:val="en"/>
        </w:rPr>
        <w:t xml:space="preserve"> </w:t>
      </w:r>
      <w:r w:rsidR="001A005A">
        <w:rPr>
          <w:rStyle w:val="tlid-translation"/>
          <w:sz w:val="16"/>
          <w:szCs w:val="16"/>
          <w:lang w:val="en"/>
        </w:rPr>
        <w:t>data impossible or purposeless</w:t>
      </w:r>
    </w:p>
    <w:p w:rsidR="00F51AF7" w:rsidRDefault="004A5576" w:rsidP="00F51AF7">
      <w:pPr>
        <w:pStyle w:val="tytuwykresu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lastRenderedPageBreak/>
        <w:drawing>
          <wp:anchor distT="0" distB="0" distL="114300" distR="114300" simplePos="0" relativeHeight="251790336" behindDoc="0" locked="0" layoutInCell="1" allowOverlap="1" wp14:anchorId="7A13D7CF" wp14:editId="664B20C6">
            <wp:simplePos x="0" y="0"/>
            <wp:positionH relativeFrom="margin">
              <wp:align>left</wp:align>
            </wp:positionH>
            <wp:positionV relativeFrom="margin">
              <wp:posOffset>463550</wp:posOffset>
            </wp:positionV>
            <wp:extent cx="5166360" cy="272415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AF7">
        <w:rPr>
          <w:lang w:val="en-US"/>
        </w:rPr>
        <w:t>Chart</w:t>
      </w:r>
      <w:r w:rsidR="00F51AF7" w:rsidRPr="008C6D41">
        <w:rPr>
          <w:lang w:val="en-US"/>
        </w:rPr>
        <w:t xml:space="preserve"> 2.</w:t>
      </w:r>
      <w:r w:rsidR="00F51AF7" w:rsidRPr="008C6D41">
        <w:rPr>
          <w:shd w:val="clear" w:color="auto" w:fill="FFFFFF"/>
          <w:lang w:val="en-US"/>
        </w:rPr>
        <w:t xml:space="preserve"> </w:t>
      </w:r>
      <w:r w:rsidR="00155103">
        <w:rPr>
          <w:shd w:val="clear" w:color="auto" w:fill="FFFFFF"/>
          <w:lang w:val="en-US"/>
        </w:rPr>
        <w:t xml:space="preserve"> </w:t>
      </w:r>
      <w:r w:rsidR="00F51AF7" w:rsidRPr="00C15AD6">
        <w:rPr>
          <w:shd w:val="clear" w:color="auto" w:fill="FFFFFF"/>
          <w:lang w:val="en-US"/>
        </w:rPr>
        <w:t>Retail sales of goods in</w:t>
      </w:r>
      <w:r w:rsidR="008646D2">
        <w:rPr>
          <w:shd w:val="clear" w:color="auto" w:fill="FFFFFF"/>
          <w:lang w:val="en-US"/>
        </w:rPr>
        <w:t xml:space="preserve"> </w:t>
      </w:r>
      <w:r w:rsidR="001C35BF">
        <w:rPr>
          <w:shd w:val="clear" w:color="auto" w:fill="FFFFFF"/>
          <w:lang w:val="en-US"/>
        </w:rPr>
        <w:t xml:space="preserve">December </w:t>
      </w:r>
      <w:r w:rsidR="00F51AF7" w:rsidRPr="00C15AD6">
        <w:rPr>
          <w:shd w:val="clear" w:color="auto" w:fill="FFFFFF"/>
          <w:lang w:val="en-US"/>
        </w:rPr>
        <w:t>20</w:t>
      </w:r>
      <w:r w:rsidR="00F51AF7">
        <w:rPr>
          <w:shd w:val="clear" w:color="auto" w:fill="FFFFFF"/>
          <w:lang w:val="en-US"/>
        </w:rPr>
        <w:t>21</w:t>
      </w:r>
      <w:r w:rsidR="00F51AF7" w:rsidRPr="00C15AD6">
        <w:rPr>
          <w:rFonts w:cs="Arial"/>
          <w:b w:val="0"/>
          <w:lang w:val="en-US"/>
        </w:rPr>
        <w:t xml:space="preserve"> </w:t>
      </w:r>
      <w:r w:rsidR="00F51AF7" w:rsidRPr="00C15AD6">
        <w:rPr>
          <w:rFonts w:cs="Arial"/>
          <w:lang w:val="en-US"/>
        </w:rPr>
        <w:t xml:space="preserve">by type of enterprise activity </w:t>
      </w:r>
      <w:r w:rsidR="00F51AF7">
        <w:rPr>
          <w:shd w:val="clear" w:color="auto" w:fill="FFFFFF"/>
          <w:lang w:val="en-US"/>
        </w:rPr>
        <w:t>(constant prices)</w:t>
      </w:r>
      <w:r w:rsidR="00F51AF7" w:rsidRPr="00C15AD6">
        <w:rPr>
          <w:shd w:val="clear" w:color="auto" w:fill="FFFFFF"/>
          <w:lang w:val="en-US"/>
        </w:rPr>
        <w:t xml:space="preserve"> – corresponding period of previous year=100</w:t>
      </w:r>
    </w:p>
    <w:p w:rsidR="00B90528" w:rsidRDefault="00B90528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</w:p>
    <w:p w:rsidR="008C6118" w:rsidRDefault="00ED7AC5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5753100</wp:posOffset>
                </wp:positionH>
                <wp:positionV relativeFrom="paragraph">
                  <wp:posOffset>97790</wp:posOffset>
                </wp:positionV>
                <wp:extent cx="1763395" cy="1016000"/>
                <wp:effectExtent l="0" t="0" r="0" b="0"/>
                <wp:wrapTight wrapText="bothSides">
                  <wp:wrapPolygon edited="0">
                    <wp:start x="700" y="0"/>
                    <wp:lineTo x="700" y="21060"/>
                    <wp:lineTo x="20768" y="21060"/>
                    <wp:lineTo x="20768" y="0"/>
                    <wp:lineTo x="70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3D0EDA" w:rsidRDefault="00F72DC8" w:rsidP="003D0ED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0B2692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5060B7">
                              <w:rPr>
                                <w:rFonts w:cs="Arial"/>
                                <w:lang w:val="en-US"/>
                              </w:rPr>
                              <w:t>December</w:t>
                            </w:r>
                            <w:r w:rsidR="001C35BF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949E6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 w:rsidRPr="00BB431B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0357C9" w:rsidRPr="00BB431B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5060B7" w:rsidRPr="00BB431B">
                              <w:rPr>
                                <w:rFonts w:cs="Arial"/>
                                <w:lang w:val="en-US"/>
                              </w:rPr>
                              <w:t>de</w:t>
                            </w:r>
                            <w:r w:rsidRPr="00BB431B"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5060B7">
                              <w:rPr>
                                <w:rFonts w:cs="Arial"/>
                                <w:lang w:val="en-US"/>
                              </w:rPr>
                              <w:t>3.4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</w:t>
                            </w:r>
                            <w:r w:rsidR="000357C9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1C35BF">
                              <w:rPr>
                                <w:rFonts w:cs="Arial"/>
                                <w:lang w:val="en-US"/>
                              </w:rPr>
                              <w:t>November</w:t>
                            </w:r>
                            <w:r w:rsidR="00CC47BD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6513B3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C671" id="_x0000_s1028" type="#_x0000_t202" style="position:absolute;margin-left:453pt;margin-top:7.7pt;width:138.85pt;height:80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" filled="f" stroked="f">
                <v:textbox>
                  <w:txbxContent>
                    <w:p w:rsidR="00F72DC8" w:rsidRPr="003D0EDA" w:rsidRDefault="00F72DC8" w:rsidP="003D0EDA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0B2692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5060B7">
                        <w:rPr>
                          <w:rFonts w:cs="Arial"/>
                          <w:lang w:val="en-US"/>
                        </w:rPr>
                        <w:t>December</w:t>
                      </w:r>
                      <w:r w:rsidR="001C35BF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949E6">
                        <w:rPr>
                          <w:rFonts w:cs="Arial"/>
                          <w:lang w:val="en-US"/>
                        </w:rPr>
                        <w:t>2021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 w:rsidRPr="00BB431B">
                        <w:rPr>
                          <w:rFonts w:cs="Arial"/>
                          <w:lang w:val="en-US"/>
                        </w:rPr>
                        <w:t>a</w:t>
                      </w:r>
                      <w:r w:rsidR="000357C9" w:rsidRPr="00BB431B">
                        <w:rPr>
                          <w:rFonts w:cs="Arial"/>
                          <w:lang w:val="en-US"/>
                        </w:rPr>
                        <w:t> </w:t>
                      </w:r>
                      <w:r w:rsidR="005060B7" w:rsidRPr="00BB431B">
                        <w:rPr>
                          <w:rFonts w:cs="Arial"/>
                          <w:lang w:val="en-US"/>
                        </w:rPr>
                        <w:t>de</w:t>
                      </w:r>
                      <w:r w:rsidRPr="00BB431B"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5060B7">
                        <w:rPr>
                          <w:rFonts w:cs="Arial"/>
                          <w:lang w:val="en-US"/>
                        </w:rPr>
                        <w:t>3.4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</w:t>
                      </w:r>
                      <w:r w:rsidR="000357C9">
                        <w:rPr>
                          <w:rFonts w:cs="Arial"/>
                          <w:lang w:val="en-US"/>
                        </w:rPr>
                        <w:t> </w:t>
                      </w:r>
                      <w:r w:rsidR="00E33885">
                        <w:rPr>
                          <w:rFonts w:cs="Arial"/>
                          <w:lang w:val="en-US"/>
                        </w:rPr>
                        <w:t>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1C35BF">
                        <w:rPr>
                          <w:rFonts w:cs="Arial"/>
                          <w:lang w:val="en-US"/>
                        </w:rPr>
                        <w:t>November</w:t>
                      </w:r>
                      <w:r w:rsidR="00CC47BD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6513B3">
                        <w:rPr>
                          <w:rFonts w:cs="Arial"/>
                          <w:lang w:val="en-US"/>
                        </w:rPr>
                        <w:t>2021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C6118" w:rsidRPr="008C6118">
        <w:rPr>
          <w:rFonts w:ascii="Fira Sans SemiBold" w:hAnsi="Fira Sans SemiBold"/>
          <w:color w:val="001D77"/>
          <w:szCs w:val="23"/>
          <w:lang w:val="en-US"/>
        </w:rPr>
        <w:t>Reta</w:t>
      </w:r>
      <w:r w:rsidR="008C6118"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1C35BF">
        <w:rPr>
          <w:szCs w:val="23"/>
          <w:lang w:val="en-US"/>
        </w:rPr>
        <w:t>Dec</w:t>
      </w:r>
      <w:r w:rsidR="00CF1C49">
        <w:rPr>
          <w:szCs w:val="23"/>
          <w:lang w:val="en-US"/>
        </w:rPr>
        <w:t>em</w:t>
      </w:r>
      <w:r w:rsidR="008F2BE5">
        <w:rPr>
          <w:szCs w:val="23"/>
          <w:lang w:val="en-US"/>
        </w:rPr>
        <w:t xml:space="preserve">ber </w:t>
      </w:r>
      <w:r w:rsidRPr="00B04BBF">
        <w:rPr>
          <w:szCs w:val="23"/>
          <w:lang w:val="en-US"/>
        </w:rPr>
        <w:t>20</w:t>
      </w:r>
      <w:r w:rsidR="00AE62CB">
        <w:rPr>
          <w:szCs w:val="23"/>
          <w:lang w:val="en-US"/>
        </w:rPr>
        <w:t>21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9455DC">
        <w:rPr>
          <w:szCs w:val="23"/>
          <w:lang w:val="en-US"/>
        </w:rPr>
        <w:t>3.4</w:t>
      </w:r>
      <w:r>
        <w:rPr>
          <w:szCs w:val="23"/>
          <w:lang w:val="en-US"/>
        </w:rPr>
        <w:t xml:space="preserve">% </w:t>
      </w:r>
      <w:r w:rsidR="009455DC">
        <w:rPr>
          <w:szCs w:val="23"/>
          <w:lang w:val="en-US"/>
        </w:rPr>
        <w:t>low</w:t>
      </w:r>
      <w:r w:rsidR="006513B3">
        <w:rPr>
          <w:szCs w:val="23"/>
          <w:lang w:val="en-US"/>
        </w:rPr>
        <w:t>er</w:t>
      </w:r>
      <w:r w:rsidR="00561B4A">
        <w:rPr>
          <w:szCs w:val="23"/>
          <w:lang w:val="en-US"/>
        </w:rPr>
        <w:t xml:space="preserve">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1C35BF">
        <w:rPr>
          <w:szCs w:val="23"/>
          <w:lang w:val="en-US"/>
        </w:rPr>
        <w:t xml:space="preserve">November </w:t>
      </w:r>
      <w:r>
        <w:rPr>
          <w:szCs w:val="23"/>
          <w:lang w:val="en-US"/>
        </w:rPr>
        <w:t>20</w:t>
      </w:r>
      <w:r w:rsidR="006513B3">
        <w:rPr>
          <w:szCs w:val="23"/>
          <w:lang w:val="en-US"/>
        </w:rPr>
        <w:t>21</w:t>
      </w:r>
      <w:r w:rsidRPr="00EC1228">
        <w:rPr>
          <w:szCs w:val="23"/>
          <w:lang w:val="en-US"/>
        </w:rPr>
        <w:t>.</w:t>
      </w:r>
    </w:p>
    <w:p w:rsidR="001B5F23" w:rsidRDefault="001B5F23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F02D59" w:rsidRDefault="00F02D59" w:rsidP="00B25EE8">
      <w:pPr>
        <w:jc w:val="both"/>
        <w:rPr>
          <w:rStyle w:val="tlid-translation"/>
          <w:lang w:val="en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</w:t>
      </w:r>
      <w:r w:rsidR="00A47825">
        <w:rPr>
          <w:szCs w:val="19"/>
          <w:lang w:val="en-US"/>
        </w:rPr>
        <w:t>figures from Statistics Poland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1"/>
        <w:gridCol w:w="3836"/>
      </w:tblGrid>
      <w:tr w:rsidR="000470AA" w:rsidRPr="00356058" w:rsidTr="00E23337">
        <w:trPr>
          <w:trHeight w:val="1912"/>
        </w:trPr>
        <w:tc>
          <w:tcPr>
            <w:tcW w:w="4379" w:type="dxa"/>
          </w:tcPr>
          <w:p w:rsidR="000470AA" w:rsidRPr="00356058" w:rsidRDefault="001A75DF" w:rsidP="00E23337">
            <w:pPr>
              <w:spacing w:before="0" w:after="0" w:line="276" w:lineRule="auto"/>
              <w:rPr>
                <w:rFonts w:cs="Arial"/>
                <w:color w:val="000000" w:themeColor="text1"/>
                <w:szCs w:val="19"/>
                <w:lang w:val="en-US"/>
              </w:rPr>
            </w:pPr>
            <w:r w:rsidRPr="00356058">
              <w:rPr>
                <w:rFonts w:cs="Arial"/>
                <w:color w:val="000000" w:themeColor="text1"/>
                <w:szCs w:val="19"/>
                <w:lang w:val="en-US"/>
              </w:rPr>
              <w:t>Prepared by</w:t>
            </w:r>
            <w:r w:rsidR="000470AA" w:rsidRPr="00356058">
              <w:rPr>
                <w:rFonts w:cs="Arial"/>
                <w:color w:val="000000" w:themeColor="text1"/>
                <w:szCs w:val="19"/>
                <w:lang w:val="en-US"/>
              </w:rPr>
              <w:t>:</w:t>
            </w:r>
          </w:p>
          <w:p w:rsidR="000470AA" w:rsidRPr="00356058" w:rsidRDefault="001A75DF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Cs w:val="19"/>
                <w:lang w:val="en-US"/>
              </w:rPr>
            </w:pPr>
            <w:r w:rsidRPr="00356058">
              <w:rPr>
                <w:rFonts w:cs="Arial"/>
                <w:b/>
                <w:color w:val="000000" w:themeColor="text1"/>
                <w:szCs w:val="19"/>
                <w:lang w:val="en-US"/>
              </w:rPr>
              <w:t>Trade and Services Department</w:t>
            </w:r>
          </w:p>
          <w:p w:rsidR="00D8007A" w:rsidRPr="00356058" w:rsidRDefault="00D8007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Cs w:val="19"/>
                <w:lang w:val="en-US"/>
              </w:rPr>
            </w:pPr>
            <w:r w:rsidRPr="00356058">
              <w:rPr>
                <w:rFonts w:cs="Arial"/>
                <w:b/>
                <w:color w:val="000000" w:themeColor="text1"/>
                <w:szCs w:val="19"/>
                <w:lang w:val="en-US"/>
              </w:rPr>
              <w:t>Director Ewa Adach-Stankiewicz</w:t>
            </w:r>
          </w:p>
          <w:p w:rsidR="000470AA" w:rsidRPr="00356058" w:rsidRDefault="004B7E11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</w:pPr>
            <w:r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Office</w:t>
            </w:r>
            <w:r w:rsidR="000470AA"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 xml:space="preserve">: </w:t>
            </w:r>
            <w:r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tel. (</w:t>
            </w:r>
            <w:r w:rsidR="00FF2C0B"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 xml:space="preserve">+48 </w:t>
            </w:r>
            <w:r w:rsidR="000470AA"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22</w:t>
            </w:r>
            <w:r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)</w:t>
            </w:r>
            <w:r w:rsidR="00017FFE"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 </w:t>
            </w:r>
            <w:r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  <w:bookmarkStart w:id="0" w:name="_GoBack"/>
            <w:bookmarkEnd w:id="0"/>
          </w:p>
          <w:p w:rsidR="000470AA" w:rsidRPr="00356058" w:rsidRDefault="000470AA" w:rsidP="00017FF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19"/>
                <w:szCs w:val="19"/>
                <w:lang w:val="fi-FI"/>
              </w:rPr>
            </w:pPr>
          </w:p>
        </w:tc>
        <w:tc>
          <w:tcPr>
            <w:tcW w:w="3942" w:type="dxa"/>
          </w:tcPr>
          <w:p w:rsidR="0049360F" w:rsidRPr="00356058" w:rsidRDefault="001A75DF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Cs w:val="19"/>
                <w:lang w:val="en-US"/>
              </w:rPr>
            </w:pPr>
            <w:r w:rsidRPr="00356058">
              <w:rPr>
                <w:rFonts w:cs="Arial"/>
                <w:color w:val="000000" w:themeColor="text1"/>
                <w:szCs w:val="19"/>
                <w:lang w:val="en-US"/>
              </w:rPr>
              <w:t>Dissemination</w:t>
            </w:r>
            <w:r w:rsidR="000470AA" w:rsidRPr="00356058">
              <w:rPr>
                <w:rFonts w:cs="Arial"/>
                <w:color w:val="000000" w:themeColor="text1"/>
                <w:szCs w:val="19"/>
                <w:lang w:val="en-US"/>
              </w:rPr>
              <w:t>:</w:t>
            </w:r>
            <w:r w:rsidR="000470AA" w:rsidRPr="00356058">
              <w:rPr>
                <w:rFonts w:cs="Arial"/>
                <w:color w:val="000000" w:themeColor="text1"/>
                <w:szCs w:val="19"/>
                <w:lang w:val="en-US"/>
              </w:rPr>
              <w:br/>
            </w:r>
            <w:r w:rsidR="00382DAE" w:rsidRPr="00356058">
              <w:rPr>
                <w:rFonts w:cs="Arial"/>
                <w:b/>
                <w:color w:val="000000" w:themeColor="text1"/>
                <w:szCs w:val="19"/>
                <w:lang w:val="en-US"/>
              </w:rPr>
              <w:t xml:space="preserve">The Spokesperson for the President </w:t>
            </w:r>
          </w:p>
          <w:p w:rsidR="000470AA" w:rsidRPr="00356058" w:rsidRDefault="00382DA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Cs w:val="19"/>
                <w:lang w:val="en-US"/>
              </w:rPr>
            </w:pPr>
            <w:r w:rsidRPr="00356058">
              <w:rPr>
                <w:rFonts w:cs="Arial"/>
                <w:b/>
                <w:color w:val="000000" w:themeColor="text1"/>
                <w:szCs w:val="19"/>
                <w:lang w:val="en-US"/>
              </w:rPr>
              <w:t>of Statistics Poland</w:t>
            </w:r>
          </w:p>
          <w:p w:rsidR="000470AA" w:rsidRPr="0035605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19"/>
                <w:szCs w:val="19"/>
                <w:lang w:val="en-US"/>
              </w:rPr>
            </w:pPr>
            <w:r w:rsidRPr="00356058">
              <w:rPr>
                <w:rFonts w:ascii="Fira Sans" w:hAnsi="Fira Sans" w:cs="Arial"/>
                <w:b/>
                <w:color w:val="000000" w:themeColor="text1"/>
                <w:sz w:val="19"/>
                <w:szCs w:val="19"/>
                <w:lang w:val="en-US"/>
              </w:rPr>
              <w:t xml:space="preserve">Karolina </w:t>
            </w:r>
            <w:r w:rsidR="008A0E67" w:rsidRPr="00356058">
              <w:rPr>
                <w:rFonts w:ascii="Fira Sans" w:hAnsi="Fira Sans" w:cs="Arial"/>
                <w:b/>
                <w:color w:val="000000" w:themeColor="text1"/>
                <w:sz w:val="19"/>
                <w:szCs w:val="19"/>
                <w:lang w:val="en-US"/>
              </w:rPr>
              <w:t>Banaszek</w:t>
            </w:r>
          </w:p>
          <w:p w:rsidR="000470AA" w:rsidRPr="00356058" w:rsidRDefault="004B7E11" w:rsidP="000E0FF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  <w:r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Mobile</w:t>
            </w:r>
            <w:r w:rsidR="000470AA"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 xml:space="preserve">: </w:t>
            </w:r>
            <w:r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(</w:t>
            </w:r>
            <w:r w:rsidR="00FF2C0B"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>+</w:t>
            </w:r>
            <w:r w:rsidR="00FF2C0B"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48</w:t>
            </w:r>
            <w:r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)</w:t>
            </w:r>
            <w:r w:rsidR="000470AA"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 </w:t>
            </w:r>
            <w:r w:rsidR="000E0FFA"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695 255 011</w:t>
            </w:r>
            <w:r w:rsidR="000E0FFA" w:rsidRPr="00356058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356058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356058" w:rsidRDefault="00FF2C0B" w:rsidP="00FF2C0B">
            <w:pPr>
              <w:rPr>
                <w:b/>
                <w:szCs w:val="19"/>
                <w:lang w:val="en-US"/>
              </w:rPr>
            </w:pPr>
            <w:r w:rsidRPr="00356058">
              <w:rPr>
                <w:b/>
                <w:szCs w:val="19"/>
                <w:lang w:val="en-US"/>
              </w:rPr>
              <w:t>Press Office</w:t>
            </w:r>
          </w:p>
          <w:p w:rsidR="00FF2C0B" w:rsidRPr="00356058" w:rsidRDefault="0094724C" w:rsidP="00FF2C0B">
            <w:pPr>
              <w:rPr>
                <w:szCs w:val="19"/>
                <w:lang w:val="en-US"/>
              </w:rPr>
            </w:pPr>
            <w:r w:rsidRPr="00356058">
              <w:rPr>
                <w:szCs w:val="19"/>
                <w:lang w:val="en-US"/>
              </w:rPr>
              <w:t>Office: t</w:t>
            </w:r>
            <w:r w:rsidR="00ED42E6" w:rsidRPr="00356058">
              <w:rPr>
                <w:szCs w:val="19"/>
                <w:lang w:val="en-US"/>
              </w:rPr>
              <w:t>el</w:t>
            </w:r>
            <w:r w:rsidR="0006019C" w:rsidRPr="00356058">
              <w:rPr>
                <w:szCs w:val="19"/>
                <w:lang w:val="en-US"/>
              </w:rPr>
              <w:t>.</w:t>
            </w:r>
            <w:r w:rsidR="00FF2C0B" w:rsidRPr="00356058">
              <w:rPr>
                <w:szCs w:val="19"/>
                <w:lang w:val="en-US"/>
              </w:rPr>
              <w:t xml:space="preserve"> </w:t>
            </w:r>
            <w:r w:rsidRPr="00356058">
              <w:rPr>
                <w:szCs w:val="19"/>
                <w:lang w:val="en-US"/>
              </w:rPr>
              <w:t>(</w:t>
            </w:r>
            <w:r w:rsidR="00BC695C" w:rsidRPr="00356058">
              <w:rPr>
                <w:szCs w:val="19"/>
                <w:lang w:val="en-US"/>
              </w:rPr>
              <w:t>+48 22</w:t>
            </w:r>
            <w:r w:rsidRPr="00356058">
              <w:rPr>
                <w:szCs w:val="19"/>
                <w:lang w:val="en-US"/>
              </w:rPr>
              <w:t>)</w:t>
            </w:r>
            <w:r w:rsidR="00BC695C" w:rsidRPr="00356058">
              <w:rPr>
                <w:szCs w:val="19"/>
                <w:lang w:val="en-US"/>
              </w:rPr>
              <w:t xml:space="preserve"> 608 38</w:t>
            </w:r>
            <w:r w:rsidR="0049360F" w:rsidRPr="00356058">
              <w:rPr>
                <w:szCs w:val="19"/>
                <w:lang w:val="en-US"/>
              </w:rPr>
              <w:t xml:space="preserve"> </w:t>
            </w:r>
            <w:r w:rsidR="00FF2C0B" w:rsidRPr="00356058">
              <w:rPr>
                <w:szCs w:val="19"/>
                <w:lang w:val="en-US"/>
              </w:rPr>
              <w:t xml:space="preserve">04 </w:t>
            </w:r>
          </w:p>
          <w:p w:rsidR="00FF2C0B" w:rsidRPr="00356058" w:rsidRDefault="00FF2C0B" w:rsidP="00FF2C0B">
            <w:pPr>
              <w:rPr>
                <w:szCs w:val="19"/>
                <w:lang w:val="en-US"/>
              </w:rPr>
            </w:pPr>
            <w:r w:rsidRPr="00356058">
              <w:rPr>
                <w:b/>
                <w:szCs w:val="19"/>
                <w:lang w:val="en-US"/>
              </w:rPr>
              <w:t xml:space="preserve">e-mail: </w:t>
            </w:r>
            <w:hyperlink r:id="rId19" w:history="1">
              <w:r w:rsidRPr="00356058">
                <w:rPr>
                  <w:rStyle w:val="Hipercze"/>
                  <w:rFonts w:cstheme="minorBidi"/>
                  <w:b/>
                  <w:color w:val="auto"/>
                  <w:szCs w:val="19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356058" w:rsidRDefault="00FF2C0B" w:rsidP="00FF2C0B">
            <w:pPr>
              <w:rPr>
                <w:szCs w:val="19"/>
                <w:lang w:val="en-US"/>
              </w:rPr>
            </w:pPr>
            <w:r w:rsidRPr="00356058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356058" w:rsidRDefault="00FF2C0B" w:rsidP="00FF2C0B">
            <w:pPr>
              <w:rPr>
                <w:szCs w:val="19"/>
                <w:lang w:val="en-US"/>
              </w:rPr>
            </w:pPr>
            <w:r w:rsidRPr="00356058">
              <w:rPr>
                <w:szCs w:val="19"/>
                <w:lang w:val="en-US"/>
              </w:rPr>
              <w:t>www.stat.gov.pl</w:t>
            </w:r>
            <w:r w:rsidR="00BE293C" w:rsidRPr="00356058">
              <w:rPr>
                <w:szCs w:val="19"/>
                <w:lang w:val="en-US"/>
              </w:rPr>
              <w:t>/en/</w:t>
            </w:r>
          </w:p>
        </w:tc>
      </w:tr>
      <w:tr w:rsidR="00FF2C0B" w:rsidRPr="00356058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356058" w:rsidRDefault="00FF2C0B" w:rsidP="00FF2C0B">
            <w:pPr>
              <w:rPr>
                <w:szCs w:val="19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356058" w:rsidRDefault="00FF2C0B" w:rsidP="00FF2C0B">
            <w:pPr>
              <w:rPr>
                <w:szCs w:val="19"/>
                <w:lang w:val="en-US"/>
              </w:rPr>
            </w:pPr>
            <w:r w:rsidRPr="00356058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356058" w:rsidRDefault="009C4E61" w:rsidP="00FF2C0B">
            <w:pPr>
              <w:rPr>
                <w:szCs w:val="19"/>
                <w:lang w:val="en-US"/>
              </w:rPr>
            </w:pPr>
            <w:r w:rsidRPr="00356058">
              <w:rPr>
                <w:szCs w:val="19"/>
                <w:lang w:val="en-US"/>
              </w:rPr>
              <w:t>@StatPoland</w:t>
            </w:r>
          </w:p>
        </w:tc>
      </w:tr>
      <w:tr w:rsidR="00FF2C0B" w:rsidRPr="00356058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356058" w:rsidRDefault="00FF2C0B" w:rsidP="00FF2C0B">
            <w:pPr>
              <w:rPr>
                <w:szCs w:val="19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356058" w:rsidRDefault="00FF2C0B" w:rsidP="00FF2C0B">
            <w:pPr>
              <w:rPr>
                <w:szCs w:val="19"/>
                <w:lang w:val="en-US"/>
              </w:rPr>
            </w:pPr>
            <w:r w:rsidRPr="00356058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356058" w:rsidRDefault="00FF2C0B" w:rsidP="00FF2C0B">
            <w:pPr>
              <w:rPr>
                <w:szCs w:val="19"/>
                <w:lang w:val="en-US"/>
              </w:rPr>
            </w:pPr>
            <w:r w:rsidRPr="00356058">
              <w:rPr>
                <w:szCs w:val="19"/>
                <w:lang w:val="en-US"/>
              </w:rPr>
              <w:t>@GlownyUrzadStatystyczny</w:t>
            </w:r>
          </w:p>
        </w:tc>
      </w:tr>
    </w:tbl>
    <w:p w:rsidR="000470AA" w:rsidRPr="00356058" w:rsidRDefault="000470AA" w:rsidP="000470AA">
      <w:pPr>
        <w:rPr>
          <w:szCs w:val="19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6A25A4" w:rsidRPr="00753336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"https://stat.gov.pl/en/topics/prices-trade/trade/internal-market-in-2020,7,19.html"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="006A25A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2020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6A25A4" w:rsidRPr="00753336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"https://stat.gov.pl/en/topics/prices-trade/trade/internal-market-in-2020,7,19.html" \o "Internal marketin 2019"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="006A25A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2020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4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880" w:rsidRDefault="00233880" w:rsidP="000662E2">
      <w:pPr>
        <w:spacing w:after="0" w:line="240" w:lineRule="auto"/>
      </w:pPr>
      <w:r>
        <w:separator/>
      </w:r>
    </w:p>
  </w:endnote>
  <w:endnote w:type="continuationSeparator" w:id="0">
    <w:p w:rsidR="00233880" w:rsidRDefault="0023388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826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43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880" w:rsidRDefault="00233880" w:rsidP="000662E2">
      <w:pPr>
        <w:spacing w:after="0" w:line="240" w:lineRule="auto"/>
      </w:pPr>
      <w:r>
        <w:separator/>
      </w:r>
    </w:p>
  </w:footnote>
  <w:footnote w:type="continuationSeparator" w:id="0">
    <w:p w:rsidR="00233880" w:rsidRDefault="00233880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A13753" w:rsidRPr="00237C5C" w:rsidRDefault="00A13753" w:rsidP="00A13753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465AF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465AF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4pt;height:123pt;visibility:visible;mso-wrap-style:square" o:bullet="t">
        <v:imagedata r:id="rId1" o:title=""/>
      </v:shape>
    </w:pict>
  </w:numPicBullet>
  <w:numPicBullet w:numPicBulletId="1">
    <w:pict>
      <v:shape id="_x0000_i1035" type="#_x0000_t75" style="width:124.8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07BFC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5BFD"/>
    <w:rsid w:val="00016DB8"/>
    <w:rsid w:val="000177BB"/>
    <w:rsid w:val="00017FFE"/>
    <w:rsid w:val="00020B22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4DB1"/>
    <w:rsid w:val="000253FE"/>
    <w:rsid w:val="00026363"/>
    <w:rsid w:val="0002661D"/>
    <w:rsid w:val="00027020"/>
    <w:rsid w:val="00027311"/>
    <w:rsid w:val="0002736E"/>
    <w:rsid w:val="00027951"/>
    <w:rsid w:val="00027A74"/>
    <w:rsid w:val="00027E78"/>
    <w:rsid w:val="00027FE2"/>
    <w:rsid w:val="00030374"/>
    <w:rsid w:val="00030A9C"/>
    <w:rsid w:val="00031BDC"/>
    <w:rsid w:val="00033776"/>
    <w:rsid w:val="00033B09"/>
    <w:rsid w:val="00033BCC"/>
    <w:rsid w:val="00033C72"/>
    <w:rsid w:val="00034108"/>
    <w:rsid w:val="00035365"/>
    <w:rsid w:val="00035768"/>
    <w:rsid w:val="000357C9"/>
    <w:rsid w:val="00036905"/>
    <w:rsid w:val="00036980"/>
    <w:rsid w:val="00036CEE"/>
    <w:rsid w:val="000377AA"/>
    <w:rsid w:val="00037C5F"/>
    <w:rsid w:val="00037E75"/>
    <w:rsid w:val="000402D6"/>
    <w:rsid w:val="00040525"/>
    <w:rsid w:val="00041014"/>
    <w:rsid w:val="0004186E"/>
    <w:rsid w:val="000419AC"/>
    <w:rsid w:val="00041DFA"/>
    <w:rsid w:val="00042386"/>
    <w:rsid w:val="00042D2F"/>
    <w:rsid w:val="00043B9A"/>
    <w:rsid w:val="00043D31"/>
    <w:rsid w:val="00044232"/>
    <w:rsid w:val="000449A8"/>
    <w:rsid w:val="0004582E"/>
    <w:rsid w:val="000470AA"/>
    <w:rsid w:val="000473E7"/>
    <w:rsid w:val="00047453"/>
    <w:rsid w:val="00047EAE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1A3"/>
    <w:rsid w:val="00061FE0"/>
    <w:rsid w:val="0006323B"/>
    <w:rsid w:val="000632B6"/>
    <w:rsid w:val="000633F9"/>
    <w:rsid w:val="0006357B"/>
    <w:rsid w:val="00064736"/>
    <w:rsid w:val="000662E2"/>
    <w:rsid w:val="00066883"/>
    <w:rsid w:val="00067082"/>
    <w:rsid w:val="00067519"/>
    <w:rsid w:val="00071237"/>
    <w:rsid w:val="00071906"/>
    <w:rsid w:val="00071C58"/>
    <w:rsid w:val="00071C94"/>
    <w:rsid w:val="00071E19"/>
    <w:rsid w:val="000724CD"/>
    <w:rsid w:val="000734BD"/>
    <w:rsid w:val="00073DF0"/>
    <w:rsid w:val="00074B04"/>
    <w:rsid w:val="00074DD8"/>
    <w:rsid w:val="00075004"/>
    <w:rsid w:val="000763C4"/>
    <w:rsid w:val="00077890"/>
    <w:rsid w:val="00077E83"/>
    <w:rsid w:val="000806F7"/>
    <w:rsid w:val="00080759"/>
    <w:rsid w:val="0008180C"/>
    <w:rsid w:val="000822E2"/>
    <w:rsid w:val="00082349"/>
    <w:rsid w:val="000825F3"/>
    <w:rsid w:val="0008280E"/>
    <w:rsid w:val="000830C4"/>
    <w:rsid w:val="000839F3"/>
    <w:rsid w:val="00083D37"/>
    <w:rsid w:val="000857F2"/>
    <w:rsid w:val="0008586C"/>
    <w:rsid w:val="000861E5"/>
    <w:rsid w:val="000871E1"/>
    <w:rsid w:val="00090396"/>
    <w:rsid w:val="000915F5"/>
    <w:rsid w:val="0009277B"/>
    <w:rsid w:val="00092F70"/>
    <w:rsid w:val="00093E30"/>
    <w:rsid w:val="00093F25"/>
    <w:rsid w:val="00094047"/>
    <w:rsid w:val="00095C86"/>
    <w:rsid w:val="000972B0"/>
    <w:rsid w:val="000A0839"/>
    <w:rsid w:val="000A1862"/>
    <w:rsid w:val="000A1B55"/>
    <w:rsid w:val="000A354B"/>
    <w:rsid w:val="000A3BE8"/>
    <w:rsid w:val="000A3EB9"/>
    <w:rsid w:val="000A50BE"/>
    <w:rsid w:val="000A7A67"/>
    <w:rsid w:val="000A7F74"/>
    <w:rsid w:val="000B0727"/>
    <w:rsid w:val="000B0A71"/>
    <w:rsid w:val="000B1191"/>
    <w:rsid w:val="000B2692"/>
    <w:rsid w:val="000B2B68"/>
    <w:rsid w:val="000B4C6D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1CEE"/>
    <w:rsid w:val="000C38A0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48B8"/>
    <w:rsid w:val="000D5EE9"/>
    <w:rsid w:val="000D6E15"/>
    <w:rsid w:val="000D71FA"/>
    <w:rsid w:val="000D724E"/>
    <w:rsid w:val="000D72E3"/>
    <w:rsid w:val="000D7370"/>
    <w:rsid w:val="000D7994"/>
    <w:rsid w:val="000E0826"/>
    <w:rsid w:val="000E0918"/>
    <w:rsid w:val="000E0E33"/>
    <w:rsid w:val="000E0FFA"/>
    <w:rsid w:val="000E2DD1"/>
    <w:rsid w:val="000E30AD"/>
    <w:rsid w:val="000E39B0"/>
    <w:rsid w:val="000E3F24"/>
    <w:rsid w:val="000E531C"/>
    <w:rsid w:val="000E5C95"/>
    <w:rsid w:val="000E60B8"/>
    <w:rsid w:val="000E65E0"/>
    <w:rsid w:val="000E7611"/>
    <w:rsid w:val="000E7B9D"/>
    <w:rsid w:val="000F09BB"/>
    <w:rsid w:val="000F0BA8"/>
    <w:rsid w:val="000F26B1"/>
    <w:rsid w:val="000F2FDE"/>
    <w:rsid w:val="000F303C"/>
    <w:rsid w:val="000F3D3B"/>
    <w:rsid w:val="000F4044"/>
    <w:rsid w:val="000F4AAC"/>
    <w:rsid w:val="000F4D8F"/>
    <w:rsid w:val="000F511A"/>
    <w:rsid w:val="000F7653"/>
    <w:rsid w:val="001000CD"/>
    <w:rsid w:val="001011C3"/>
    <w:rsid w:val="001017E9"/>
    <w:rsid w:val="00103221"/>
    <w:rsid w:val="001035E8"/>
    <w:rsid w:val="00103810"/>
    <w:rsid w:val="001052D2"/>
    <w:rsid w:val="0010538C"/>
    <w:rsid w:val="001057A5"/>
    <w:rsid w:val="00105B75"/>
    <w:rsid w:val="0010694A"/>
    <w:rsid w:val="00107602"/>
    <w:rsid w:val="00110D87"/>
    <w:rsid w:val="001119E5"/>
    <w:rsid w:val="001139F5"/>
    <w:rsid w:val="00114438"/>
    <w:rsid w:val="00114DB9"/>
    <w:rsid w:val="00114FBC"/>
    <w:rsid w:val="00116087"/>
    <w:rsid w:val="001176A8"/>
    <w:rsid w:val="0012005F"/>
    <w:rsid w:val="00120842"/>
    <w:rsid w:val="00120D84"/>
    <w:rsid w:val="00120F49"/>
    <w:rsid w:val="0012114B"/>
    <w:rsid w:val="00121638"/>
    <w:rsid w:val="00121BE9"/>
    <w:rsid w:val="001229D0"/>
    <w:rsid w:val="00123990"/>
    <w:rsid w:val="00124574"/>
    <w:rsid w:val="001246D1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248"/>
    <w:rsid w:val="001349A2"/>
    <w:rsid w:val="00134F38"/>
    <w:rsid w:val="00135671"/>
    <w:rsid w:val="00135D92"/>
    <w:rsid w:val="00137A33"/>
    <w:rsid w:val="001409E1"/>
    <w:rsid w:val="0014239B"/>
    <w:rsid w:val="001423B6"/>
    <w:rsid w:val="001436A9"/>
    <w:rsid w:val="00143C79"/>
    <w:rsid w:val="00143F7E"/>
    <w:rsid w:val="00144241"/>
    <w:rsid w:val="001448A7"/>
    <w:rsid w:val="0014543F"/>
    <w:rsid w:val="00146621"/>
    <w:rsid w:val="00147B0F"/>
    <w:rsid w:val="00151525"/>
    <w:rsid w:val="001520A2"/>
    <w:rsid w:val="00152273"/>
    <w:rsid w:val="0015277D"/>
    <w:rsid w:val="0015313D"/>
    <w:rsid w:val="00153E97"/>
    <w:rsid w:val="001542B9"/>
    <w:rsid w:val="001544CF"/>
    <w:rsid w:val="00154726"/>
    <w:rsid w:val="00154DF8"/>
    <w:rsid w:val="00154EC0"/>
    <w:rsid w:val="00155103"/>
    <w:rsid w:val="00156F4C"/>
    <w:rsid w:val="00160E26"/>
    <w:rsid w:val="00161DA5"/>
    <w:rsid w:val="00161F52"/>
    <w:rsid w:val="00162325"/>
    <w:rsid w:val="0016312E"/>
    <w:rsid w:val="00163F89"/>
    <w:rsid w:val="0016514E"/>
    <w:rsid w:val="001651CE"/>
    <w:rsid w:val="00165383"/>
    <w:rsid w:val="00165563"/>
    <w:rsid w:val="00166B2D"/>
    <w:rsid w:val="0016751F"/>
    <w:rsid w:val="001677B4"/>
    <w:rsid w:val="00171561"/>
    <w:rsid w:val="00171939"/>
    <w:rsid w:val="001720A2"/>
    <w:rsid w:val="00173007"/>
    <w:rsid w:val="00173D53"/>
    <w:rsid w:val="00174612"/>
    <w:rsid w:val="001750F4"/>
    <w:rsid w:val="001752A1"/>
    <w:rsid w:val="00176FC0"/>
    <w:rsid w:val="001774A2"/>
    <w:rsid w:val="00180490"/>
    <w:rsid w:val="00182993"/>
    <w:rsid w:val="001829CE"/>
    <w:rsid w:val="0018378F"/>
    <w:rsid w:val="00183CB1"/>
    <w:rsid w:val="0018429E"/>
    <w:rsid w:val="001844A6"/>
    <w:rsid w:val="0018456B"/>
    <w:rsid w:val="001851A5"/>
    <w:rsid w:val="00186719"/>
    <w:rsid w:val="001905F6"/>
    <w:rsid w:val="00190DE4"/>
    <w:rsid w:val="00191778"/>
    <w:rsid w:val="00191C6D"/>
    <w:rsid w:val="00191E3E"/>
    <w:rsid w:val="001951DA"/>
    <w:rsid w:val="00195E9E"/>
    <w:rsid w:val="0019640E"/>
    <w:rsid w:val="00196B8C"/>
    <w:rsid w:val="001A005A"/>
    <w:rsid w:val="001A0434"/>
    <w:rsid w:val="001A0D79"/>
    <w:rsid w:val="001A1119"/>
    <w:rsid w:val="001A17C2"/>
    <w:rsid w:val="001A2810"/>
    <w:rsid w:val="001A3446"/>
    <w:rsid w:val="001A40AB"/>
    <w:rsid w:val="001A41A6"/>
    <w:rsid w:val="001A468C"/>
    <w:rsid w:val="001A49FD"/>
    <w:rsid w:val="001A5509"/>
    <w:rsid w:val="001A627E"/>
    <w:rsid w:val="001A75DF"/>
    <w:rsid w:val="001B1379"/>
    <w:rsid w:val="001B38CF"/>
    <w:rsid w:val="001B3F52"/>
    <w:rsid w:val="001B48AF"/>
    <w:rsid w:val="001B521F"/>
    <w:rsid w:val="001B532C"/>
    <w:rsid w:val="001B53BA"/>
    <w:rsid w:val="001B5F23"/>
    <w:rsid w:val="001B6621"/>
    <w:rsid w:val="001B69A2"/>
    <w:rsid w:val="001C0057"/>
    <w:rsid w:val="001C103F"/>
    <w:rsid w:val="001C1294"/>
    <w:rsid w:val="001C190A"/>
    <w:rsid w:val="001C2698"/>
    <w:rsid w:val="001C3269"/>
    <w:rsid w:val="001C35BF"/>
    <w:rsid w:val="001C3D4C"/>
    <w:rsid w:val="001C5804"/>
    <w:rsid w:val="001C5C67"/>
    <w:rsid w:val="001C5DE2"/>
    <w:rsid w:val="001C6028"/>
    <w:rsid w:val="001C6976"/>
    <w:rsid w:val="001C70AF"/>
    <w:rsid w:val="001C7489"/>
    <w:rsid w:val="001C7C16"/>
    <w:rsid w:val="001D1C23"/>
    <w:rsid w:val="001D1DB4"/>
    <w:rsid w:val="001D27BD"/>
    <w:rsid w:val="001D2A0E"/>
    <w:rsid w:val="001D30F4"/>
    <w:rsid w:val="001D4C1B"/>
    <w:rsid w:val="001D6715"/>
    <w:rsid w:val="001E01A7"/>
    <w:rsid w:val="001E0A96"/>
    <w:rsid w:val="001E1400"/>
    <w:rsid w:val="001E22ED"/>
    <w:rsid w:val="001E236B"/>
    <w:rsid w:val="001E3201"/>
    <w:rsid w:val="001E5351"/>
    <w:rsid w:val="001E5F7B"/>
    <w:rsid w:val="001E6C4F"/>
    <w:rsid w:val="001E6D2F"/>
    <w:rsid w:val="001F1289"/>
    <w:rsid w:val="001F20A5"/>
    <w:rsid w:val="001F2800"/>
    <w:rsid w:val="001F2BEC"/>
    <w:rsid w:val="001F340B"/>
    <w:rsid w:val="001F48BB"/>
    <w:rsid w:val="001F4A85"/>
    <w:rsid w:val="001F547E"/>
    <w:rsid w:val="001F5512"/>
    <w:rsid w:val="001F5924"/>
    <w:rsid w:val="001F67FE"/>
    <w:rsid w:val="001F7F8B"/>
    <w:rsid w:val="00200080"/>
    <w:rsid w:val="0020034B"/>
    <w:rsid w:val="002003B9"/>
    <w:rsid w:val="002019C6"/>
    <w:rsid w:val="002023E9"/>
    <w:rsid w:val="0020332A"/>
    <w:rsid w:val="00203B23"/>
    <w:rsid w:val="00203BEC"/>
    <w:rsid w:val="00204061"/>
    <w:rsid w:val="002043FC"/>
    <w:rsid w:val="002049E6"/>
    <w:rsid w:val="00204D60"/>
    <w:rsid w:val="00205BEB"/>
    <w:rsid w:val="00205E2F"/>
    <w:rsid w:val="0020721A"/>
    <w:rsid w:val="00207A39"/>
    <w:rsid w:val="00211A7E"/>
    <w:rsid w:val="00211C83"/>
    <w:rsid w:val="002130FF"/>
    <w:rsid w:val="0021363F"/>
    <w:rsid w:val="002141A1"/>
    <w:rsid w:val="0021491E"/>
    <w:rsid w:val="00214C41"/>
    <w:rsid w:val="00215013"/>
    <w:rsid w:val="00216030"/>
    <w:rsid w:val="00220250"/>
    <w:rsid w:val="00220502"/>
    <w:rsid w:val="00220A8C"/>
    <w:rsid w:val="00220B53"/>
    <w:rsid w:val="00220C68"/>
    <w:rsid w:val="002220B7"/>
    <w:rsid w:val="0022314B"/>
    <w:rsid w:val="0022350C"/>
    <w:rsid w:val="00223C48"/>
    <w:rsid w:val="00223EBE"/>
    <w:rsid w:val="002248FB"/>
    <w:rsid w:val="00225602"/>
    <w:rsid w:val="00226FE1"/>
    <w:rsid w:val="00227A4F"/>
    <w:rsid w:val="00230CBA"/>
    <w:rsid w:val="002314F1"/>
    <w:rsid w:val="0023186D"/>
    <w:rsid w:val="0023240E"/>
    <w:rsid w:val="0023297E"/>
    <w:rsid w:val="002333B7"/>
    <w:rsid w:val="002337B9"/>
    <w:rsid w:val="00233880"/>
    <w:rsid w:val="00234335"/>
    <w:rsid w:val="002347FD"/>
    <w:rsid w:val="00234DF5"/>
    <w:rsid w:val="00234F14"/>
    <w:rsid w:val="00235EE9"/>
    <w:rsid w:val="00236998"/>
    <w:rsid w:val="00236B7C"/>
    <w:rsid w:val="00236C59"/>
    <w:rsid w:val="00236CA5"/>
    <w:rsid w:val="00237575"/>
    <w:rsid w:val="00237670"/>
    <w:rsid w:val="00237C5C"/>
    <w:rsid w:val="0024033E"/>
    <w:rsid w:val="00240FAB"/>
    <w:rsid w:val="00241406"/>
    <w:rsid w:val="0024278E"/>
    <w:rsid w:val="00244456"/>
    <w:rsid w:val="00244AE8"/>
    <w:rsid w:val="00244DBF"/>
    <w:rsid w:val="00244E7F"/>
    <w:rsid w:val="00246B7F"/>
    <w:rsid w:val="00247E0C"/>
    <w:rsid w:val="0025169D"/>
    <w:rsid w:val="00251F38"/>
    <w:rsid w:val="00252B47"/>
    <w:rsid w:val="0025314E"/>
    <w:rsid w:val="0025392F"/>
    <w:rsid w:val="002545E4"/>
    <w:rsid w:val="0025463B"/>
    <w:rsid w:val="00254D3C"/>
    <w:rsid w:val="00256D58"/>
    <w:rsid w:val="00256FB9"/>
    <w:rsid w:val="002574F9"/>
    <w:rsid w:val="00257509"/>
    <w:rsid w:val="002578AC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4323"/>
    <w:rsid w:val="00264409"/>
    <w:rsid w:val="0026573E"/>
    <w:rsid w:val="0026592C"/>
    <w:rsid w:val="0026623B"/>
    <w:rsid w:val="00266EEE"/>
    <w:rsid w:val="00267029"/>
    <w:rsid w:val="00270928"/>
    <w:rsid w:val="00270D05"/>
    <w:rsid w:val="00270DDC"/>
    <w:rsid w:val="00272B8C"/>
    <w:rsid w:val="00272D53"/>
    <w:rsid w:val="00272F7B"/>
    <w:rsid w:val="0027343F"/>
    <w:rsid w:val="00273988"/>
    <w:rsid w:val="00274C17"/>
    <w:rsid w:val="00275391"/>
    <w:rsid w:val="002763FC"/>
    <w:rsid w:val="00276811"/>
    <w:rsid w:val="00276977"/>
    <w:rsid w:val="00280BD4"/>
    <w:rsid w:val="00281289"/>
    <w:rsid w:val="00282699"/>
    <w:rsid w:val="002829FD"/>
    <w:rsid w:val="00282E90"/>
    <w:rsid w:val="00287DE4"/>
    <w:rsid w:val="0029086F"/>
    <w:rsid w:val="00290F0D"/>
    <w:rsid w:val="0029139F"/>
    <w:rsid w:val="00291537"/>
    <w:rsid w:val="002926DF"/>
    <w:rsid w:val="00292C7A"/>
    <w:rsid w:val="002931E3"/>
    <w:rsid w:val="00293CE7"/>
    <w:rsid w:val="00294829"/>
    <w:rsid w:val="002958BB"/>
    <w:rsid w:val="002959EC"/>
    <w:rsid w:val="002961BD"/>
    <w:rsid w:val="00296697"/>
    <w:rsid w:val="0029683A"/>
    <w:rsid w:val="002A071B"/>
    <w:rsid w:val="002A0B31"/>
    <w:rsid w:val="002A0EAF"/>
    <w:rsid w:val="002A1289"/>
    <w:rsid w:val="002A1B97"/>
    <w:rsid w:val="002A27F5"/>
    <w:rsid w:val="002A373A"/>
    <w:rsid w:val="002A42C0"/>
    <w:rsid w:val="002A486F"/>
    <w:rsid w:val="002A5A06"/>
    <w:rsid w:val="002A6115"/>
    <w:rsid w:val="002A6AF6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06E4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326"/>
    <w:rsid w:val="002D3A7B"/>
    <w:rsid w:val="002D675F"/>
    <w:rsid w:val="002D6C95"/>
    <w:rsid w:val="002D6D97"/>
    <w:rsid w:val="002D7180"/>
    <w:rsid w:val="002E208F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088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6DE"/>
    <w:rsid w:val="0030382E"/>
    <w:rsid w:val="00303C59"/>
    <w:rsid w:val="00304F22"/>
    <w:rsid w:val="00305290"/>
    <w:rsid w:val="003059CE"/>
    <w:rsid w:val="003062B5"/>
    <w:rsid w:val="00306C7C"/>
    <w:rsid w:val="00306D2A"/>
    <w:rsid w:val="00307883"/>
    <w:rsid w:val="003100C8"/>
    <w:rsid w:val="00310F16"/>
    <w:rsid w:val="003112E7"/>
    <w:rsid w:val="0031225B"/>
    <w:rsid w:val="00312ADB"/>
    <w:rsid w:val="003131FC"/>
    <w:rsid w:val="003140EB"/>
    <w:rsid w:val="00314D4D"/>
    <w:rsid w:val="0031592A"/>
    <w:rsid w:val="0031623C"/>
    <w:rsid w:val="00317DE2"/>
    <w:rsid w:val="003203F6"/>
    <w:rsid w:val="00320FEE"/>
    <w:rsid w:val="003225E7"/>
    <w:rsid w:val="00322ADB"/>
    <w:rsid w:val="00322EDD"/>
    <w:rsid w:val="0032343F"/>
    <w:rsid w:val="0032379F"/>
    <w:rsid w:val="00324F87"/>
    <w:rsid w:val="00326E1C"/>
    <w:rsid w:val="00326E35"/>
    <w:rsid w:val="00327EE8"/>
    <w:rsid w:val="00327F39"/>
    <w:rsid w:val="0033011E"/>
    <w:rsid w:val="0033026E"/>
    <w:rsid w:val="00331F1E"/>
    <w:rsid w:val="00332281"/>
    <w:rsid w:val="00332320"/>
    <w:rsid w:val="00333012"/>
    <w:rsid w:val="003330FD"/>
    <w:rsid w:val="00334B8D"/>
    <w:rsid w:val="00336650"/>
    <w:rsid w:val="00336951"/>
    <w:rsid w:val="00336F3A"/>
    <w:rsid w:val="00337210"/>
    <w:rsid w:val="003426AB"/>
    <w:rsid w:val="0034323F"/>
    <w:rsid w:val="0034354B"/>
    <w:rsid w:val="003448B9"/>
    <w:rsid w:val="00344C09"/>
    <w:rsid w:val="00345104"/>
    <w:rsid w:val="00345F0C"/>
    <w:rsid w:val="00346B95"/>
    <w:rsid w:val="00347491"/>
    <w:rsid w:val="00347D72"/>
    <w:rsid w:val="00347F5C"/>
    <w:rsid w:val="00350F8C"/>
    <w:rsid w:val="003513CD"/>
    <w:rsid w:val="0035284F"/>
    <w:rsid w:val="003530DA"/>
    <w:rsid w:val="00353C98"/>
    <w:rsid w:val="00354B47"/>
    <w:rsid w:val="00354DE7"/>
    <w:rsid w:val="00354E4F"/>
    <w:rsid w:val="00354FEE"/>
    <w:rsid w:val="00355C1F"/>
    <w:rsid w:val="00356058"/>
    <w:rsid w:val="00356186"/>
    <w:rsid w:val="00357611"/>
    <w:rsid w:val="0036076D"/>
    <w:rsid w:val="00360E90"/>
    <w:rsid w:val="00360F78"/>
    <w:rsid w:val="00361417"/>
    <w:rsid w:val="0036191F"/>
    <w:rsid w:val="00363527"/>
    <w:rsid w:val="00363F3B"/>
    <w:rsid w:val="00364197"/>
    <w:rsid w:val="00364D74"/>
    <w:rsid w:val="00364EBA"/>
    <w:rsid w:val="003650EE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B3E"/>
    <w:rsid w:val="00374D5D"/>
    <w:rsid w:val="00375B9E"/>
    <w:rsid w:val="00376163"/>
    <w:rsid w:val="003802B7"/>
    <w:rsid w:val="00380581"/>
    <w:rsid w:val="00382BE1"/>
    <w:rsid w:val="00382DAE"/>
    <w:rsid w:val="00383530"/>
    <w:rsid w:val="003843DB"/>
    <w:rsid w:val="00384413"/>
    <w:rsid w:val="00384E44"/>
    <w:rsid w:val="003855E8"/>
    <w:rsid w:val="00387793"/>
    <w:rsid w:val="0039024E"/>
    <w:rsid w:val="003910EE"/>
    <w:rsid w:val="0039111A"/>
    <w:rsid w:val="003918F4"/>
    <w:rsid w:val="00391BCA"/>
    <w:rsid w:val="00391FF3"/>
    <w:rsid w:val="00393761"/>
    <w:rsid w:val="003939CD"/>
    <w:rsid w:val="00393E34"/>
    <w:rsid w:val="00395886"/>
    <w:rsid w:val="00395D86"/>
    <w:rsid w:val="003967B6"/>
    <w:rsid w:val="003968F9"/>
    <w:rsid w:val="0039702D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ABD"/>
    <w:rsid w:val="003B4DDA"/>
    <w:rsid w:val="003B4F36"/>
    <w:rsid w:val="003B58A4"/>
    <w:rsid w:val="003B6358"/>
    <w:rsid w:val="003B77D5"/>
    <w:rsid w:val="003B7E27"/>
    <w:rsid w:val="003C038A"/>
    <w:rsid w:val="003C2CAA"/>
    <w:rsid w:val="003C2EDB"/>
    <w:rsid w:val="003C3CE9"/>
    <w:rsid w:val="003C4268"/>
    <w:rsid w:val="003C59E0"/>
    <w:rsid w:val="003C64DF"/>
    <w:rsid w:val="003C65DF"/>
    <w:rsid w:val="003C6C8D"/>
    <w:rsid w:val="003C723B"/>
    <w:rsid w:val="003D0C16"/>
    <w:rsid w:val="003D0E78"/>
    <w:rsid w:val="003D0EDA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9E8"/>
    <w:rsid w:val="003D7F37"/>
    <w:rsid w:val="003E0620"/>
    <w:rsid w:val="003E2006"/>
    <w:rsid w:val="003E2D36"/>
    <w:rsid w:val="003E3153"/>
    <w:rsid w:val="003E39D3"/>
    <w:rsid w:val="003E43B9"/>
    <w:rsid w:val="003E50AB"/>
    <w:rsid w:val="003E5DA2"/>
    <w:rsid w:val="003E6106"/>
    <w:rsid w:val="003E697C"/>
    <w:rsid w:val="003E6FCB"/>
    <w:rsid w:val="003E7F1A"/>
    <w:rsid w:val="003F025A"/>
    <w:rsid w:val="003F0895"/>
    <w:rsid w:val="003F0C5E"/>
    <w:rsid w:val="003F1175"/>
    <w:rsid w:val="003F1527"/>
    <w:rsid w:val="003F2FE3"/>
    <w:rsid w:val="003F30F6"/>
    <w:rsid w:val="003F43FB"/>
    <w:rsid w:val="003F4942"/>
    <w:rsid w:val="003F4C97"/>
    <w:rsid w:val="003F6B2D"/>
    <w:rsid w:val="003F7488"/>
    <w:rsid w:val="003F7B34"/>
    <w:rsid w:val="003F7FE6"/>
    <w:rsid w:val="00400193"/>
    <w:rsid w:val="00401667"/>
    <w:rsid w:val="00401B41"/>
    <w:rsid w:val="00402D9F"/>
    <w:rsid w:val="00403ADE"/>
    <w:rsid w:val="00403C6F"/>
    <w:rsid w:val="004046D6"/>
    <w:rsid w:val="004048E5"/>
    <w:rsid w:val="00404B08"/>
    <w:rsid w:val="00404B8B"/>
    <w:rsid w:val="00405107"/>
    <w:rsid w:val="004078E9"/>
    <w:rsid w:val="00407D2F"/>
    <w:rsid w:val="00410F4C"/>
    <w:rsid w:val="004113DD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9F8"/>
    <w:rsid w:val="00425B46"/>
    <w:rsid w:val="00425E73"/>
    <w:rsid w:val="00426464"/>
    <w:rsid w:val="00427BF8"/>
    <w:rsid w:val="00430722"/>
    <w:rsid w:val="00431113"/>
    <w:rsid w:val="00431C02"/>
    <w:rsid w:val="00434CE5"/>
    <w:rsid w:val="004356A0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056"/>
    <w:rsid w:val="0045357F"/>
    <w:rsid w:val="0045369B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743"/>
    <w:rsid w:val="00463E39"/>
    <w:rsid w:val="004641BE"/>
    <w:rsid w:val="004646E2"/>
    <w:rsid w:val="004648F3"/>
    <w:rsid w:val="004657FC"/>
    <w:rsid w:val="00465AF0"/>
    <w:rsid w:val="00466C06"/>
    <w:rsid w:val="004672EC"/>
    <w:rsid w:val="00467693"/>
    <w:rsid w:val="0047125C"/>
    <w:rsid w:val="00471479"/>
    <w:rsid w:val="004733F6"/>
    <w:rsid w:val="0047363A"/>
    <w:rsid w:val="00473A17"/>
    <w:rsid w:val="00473C71"/>
    <w:rsid w:val="00474E69"/>
    <w:rsid w:val="00475A0F"/>
    <w:rsid w:val="00476467"/>
    <w:rsid w:val="00477731"/>
    <w:rsid w:val="00477E8C"/>
    <w:rsid w:val="00481107"/>
    <w:rsid w:val="00482240"/>
    <w:rsid w:val="00482A3F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4"/>
    <w:rsid w:val="00494FF5"/>
    <w:rsid w:val="004954A5"/>
    <w:rsid w:val="00495553"/>
    <w:rsid w:val="0049621B"/>
    <w:rsid w:val="00497E53"/>
    <w:rsid w:val="004A0185"/>
    <w:rsid w:val="004A05F6"/>
    <w:rsid w:val="004A08CE"/>
    <w:rsid w:val="004A1C6F"/>
    <w:rsid w:val="004A2EE1"/>
    <w:rsid w:val="004A3B58"/>
    <w:rsid w:val="004A5576"/>
    <w:rsid w:val="004A70F5"/>
    <w:rsid w:val="004B015C"/>
    <w:rsid w:val="004B06B1"/>
    <w:rsid w:val="004B0B9B"/>
    <w:rsid w:val="004B22B0"/>
    <w:rsid w:val="004B3267"/>
    <w:rsid w:val="004B339C"/>
    <w:rsid w:val="004B494B"/>
    <w:rsid w:val="004B5381"/>
    <w:rsid w:val="004B637F"/>
    <w:rsid w:val="004B784E"/>
    <w:rsid w:val="004B7922"/>
    <w:rsid w:val="004B7E11"/>
    <w:rsid w:val="004C01EE"/>
    <w:rsid w:val="004C165B"/>
    <w:rsid w:val="004C1842"/>
    <w:rsid w:val="004C1895"/>
    <w:rsid w:val="004C1AB5"/>
    <w:rsid w:val="004C2667"/>
    <w:rsid w:val="004C2B64"/>
    <w:rsid w:val="004C3B88"/>
    <w:rsid w:val="004C43FA"/>
    <w:rsid w:val="004C4F2B"/>
    <w:rsid w:val="004C5861"/>
    <w:rsid w:val="004C5CAB"/>
    <w:rsid w:val="004C61D9"/>
    <w:rsid w:val="004C63C2"/>
    <w:rsid w:val="004C641D"/>
    <w:rsid w:val="004C6D40"/>
    <w:rsid w:val="004C7631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6A1B"/>
    <w:rsid w:val="004D7764"/>
    <w:rsid w:val="004D7A79"/>
    <w:rsid w:val="004E02D3"/>
    <w:rsid w:val="004E18EB"/>
    <w:rsid w:val="004E1EBF"/>
    <w:rsid w:val="004E2013"/>
    <w:rsid w:val="004E2CD5"/>
    <w:rsid w:val="004E36D5"/>
    <w:rsid w:val="004E3939"/>
    <w:rsid w:val="004E3E42"/>
    <w:rsid w:val="004E42A9"/>
    <w:rsid w:val="004E6DBA"/>
    <w:rsid w:val="004E7C46"/>
    <w:rsid w:val="004F03F8"/>
    <w:rsid w:val="004F07EA"/>
    <w:rsid w:val="004F0B03"/>
    <w:rsid w:val="004F0C3C"/>
    <w:rsid w:val="004F1D81"/>
    <w:rsid w:val="004F233D"/>
    <w:rsid w:val="004F2C3B"/>
    <w:rsid w:val="004F341F"/>
    <w:rsid w:val="004F3D29"/>
    <w:rsid w:val="004F4664"/>
    <w:rsid w:val="004F4C33"/>
    <w:rsid w:val="004F50E3"/>
    <w:rsid w:val="004F50F0"/>
    <w:rsid w:val="004F629C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3C85"/>
    <w:rsid w:val="00504AEE"/>
    <w:rsid w:val="005056BC"/>
    <w:rsid w:val="00505A92"/>
    <w:rsid w:val="00505D4A"/>
    <w:rsid w:val="005060B7"/>
    <w:rsid w:val="00506206"/>
    <w:rsid w:val="0050683B"/>
    <w:rsid w:val="00506A67"/>
    <w:rsid w:val="00506DFA"/>
    <w:rsid w:val="00506EE2"/>
    <w:rsid w:val="005102F6"/>
    <w:rsid w:val="00510AB6"/>
    <w:rsid w:val="00510C14"/>
    <w:rsid w:val="005117C2"/>
    <w:rsid w:val="00513591"/>
    <w:rsid w:val="0051410B"/>
    <w:rsid w:val="005149A5"/>
    <w:rsid w:val="005152A6"/>
    <w:rsid w:val="00515342"/>
    <w:rsid w:val="00515420"/>
    <w:rsid w:val="00516C18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3785"/>
    <w:rsid w:val="005248A3"/>
    <w:rsid w:val="0052593D"/>
    <w:rsid w:val="005259CA"/>
    <w:rsid w:val="0052789F"/>
    <w:rsid w:val="00527DC0"/>
    <w:rsid w:val="00531BAF"/>
    <w:rsid w:val="00531C2B"/>
    <w:rsid w:val="0053206A"/>
    <w:rsid w:val="00532FEB"/>
    <w:rsid w:val="00533632"/>
    <w:rsid w:val="005348D4"/>
    <w:rsid w:val="005355D3"/>
    <w:rsid w:val="005358B2"/>
    <w:rsid w:val="00536167"/>
    <w:rsid w:val="005369A1"/>
    <w:rsid w:val="00537E68"/>
    <w:rsid w:val="00541B11"/>
    <w:rsid w:val="0054251F"/>
    <w:rsid w:val="00542783"/>
    <w:rsid w:val="00543644"/>
    <w:rsid w:val="00543B25"/>
    <w:rsid w:val="00543CA9"/>
    <w:rsid w:val="00543EE8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7CB"/>
    <w:rsid w:val="00554E47"/>
    <w:rsid w:val="00555368"/>
    <w:rsid w:val="0055568D"/>
    <w:rsid w:val="0055613F"/>
    <w:rsid w:val="00556CF1"/>
    <w:rsid w:val="00560BFF"/>
    <w:rsid w:val="00561B17"/>
    <w:rsid w:val="00561B4A"/>
    <w:rsid w:val="00564259"/>
    <w:rsid w:val="005646A7"/>
    <w:rsid w:val="00564E45"/>
    <w:rsid w:val="005657B8"/>
    <w:rsid w:val="0056586A"/>
    <w:rsid w:val="005662A2"/>
    <w:rsid w:val="0056673F"/>
    <w:rsid w:val="005701B9"/>
    <w:rsid w:val="0057312F"/>
    <w:rsid w:val="0057343D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12B8"/>
    <w:rsid w:val="0058303B"/>
    <w:rsid w:val="00583B4A"/>
    <w:rsid w:val="00583BAB"/>
    <w:rsid w:val="00585EF2"/>
    <w:rsid w:val="00586006"/>
    <w:rsid w:val="0058635E"/>
    <w:rsid w:val="0058668F"/>
    <w:rsid w:val="00587268"/>
    <w:rsid w:val="00587436"/>
    <w:rsid w:val="0058750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568"/>
    <w:rsid w:val="0059676C"/>
    <w:rsid w:val="00596CBA"/>
    <w:rsid w:val="005A1306"/>
    <w:rsid w:val="005A1593"/>
    <w:rsid w:val="005A1B40"/>
    <w:rsid w:val="005A1B7C"/>
    <w:rsid w:val="005A1C45"/>
    <w:rsid w:val="005A2156"/>
    <w:rsid w:val="005A289C"/>
    <w:rsid w:val="005A3BFB"/>
    <w:rsid w:val="005A400F"/>
    <w:rsid w:val="005A4062"/>
    <w:rsid w:val="005A64AF"/>
    <w:rsid w:val="005A698C"/>
    <w:rsid w:val="005A7F24"/>
    <w:rsid w:val="005B07C6"/>
    <w:rsid w:val="005B0AE8"/>
    <w:rsid w:val="005B1744"/>
    <w:rsid w:val="005B1908"/>
    <w:rsid w:val="005B23AA"/>
    <w:rsid w:val="005B3C18"/>
    <w:rsid w:val="005B3CB4"/>
    <w:rsid w:val="005B66F7"/>
    <w:rsid w:val="005B69FE"/>
    <w:rsid w:val="005B6AAA"/>
    <w:rsid w:val="005B7AE3"/>
    <w:rsid w:val="005B7E62"/>
    <w:rsid w:val="005C08E7"/>
    <w:rsid w:val="005C123C"/>
    <w:rsid w:val="005C16C6"/>
    <w:rsid w:val="005C267A"/>
    <w:rsid w:val="005C2BBA"/>
    <w:rsid w:val="005C2F8B"/>
    <w:rsid w:val="005C4F29"/>
    <w:rsid w:val="005C50E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2F19"/>
    <w:rsid w:val="005D373C"/>
    <w:rsid w:val="005D38AE"/>
    <w:rsid w:val="005D3C4B"/>
    <w:rsid w:val="005D4B6A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2F63"/>
    <w:rsid w:val="005E33D9"/>
    <w:rsid w:val="005E47E1"/>
    <w:rsid w:val="005E5BF4"/>
    <w:rsid w:val="005E6F6D"/>
    <w:rsid w:val="005F0936"/>
    <w:rsid w:val="005F2324"/>
    <w:rsid w:val="005F271E"/>
    <w:rsid w:val="005F290E"/>
    <w:rsid w:val="005F2A67"/>
    <w:rsid w:val="005F3DF3"/>
    <w:rsid w:val="005F453F"/>
    <w:rsid w:val="005F4752"/>
    <w:rsid w:val="005F5A80"/>
    <w:rsid w:val="005F70D6"/>
    <w:rsid w:val="005F7959"/>
    <w:rsid w:val="00600D70"/>
    <w:rsid w:val="00601025"/>
    <w:rsid w:val="00601F89"/>
    <w:rsid w:val="006033F0"/>
    <w:rsid w:val="006044FF"/>
    <w:rsid w:val="0060458D"/>
    <w:rsid w:val="00605467"/>
    <w:rsid w:val="006060DA"/>
    <w:rsid w:val="0060655D"/>
    <w:rsid w:val="0060664B"/>
    <w:rsid w:val="00607CC5"/>
    <w:rsid w:val="0061003A"/>
    <w:rsid w:val="00610968"/>
    <w:rsid w:val="00610E43"/>
    <w:rsid w:val="0061154D"/>
    <w:rsid w:val="00611FD4"/>
    <w:rsid w:val="00612EB8"/>
    <w:rsid w:val="00615762"/>
    <w:rsid w:val="00615822"/>
    <w:rsid w:val="00615B0C"/>
    <w:rsid w:val="006167C3"/>
    <w:rsid w:val="00616B93"/>
    <w:rsid w:val="006171B0"/>
    <w:rsid w:val="00617FAA"/>
    <w:rsid w:val="00620852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1EE7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366B3"/>
    <w:rsid w:val="00640117"/>
    <w:rsid w:val="00641B30"/>
    <w:rsid w:val="00642161"/>
    <w:rsid w:val="00642CA9"/>
    <w:rsid w:val="00642F04"/>
    <w:rsid w:val="0064353E"/>
    <w:rsid w:val="00643D5E"/>
    <w:rsid w:val="00645152"/>
    <w:rsid w:val="00645483"/>
    <w:rsid w:val="006454C1"/>
    <w:rsid w:val="00645A24"/>
    <w:rsid w:val="00647855"/>
    <w:rsid w:val="00647B92"/>
    <w:rsid w:val="00647CCE"/>
    <w:rsid w:val="0065123F"/>
    <w:rsid w:val="006513B3"/>
    <w:rsid w:val="006527C6"/>
    <w:rsid w:val="00652A44"/>
    <w:rsid w:val="006534EB"/>
    <w:rsid w:val="0065472D"/>
    <w:rsid w:val="006554F9"/>
    <w:rsid w:val="00655596"/>
    <w:rsid w:val="00656373"/>
    <w:rsid w:val="00656441"/>
    <w:rsid w:val="00656EFE"/>
    <w:rsid w:val="006574AA"/>
    <w:rsid w:val="00657E90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19A7"/>
    <w:rsid w:val="0067351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2D70"/>
    <w:rsid w:val="006831C9"/>
    <w:rsid w:val="0068327D"/>
    <w:rsid w:val="006841AE"/>
    <w:rsid w:val="00684858"/>
    <w:rsid w:val="00684E60"/>
    <w:rsid w:val="00685C1C"/>
    <w:rsid w:val="006867CD"/>
    <w:rsid w:val="006867D1"/>
    <w:rsid w:val="0069010F"/>
    <w:rsid w:val="00690AB6"/>
    <w:rsid w:val="00690C99"/>
    <w:rsid w:val="00691381"/>
    <w:rsid w:val="0069149E"/>
    <w:rsid w:val="00691635"/>
    <w:rsid w:val="00691922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5A4"/>
    <w:rsid w:val="006A2E6E"/>
    <w:rsid w:val="006A3DA0"/>
    <w:rsid w:val="006A42BE"/>
    <w:rsid w:val="006A45D9"/>
    <w:rsid w:val="006A5966"/>
    <w:rsid w:val="006A5E06"/>
    <w:rsid w:val="006A730C"/>
    <w:rsid w:val="006B07B7"/>
    <w:rsid w:val="006B0E9E"/>
    <w:rsid w:val="006B3156"/>
    <w:rsid w:val="006B36D7"/>
    <w:rsid w:val="006B4271"/>
    <w:rsid w:val="006B42B4"/>
    <w:rsid w:val="006B452A"/>
    <w:rsid w:val="006B517C"/>
    <w:rsid w:val="006B5AE4"/>
    <w:rsid w:val="006B61EB"/>
    <w:rsid w:val="006B6A79"/>
    <w:rsid w:val="006B6B35"/>
    <w:rsid w:val="006B6B87"/>
    <w:rsid w:val="006B723D"/>
    <w:rsid w:val="006C060C"/>
    <w:rsid w:val="006C0C68"/>
    <w:rsid w:val="006C1C8F"/>
    <w:rsid w:val="006C1CA4"/>
    <w:rsid w:val="006C2748"/>
    <w:rsid w:val="006C2BD1"/>
    <w:rsid w:val="006C311A"/>
    <w:rsid w:val="006C35E3"/>
    <w:rsid w:val="006C3998"/>
    <w:rsid w:val="006C52E6"/>
    <w:rsid w:val="006C5725"/>
    <w:rsid w:val="006C623C"/>
    <w:rsid w:val="006C6913"/>
    <w:rsid w:val="006C7654"/>
    <w:rsid w:val="006D0525"/>
    <w:rsid w:val="006D19EA"/>
    <w:rsid w:val="006D3EEA"/>
    <w:rsid w:val="006D4054"/>
    <w:rsid w:val="006D4F6E"/>
    <w:rsid w:val="006D4FA0"/>
    <w:rsid w:val="006D50ED"/>
    <w:rsid w:val="006D546B"/>
    <w:rsid w:val="006D5A5D"/>
    <w:rsid w:val="006D76DD"/>
    <w:rsid w:val="006D7DBD"/>
    <w:rsid w:val="006E02EC"/>
    <w:rsid w:val="006E04D4"/>
    <w:rsid w:val="006E0790"/>
    <w:rsid w:val="006E1D58"/>
    <w:rsid w:val="006E278A"/>
    <w:rsid w:val="006E309F"/>
    <w:rsid w:val="006E4085"/>
    <w:rsid w:val="006E40F2"/>
    <w:rsid w:val="006E467E"/>
    <w:rsid w:val="006E5123"/>
    <w:rsid w:val="006E6AA7"/>
    <w:rsid w:val="006F19BF"/>
    <w:rsid w:val="006F24EA"/>
    <w:rsid w:val="006F2ACE"/>
    <w:rsid w:val="006F2C08"/>
    <w:rsid w:val="006F2EE7"/>
    <w:rsid w:val="006F4002"/>
    <w:rsid w:val="006F4664"/>
    <w:rsid w:val="006F52C8"/>
    <w:rsid w:val="006F580C"/>
    <w:rsid w:val="006F7E74"/>
    <w:rsid w:val="007014FE"/>
    <w:rsid w:val="00702C77"/>
    <w:rsid w:val="00705847"/>
    <w:rsid w:val="00705927"/>
    <w:rsid w:val="00706630"/>
    <w:rsid w:val="00706729"/>
    <w:rsid w:val="007076D2"/>
    <w:rsid w:val="00707C79"/>
    <w:rsid w:val="007105A1"/>
    <w:rsid w:val="0071101A"/>
    <w:rsid w:val="00711D2E"/>
    <w:rsid w:val="00712EFA"/>
    <w:rsid w:val="00713FF1"/>
    <w:rsid w:val="0071413A"/>
    <w:rsid w:val="00714A14"/>
    <w:rsid w:val="00715CB8"/>
    <w:rsid w:val="00716593"/>
    <w:rsid w:val="00720176"/>
    <w:rsid w:val="007211B1"/>
    <w:rsid w:val="00721863"/>
    <w:rsid w:val="00721B78"/>
    <w:rsid w:val="00721CCE"/>
    <w:rsid w:val="00722976"/>
    <w:rsid w:val="00723956"/>
    <w:rsid w:val="00724031"/>
    <w:rsid w:val="00725494"/>
    <w:rsid w:val="00725B20"/>
    <w:rsid w:val="00726892"/>
    <w:rsid w:val="007270C8"/>
    <w:rsid w:val="00727DE0"/>
    <w:rsid w:val="00727E41"/>
    <w:rsid w:val="00730A13"/>
    <w:rsid w:val="00731F20"/>
    <w:rsid w:val="00732240"/>
    <w:rsid w:val="00732EA2"/>
    <w:rsid w:val="00733BC2"/>
    <w:rsid w:val="00734148"/>
    <w:rsid w:val="00736F6A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041F"/>
    <w:rsid w:val="00752C66"/>
    <w:rsid w:val="0075333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2AFA"/>
    <w:rsid w:val="007639F0"/>
    <w:rsid w:val="00763E85"/>
    <w:rsid w:val="00763EC8"/>
    <w:rsid w:val="00764539"/>
    <w:rsid w:val="0076486B"/>
    <w:rsid w:val="0076526C"/>
    <w:rsid w:val="00765F4D"/>
    <w:rsid w:val="00771CC0"/>
    <w:rsid w:val="00771E66"/>
    <w:rsid w:val="007725C8"/>
    <w:rsid w:val="007729EF"/>
    <w:rsid w:val="00772DC4"/>
    <w:rsid w:val="00773313"/>
    <w:rsid w:val="007758C1"/>
    <w:rsid w:val="007769EB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87C2C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6E7C"/>
    <w:rsid w:val="00797F9C"/>
    <w:rsid w:val="007A1453"/>
    <w:rsid w:val="007A2DC1"/>
    <w:rsid w:val="007A2FC3"/>
    <w:rsid w:val="007A5BF7"/>
    <w:rsid w:val="007A5C42"/>
    <w:rsid w:val="007A5EB7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5B59"/>
    <w:rsid w:val="007B5FBA"/>
    <w:rsid w:val="007B68C0"/>
    <w:rsid w:val="007B6AFD"/>
    <w:rsid w:val="007B777A"/>
    <w:rsid w:val="007C016A"/>
    <w:rsid w:val="007C15C9"/>
    <w:rsid w:val="007C38CF"/>
    <w:rsid w:val="007C3BC1"/>
    <w:rsid w:val="007C5077"/>
    <w:rsid w:val="007C51B2"/>
    <w:rsid w:val="007C59C8"/>
    <w:rsid w:val="007C5BA5"/>
    <w:rsid w:val="007C6842"/>
    <w:rsid w:val="007C7266"/>
    <w:rsid w:val="007C74CE"/>
    <w:rsid w:val="007C7657"/>
    <w:rsid w:val="007C7794"/>
    <w:rsid w:val="007C7E2F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0044"/>
    <w:rsid w:val="007E1D0B"/>
    <w:rsid w:val="007E2657"/>
    <w:rsid w:val="007E2842"/>
    <w:rsid w:val="007E2AD9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52BE"/>
    <w:rsid w:val="007F55A0"/>
    <w:rsid w:val="007F6C0F"/>
    <w:rsid w:val="007F75D5"/>
    <w:rsid w:val="00800AB3"/>
    <w:rsid w:val="00803846"/>
    <w:rsid w:val="00803A45"/>
    <w:rsid w:val="00803B71"/>
    <w:rsid w:val="00804C09"/>
    <w:rsid w:val="0080538D"/>
    <w:rsid w:val="00805457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C38"/>
    <w:rsid w:val="00815F4E"/>
    <w:rsid w:val="00816324"/>
    <w:rsid w:val="00817424"/>
    <w:rsid w:val="00817AC7"/>
    <w:rsid w:val="00820164"/>
    <w:rsid w:val="00820169"/>
    <w:rsid w:val="00820BD5"/>
    <w:rsid w:val="00822C1F"/>
    <w:rsid w:val="008230C0"/>
    <w:rsid w:val="00823D50"/>
    <w:rsid w:val="00824156"/>
    <w:rsid w:val="008246BE"/>
    <w:rsid w:val="00824EED"/>
    <w:rsid w:val="0082503A"/>
    <w:rsid w:val="0082547B"/>
    <w:rsid w:val="0082556F"/>
    <w:rsid w:val="00825B31"/>
    <w:rsid w:val="00825DC2"/>
    <w:rsid w:val="00826EEC"/>
    <w:rsid w:val="008271F3"/>
    <w:rsid w:val="0082768C"/>
    <w:rsid w:val="00830CFF"/>
    <w:rsid w:val="008319E7"/>
    <w:rsid w:val="00832148"/>
    <w:rsid w:val="00832DB5"/>
    <w:rsid w:val="00834AD3"/>
    <w:rsid w:val="008359FC"/>
    <w:rsid w:val="00836456"/>
    <w:rsid w:val="0083678A"/>
    <w:rsid w:val="0083739B"/>
    <w:rsid w:val="008378A2"/>
    <w:rsid w:val="008403D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4AE"/>
    <w:rsid w:val="00847F0F"/>
    <w:rsid w:val="00847FBC"/>
    <w:rsid w:val="00850631"/>
    <w:rsid w:val="00850ABB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6D2"/>
    <w:rsid w:val="008647AC"/>
    <w:rsid w:val="00864AF8"/>
    <w:rsid w:val="00864E18"/>
    <w:rsid w:val="00865207"/>
    <w:rsid w:val="008702BA"/>
    <w:rsid w:val="00872BD4"/>
    <w:rsid w:val="0087330E"/>
    <w:rsid w:val="00873A3A"/>
    <w:rsid w:val="00874E8F"/>
    <w:rsid w:val="00875426"/>
    <w:rsid w:val="008762CD"/>
    <w:rsid w:val="008766F7"/>
    <w:rsid w:val="008768CE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87CEC"/>
    <w:rsid w:val="00890A96"/>
    <w:rsid w:val="008911AC"/>
    <w:rsid w:val="00892E74"/>
    <w:rsid w:val="00893865"/>
    <w:rsid w:val="00894780"/>
    <w:rsid w:val="008955CE"/>
    <w:rsid w:val="00896D11"/>
    <w:rsid w:val="00897958"/>
    <w:rsid w:val="008A0000"/>
    <w:rsid w:val="008A08F6"/>
    <w:rsid w:val="008A0E67"/>
    <w:rsid w:val="008A106F"/>
    <w:rsid w:val="008A1781"/>
    <w:rsid w:val="008A21F1"/>
    <w:rsid w:val="008A26D9"/>
    <w:rsid w:val="008A2F9C"/>
    <w:rsid w:val="008A46F8"/>
    <w:rsid w:val="008A4988"/>
    <w:rsid w:val="008A4EF4"/>
    <w:rsid w:val="008A6013"/>
    <w:rsid w:val="008A63E8"/>
    <w:rsid w:val="008A7C92"/>
    <w:rsid w:val="008B12C7"/>
    <w:rsid w:val="008B26C2"/>
    <w:rsid w:val="008B4B7B"/>
    <w:rsid w:val="008B5B26"/>
    <w:rsid w:val="008B5BD1"/>
    <w:rsid w:val="008B6D65"/>
    <w:rsid w:val="008B79E9"/>
    <w:rsid w:val="008C0C29"/>
    <w:rsid w:val="008C0FF9"/>
    <w:rsid w:val="008C1608"/>
    <w:rsid w:val="008C1998"/>
    <w:rsid w:val="008C1A07"/>
    <w:rsid w:val="008C26F5"/>
    <w:rsid w:val="008C314A"/>
    <w:rsid w:val="008C39BB"/>
    <w:rsid w:val="008C515A"/>
    <w:rsid w:val="008C57A4"/>
    <w:rsid w:val="008C5F51"/>
    <w:rsid w:val="008C605D"/>
    <w:rsid w:val="008C6118"/>
    <w:rsid w:val="008C612B"/>
    <w:rsid w:val="008C62F5"/>
    <w:rsid w:val="008C6710"/>
    <w:rsid w:val="008C6D41"/>
    <w:rsid w:val="008C78F9"/>
    <w:rsid w:val="008D0655"/>
    <w:rsid w:val="008D2F44"/>
    <w:rsid w:val="008D4105"/>
    <w:rsid w:val="008D514F"/>
    <w:rsid w:val="008D5F91"/>
    <w:rsid w:val="008D63C7"/>
    <w:rsid w:val="008E08E6"/>
    <w:rsid w:val="008E1132"/>
    <w:rsid w:val="008E1252"/>
    <w:rsid w:val="008E14D1"/>
    <w:rsid w:val="008E192F"/>
    <w:rsid w:val="008E2039"/>
    <w:rsid w:val="008E27EB"/>
    <w:rsid w:val="008E3B1D"/>
    <w:rsid w:val="008E3DD5"/>
    <w:rsid w:val="008E446C"/>
    <w:rsid w:val="008E4ADA"/>
    <w:rsid w:val="008E4D97"/>
    <w:rsid w:val="008E5824"/>
    <w:rsid w:val="008E67A0"/>
    <w:rsid w:val="008E7833"/>
    <w:rsid w:val="008F1204"/>
    <w:rsid w:val="008F2322"/>
    <w:rsid w:val="008F2BE5"/>
    <w:rsid w:val="008F2D47"/>
    <w:rsid w:val="008F35CA"/>
    <w:rsid w:val="008F3638"/>
    <w:rsid w:val="008F3A69"/>
    <w:rsid w:val="008F3D14"/>
    <w:rsid w:val="008F4F49"/>
    <w:rsid w:val="008F5269"/>
    <w:rsid w:val="008F5E18"/>
    <w:rsid w:val="008F5EFE"/>
    <w:rsid w:val="008F6816"/>
    <w:rsid w:val="008F6C12"/>
    <w:rsid w:val="008F6E1F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40C5"/>
    <w:rsid w:val="00905508"/>
    <w:rsid w:val="0090676D"/>
    <w:rsid w:val="00906A45"/>
    <w:rsid w:val="00906D08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302"/>
    <w:rsid w:val="00921E34"/>
    <w:rsid w:val="009227A6"/>
    <w:rsid w:val="009229A1"/>
    <w:rsid w:val="00923FD5"/>
    <w:rsid w:val="00924D90"/>
    <w:rsid w:val="00924EE4"/>
    <w:rsid w:val="009269F9"/>
    <w:rsid w:val="00926C25"/>
    <w:rsid w:val="00926F49"/>
    <w:rsid w:val="00927D8B"/>
    <w:rsid w:val="0093006E"/>
    <w:rsid w:val="00930BF7"/>
    <w:rsid w:val="00933273"/>
    <w:rsid w:val="00933EC1"/>
    <w:rsid w:val="00935ABA"/>
    <w:rsid w:val="00935E1B"/>
    <w:rsid w:val="00940840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5DC"/>
    <w:rsid w:val="009459A1"/>
    <w:rsid w:val="00946E34"/>
    <w:rsid w:val="0094724C"/>
    <w:rsid w:val="009476D2"/>
    <w:rsid w:val="00947BAA"/>
    <w:rsid w:val="00950137"/>
    <w:rsid w:val="009503D5"/>
    <w:rsid w:val="00950F20"/>
    <w:rsid w:val="00951384"/>
    <w:rsid w:val="00952F1F"/>
    <w:rsid w:val="009530DB"/>
    <w:rsid w:val="00953676"/>
    <w:rsid w:val="0095396F"/>
    <w:rsid w:val="0095590B"/>
    <w:rsid w:val="0095619E"/>
    <w:rsid w:val="00956DCD"/>
    <w:rsid w:val="00957770"/>
    <w:rsid w:val="00961431"/>
    <w:rsid w:val="009615BD"/>
    <w:rsid w:val="0096306A"/>
    <w:rsid w:val="009635A5"/>
    <w:rsid w:val="00963970"/>
    <w:rsid w:val="00965343"/>
    <w:rsid w:val="00966BD4"/>
    <w:rsid w:val="00966D22"/>
    <w:rsid w:val="009679D1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77EF9"/>
    <w:rsid w:val="009802B5"/>
    <w:rsid w:val="009804E8"/>
    <w:rsid w:val="0098135C"/>
    <w:rsid w:val="009814DA"/>
    <w:rsid w:val="0098156A"/>
    <w:rsid w:val="00982BC2"/>
    <w:rsid w:val="00983F74"/>
    <w:rsid w:val="00984C98"/>
    <w:rsid w:val="00984EF2"/>
    <w:rsid w:val="009865B1"/>
    <w:rsid w:val="00986E55"/>
    <w:rsid w:val="009870C3"/>
    <w:rsid w:val="00987718"/>
    <w:rsid w:val="009877DC"/>
    <w:rsid w:val="00987C48"/>
    <w:rsid w:val="009902B2"/>
    <w:rsid w:val="00990987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0126"/>
    <w:rsid w:val="009A075F"/>
    <w:rsid w:val="009A14C5"/>
    <w:rsid w:val="009A19F5"/>
    <w:rsid w:val="009A215B"/>
    <w:rsid w:val="009A2292"/>
    <w:rsid w:val="009A24EB"/>
    <w:rsid w:val="009A27D8"/>
    <w:rsid w:val="009A48EB"/>
    <w:rsid w:val="009A55B6"/>
    <w:rsid w:val="009A6EA0"/>
    <w:rsid w:val="009A71B2"/>
    <w:rsid w:val="009B1668"/>
    <w:rsid w:val="009B202F"/>
    <w:rsid w:val="009B247E"/>
    <w:rsid w:val="009B26F8"/>
    <w:rsid w:val="009B3495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C7FFE"/>
    <w:rsid w:val="009D09A5"/>
    <w:rsid w:val="009D0AFC"/>
    <w:rsid w:val="009D28FC"/>
    <w:rsid w:val="009D4486"/>
    <w:rsid w:val="009D78C4"/>
    <w:rsid w:val="009D7D62"/>
    <w:rsid w:val="009E0254"/>
    <w:rsid w:val="009E068C"/>
    <w:rsid w:val="009E0945"/>
    <w:rsid w:val="009E2207"/>
    <w:rsid w:val="009E2303"/>
    <w:rsid w:val="009E2E91"/>
    <w:rsid w:val="009E3C26"/>
    <w:rsid w:val="009E4A91"/>
    <w:rsid w:val="009E505E"/>
    <w:rsid w:val="009E592B"/>
    <w:rsid w:val="009E5A84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4041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1CDD"/>
    <w:rsid w:val="00A026C5"/>
    <w:rsid w:val="00A03287"/>
    <w:rsid w:val="00A032BF"/>
    <w:rsid w:val="00A03C64"/>
    <w:rsid w:val="00A04F19"/>
    <w:rsid w:val="00A05E54"/>
    <w:rsid w:val="00A0610A"/>
    <w:rsid w:val="00A06718"/>
    <w:rsid w:val="00A06BE8"/>
    <w:rsid w:val="00A07453"/>
    <w:rsid w:val="00A11489"/>
    <w:rsid w:val="00A11909"/>
    <w:rsid w:val="00A11FCE"/>
    <w:rsid w:val="00A126D5"/>
    <w:rsid w:val="00A1311B"/>
    <w:rsid w:val="00A13753"/>
    <w:rsid w:val="00A139CB"/>
    <w:rsid w:val="00A139F5"/>
    <w:rsid w:val="00A15A30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4A85"/>
    <w:rsid w:val="00A357F5"/>
    <w:rsid w:val="00A365F4"/>
    <w:rsid w:val="00A36E5B"/>
    <w:rsid w:val="00A37871"/>
    <w:rsid w:val="00A406B5"/>
    <w:rsid w:val="00A41191"/>
    <w:rsid w:val="00A41DE0"/>
    <w:rsid w:val="00A427F7"/>
    <w:rsid w:val="00A42BED"/>
    <w:rsid w:val="00A44B7F"/>
    <w:rsid w:val="00A44D35"/>
    <w:rsid w:val="00A45340"/>
    <w:rsid w:val="00A45779"/>
    <w:rsid w:val="00A472B0"/>
    <w:rsid w:val="00A47825"/>
    <w:rsid w:val="00A47D80"/>
    <w:rsid w:val="00A503EE"/>
    <w:rsid w:val="00A506BA"/>
    <w:rsid w:val="00A5124E"/>
    <w:rsid w:val="00A518A9"/>
    <w:rsid w:val="00A5192D"/>
    <w:rsid w:val="00A51E80"/>
    <w:rsid w:val="00A528C0"/>
    <w:rsid w:val="00A52E7C"/>
    <w:rsid w:val="00A53132"/>
    <w:rsid w:val="00A54ABC"/>
    <w:rsid w:val="00A55519"/>
    <w:rsid w:val="00A556DA"/>
    <w:rsid w:val="00A563F2"/>
    <w:rsid w:val="00A566E8"/>
    <w:rsid w:val="00A56DC1"/>
    <w:rsid w:val="00A60792"/>
    <w:rsid w:val="00A60A1A"/>
    <w:rsid w:val="00A60BB1"/>
    <w:rsid w:val="00A60FA4"/>
    <w:rsid w:val="00A621D6"/>
    <w:rsid w:val="00A64090"/>
    <w:rsid w:val="00A646C3"/>
    <w:rsid w:val="00A646C8"/>
    <w:rsid w:val="00A6505B"/>
    <w:rsid w:val="00A65DA4"/>
    <w:rsid w:val="00A66FC5"/>
    <w:rsid w:val="00A67574"/>
    <w:rsid w:val="00A70440"/>
    <w:rsid w:val="00A70EEE"/>
    <w:rsid w:val="00A72E5A"/>
    <w:rsid w:val="00A73098"/>
    <w:rsid w:val="00A732A9"/>
    <w:rsid w:val="00A7333E"/>
    <w:rsid w:val="00A74775"/>
    <w:rsid w:val="00A748EA"/>
    <w:rsid w:val="00A74948"/>
    <w:rsid w:val="00A74967"/>
    <w:rsid w:val="00A7496F"/>
    <w:rsid w:val="00A75DF0"/>
    <w:rsid w:val="00A761BB"/>
    <w:rsid w:val="00A770D7"/>
    <w:rsid w:val="00A773EF"/>
    <w:rsid w:val="00A77911"/>
    <w:rsid w:val="00A77CEE"/>
    <w:rsid w:val="00A808AA"/>
    <w:rsid w:val="00A810F9"/>
    <w:rsid w:val="00A826F7"/>
    <w:rsid w:val="00A82D8D"/>
    <w:rsid w:val="00A83FCC"/>
    <w:rsid w:val="00A84CE6"/>
    <w:rsid w:val="00A85C13"/>
    <w:rsid w:val="00A85DAC"/>
    <w:rsid w:val="00A85F83"/>
    <w:rsid w:val="00A85F8E"/>
    <w:rsid w:val="00A869C9"/>
    <w:rsid w:val="00A86B8F"/>
    <w:rsid w:val="00A86B9F"/>
    <w:rsid w:val="00A86ECC"/>
    <w:rsid w:val="00A86FCC"/>
    <w:rsid w:val="00A90129"/>
    <w:rsid w:val="00A91A7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1F5B"/>
    <w:rsid w:val="00AA2D3A"/>
    <w:rsid w:val="00AA4208"/>
    <w:rsid w:val="00AA5111"/>
    <w:rsid w:val="00AA5253"/>
    <w:rsid w:val="00AA5DDE"/>
    <w:rsid w:val="00AA619C"/>
    <w:rsid w:val="00AA6D08"/>
    <w:rsid w:val="00AA710D"/>
    <w:rsid w:val="00AA7665"/>
    <w:rsid w:val="00AA7F86"/>
    <w:rsid w:val="00AB1115"/>
    <w:rsid w:val="00AB112D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B1E"/>
    <w:rsid w:val="00AC5E9B"/>
    <w:rsid w:val="00AC64CB"/>
    <w:rsid w:val="00AC6988"/>
    <w:rsid w:val="00AC6CC3"/>
    <w:rsid w:val="00AC750F"/>
    <w:rsid w:val="00AC75A7"/>
    <w:rsid w:val="00AC7878"/>
    <w:rsid w:val="00AD0D11"/>
    <w:rsid w:val="00AD1021"/>
    <w:rsid w:val="00AD190B"/>
    <w:rsid w:val="00AD1D71"/>
    <w:rsid w:val="00AD2499"/>
    <w:rsid w:val="00AD2B0D"/>
    <w:rsid w:val="00AD2D8C"/>
    <w:rsid w:val="00AD36DA"/>
    <w:rsid w:val="00AD3CEA"/>
    <w:rsid w:val="00AD58C3"/>
    <w:rsid w:val="00AD64BD"/>
    <w:rsid w:val="00AD662C"/>
    <w:rsid w:val="00AD6F6D"/>
    <w:rsid w:val="00AD7066"/>
    <w:rsid w:val="00AD741A"/>
    <w:rsid w:val="00AE09BA"/>
    <w:rsid w:val="00AE1E5F"/>
    <w:rsid w:val="00AE263C"/>
    <w:rsid w:val="00AE271B"/>
    <w:rsid w:val="00AE2D4B"/>
    <w:rsid w:val="00AE4F99"/>
    <w:rsid w:val="00AE540B"/>
    <w:rsid w:val="00AE554B"/>
    <w:rsid w:val="00AE5E84"/>
    <w:rsid w:val="00AE62CB"/>
    <w:rsid w:val="00AE654E"/>
    <w:rsid w:val="00AE65BB"/>
    <w:rsid w:val="00AE6A66"/>
    <w:rsid w:val="00AF04BF"/>
    <w:rsid w:val="00AF0945"/>
    <w:rsid w:val="00AF0A8C"/>
    <w:rsid w:val="00AF0E7D"/>
    <w:rsid w:val="00AF1180"/>
    <w:rsid w:val="00AF11C3"/>
    <w:rsid w:val="00AF14F1"/>
    <w:rsid w:val="00AF23EB"/>
    <w:rsid w:val="00AF2ADA"/>
    <w:rsid w:val="00AF2E2D"/>
    <w:rsid w:val="00AF3882"/>
    <w:rsid w:val="00AF411A"/>
    <w:rsid w:val="00AF559C"/>
    <w:rsid w:val="00AF5980"/>
    <w:rsid w:val="00AF69C8"/>
    <w:rsid w:val="00AF6D09"/>
    <w:rsid w:val="00B00BC3"/>
    <w:rsid w:val="00B015B5"/>
    <w:rsid w:val="00B022D6"/>
    <w:rsid w:val="00B0233E"/>
    <w:rsid w:val="00B0314E"/>
    <w:rsid w:val="00B0348F"/>
    <w:rsid w:val="00B04BBF"/>
    <w:rsid w:val="00B0574F"/>
    <w:rsid w:val="00B060B5"/>
    <w:rsid w:val="00B06B76"/>
    <w:rsid w:val="00B077B2"/>
    <w:rsid w:val="00B079EB"/>
    <w:rsid w:val="00B07D0D"/>
    <w:rsid w:val="00B11333"/>
    <w:rsid w:val="00B13552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6A36"/>
    <w:rsid w:val="00B2761E"/>
    <w:rsid w:val="00B3020A"/>
    <w:rsid w:val="00B312B6"/>
    <w:rsid w:val="00B31CD7"/>
    <w:rsid w:val="00B31E5A"/>
    <w:rsid w:val="00B325D9"/>
    <w:rsid w:val="00B34829"/>
    <w:rsid w:val="00B34D48"/>
    <w:rsid w:val="00B353B6"/>
    <w:rsid w:val="00B37CCF"/>
    <w:rsid w:val="00B40F1D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47457"/>
    <w:rsid w:val="00B47F9D"/>
    <w:rsid w:val="00B5106E"/>
    <w:rsid w:val="00B51087"/>
    <w:rsid w:val="00B51482"/>
    <w:rsid w:val="00B51FA5"/>
    <w:rsid w:val="00B527F7"/>
    <w:rsid w:val="00B5309C"/>
    <w:rsid w:val="00B531BA"/>
    <w:rsid w:val="00B53B97"/>
    <w:rsid w:val="00B55A9D"/>
    <w:rsid w:val="00B55AA0"/>
    <w:rsid w:val="00B56A29"/>
    <w:rsid w:val="00B56ABD"/>
    <w:rsid w:val="00B56EAC"/>
    <w:rsid w:val="00B5714B"/>
    <w:rsid w:val="00B57194"/>
    <w:rsid w:val="00B60212"/>
    <w:rsid w:val="00B60390"/>
    <w:rsid w:val="00B60617"/>
    <w:rsid w:val="00B60F26"/>
    <w:rsid w:val="00B610C3"/>
    <w:rsid w:val="00B61195"/>
    <w:rsid w:val="00B61E73"/>
    <w:rsid w:val="00B624CF"/>
    <w:rsid w:val="00B62867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67AB9"/>
    <w:rsid w:val="00B701E8"/>
    <w:rsid w:val="00B70FBB"/>
    <w:rsid w:val="00B71522"/>
    <w:rsid w:val="00B71810"/>
    <w:rsid w:val="00B73BDC"/>
    <w:rsid w:val="00B73F57"/>
    <w:rsid w:val="00B758D9"/>
    <w:rsid w:val="00B76286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32A"/>
    <w:rsid w:val="00B90528"/>
    <w:rsid w:val="00B90AB8"/>
    <w:rsid w:val="00B914E9"/>
    <w:rsid w:val="00B9173B"/>
    <w:rsid w:val="00B9185A"/>
    <w:rsid w:val="00B91AA8"/>
    <w:rsid w:val="00B91D0F"/>
    <w:rsid w:val="00B924BC"/>
    <w:rsid w:val="00B93638"/>
    <w:rsid w:val="00B93EF4"/>
    <w:rsid w:val="00B94822"/>
    <w:rsid w:val="00B952EC"/>
    <w:rsid w:val="00B956EE"/>
    <w:rsid w:val="00B95A02"/>
    <w:rsid w:val="00B9618F"/>
    <w:rsid w:val="00B977D4"/>
    <w:rsid w:val="00B97CB7"/>
    <w:rsid w:val="00BA01D0"/>
    <w:rsid w:val="00BA0814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A43"/>
    <w:rsid w:val="00BA7C89"/>
    <w:rsid w:val="00BB0DD5"/>
    <w:rsid w:val="00BB3136"/>
    <w:rsid w:val="00BB3A0A"/>
    <w:rsid w:val="00BB431B"/>
    <w:rsid w:val="00BB4DD6"/>
    <w:rsid w:val="00BB4F09"/>
    <w:rsid w:val="00BB7338"/>
    <w:rsid w:val="00BB77C3"/>
    <w:rsid w:val="00BC0F74"/>
    <w:rsid w:val="00BC16A0"/>
    <w:rsid w:val="00BC2C96"/>
    <w:rsid w:val="00BC2E31"/>
    <w:rsid w:val="00BC3A0B"/>
    <w:rsid w:val="00BC530B"/>
    <w:rsid w:val="00BC5419"/>
    <w:rsid w:val="00BC571C"/>
    <w:rsid w:val="00BC5837"/>
    <w:rsid w:val="00BC58A0"/>
    <w:rsid w:val="00BC5D40"/>
    <w:rsid w:val="00BC695C"/>
    <w:rsid w:val="00BC7724"/>
    <w:rsid w:val="00BD1A6E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4966"/>
    <w:rsid w:val="00BE68B6"/>
    <w:rsid w:val="00BE6C16"/>
    <w:rsid w:val="00BE75E9"/>
    <w:rsid w:val="00BF0329"/>
    <w:rsid w:val="00BF0817"/>
    <w:rsid w:val="00BF1A84"/>
    <w:rsid w:val="00BF1BFB"/>
    <w:rsid w:val="00BF2ECA"/>
    <w:rsid w:val="00BF33B9"/>
    <w:rsid w:val="00BF5E45"/>
    <w:rsid w:val="00BF6029"/>
    <w:rsid w:val="00BF60C2"/>
    <w:rsid w:val="00BF6D5E"/>
    <w:rsid w:val="00BF6E53"/>
    <w:rsid w:val="00C02359"/>
    <w:rsid w:val="00C027DF"/>
    <w:rsid w:val="00C030DE"/>
    <w:rsid w:val="00C0433A"/>
    <w:rsid w:val="00C0442B"/>
    <w:rsid w:val="00C04F3E"/>
    <w:rsid w:val="00C05255"/>
    <w:rsid w:val="00C0668D"/>
    <w:rsid w:val="00C0693C"/>
    <w:rsid w:val="00C07AC3"/>
    <w:rsid w:val="00C10E13"/>
    <w:rsid w:val="00C10E4C"/>
    <w:rsid w:val="00C121A6"/>
    <w:rsid w:val="00C122AA"/>
    <w:rsid w:val="00C12385"/>
    <w:rsid w:val="00C124C8"/>
    <w:rsid w:val="00C12B89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89"/>
    <w:rsid w:val="00C244B6"/>
    <w:rsid w:val="00C27703"/>
    <w:rsid w:val="00C30EA5"/>
    <w:rsid w:val="00C3272C"/>
    <w:rsid w:val="00C33C1A"/>
    <w:rsid w:val="00C33ECF"/>
    <w:rsid w:val="00C346B1"/>
    <w:rsid w:val="00C34A75"/>
    <w:rsid w:val="00C359D6"/>
    <w:rsid w:val="00C3702F"/>
    <w:rsid w:val="00C37AB7"/>
    <w:rsid w:val="00C41474"/>
    <w:rsid w:val="00C41858"/>
    <w:rsid w:val="00C425B6"/>
    <w:rsid w:val="00C42772"/>
    <w:rsid w:val="00C4368B"/>
    <w:rsid w:val="00C43FF6"/>
    <w:rsid w:val="00C4544F"/>
    <w:rsid w:val="00C4563B"/>
    <w:rsid w:val="00C45CB2"/>
    <w:rsid w:val="00C472CE"/>
    <w:rsid w:val="00C47A53"/>
    <w:rsid w:val="00C50753"/>
    <w:rsid w:val="00C52586"/>
    <w:rsid w:val="00C5455E"/>
    <w:rsid w:val="00C54FB7"/>
    <w:rsid w:val="00C554D7"/>
    <w:rsid w:val="00C555AC"/>
    <w:rsid w:val="00C564D2"/>
    <w:rsid w:val="00C627F2"/>
    <w:rsid w:val="00C62D38"/>
    <w:rsid w:val="00C62FD4"/>
    <w:rsid w:val="00C6472A"/>
    <w:rsid w:val="00C64A37"/>
    <w:rsid w:val="00C64FE6"/>
    <w:rsid w:val="00C652C1"/>
    <w:rsid w:val="00C6565D"/>
    <w:rsid w:val="00C66424"/>
    <w:rsid w:val="00C672EB"/>
    <w:rsid w:val="00C71271"/>
    <w:rsid w:val="00C7158E"/>
    <w:rsid w:val="00C72004"/>
    <w:rsid w:val="00C7250B"/>
    <w:rsid w:val="00C73033"/>
    <w:rsid w:val="00C7346B"/>
    <w:rsid w:val="00C7361B"/>
    <w:rsid w:val="00C73D46"/>
    <w:rsid w:val="00C74241"/>
    <w:rsid w:val="00C742AC"/>
    <w:rsid w:val="00C74C2E"/>
    <w:rsid w:val="00C75A34"/>
    <w:rsid w:val="00C75A8C"/>
    <w:rsid w:val="00C76526"/>
    <w:rsid w:val="00C77C0E"/>
    <w:rsid w:val="00C80C87"/>
    <w:rsid w:val="00C80CE7"/>
    <w:rsid w:val="00C81C28"/>
    <w:rsid w:val="00C81D77"/>
    <w:rsid w:val="00C82B1B"/>
    <w:rsid w:val="00C82B35"/>
    <w:rsid w:val="00C82BCD"/>
    <w:rsid w:val="00C83C61"/>
    <w:rsid w:val="00C8433A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88C"/>
    <w:rsid w:val="00C939A7"/>
    <w:rsid w:val="00C945FE"/>
    <w:rsid w:val="00C946C0"/>
    <w:rsid w:val="00C949E6"/>
    <w:rsid w:val="00C94B4E"/>
    <w:rsid w:val="00C94DF0"/>
    <w:rsid w:val="00C9548B"/>
    <w:rsid w:val="00C96813"/>
    <w:rsid w:val="00C969F2"/>
    <w:rsid w:val="00C96FAA"/>
    <w:rsid w:val="00C97A04"/>
    <w:rsid w:val="00C97CF5"/>
    <w:rsid w:val="00CA05A9"/>
    <w:rsid w:val="00CA0B91"/>
    <w:rsid w:val="00CA107B"/>
    <w:rsid w:val="00CA17BF"/>
    <w:rsid w:val="00CA19A3"/>
    <w:rsid w:val="00CA2840"/>
    <w:rsid w:val="00CA331C"/>
    <w:rsid w:val="00CA349D"/>
    <w:rsid w:val="00CA357A"/>
    <w:rsid w:val="00CA3CB3"/>
    <w:rsid w:val="00CA484D"/>
    <w:rsid w:val="00CA4A16"/>
    <w:rsid w:val="00CA5570"/>
    <w:rsid w:val="00CA59D7"/>
    <w:rsid w:val="00CA5A66"/>
    <w:rsid w:val="00CA5F2D"/>
    <w:rsid w:val="00CA7022"/>
    <w:rsid w:val="00CA7586"/>
    <w:rsid w:val="00CA7DB3"/>
    <w:rsid w:val="00CB0527"/>
    <w:rsid w:val="00CB0874"/>
    <w:rsid w:val="00CB1DCB"/>
    <w:rsid w:val="00CB26B0"/>
    <w:rsid w:val="00CB31A2"/>
    <w:rsid w:val="00CB396B"/>
    <w:rsid w:val="00CB3B4E"/>
    <w:rsid w:val="00CB3D59"/>
    <w:rsid w:val="00CB4547"/>
    <w:rsid w:val="00CB4B5B"/>
    <w:rsid w:val="00CB4DD4"/>
    <w:rsid w:val="00CB6FB5"/>
    <w:rsid w:val="00CB7C26"/>
    <w:rsid w:val="00CC10D1"/>
    <w:rsid w:val="00CC2703"/>
    <w:rsid w:val="00CC47BD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5AC1"/>
    <w:rsid w:val="00CD6073"/>
    <w:rsid w:val="00CD6AED"/>
    <w:rsid w:val="00CD7539"/>
    <w:rsid w:val="00CE00A2"/>
    <w:rsid w:val="00CE11A4"/>
    <w:rsid w:val="00CE143C"/>
    <w:rsid w:val="00CE196D"/>
    <w:rsid w:val="00CE31BC"/>
    <w:rsid w:val="00CE3C3B"/>
    <w:rsid w:val="00CE40E1"/>
    <w:rsid w:val="00CE54FD"/>
    <w:rsid w:val="00CE5BBD"/>
    <w:rsid w:val="00CE6A39"/>
    <w:rsid w:val="00CE6A88"/>
    <w:rsid w:val="00CE6A94"/>
    <w:rsid w:val="00CE76DC"/>
    <w:rsid w:val="00CE7FB9"/>
    <w:rsid w:val="00CF12BE"/>
    <w:rsid w:val="00CF1C49"/>
    <w:rsid w:val="00CF27DD"/>
    <w:rsid w:val="00CF27F0"/>
    <w:rsid w:val="00CF30BC"/>
    <w:rsid w:val="00CF3DAB"/>
    <w:rsid w:val="00CF4099"/>
    <w:rsid w:val="00CF541C"/>
    <w:rsid w:val="00CF79E3"/>
    <w:rsid w:val="00CF7D75"/>
    <w:rsid w:val="00D006D0"/>
    <w:rsid w:val="00D00752"/>
    <w:rsid w:val="00D00796"/>
    <w:rsid w:val="00D01FB4"/>
    <w:rsid w:val="00D02B78"/>
    <w:rsid w:val="00D04337"/>
    <w:rsid w:val="00D04C40"/>
    <w:rsid w:val="00D10797"/>
    <w:rsid w:val="00D10D2A"/>
    <w:rsid w:val="00D10DB1"/>
    <w:rsid w:val="00D10DDC"/>
    <w:rsid w:val="00D10F4B"/>
    <w:rsid w:val="00D1161C"/>
    <w:rsid w:val="00D11C75"/>
    <w:rsid w:val="00D1232B"/>
    <w:rsid w:val="00D12456"/>
    <w:rsid w:val="00D124F4"/>
    <w:rsid w:val="00D12726"/>
    <w:rsid w:val="00D12A8C"/>
    <w:rsid w:val="00D13520"/>
    <w:rsid w:val="00D169D6"/>
    <w:rsid w:val="00D171CF"/>
    <w:rsid w:val="00D1780C"/>
    <w:rsid w:val="00D20005"/>
    <w:rsid w:val="00D2040A"/>
    <w:rsid w:val="00D21F4F"/>
    <w:rsid w:val="00D22D27"/>
    <w:rsid w:val="00D23C64"/>
    <w:rsid w:val="00D243EB"/>
    <w:rsid w:val="00D249F5"/>
    <w:rsid w:val="00D261A2"/>
    <w:rsid w:val="00D265F3"/>
    <w:rsid w:val="00D27CF6"/>
    <w:rsid w:val="00D300E9"/>
    <w:rsid w:val="00D31143"/>
    <w:rsid w:val="00D3188F"/>
    <w:rsid w:val="00D31A0D"/>
    <w:rsid w:val="00D31A91"/>
    <w:rsid w:val="00D31B3F"/>
    <w:rsid w:val="00D32B1B"/>
    <w:rsid w:val="00D33A89"/>
    <w:rsid w:val="00D33B5F"/>
    <w:rsid w:val="00D3472C"/>
    <w:rsid w:val="00D358DF"/>
    <w:rsid w:val="00D358FC"/>
    <w:rsid w:val="00D37651"/>
    <w:rsid w:val="00D37A4D"/>
    <w:rsid w:val="00D37D7B"/>
    <w:rsid w:val="00D40D4C"/>
    <w:rsid w:val="00D42D11"/>
    <w:rsid w:val="00D43AF4"/>
    <w:rsid w:val="00D43D16"/>
    <w:rsid w:val="00D44934"/>
    <w:rsid w:val="00D457AD"/>
    <w:rsid w:val="00D46101"/>
    <w:rsid w:val="00D463D4"/>
    <w:rsid w:val="00D47010"/>
    <w:rsid w:val="00D47112"/>
    <w:rsid w:val="00D47ADD"/>
    <w:rsid w:val="00D47B00"/>
    <w:rsid w:val="00D508D5"/>
    <w:rsid w:val="00D509E1"/>
    <w:rsid w:val="00D51373"/>
    <w:rsid w:val="00D5239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7E3"/>
    <w:rsid w:val="00D64CFB"/>
    <w:rsid w:val="00D65582"/>
    <w:rsid w:val="00D662F4"/>
    <w:rsid w:val="00D66513"/>
    <w:rsid w:val="00D66DB9"/>
    <w:rsid w:val="00D67BFF"/>
    <w:rsid w:val="00D70EF7"/>
    <w:rsid w:val="00D712A6"/>
    <w:rsid w:val="00D716F3"/>
    <w:rsid w:val="00D730B6"/>
    <w:rsid w:val="00D75496"/>
    <w:rsid w:val="00D76051"/>
    <w:rsid w:val="00D7655A"/>
    <w:rsid w:val="00D76AA4"/>
    <w:rsid w:val="00D77C69"/>
    <w:rsid w:val="00D8007A"/>
    <w:rsid w:val="00D81B83"/>
    <w:rsid w:val="00D8321C"/>
    <w:rsid w:val="00D83231"/>
    <w:rsid w:val="00D8397C"/>
    <w:rsid w:val="00D86089"/>
    <w:rsid w:val="00D86C26"/>
    <w:rsid w:val="00D86D15"/>
    <w:rsid w:val="00D905A6"/>
    <w:rsid w:val="00D92177"/>
    <w:rsid w:val="00D9217F"/>
    <w:rsid w:val="00D949FD"/>
    <w:rsid w:val="00D94EED"/>
    <w:rsid w:val="00D95575"/>
    <w:rsid w:val="00D959B3"/>
    <w:rsid w:val="00D95D0E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6A2"/>
    <w:rsid w:val="00DA4BAC"/>
    <w:rsid w:val="00DA4F76"/>
    <w:rsid w:val="00DA5780"/>
    <w:rsid w:val="00DA60DA"/>
    <w:rsid w:val="00DA7C1C"/>
    <w:rsid w:val="00DB098D"/>
    <w:rsid w:val="00DB1011"/>
    <w:rsid w:val="00DB147A"/>
    <w:rsid w:val="00DB19A4"/>
    <w:rsid w:val="00DB1B7A"/>
    <w:rsid w:val="00DB2744"/>
    <w:rsid w:val="00DB39C2"/>
    <w:rsid w:val="00DB472B"/>
    <w:rsid w:val="00DB5172"/>
    <w:rsid w:val="00DB562E"/>
    <w:rsid w:val="00DB57BA"/>
    <w:rsid w:val="00DB6746"/>
    <w:rsid w:val="00DB6F70"/>
    <w:rsid w:val="00DB772C"/>
    <w:rsid w:val="00DC0069"/>
    <w:rsid w:val="00DC0B7F"/>
    <w:rsid w:val="00DC22A9"/>
    <w:rsid w:val="00DC370F"/>
    <w:rsid w:val="00DC3B40"/>
    <w:rsid w:val="00DC4364"/>
    <w:rsid w:val="00DC5A13"/>
    <w:rsid w:val="00DC5BB0"/>
    <w:rsid w:val="00DC6460"/>
    <w:rsid w:val="00DC6708"/>
    <w:rsid w:val="00DC6731"/>
    <w:rsid w:val="00DC7B17"/>
    <w:rsid w:val="00DC7EC5"/>
    <w:rsid w:val="00DD15E4"/>
    <w:rsid w:val="00DD220F"/>
    <w:rsid w:val="00DD39E0"/>
    <w:rsid w:val="00DD4130"/>
    <w:rsid w:val="00DD4319"/>
    <w:rsid w:val="00DD4406"/>
    <w:rsid w:val="00DD44DF"/>
    <w:rsid w:val="00DD491A"/>
    <w:rsid w:val="00DD52DE"/>
    <w:rsid w:val="00DD65F0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6AE5"/>
    <w:rsid w:val="00DE7939"/>
    <w:rsid w:val="00DF01E8"/>
    <w:rsid w:val="00DF19B2"/>
    <w:rsid w:val="00DF21E3"/>
    <w:rsid w:val="00DF2626"/>
    <w:rsid w:val="00DF2DDE"/>
    <w:rsid w:val="00DF4DFD"/>
    <w:rsid w:val="00DF57F6"/>
    <w:rsid w:val="00DF60F9"/>
    <w:rsid w:val="00DF6682"/>
    <w:rsid w:val="00E0020E"/>
    <w:rsid w:val="00E009F3"/>
    <w:rsid w:val="00E0123B"/>
    <w:rsid w:val="00E01436"/>
    <w:rsid w:val="00E014C8"/>
    <w:rsid w:val="00E01656"/>
    <w:rsid w:val="00E0171F"/>
    <w:rsid w:val="00E01CEC"/>
    <w:rsid w:val="00E0211C"/>
    <w:rsid w:val="00E033D4"/>
    <w:rsid w:val="00E037D7"/>
    <w:rsid w:val="00E042B9"/>
    <w:rsid w:val="00E045BD"/>
    <w:rsid w:val="00E04615"/>
    <w:rsid w:val="00E04B9B"/>
    <w:rsid w:val="00E12EFA"/>
    <w:rsid w:val="00E1326D"/>
    <w:rsid w:val="00E13BED"/>
    <w:rsid w:val="00E149E0"/>
    <w:rsid w:val="00E16D89"/>
    <w:rsid w:val="00E17B77"/>
    <w:rsid w:val="00E21961"/>
    <w:rsid w:val="00E21D84"/>
    <w:rsid w:val="00E22FA2"/>
    <w:rsid w:val="00E231BD"/>
    <w:rsid w:val="00E23337"/>
    <w:rsid w:val="00E235AE"/>
    <w:rsid w:val="00E237FE"/>
    <w:rsid w:val="00E243ED"/>
    <w:rsid w:val="00E24BC3"/>
    <w:rsid w:val="00E24E9E"/>
    <w:rsid w:val="00E24EFD"/>
    <w:rsid w:val="00E259EA"/>
    <w:rsid w:val="00E264DF"/>
    <w:rsid w:val="00E300C0"/>
    <w:rsid w:val="00E30613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557"/>
    <w:rsid w:val="00E36C5C"/>
    <w:rsid w:val="00E373D3"/>
    <w:rsid w:val="00E37890"/>
    <w:rsid w:val="00E37B14"/>
    <w:rsid w:val="00E37D56"/>
    <w:rsid w:val="00E401D2"/>
    <w:rsid w:val="00E40C72"/>
    <w:rsid w:val="00E41E94"/>
    <w:rsid w:val="00E42FF9"/>
    <w:rsid w:val="00E445CF"/>
    <w:rsid w:val="00E4569E"/>
    <w:rsid w:val="00E463DD"/>
    <w:rsid w:val="00E46D59"/>
    <w:rsid w:val="00E4714C"/>
    <w:rsid w:val="00E5031B"/>
    <w:rsid w:val="00E5089A"/>
    <w:rsid w:val="00E511E4"/>
    <w:rsid w:val="00E51AEB"/>
    <w:rsid w:val="00E522A7"/>
    <w:rsid w:val="00E52E82"/>
    <w:rsid w:val="00E5393D"/>
    <w:rsid w:val="00E53A8D"/>
    <w:rsid w:val="00E53DAC"/>
    <w:rsid w:val="00E54452"/>
    <w:rsid w:val="00E5446B"/>
    <w:rsid w:val="00E5496E"/>
    <w:rsid w:val="00E5604E"/>
    <w:rsid w:val="00E57382"/>
    <w:rsid w:val="00E576DA"/>
    <w:rsid w:val="00E577EA"/>
    <w:rsid w:val="00E57B5F"/>
    <w:rsid w:val="00E608B3"/>
    <w:rsid w:val="00E63C1B"/>
    <w:rsid w:val="00E64FFD"/>
    <w:rsid w:val="00E658E6"/>
    <w:rsid w:val="00E664C5"/>
    <w:rsid w:val="00E671A2"/>
    <w:rsid w:val="00E674A6"/>
    <w:rsid w:val="00E70BA6"/>
    <w:rsid w:val="00E70CE9"/>
    <w:rsid w:val="00E713B6"/>
    <w:rsid w:val="00E71B5C"/>
    <w:rsid w:val="00E73BFB"/>
    <w:rsid w:val="00E746E2"/>
    <w:rsid w:val="00E750F7"/>
    <w:rsid w:val="00E75502"/>
    <w:rsid w:val="00E75939"/>
    <w:rsid w:val="00E76D26"/>
    <w:rsid w:val="00E77E61"/>
    <w:rsid w:val="00E77EEA"/>
    <w:rsid w:val="00E80C30"/>
    <w:rsid w:val="00E81F20"/>
    <w:rsid w:val="00E82D45"/>
    <w:rsid w:val="00E8308F"/>
    <w:rsid w:val="00E8312E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5BFC"/>
    <w:rsid w:val="00E960C2"/>
    <w:rsid w:val="00E96F49"/>
    <w:rsid w:val="00EA0DF3"/>
    <w:rsid w:val="00EA0EE5"/>
    <w:rsid w:val="00EA266D"/>
    <w:rsid w:val="00EA26E7"/>
    <w:rsid w:val="00EA2A76"/>
    <w:rsid w:val="00EA349F"/>
    <w:rsid w:val="00EA3916"/>
    <w:rsid w:val="00EA3D0D"/>
    <w:rsid w:val="00EA4F91"/>
    <w:rsid w:val="00EA5ED1"/>
    <w:rsid w:val="00EA65C5"/>
    <w:rsid w:val="00EA6C83"/>
    <w:rsid w:val="00EA739E"/>
    <w:rsid w:val="00EA7C26"/>
    <w:rsid w:val="00EB0A5A"/>
    <w:rsid w:val="00EB1390"/>
    <w:rsid w:val="00EB27E5"/>
    <w:rsid w:val="00EB2A51"/>
    <w:rsid w:val="00EB2C71"/>
    <w:rsid w:val="00EB34FA"/>
    <w:rsid w:val="00EB34FB"/>
    <w:rsid w:val="00EB387F"/>
    <w:rsid w:val="00EB3D4A"/>
    <w:rsid w:val="00EB4340"/>
    <w:rsid w:val="00EB556D"/>
    <w:rsid w:val="00EB5A7D"/>
    <w:rsid w:val="00EB711C"/>
    <w:rsid w:val="00EB7899"/>
    <w:rsid w:val="00EB7EBE"/>
    <w:rsid w:val="00EC0552"/>
    <w:rsid w:val="00EC05EE"/>
    <w:rsid w:val="00EC0A02"/>
    <w:rsid w:val="00EC0FD5"/>
    <w:rsid w:val="00EC1228"/>
    <w:rsid w:val="00EC25EA"/>
    <w:rsid w:val="00EC2A8F"/>
    <w:rsid w:val="00EC2F0D"/>
    <w:rsid w:val="00EC363D"/>
    <w:rsid w:val="00EC3A24"/>
    <w:rsid w:val="00EC3F9B"/>
    <w:rsid w:val="00EC4023"/>
    <w:rsid w:val="00EC4173"/>
    <w:rsid w:val="00EC6564"/>
    <w:rsid w:val="00EC7BB1"/>
    <w:rsid w:val="00ED009C"/>
    <w:rsid w:val="00ED0FE6"/>
    <w:rsid w:val="00ED19CD"/>
    <w:rsid w:val="00ED1B54"/>
    <w:rsid w:val="00ED1DA9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AC5"/>
    <w:rsid w:val="00ED7B43"/>
    <w:rsid w:val="00EE0D77"/>
    <w:rsid w:val="00EE173F"/>
    <w:rsid w:val="00EE236C"/>
    <w:rsid w:val="00EE2BAC"/>
    <w:rsid w:val="00EE2CF0"/>
    <w:rsid w:val="00EE3A98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078"/>
    <w:rsid w:val="00EF2DFF"/>
    <w:rsid w:val="00EF3B39"/>
    <w:rsid w:val="00EF6981"/>
    <w:rsid w:val="00EF6DD1"/>
    <w:rsid w:val="00EF7090"/>
    <w:rsid w:val="00EF7BA5"/>
    <w:rsid w:val="00F005D6"/>
    <w:rsid w:val="00F01839"/>
    <w:rsid w:val="00F01B33"/>
    <w:rsid w:val="00F0229B"/>
    <w:rsid w:val="00F02C7A"/>
    <w:rsid w:val="00F02D59"/>
    <w:rsid w:val="00F02FA5"/>
    <w:rsid w:val="00F037A4"/>
    <w:rsid w:val="00F04A2A"/>
    <w:rsid w:val="00F074D0"/>
    <w:rsid w:val="00F077CC"/>
    <w:rsid w:val="00F10A47"/>
    <w:rsid w:val="00F10E1C"/>
    <w:rsid w:val="00F123E2"/>
    <w:rsid w:val="00F137FC"/>
    <w:rsid w:val="00F1392B"/>
    <w:rsid w:val="00F14457"/>
    <w:rsid w:val="00F1454C"/>
    <w:rsid w:val="00F148BD"/>
    <w:rsid w:val="00F15EA9"/>
    <w:rsid w:val="00F164F5"/>
    <w:rsid w:val="00F16A95"/>
    <w:rsid w:val="00F1786B"/>
    <w:rsid w:val="00F179D6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62A8"/>
    <w:rsid w:val="00F27C8F"/>
    <w:rsid w:val="00F30529"/>
    <w:rsid w:val="00F31251"/>
    <w:rsid w:val="00F32749"/>
    <w:rsid w:val="00F34143"/>
    <w:rsid w:val="00F3441A"/>
    <w:rsid w:val="00F34438"/>
    <w:rsid w:val="00F3483D"/>
    <w:rsid w:val="00F356A7"/>
    <w:rsid w:val="00F35B49"/>
    <w:rsid w:val="00F36237"/>
    <w:rsid w:val="00F36A45"/>
    <w:rsid w:val="00F37172"/>
    <w:rsid w:val="00F40BC8"/>
    <w:rsid w:val="00F40D11"/>
    <w:rsid w:val="00F40E27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1AF7"/>
    <w:rsid w:val="00F52FC3"/>
    <w:rsid w:val="00F53FB1"/>
    <w:rsid w:val="00F54002"/>
    <w:rsid w:val="00F54238"/>
    <w:rsid w:val="00F542B0"/>
    <w:rsid w:val="00F55A9A"/>
    <w:rsid w:val="00F55AA5"/>
    <w:rsid w:val="00F60216"/>
    <w:rsid w:val="00F6091E"/>
    <w:rsid w:val="00F638D8"/>
    <w:rsid w:val="00F64384"/>
    <w:rsid w:val="00F645EF"/>
    <w:rsid w:val="00F66EB8"/>
    <w:rsid w:val="00F6796B"/>
    <w:rsid w:val="00F67BEC"/>
    <w:rsid w:val="00F67D8F"/>
    <w:rsid w:val="00F71AFD"/>
    <w:rsid w:val="00F71D73"/>
    <w:rsid w:val="00F72DC8"/>
    <w:rsid w:val="00F73765"/>
    <w:rsid w:val="00F73993"/>
    <w:rsid w:val="00F7414B"/>
    <w:rsid w:val="00F77B89"/>
    <w:rsid w:val="00F77CB1"/>
    <w:rsid w:val="00F77E85"/>
    <w:rsid w:val="00F802BE"/>
    <w:rsid w:val="00F816DD"/>
    <w:rsid w:val="00F819F0"/>
    <w:rsid w:val="00F8204F"/>
    <w:rsid w:val="00F830D4"/>
    <w:rsid w:val="00F83B3F"/>
    <w:rsid w:val="00F83ECB"/>
    <w:rsid w:val="00F84171"/>
    <w:rsid w:val="00F84509"/>
    <w:rsid w:val="00F8499A"/>
    <w:rsid w:val="00F84C9E"/>
    <w:rsid w:val="00F85618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96E6C"/>
    <w:rsid w:val="00F97DEF"/>
    <w:rsid w:val="00FA0DB9"/>
    <w:rsid w:val="00FA130D"/>
    <w:rsid w:val="00FA1DA1"/>
    <w:rsid w:val="00FA328D"/>
    <w:rsid w:val="00FA426E"/>
    <w:rsid w:val="00FA4325"/>
    <w:rsid w:val="00FA5128"/>
    <w:rsid w:val="00FA5EAA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6284"/>
    <w:rsid w:val="00FB762F"/>
    <w:rsid w:val="00FB7FAA"/>
    <w:rsid w:val="00FC0453"/>
    <w:rsid w:val="00FC128D"/>
    <w:rsid w:val="00FC165F"/>
    <w:rsid w:val="00FC1A8D"/>
    <w:rsid w:val="00FC27C1"/>
    <w:rsid w:val="00FC2AED"/>
    <w:rsid w:val="00FC4151"/>
    <w:rsid w:val="00FC4E70"/>
    <w:rsid w:val="00FC4E72"/>
    <w:rsid w:val="00FC53DC"/>
    <w:rsid w:val="00FC61A2"/>
    <w:rsid w:val="00FC6940"/>
    <w:rsid w:val="00FD0CE6"/>
    <w:rsid w:val="00FD103C"/>
    <w:rsid w:val="00FD131F"/>
    <w:rsid w:val="00FD2EAD"/>
    <w:rsid w:val="00FD2FED"/>
    <w:rsid w:val="00FD3D8E"/>
    <w:rsid w:val="00FD5B26"/>
    <w:rsid w:val="00FD5EA7"/>
    <w:rsid w:val="00FD640D"/>
    <w:rsid w:val="00FD6E6E"/>
    <w:rsid w:val="00FD7191"/>
    <w:rsid w:val="00FD72C7"/>
    <w:rsid w:val="00FD7E0D"/>
    <w:rsid w:val="00FE163A"/>
    <w:rsid w:val="00FE1C40"/>
    <w:rsid w:val="00FE29F5"/>
    <w:rsid w:val="00FE2AE3"/>
    <w:rsid w:val="00FE2DA3"/>
    <w:rsid w:val="00FE408E"/>
    <w:rsid w:val="00FE4A6C"/>
    <w:rsid w:val="00FE4EC5"/>
    <w:rsid w:val="00FE62F5"/>
    <w:rsid w:val="00FE655C"/>
    <w:rsid w:val="00FE6A1E"/>
    <w:rsid w:val="00FE6D40"/>
    <w:rsid w:val="00FE7F6E"/>
    <w:rsid w:val="00FF018E"/>
    <w:rsid w:val="00FF0FEE"/>
    <w:rsid w:val="00FF14BE"/>
    <w:rsid w:val="00FF1AF5"/>
    <w:rsid w:val="00FF1BF9"/>
    <w:rsid w:val="00FF202F"/>
    <w:rsid w:val="00FF2C0B"/>
    <w:rsid w:val="00FF33C2"/>
    <w:rsid w:val="00FF47C4"/>
    <w:rsid w:val="00FF4977"/>
    <w:rsid w:val="00FF49E6"/>
    <w:rsid w:val="00FF4AAC"/>
    <w:rsid w:val="00FF51CF"/>
    <w:rsid w:val="00FF655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F33D5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character" w:customStyle="1" w:styleId="viiyi">
    <w:name w:val="viiyi"/>
    <w:basedOn w:val="Domylnaczcionkaakapitu"/>
    <w:rsid w:val="004C01EE"/>
  </w:style>
  <w:style w:type="character" w:customStyle="1" w:styleId="jlqj4b">
    <w:name w:val="jlqj4b"/>
    <w:basedOn w:val="Domylnaczcionkaakapitu"/>
    <w:rsid w:val="004C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2AF-464C-93E7-6230F4E19C0C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2AF-464C-93E7-6230F4E19C0C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02AF-464C-93E7-6230F4E19C0C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2AF-464C-93E7-6230F4E19C0C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02AF-464C-93E7-6230F4E19C0C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02AF-464C-93E7-6230F4E19C0C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02AF-464C-93E7-6230F4E19C0C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02AF-464C-93E7-6230F4E19C0C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02AF-464C-93E7-6230F4E19C0C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02AF-464C-93E7-6230F4E19C0C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02AF-464C-93E7-6230F4E19C0C}"/>
              </c:ext>
            </c:extLst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02AF-464C-93E7-6230F4E19C0C}"/>
              </c:ext>
            </c:extLst>
          </c:dPt>
          <c:cat>
            <c:multiLvlStrRef>
              <c:f>Arkusz1!$B$89:$C$136</c:f>
              <c:multiLvlStrCache>
                <c:ptCount val="48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Arkusz1!$D$89:$D$136</c:f>
              <c:numCache>
                <c:formatCode>General</c:formatCode>
                <c:ptCount val="48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  <c:pt idx="41">
                  <c:v>108.6</c:v>
                </c:pt>
                <c:pt idx="42">
                  <c:v>103.9</c:v>
                </c:pt>
                <c:pt idx="43">
                  <c:v>105.4</c:v>
                </c:pt>
                <c:pt idx="44">
                  <c:v>105.1</c:v>
                </c:pt>
                <c:pt idx="45">
                  <c:v>106.9</c:v>
                </c:pt>
                <c:pt idx="46">
                  <c:v>112.1</c:v>
                </c:pt>
                <c:pt idx="47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2AF-464C-93E7-6230F4E19C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889784112"/>
        <c:axId val="1889787920"/>
      </c:barChart>
      <c:catAx>
        <c:axId val="18897841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889787920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889787920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88978411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648897870067124E-2"/>
          <c:y val="4.8680505845860179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91.5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D1-47A6-8B01-B54A126FA531}"/>
                </c:ext>
              </c:extLst>
            </c:dLbl>
            <c:dLbl>
              <c:idx val="1"/>
              <c:layout>
                <c:manualLayout>
                  <c:x val="-2.2533335235433614E-17"/>
                  <c:y val="-5.5944055944056027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103.2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6.020593579648697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8D1-47A6-8B01-B54A126FA53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D1-47A6-8B01-B54A126FA53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118.8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D1-47A6-8B01-B54A126FA53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131.1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8D1-47A6-8B01-B54A126FA531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800"/>
                      <a:t>101.5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8D1-47A6-8B01-B54A126FA531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107.2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8D1-47A6-8B01-B54A126FA531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120.3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D1-47A6-8B01-B54A126FA531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8D1-47A6-8B01-B54A126FA531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8D1-47A6-8B01-B54A126FA531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rodz_dział_miesiąc!$CN$4:$CN$11</c:f>
              <c:numCache>
                <c:formatCode>0.0</c:formatCode>
                <c:ptCount val="8"/>
                <c:pt idx="0">
                  <c:v>91.5</c:v>
                </c:pt>
                <c:pt idx="1">
                  <c:v>103.2</c:v>
                </c:pt>
                <c:pt idx="2">
                  <c:v>100.9</c:v>
                </c:pt>
                <c:pt idx="3">
                  <c:v>118.8</c:v>
                </c:pt>
                <c:pt idx="4">
                  <c:v>131.1</c:v>
                </c:pt>
                <c:pt idx="5">
                  <c:v>101.5</c:v>
                </c:pt>
                <c:pt idx="6">
                  <c:v>107.2</c:v>
                </c:pt>
                <c:pt idx="7">
                  <c:v>120.3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8D1-47A6-8B01-B54A126FA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89788464"/>
        <c:axId val="1889785200"/>
      </c:barChart>
      <c:catAx>
        <c:axId val="188978846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889785200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1889785200"/>
        <c:scaling>
          <c:orientation val="minMax"/>
          <c:max val="140"/>
          <c:min val="8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889788464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5.8438357386629787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5"/>
              <c:layout>
                <c:manualLayout>
                  <c:x val="-2.9750836742283376E-2"/>
                  <c:y val="-3.3050047214353166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159.9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EF4-4C19-AC02-1B4DE31E295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  <c:pt idx="89">
                  <c:v>137.1</c:v>
                </c:pt>
                <c:pt idx="90">
                  <c:v>139.5</c:v>
                </c:pt>
                <c:pt idx="91">
                  <c:v>138.19999999999999</c:v>
                </c:pt>
                <c:pt idx="92">
                  <c:v>134.69999999999999</c:v>
                </c:pt>
                <c:pt idx="93">
                  <c:v>139.6</c:v>
                </c:pt>
                <c:pt idx="94">
                  <c:v>138.9</c:v>
                </c:pt>
                <c:pt idx="95">
                  <c:v>159.9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F4-4C19-AC02-1B4DE31E2953}"/>
            </c:ext>
          </c:extLst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5"/>
              <c:layout>
                <c:manualLayout>
                  <c:x val="-2.9750836742283376E-2"/>
                  <c:y val="7.0821529745042494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135.2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EF4-4C19-AC02-1B4DE31E295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  <c:pt idx="89">
                  <c:v>136.19999999999999</c:v>
                </c:pt>
                <c:pt idx="90">
                  <c:v>134.1</c:v>
                </c:pt>
                <c:pt idx="91">
                  <c:v>134.6</c:v>
                </c:pt>
                <c:pt idx="92">
                  <c:v>134.9</c:v>
                </c:pt>
                <c:pt idx="93">
                  <c:v>136.5</c:v>
                </c:pt>
                <c:pt idx="94">
                  <c:v>139.9</c:v>
                </c:pt>
                <c:pt idx="95">
                  <c:v>135.19999999999999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EF4-4C19-AC02-1B4DE31E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152752"/>
        <c:axId val="85153840"/>
      </c:lineChart>
      <c:catAx>
        <c:axId val="85152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5153840"/>
        <c:crosses val="autoZero"/>
        <c:auto val="1"/>
        <c:lblAlgn val="ctr"/>
        <c:lblOffset val="100"/>
        <c:tickMarkSkip val="12"/>
        <c:noMultiLvlLbl val="0"/>
      </c:catAx>
      <c:valAx>
        <c:axId val="85153840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515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0.26482</cdr:x>
      <cdr:y>0.14201</cdr:y>
    </cdr:from>
    <cdr:to>
      <cdr:x>0.40346</cdr:x>
      <cdr:y>0.26176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68153" y="386861"/>
          <a:ext cx="716265" cy="3262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108.0</a:t>
          </a:r>
        </a:p>
      </cdr:txBody>
    </cdr:sp>
  </cdr:relSizeAnchor>
  <cdr:relSizeAnchor xmlns:cdr="http://schemas.openxmlformats.org/drawingml/2006/chartDrawing">
    <cdr:from>
      <cdr:x>0.27943</cdr:x>
      <cdr:y>0.25175</cdr:y>
    </cdr:from>
    <cdr:to>
      <cdr:x>0.33129</cdr:x>
      <cdr:y>0.43761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43612" y="685800"/>
          <a:ext cx="267957" cy="50631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0.04031</cdr:x>
      <cdr:y>0.45193</cdr:y>
    </cdr:from>
    <cdr:to>
      <cdr:x>0.94743</cdr:x>
      <cdr:y>0.45315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08252" y="1231131"/>
          <a:ext cx="4686508" cy="332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E8F01A-70A8-400B-85EB-A959C9F4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2021-07-20T09:57:00Z</cp:lastPrinted>
  <dcterms:created xsi:type="dcterms:W3CDTF">2022-01-24T07:23:00Z</dcterms:created>
  <dcterms:modified xsi:type="dcterms:W3CDTF">2022-01-24T07:23:00Z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