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78F4BD3F" w:rsidR="00393761" w:rsidRPr="0072538B" w:rsidRDefault="00794619" w:rsidP="00F049AB">
      <w:pPr>
        <w:pStyle w:val="Tytuinfomacjisygnalnej"/>
        <w:rPr>
          <w:lang w:val="en-GB"/>
        </w:rPr>
      </w:pPr>
      <w:r w:rsidRPr="0072538B">
        <w:rPr>
          <w:lang w:val="en-GB"/>
        </w:rPr>
        <w:t>Retail sales index – January 2022</w:t>
      </w:r>
      <w:r w:rsidR="00DE6B58" w:rsidRPr="0072538B">
        <w:rPr>
          <w:lang w:val="en-GB"/>
        </w:rPr>
        <w:t xml:space="preserve"> </w:t>
      </w:r>
    </w:p>
    <w:p w14:paraId="1E690351" w14:textId="2B58D17D" w:rsidR="00DE58F1" w:rsidRPr="0072538B" w:rsidRDefault="00633E04" w:rsidP="00F049AB">
      <w:pPr>
        <w:pStyle w:val="Lead"/>
        <w:rPr>
          <w:rFonts w:eastAsia="Times New Roman" w:cs="Times New Roman"/>
          <w:bCs/>
          <w:noProof w:val="0"/>
          <w:lang w:val="en-GB"/>
        </w:rPr>
      </w:pPr>
      <w:r w:rsidRPr="00587CEE">
        <w:rPr>
          <w:color w:val="001D77"/>
        </w:rPr>
        <mc:AlternateContent>
          <mc:Choice Requires="wps">
            <w:drawing>
              <wp:anchor distT="45720" distB="45720" distL="114300" distR="114300" simplePos="0" relativeHeight="251738112" behindDoc="0" locked="0" layoutInCell="1" allowOverlap="1" wp14:anchorId="2FC13F97" wp14:editId="62282B9D">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January 2022&#10;10.6% - an increase compared with the corresponding month of the previous year (constant prices, preliminary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61D34373" w:rsidR="005C0CAC" w:rsidRPr="0072538B"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72538B">
                              <w:rPr>
                                <w:rFonts w:ascii="Fira Sans SemiBold" w:hAnsi="Fira Sans SemiBold"/>
                                <w:color w:val="FFFFFF" w:themeColor="background1"/>
                                <w:sz w:val="60"/>
                                <w:szCs w:val="60"/>
                                <w:lang w:val="en-GB"/>
                              </w:rPr>
                              <w:t xml:space="preserve"> </w:t>
                            </w:r>
                            <w:r w:rsidRPr="0072538B">
                              <w:rPr>
                                <w:rStyle w:val="WartowskanikaZnak"/>
                                <w:lang w:val="en-GB"/>
                              </w:rPr>
                              <w:t>10</w:t>
                            </w:r>
                            <w:r w:rsidR="007267B0" w:rsidRPr="0072538B">
                              <w:rPr>
                                <w:rStyle w:val="WartowskanikaZnak"/>
                                <w:lang w:val="en-GB"/>
                              </w:rPr>
                              <w:t>.</w:t>
                            </w:r>
                            <w:r w:rsidR="001E2DF2">
                              <w:rPr>
                                <w:rStyle w:val="WartowskanikaZnak"/>
                                <w:lang w:val="en-GB"/>
                              </w:rPr>
                              <w:t>6%</w:t>
                            </w:r>
                          </w:p>
                          <w:p w14:paraId="1C3F1A53" w14:textId="75467AE0" w:rsidR="00DE6B58" w:rsidRPr="0072538B" w:rsidRDefault="00794619" w:rsidP="00F049AB">
                            <w:pPr>
                              <w:pStyle w:val="Opiswskanika"/>
                              <w:rPr>
                                <w:lang w:val="en-GB"/>
                              </w:rPr>
                            </w:pPr>
                            <w:r w:rsidRPr="0072538B">
                              <w:rPr>
                                <w:lang w:val="en-GB"/>
                              </w:rPr>
                              <w:t>A</w:t>
                            </w:r>
                            <w:r w:rsidR="008A549C" w:rsidRPr="0072538B">
                              <w:rPr>
                                <w:lang w:val="en-GB"/>
                              </w:rPr>
                              <w:t>n</w:t>
                            </w:r>
                            <w:r w:rsidRPr="0072538B">
                              <w:rPr>
                                <w:lang w:val="en-GB"/>
                              </w:rPr>
                              <w:t xml:space="preserve"> </w:t>
                            </w:r>
                            <w:r w:rsidR="008A549C" w:rsidRPr="0072538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Index - retail sales in January 2022&#10;10.6% - an increase compared with the corresponding month of the previous year (constant prices, preliminary data)"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" fillcolor="#001d77" stroked="f">
                <v:stroke joinstyle="miter"/>
                <v:textbox>
                  <w:txbxContent>
                    <w:p w14:paraId="30951E30" w14:textId="61D34373" w:rsidR="005C0CAC" w:rsidRPr="0072538B"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72538B">
                        <w:rPr>
                          <w:rFonts w:ascii="Fira Sans SemiBold" w:hAnsi="Fira Sans SemiBold"/>
                          <w:color w:val="FFFFFF" w:themeColor="background1"/>
                          <w:sz w:val="60"/>
                          <w:szCs w:val="60"/>
                          <w:lang w:val="en-GB"/>
                        </w:rPr>
                        <w:t xml:space="preserve"> </w:t>
                      </w:r>
                      <w:r w:rsidRPr="0072538B">
                        <w:rPr>
                          <w:rStyle w:val="WartowskanikaZnak"/>
                          <w:lang w:val="en-GB"/>
                        </w:rPr>
                        <w:t>10</w:t>
                      </w:r>
                      <w:r w:rsidR="007267B0" w:rsidRPr="0072538B">
                        <w:rPr>
                          <w:rStyle w:val="WartowskanikaZnak"/>
                          <w:lang w:val="en-GB"/>
                        </w:rPr>
                        <w:t>.</w:t>
                      </w:r>
                      <w:r w:rsidR="001E2DF2">
                        <w:rPr>
                          <w:rStyle w:val="WartowskanikaZnak"/>
                          <w:lang w:val="en-GB"/>
                        </w:rPr>
                        <w:t>6%</w:t>
                      </w:r>
                    </w:p>
                    <w:p w14:paraId="1C3F1A53" w14:textId="75467AE0" w:rsidR="00DE6B58" w:rsidRPr="0072538B" w:rsidRDefault="00794619" w:rsidP="00F049AB">
                      <w:pPr>
                        <w:pStyle w:val="Opiswskanika"/>
                        <w:rPr>
                          <w:lang w:val="en-GB"/>
                        </w:rPr>
                      </w:pPr>
                      <w:r w:rsidRPr="0072538B">
                        <w:rPr>
                          <w:lang w:val="en-GB"/>
                        </w:rPr>
                        <w:t>A</w:t>
                      </w:r>
                      <w:r w:rsidR="008A549C" w:rsidRPr="0072538B">
                        <w:rPr>
                          <w:lang w:val="en-GB"/>
                        </w:rPr>
                        <w:t>n</w:t>
                      </w:r>
                      <w:r w:rsidRPr="0072538B">
                        <w:rPr>
                          <w:lang w:val="en-GB"/>
                        </w:rPr>
                        <w:t xml:space="preserve"> </w:t>
                      </w:r>
                      <w:r w:rsidR="008A549C" w:rsidRPr="0072538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0360D4">
        <w:rPr>
          <w:rFonts w:cs="Arial"/>
          <w:lang w:val="en-US"/>
        </w:rPr>
        <w:t xml:space="preserve">January </w:t>
      </w:r>
      <w:r w:rsidR="0083146D" w:rsidRPr="003910EE">
        <w:rPr>
          <w:rFonts w:cs="Arial"/>
          <w:lang w:val="en-US"/>
        </w:rPr>
        <w:t>20</w:t>
      </w:r>
      <w:r w:rsidR="0083146D">
        <w:rPr>
          <w:rFonts w:cs="Arial"/>
          <w:lang w:val="en-US"/>
        </w:rPr>
        <w:t>2</w:t>
      </w:r>
      <w:r w:rsidR="000360D4">
        <w:rPr>
          <w:rFonts w:cs="Arial"/>
          <w:lang w:val="en-US"/>
        </w:rPr>
        <w:t>2</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E1323E">
        <w:rPr>
          <w:rStyle w:val="Odwoanieprzypisudolnego"/>
          <w:rFonts w:cs="Arial"/>
          <w:lang w:val="en-US"/>
        </w:rPr>
        <w:footnoteReference w:id="2"/>
      </w:r>
      <w:r w:rsidR="0083146D">
        <w:rPr>
          <w:rFonts w:cs="Arial"/>
          <w:lang w:val="en-US"/>
        </w:rPr>
        <w:t xml:space="preserve"> were by </w:t>
      </w:r>
      <w:r w:rsidR="000360D4">
        <w:rPr>
          <w:rFonts w:cs="Arial"/>
          <w:lang w:val="en-US"/>
        </w:rPr>
        <w:t>10</w:t>
      </w:r>
      <w:r w:rsidR="0083146D">
        <w:rPr>
          <w:rFonts w:cs="Arial"/>
          <w:lang w:val="en-US"/>
        </w:rPr>
        <w:t>.</w:t>
      </w:r>
      <w:r w:rsidR="000360D4">
        <w:rPr>
          <w:rFonts w:cs="Arial"/>
          <w:lang w:val="en-US"/>
        </w:rPr>
        <w:t>6</w:t>
      </w:r>
      <w:r w:rsidR="0083146D">
        <w:rPr>
          <w:rFonts w:cs="Arial"/>
          <w:lang w:val="en-US"/>
        </w:rPr>
        <w:t>%</w:t>
      </w:r>
      <w:r w:rsidR="0083146D" w:rsidRPr="003910EE">
        <w:rPr>
          <w:rFonts w:cs="Arial"/>
          <w:lang w:val="en-US"/>
        </w:rPr>
        <w:t xml:space="preserve"> </w:t>
      </w:r>
      <w:r w:rsidR="0083146D">
        <w:rPr>
          <w:rFonts w:cs="Arial"/>
          <w:lang w:val="en-US"/>
        </w:rPr>
        <w:t>higher than the year before (against a d</w:t>
      </w:r>
      <w:r w:rsidR="00E16435">
        <w:rPr>
          <w:rFonts w:cs="Arial"/>
          <w:lang w:val="en-US"/>
        </w:rPr>
        <w:t>rop</w:t>
      </w:r>
      <w:r w:rsidR="0083146D">
        <w:rPr>
          <w:rFonts w:cs="Arial"/>
          <w:lang w:val="en-US"/>
        </w:rPr>
        <w:t xml:space="preserve"> of </w:t>
      </w:r>
      <w:r w:rsidR="000360D4">
        <w:rPr>
          <w:rFonts w:cs="Arial"/>
          <w:lang w:val="en-US"/>
        </w:rPr>
        <w:t>6</w:t>
      </w:r>
      <w:r w:rsidR="0083146D">
        <w:rPr>
          <w:rFonts w:cs="Arial"/>
          <w:lang w:val="en-US"/>
        </w:rPr>
        <w:t>.</w:t>
      </w:r>
      <w:r w:rsidR="000360D4">
        <w:rPr>
          <w:rFonts w:cs="Arial"/>
          <w:lang w:val="en-US"/>
        </w:rPr>
        <w:t>0</w:t>
      </w:r>
      <w:r w:rsidR="0083146D">
        <w:rPr>
          <w:rFonts w:cs="Arial"/>
          <w:lang w:val="en-US"/>
        </w:rPr>
        <w:t>% in </w:t>
      </w:r>
      <w:r w:rsidR="000360D4">
        <w:rPr>
          <w:rFonts w:cs="Arial"/>
          <w:lang w:val="en-US"/>
        </w:rPr>
        <w:t>January</w:t>
      </w:r>
      <w:r w:rsidR="0083146D">
        <w:rPr>
          <w:rFonts w:cs="Arial"/>
          <w:lang w:val="en-US"/>
        </w:rPr>
        <w:t xml:space="preserve"> 202</w:t>
      </w:r>
      <w:r w:rsidR="000360D4">
        <w:rPr>
          <w:rFonts w:cs="Arial"/>
          <w:lang w:val="en-US"/>
        </w:rPr>
        <w:t>1</w:t>
      </w:r>
      <w:r w:rsidR="0083146D">
        <w:rPr>
          <w:rFonts w:cs="Arial"/>
          <w:lang w:val="en-US"/>
        </w:rPr>
        <w:t>).</w:t>
      </w:r>
      <w:r w:rsidR="0083146D" w:rsidRPr="003910EE">
        <w:rPr>
          <w:lang w:val="en-US"/>
        </w:rPr>
        <w:t xml:space="preserve"> </w:t>
      </w:r>
      <w:r w:rsidR="0083146D">
        <w:rPr>
          <w:lang w:val="en-US"/>
        </w:rPr>
        <w:t xml:space="preserve">Compared with </w:t>
      </w:r>
      <w:r w:rsidR="000360D4">
        <w:rPr>
          <w:lang w:val="en-US"/>
        </w:rPr>
        <w:t>Decem</w:t>
      </w:r>
      <w:r w:rsidR="0083146D">
        <w:rPr>
          <w:lang w:val="en-US"/>
        </w:rPr>
        <w:t xml:space="preserve">ber 2021 retail sales </w:t>
      </w:r>
      <w:r w:rsidR="00E96BD5">
        <w:rPr>
          <w:lang w:val="en-US"/>
        </w:rPr>
        <w:t>decreased</w:t>
      </w:r>
      <w:r w:rsidR="006413CA">
        <w:rPr>
          <w:lang w:val="en-US"/>
        </w:rPr>
        <w:t xml:space="preserve"> </w:t>
      </w:r>
      <w:r w:rsidR="0083146D">
        <w:rPr>
          <w:lang w:val="en-US"/>
        </w:rPr>
        <w:t xml:space="preserve">by </w:t>
      </w:r>
      <w:r w:rsidR="00F133EE">
        <w:rPr>
          <w:lang w:val="en-US"/>
        </w:rPr>
        <w:t>22</w:t>
      </w:r>
      <w:r w:rsidR="0083146D">
        <w:rPr>
          <w:lang w:val="en-US"/>
        </w:rPr>
        <w:t>.</w:t>
      </w:r>
      <w:r w:rsidR="00F133EE">
        <w:rPr>
          <w:lang w:val="en-US"/>
        </w:rPr>
        <w:t>8</w:t>
      </w:r>
      <w:r w:rsidR="0083146D">
        <w:rPr>
          <w:lang w:val="en-US"/>
        </w:rPr>
        <w:t xml:space="preserve">%. </w:t>
      </w:r>
    </w:p>
    <w:p w14:paraId="3DB10F9F" w14:textId="0FC106FF" w:rsidR="00E95B8E" w:rsidRPr="008367E8" w:rsidRDefault="000647A9" w:rsidP="00D15296">
      <w:pPr>
        <w:pStyle w:val="Nagwek1"/>
        <w:spacing w:before="600"/>
        <w:rPr>
          <w:rFonts w:ascii="Fira Sans" w:hAnsi="Fira Sans"/>
          <w:b/>
          <w:color w:val="002060"/>
          <w:szCs w:val="19"/>
          <w:lang w:val="en-GB"/>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0A6D79BC">
                <wp:simplePos x="0" y="0"/>
                <wp:positionH relativeFrom="column">
                  <wp:posOffset>5273040</wp:posOffset>
                </wp:positionH>
                <wp:positionV relativeFrom="paragraph">
                  <wp:posOffset>234315</wp:posOffset>
                </wp:positionV>
                <wp:extent cx="1725295" cy="1611630"/>
                <wp:effectExtent l="0" t="0" r="0" b="0"/>
                <wp:wrapTight wrapText="bothSides">
                  <wp:wrapPolygon edited="0">
                    <wp:start x="715" y="0"/>
                    <wp:lineTo x="715" y="21191"/>
                    <wp:lineTo x="20749" y="21191"/>
                    <wp:lineTo x="20749" y="0"/>
                    <wp:lineTo x="715" y="0"/>
                  </wp:wrapPolygon>
                </wp:wrapTight>
                <wp:docPr id="2" name="Pole tekstowe 2" descr="In January 2022 there was a significant increase in retail sales y/y in the group “textiles, clothing, footwear”, which was caused i.a. by restrictions introduced last year in the operation of shopping mall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11630"/>
                        </a:xfrm>
                        <a:prstGeom prst="rect">
                          <a:avLst/>
                        </a:prstGeom>
                        <a:noFill/>
                        <a:ln w="9525">
                          <a:noFill/>
                          <a:miter lim="800000"/>
                          <a:headEnd/>
                          <a:tailEnd/>
                        </a:ln>
                      </wps:spPr>
                      <wps:txbx>
                        <w:txbxContent>
                          <w:p w14:paraId="08C26DBD" w14:textId="26891A44" w:rsidR="00043902" w:rsidRPr="00043902" w:rsidRDefault="00043902" w:rsidP="00633E04">
                            <w:pPr>
                              <w:spacing w:before="240"/>
                              <w:rPr>
                                <w:rFonts w:eastAsia="Times New Roman" w:cs="Times New Roman"/>
                                <w:color w:val="001D77"/>
                                <w:sz w:val="18"/>
                                <w:szCs w:val="18"/>
                                <w:lang w:val="en-US" w:eastAsia="pl-PL"/>
                              </w:rPr>
                            </w:pPr>
                            <w:r w:rsidRPr="00043902">
                              <w:rPr>
                                <w:rFonts w:eastAsia="Times New Roman" w:cs="Arial"/>
                                <w:bCs/>
                                <w:color w:val="001D77"/>
                                <w:sz w:val="18"/>
                                <w:szCs w:val="18"/>
                                <w:lang w:val="en-US" w:eastAsia="pl-PL"/>
                              </w:rPr>
                              <w:t xml:space="preserve">In </w:t>
                            </w:r>
                            <w:r w:rsidR="00D24987">
                              <w:rPr>
                                <w:rFonts w:eastAsia="Times New Roman" w:cs="Arial"/>
                                <w:bCs/>
                                <w:color w:val="001D77"/>
                                <w:sz w:val="18"/>
                                <w:szCs w:val="18"/>
                                <w:lang w:val="en-US" w:eastAsia="pl-PL"/>
                              </w:rPr>
                              <w:t>January</w:t>
                            </w:r>
                            <w:r w:rsidRPr="00043902">
                              <w:rPr>
                                <w:rFonts w:eastAsia="Times New Roman" w:cs="Arial"/>
                                <w:bCs/>
                                <w:color w:val="001D77"/>
                                <w:sz w:val="18"/>
                                <w:szCs w:val="18"/>
                                <w:lang w:val="en-US" w:eastAsia="pl-PL"/>
                              </w:rPr>
                              <w:t xml:space="preserve"> 202</w:t>
                            </w:r>
                            <w:r w:rsidR="00D24987">
                              <w:rPr>
                                <w:rFonts w:eastAsia="Times New Roman" w:cs="Arial"/>
                                <w:bCs/>
                                <w:color w:val="001D77"/>
                                <w:sz w:val="18"/>
                                <w:szCs w:val="18"/>
                                <w:lang w:val="en-US" w:eastAsia="pl-PL"/>
                              </w:rPr>
                              <w:t>2</w:t>
                            </w:r>
                            <w:r w:rsidRPr="00043902">
                              <w:rPr>
                                <w:rFonts w:eastAsia="Times New Roman" w:cs="Arial"/>
                                <w:bCs/>
                                <w:color w:val="001D77"/>
                                <w:sz w:val="18"/>
                                <w:szCs w:val="18"/>
                                <w:lang w:val="en-US" w:eastAsia="pl-PL"/>
                              </w:rPr>
                              <w:t xml:space="preserve"> </w:t>
                            </w:r>
                            <w:r w:rsidR="00D24987">
                              <w:rPr>
                                <w:rFonts w:eastAsia="Times New Roman" w:cs="Arial"/>
                                <w:bCs/>
                                <w:color w:val="001D77"/>
                                <w:sz w:val="18"/>
                                <w:szCs w:val="18"/>
                                <w:lang w:val="en-US" w:eastAsia="pl-PL"/>
                              </w:rPr>
                              <w:t>there was a</w:t>
                            </w:r>
                            <w:r w:rsidR="00A61CAC">
                              <w:rPr>
                                <w:rFonts w:eastAsia="Times New Roman" w:cs="Arial"/>
                                <w:bCs/>
                                <w:color w:val="001D77"/>
                                <w:sz w:val="18"/>
                                <w:szCs w:val="18"/>
                                <w:lang w:val="en-US" w:eastAsia="pl-PL"/>
                              </w:rPr>
                              <w:t> </w:t>
                            </w:r>
                            <w:r w:rsidR="00D24987">
                              <w:rPr>
                                <w:rFonts w:eastAsia="Times New Roman" w:cs="Arial"/>
                                <w:bCs/>
                                <w:color w:val="001D77"/>
                                <w:sz w:val="18"/>
                                <w:szCs w:val="18"/>
                                <w:lang w:val="en-US" w:eastAsia="pl-PL"/>
                              </w:rPr>
                              <w:t xml:space="preserve">significant increase in retail sales </w:t>
                            </w:r>
                            <w:r w:rsidRPr="00043902">
                              <w:rPr>
                                <w:rFonts w:eastAsia="Times New Roman" w:cs="Arial"/>
                                <w:bCs/>
                                <w:color w:val="001D77"/>
                                <w:sz w:val="18"/>
                                <w:szCs w:val="18"/>
                                <w:lang w:val="en-US" w:eastAsia="pl-PL"/>
                              </w:rPr>
                              <w:t xml:space="preserve">y/y </w:t>
                            </w:r>
                            <w:r w:rsidR="00F152DC">
                              <w:rPr>
                                <w:rFonts w:eastAsia="Times New Roman" w:cs="Arial"/>
                                <w:bCs/>
                                <w:color w:val="001D77"/>
                                <w:sz w:val="18"/>
                                <w:szCs w:val="18"/>
                                <w:lang w:val="en-US" w:eastAsia="pl-PL"/>
                              </w:rPr>
                              <w:t xml:space="preserve">in the group “textiles, clothing, footwear”, which </w:t>
                            </w:r>
                            <w:r w:rsidRPr="00043902">
                              <w:rPr>
                                <w:rFonts w:eastAsia="Times New Roman" w:cs="Arial"/>
                                <w:bCs/>
                                <w:color w:val="001D77"/>
                                <w:sz w:val="18"/>
                                <w:szCs w:val="18"/>
                                <w:lang w:val="en-US" w:eastAsia="pl-PL"/>
                              </w:rPr>
                              <w:t xml:space="preserve">was </w:t>
                            </w:r>
                            <w:r w:rsidR="00F152DC">
                              <w:rPr>
                                <w:rFonts w:eastAsia="Times New Roman" w:cs="Arial"/>
                                <w:bCs/>
                                <w:color w:val="001D77"/>
                                <w:sz w:val="18"/>
                                <w:szCs w:val="18"/>
                                <w:lang w:val="en-US" w:eastAsia="pl-PL"/>
                              </w:rPr>
                              <w:t xml:space="preserve">caused </w:t>
                            </w:r>
                            <w:proofErr w:type="spellStart"/>
                            <w:r w:rsidR="00F152DC">
                              <w:rPr>
                                <w:rFonts w:eastAsia="Times New Roman" w:cs="Arial"/>
                                <w:bCs/>
                                <w:color w:val="001D77"/>
                                <w:sz w:val="18"/>
                                <w:szCs w:val="18"/>
                                <w:lang w:val="en-US" w:eastAsia="pl-PL"/>
                              </w:rPr>
                              <w:t>i.a.</w:t>
                            </w:r>
                            <w:proofErr w:type="spellEnd"/>
                            <w:r w:rsidR="00F152DC">
                              <w:rPr>
                                <w:rFonts w:eastAsia="Times New Roman" w:cs="Arial"/>
                                <w:bCs/>
                                <w:color w:val="001D77"/>
                                <w:sz w:val="18"/>
                                <w:szCs w:val="18"/>
                                <w:lang w:val="en-US" w:eastAsia="pl-PL"/>
                              </w:rPr>
                              <w:t xml:space="preserve"> by restrictions introduced last year in the operation of shopping malls</w:t>
                            </w:r>
                            <w:r w:rsidRPr="00043902">
                              <w:rPr>
                                <w:rFonts w:eastAsia="Times New Roman" w:cs="Arial"/>
                                <w:bCs/>
                                <w:color w:val="001D77"/>
                                <w:sz w:val="18"/>
                                <w:szCs w:val="18"/>
                                <w:lang w:val="en-US" w:eastAsia="pl-PL"/>
                              </w:rPr>
                              <w:t xml:space="preserve"> </w:t>
                            </w:r>
                          </w:p>
                          <w:p w14:paraId="66113316" w14:textId="7ABB8866" w:rsidR="00D616D2" w:rsidRPr="0072538B" w:rsidRDefault="00D616D2" w:rsidP="005F45EE">
                            <w:pPr>
                              <w:pStyle w:val="tekstzboku"/>
                              <w:rPr>
                                <w:bCs w:val="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January 2022 there was a significant increase in retail sales y/y in the group “textiles, clothing, footwear”, which was caused i.a. by restrictions introduced last year in the operation of shopping malls " style="position:absolute;margin-left:415.2pt;margin-top:18.45pt;width:135.85pt;height:126.9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" filled="f" stroked="f">
                <v:textbox>
                  <w:txbxContent>
                    <w:p w14:paraId="08C26DBD" w14:textId="26891A44" w:rsidR="00043902" w:rsidRPr="00043902" w:rsidRDefault="00043902" w:rsidP="00633E04">
                      <w:pPr>
                        <w:spacing w:before="240"/>
                        <w:rPr>
                          <w:rFonts w:eastAsia="Times New Roman" w:cs="Times New Roman"/>
                          <w:color w:val="001D77"/>
                          <w:sz w:val="18"/>
                          <w:szCs w:val="18"/>
                          <w:lang w:val="en-US" w:eastAsia="pl-PL"/>
                        </w:rPr>
                      </w:pPr>
                      <w:r w:rsidRPr="00043902">
                        <w:rPr>
                          <w:rFonts w:eastAsia="Times New Roman" w:cs="Arial"/>
                          <w:bCs/>
                          <w:color w:val="001D77"/>
                          <w:sz w:val="18"/>
                          <w:szCs w:val="18"/>
                          <w:lang w:val="en-US" w:eastAsia="pl-PL"/>
                        </w:rPr>
                        <w:t xml:space="preserve">In </w:t>
                      </w:r>
                      <w:r w:rsidR="00D24987">
                        <w:rPr>
                          <w:rFonts w:eastAsia="Times New Roman" w:cs="Arial"/>
                          <w:bCs/>
                          <w:color w:val="001D77"/>
                          <w:sz w:val="18"/>
                          <w:szCs w:val="18"/>
                          <w:lang w:val="en-US" w:eastAsia="pl-PL"/>
                        </w:rPr>
                        <w:t>January</w:t>
                      </w:r>
                      <w:r w:rsidRPr="00043902">
                        <w:rPr>
                          <w:rFonts w:eastAsia="Times New Roman" w:cs="Arial"/>
                          <w:bCs/>
                          <w:color w:val="001D77"/>
                          <w:sz w:val="18"/>
                          <w:szCs w:val="18"/>
                          <w:lang w:val="en-US" w:eastAsia="pl-PL"/>
                        </w:rPr>
                        <w:t xml:space="preserve"> 202</w:t>
                      </w:r>
                      <w:r w:rsidR="00D24987">
                        <w:rPr>
                          <w:rFonts w:eastAsia="Times New Roman" w:cs="Arial"/>
                          <w:bCs/>
                          <w:color w:val="001D77"/>
                          <w:sz w:val="18"/>
                          <w:szCs w:val="18"/>
                          <w:lang w:val="en-US" w:eastAsia="pl-PL"/>
                        </w:rPr>
                        <w:t>2</w:t>
                      </w:r>
                      <w:r w:rsidRPr="00043902">
                        <w:rPr>
                          <w:rFonts w:eastAsia="Times New Roman" w:cs="Arial"/>
                          <w:bCs/>
                          <w:color w:val="001D77"/>
                          <w:sz w:val="18"/>
                          <w:szCs w:val="18"/>
                          <w:lang w:val="en-US" w:eastAsia="pl-PL"/>
                        </w:rPr>
                        <w:t xml:space="preserve"> </w:t>
                      </w:r>
                      <w:r w:rsidR="00D24987">
                        <w:rPr>
                          <w:rFonts w:eastAsia="Times New Roman" w:cs="Arial"/>
                          <w:bCs/>
                          <w:color w:val="001D77"/>
                          <w:sz w:val="18"/>
                          <w:szCs w:val="18"/>
                          <w:lang w:val="en-US" w:eastAsia="pl-PL"/>
                        </w:rPr>
                        <w:t>there was a</w:t>
                      </w:r>
                      <w:r w:rsidR="00A61CAC">
                        <w:rPr>
                          <w:rFonts w:eastAsia="Times New Roman" w:cs="Arial"/>
                          <w:bCs/>
                          <w:color w:val="001D77"/>
                          <w:sz w:val="18"/>
                          <w:szCs w:val="18"/>
                          <w:lang w:val="en-US" w:eastAsia="pl-PL"/>
                        </w:rPr>
                        <w:t> </w:t>
                      </w:r>
                      <w:r w:rsidR="00D24987">
                        <w:rPr>
                          <w:rFonts w:eastAsia="Times New Roman" w:cs="Arial"/>
                          <w:bCs/>
                          <w:color w:val="001D77"/>
                          <w:sz w:val="18"/>
                          <w:szCs w:val="18"/>
                          <w:lang w:val="en-US" w:eastAsia="pl-PL"/>
                        </w:rPr>
                        <w:t xml:space="preserve">significant increase in retail sales </w:t>
                      </w:r>
                      <w:r w:rsidRPr="00043902">
                        <w:rPr>
                          <w:rFonts w:eastAsia="Times New Roman" w:cs="Arial"/>
                          <w:bCs/>
                          <w:color w:val="001D77"/>
                          <w:sz w:val="18"/>
                          <w:szCs w:val="18"/>
                          <w:lang w:val="en-US" w:eastAsia="pl-PL"/>
                        </w:rPr>
                        <w:t xml:space="preserve">y/y </w:t>
                      </w:r>
                      <w:r w:rsidR="00F152DC">
                        <w:rPr>
                          <w:rFonts w:eastAsia="Times New Roman" w:cs="Arial"/>
                          <w:bCs/>
                          <w:color w:val="001D77"/>
                          <w:sz w:val="18"/>
                          <w:szCs w:val="18"/>
                          <w:lang w:val="en-US" w:eastAsia="pl-PL"/>
                        </w:rPr>
                        <w:t xml:space="preserve">in the group “textiles, clothing, footwear”, which </w:t>
                      </w:r>
                      <w:r w:rsidRPr="00043902">
                        <w:rPr>
                          <w:rFonts w:eastAsia="Times New Roman" w:cs="Arial"/>
                          <w:bCs/>
                          <w:color w:val="001D77"/>
                          <w:sz w:val="18"/>
                          <w:szCs w:val="18"/>
                          <w:lang w:val="en-US" w:eastAsia="pl-PL"/>
                        </w:rPr>
                        <w:t xml:space="preserve">was </w:t>
                      </w:r>
                      <w:r w:rsidR="00F152DC">
                        <w:rPr>
                          <w:rFonts w:eastAsia="Times New Roman" w:cs="Arial"/>
                          <w:bCs/>
                          <w:color w:val="001D77"/>
                          <w:sz w:val="18"/>
                          <w:szCs w:val="18"/>
                          <w:lang w:val="en-US" w:eastAsia="pl-PL"/>
                        </w:rPr>
                        <w:t xml:space="preserve">caused </w:t>
                      </w:r>
                      <w:proofErr w:type="spellStart"/>
                      <w:r w:rsidR="00F152DC">
                        <w:rPr>
                          <w:rFonts w:eastAsia="Times New Roman" w:cs="Arial"/>
                          <w:bCs/>
                          <w:color w:val="001D77"/>
                          <w:sz w:val="18"/>
                          <w:szCs w:val="18"/>
                          <w:lang w:val="en-US" w:eastAsia="pl-PL"/>
                        </w:rPr>
                        <w:t>i.a.</w:t>
                      </w:r>
                      <w:proofErr w:type="spellEnd"/>
                      <w:r w:rsidR="00F152DC">
                        <w:rPr>
                          <w:rFonts w:eastAsia="Times New Roman" w:cs="Arial"/>
                          <w:bCs/>
                          <w:color w:val="001D77"/>
                          <w:sz w:val="18"/>
                          <w:szCs w:val="18"/>
                          <w:lang w:val="en-US" w:eastAsia="pl-PL"/>
                        </w:rPr>
                        <w:t xml:space="preserve"> by restrictions introduced last year in the operation of shopping malls</w:t>
                      </w:r>
                      <w:r w:rsidRPr="00043902">
                        <w:rPr>
                          <w:rFonts w:eastAsia="Times New Roman" w:cs="Arial"/>
                          <w:bCs/>
                          <w:color w:val="001D77"/>
                          <w:sz w:val="18"/>
                          <w:szCs w:val="18"/>
                          <w:lang w:val="en-US" w:eastAsia="pl-PL"/>
                        </w:rPr>
                        <w:t xml:space="preserve"> </w:t>
                      </w:r>
                    </w:p>
                    <w:p w14:paraId="66113316" w14:textId="7ABB8866" w:rsidR="00D616D2" w:rsidRPr="0072538B" w:rsidRDefault="00D616D2" w:rsidP="005F45EE">
                      <w:pPr>
                        <w:pStyle w:val="tekstzboku"/>
                        <w:rPr>
                          <w:bCs w:val="0"/>
                          <w:lang w:val="en-GB"/>
                        </w:rPr>
                      </w:pPr>
                    </w:p>
                  </w:txbxContent>
                </v:textbox>
                <w10:wrap type="tight"/>
              </v:shape>
            </w:pict>
          </mc:Fallback>
        </mc:AlternateContent>
      </w:r>
      <w:r w:rsidR="00CB6AD4" w:rsidRPr="0072538B">
        <w:rPr>
          <w:shd w:val="clear" w:color="auto" w:fill="FFFFFF"/>
          <w:lang w:val="en-GB"/>
        </w:rPr>
        <w:br/>
      </w:r>
      <w:r w:rsidR="003D7542" w:rsidRPr="008367E8">
        <w:rPr>
          <w:rFonts w:ascii="Fira Sans" w:hAnsi="Fira Sans"/>
          <w:b/>
          <w:color w:val="002060"/>
          <w:szCs w:val="19"/>
          <w:lang w:val="en-GB"/>
        </w:rPr>
        <w:t>Retail sales of goods by type of enterprise activity</w:t>
      </w:r>
    </w:p>
    <w:p w14:paraId="05471DE4" w14:textId="09F95515" w:rsidR="002263F7" w:rsidRDefault="00FB7FC5" w:rsidP="0072538B">
      <w:pPr>
        <w:rPr>
          <w:szCs w:val="19"/>
          <w:lang w:val="en-US" w:eastAsia="pl-PL"/>
        </w:rPr>
      </w:pPr>
      <w:r w:rsidRPr="00431311">
        <w:rPr>
          <w:spacing w:val="-4"/>
          <w:lang w:val="en-US" w:eastAsia="pl-PL"/>
        </w:rPr>
        <w:t xml:space="preserve">In </w:t>
      </w:r>
      <w:r w:rsidR="00445C74" w:rsidRPr="00431311">
        <w:rPr>
          <w:spacing w:val="-4"/>
          <w:lang w:val="en-US" w:eastAsia="pl-PL"/>
        </w:rPr>
        <w:t xml:space="preserve">January </w:t>
      </w:r>
      <w:r w:rsidRPr="00431311">
        <w:rPr>
          <w:spacing w:val="-4"/>
          <w:lang w:val="en-US" w:eastAsia="pl-PL"/>
        </w:rPr>
        <w:t>202</w:t>
      </w:r>
      <w:r w:rsidR="00E44AD5" w:rsidRPr="00431311">
        <w:rPr>
          <w:spacing w:val="-4"/>
          <w:lang w:val="en-US" w:eastAsia="pl-PL"/>
        </w:rPr>
        <w:t>2</w:t>
      </w:r>
      <w:r w:rsidRPr="00431311">
        <w:rPr>
          <w:spacing w:val="-4"/>
          <w:lang w:val="en-US" w:eastAsia="pl-PL"/>
        </w:rPr>
        <w:t xml:space="preserve">, the largest increase in retail sales (at constant prices) compared </w:t>
      </w:r>
      <w:r w:rsidRPr="00431311">
        <w:rPr>
          <w:rFonts w:cs="Arial"/>
          <w:spacing w:val="-4"/>
          <w:lang w:val="en-US"/>
        </w:rPr>
        <w:t xml:space="preserve">to the </w:t>
      </w:r>
      <w:r w:rsidRPr="00431311">
        <w:rPr>
          <w:rFonts w:cs="Arial"/>
          <w:lang w:val="en-US"/>
        </w:rPr>
        <w:t>corresponding period of 202</w:t>
      </w:r>
      <w:r w:rsidR="00D15296" w:rsidRPr="00431311">
        <w:rPr>
          <w:rFonts w:cs="Arial"/>
          <w:lang w:val="en-US"/>
        </w:rPr>
        <w:t>1</w:t>
      </w:r>
      <w:r w:rsidRPr="00431311">
        <w:rPr>
          <w:rFonts w:cs="Arial"/>
          <w:lang w:val="en-US"/>
        </w:rPr>
        <w:t xml:space="preserve"> </w:t>
      </w:r>
      <w:r w:rsidRPr="00431311">
        <w:rPr>
          <w:lang w:val="en-US" w:eastAsia="pl-PL"/>
        </w:rPr>
        <w:t>was recorded</w:t>
      </w:r>
      <w:r w:rsidR="00030CB6" w:rsidRPr="00431311">
        <w:rPr>
          <w:lang w:val="en-US" w:eastAsia="pl-PL"/>
        </w:rPr>
        <w:t>, as in previous months, b</w:t>
      </w:r>
      <w:r w:rsidRPr="00431311">
        <w:rPr>
          <w:lang w:val="en-US" w:eastAsia="pl-PL"/>
        </w:rPr>
        <w:t xml:space="preserve">y units trading in </w:t>
      </w:r>
      <w:r w:rsidRPr="00431311">
        <w:rPr>
          <w:rFonts w:cs="Arial"/>
          <w:szCs w:val="19"/>
          <w:lang w:val="en-US"/>
        </w:rPr>
        <w:t xml:space="preserve">textiles, </w:t>
      </w:r>
      <w:r w:rsidRPr="006F2EE7">
        <w:rPr>
          <w:rFonts w:cs="Arial"/>
          <w:szCs w:val="19"/>
          <w:lang w:val="en-US"/>
        </w:rPr>
        <w:t>clothing, footwear</w:t>
      </w:r>
      <w:r w:rsidRPr="000F4D8F">
        <w:rPr>
          <w:rFonts w:cs="Arial"/>
          <w:spacing w:val="-4"/>
          <w:szCs w:val="19"/>
          <w:lang w:val="en-US"/>
        </w:rPr>
        <w:t xml:space="preserve"> </w:t>
      </w:r>
      <w:r w:rsidRPr="00B0314E">
        <w:rPr>
          <w:rFonts w:cs="Arial"/>
          <w:szCs w:val="19"/>
          <w:lang w:val="en-US"/>
        </w:rPr>
        <w:t>(by </w:t>
      </w:r>
      <w:r w:rsidR="00030CB6">
        <w:rPr>
          <w:rFonts w:cs="Arial"/>
          <w:szCs w:val="19"/>
          <w:lang w:val="en-US"/>
        </w:rPr>
        <w:t>97</w:t>
      </w:r>
      <w:r w:rsidRPr="00B0314E">
        <w:rPr>
          <w:rFonts w:cs="Arial"/>
          <w:szCs w:val="19"/>
          <w:lang w:val="en-US"/>
        </w:rPr>
        <w:t>.</w:t>
      </w:r>
      <w:r w:rsidR="00030CB6">
        <w:rPr>
          <w:rFonts w:cs="Arial"/>
          <w:szCs w:val="19"/>
          <w:lang w:val="en-US"/>
        </w:rPr>
        <w:t>7</w:t>
      </w:r>
      <w:r w:rsidRPr="00B0314E">
        <w:rPr>
          <w:rFonts w:cs="Arial"/>
          <w:szCs w:val="19"/>
          <w:lang w:val="en-US"/>
        </w:rPr>
        <w:t xml:space="preserve">% against a decrease of </w:t>
      </w:r>
      <w:r w:rsidR="00030CB6">
        <w:rPr>
          <w:rFonts w:cs="Arial"/>
          <w:szCs w:val="19"/>
          <w:lang w:val="en-US"/>
        </w:rPr>
        <w:t>4</w:t>
      </w:r>
      <w:r w:rsidRPr="00B0314E">
        <w:rPr>
          <w:rFonts w:cs="Arial"/>
          <w:szCs w:val="19"/>
          <w:lang w:val="en-US"/>
        </w:rPr>
        <w:t>0.</w:t>
      </w:r>
      <w:r w:rsidR="00030CB6">
        <w:rPr>
          <w:rFonts w:cs="Arial"/>
          <w:szCs w:val="19"/>
          <w:lang w:val="en-US"/>
        </w:rPr>
        <w:t>8</w:t>
      </w:r>
      <w:r w:rsidRPr="00B0314E">
        <w:rPr>
          <w:rFonts w:cs="Arial"/>
          <w:szCs w:val="19"/>
          <w:lang w:val="en-US"/>
        </w:rPr>
        <w:t>% the year before). Higher sales than “total” sales</w:t>
      </w:r>
      <w:r>
        <w:rPr>
          <w:rFonts w:cs="Arial"/>
          <w:szCs w:val="19"/>
          <w:lang w:val="en-US"/>
        </w:rPr>
        <w:t>,</w:t>
      </w:r>
      <w:r w:rsidRPr="00B0314E">
        <w:rPr>
          <w:rFonts w:cs="Arial"/>
          <w:szCs w:val="19"/>
          <w:lang w:val="en-US"/>
        </w:rPr>
        <w:t xml:space="preserve"> </w:t>
      </w:r>
      <w:r w:rsidRPr="00B0314E">
        <w:rPr>
          <w:szCs w:val="19"/>
          <w:lang w:val="en-US" w:eastAsia="pl-PL"/>
        </w:rPr>
        <w:t>among the categories presented</w:t>
      </w:r>
      <w:r>
        <w:rPr>
          <w:szCs w:val="19"/>
          <w:lang w:val="en-US" w:eastAsia="pl-PL"/>
        </w:rPr>
        <w:t>,</w:t>
      </w:r>
      <w:r w:rsidRPr="00B0314E">
        <w:rPr>
          <w:rFonts w:cs="Arial"/>
          <w:szCs w:val="19"/>
          <w:lang w:val="en-US"/>
        </w:rPr>
        <w:t xml:space="preserve"> were also observed in the groups: “others” (by </w:t>
      </w:r>
      <w:r>
        <w:rPr>
          <w:rFonts w:cs="Arial"/>
          <w:szCs w:val="19"/>
          <w:lang w:val="en-US"/>
        </w:rPr>
        <w:t>2</w:t>
      </w:r>
      <w:r w:rsidR="00030CB6">
        <w:rPr>
          <w:rFonts w:cs="Arial"/>
          <w:szCs w:val="19"/>
          <w:lang w:val="en-US"/>
        </w:rPr>
        <w:t>4.4</w:t>
      </w:r>
      <w:r w:rsidRPr="00B0314E">
        <w:rPr>
          <w:rFonts w:cs="Arial"/>
          <w:szCs w:val="19"/>
          <w:lang w:val="en-US"/>
        </w:rPr>
        <w:t>%)</w:t>
      </w:r>
      <w:r w:rsidR="00030CB6">
        <w:rPr>
          <w:rFonts w:cs="Arial"/>
          <w:szCs w:val="19"/>
          <w:lang w:val="en-US"/>
        </w:rPr>
        <w:t xml:space="preserve">, </w:t>
      </w:r>
      <w:r w:rsidRPr="00B0314E">
        <w:rPr>
          <w:rFonts w:cs="Arial"/>
          <w:szCs w:val="19"/>
          <w:lang w:val="en-US"/>
        </w:rPr>
        <w:t xml:space="preserve">“pharmaceuticals, cosmetics, </w:t>
      </w:r>
      <w:proofErr w:type="spellStart"/>
      <w:r w:rsidRPr="00B0314E">
        <w:rPr>
          <w:rFonts w:cs="Arial"/>
          <w:szCs w:val="19"/>
          <w:lang w:val="en-US"/>
        </w:rPr>
        <w:t>orthopae</w:t>
      </w:r>
      <w:r>
        <w:rPr>
          <w:rFonts w:cs="Arial"/>
          <w:szCs w:val="19"/>
          <w:lang w:val="en-US"/>
        </w:rPr>
        <w:t>dic</w:t>
      </w:r>
      <w:proofErr w:type="spellEnd"/>
      <w:r>
        <w:rPr>
          <w:rFonts w:cs="Arial"/>
          <w:szCs w:val="19"/>
          <w:lang w:val="en-US"/>
        </w:rPr>
        <w:t xml:space="preserve"> equipment (by 1</w:t>
      </w:r>
      <w:r w:rsidR="00030CB6">
        <w:rPr>
          <w:rFonts w:cs="Arial"/>
          <w:szCs w:val="19"/>
          <w:lang w:val="en-US"/>
        </w:rPr>
        <w:t>9</w:t>
      </w:r>
      <w:r>
        <w:rPr>
          <w:rFonts w:cs="Arial"/>
          <w:szCs w:val="19"/>
          <w:lang w:val="en-US"/>
        </w:rPr>
        <w:t>.</w:t>
      </w:r>
      <w:r w:rsidR="00030CB6">
        <w:rPr>
          <w:rFonts w:cs="Arial"/>
          <w:szCs w:val="19"/>
          <w:lang w:val="en-US"/>
        </w:rPr>
        <w:t>2</w:t>
      </w:r>
      <w:r w:rsidRPr="00B0314E">
        <w:rPr>
          <w:rFonts w:cs="Arial"/>
          <w:szCs w:val="19"/>
          <w:lang w:val="en-US"/>
        </w:rPr>
        <w:t>%)</w:t>
      </w:r>
      <w:r w:rsidR="00DB3F19">
        <w:rPr>
          <w:rFonts w:cs="Arial"/>
          <w:szCs w:val="19"/>
          <w:lang w:val="en-US"/>
        </w:rPr>
        <w:t xml:space="preserve"> and </w:t>
      </w:r>
      <w:r w:rsidR="00DB3F19" w:rsidRPr="00B0314E">
        <w:rPr>
          <w:szCs w:val="19"/>
          <w:lang w:val="en-US" w:eastAsia="pl-PL"/>
        </w:rPr>
        <w:t>“newspapers, books, other sale in specialized stores”</w:t>
      </w:r>
      <w:r w:rsidR="00DB3F19">
        <w:rPr>
          <w:szCs w:val="19"/>
          <w:lang w:val="en-US" w:eastAsia="pl-PL"/>
        </w:rPr>
        <w:t xml:space="preserve"> (by 17.5%)</w:t>
      </w:r>
      <w:r w:rsidRPr="00B0314E">
        <w:rPr>
          <w:rFonts w:cs="Arial"/>
          <w:szCs w:val="19"/>
          <w:lang w:val="en-US"/>
        </w:rPr>
        <w:t xml:space="preserve">. </w:t>
      </w:r>
      <w:r w:rsidRPr="00B0314E">
        <w:rPr>
          <w:szCs w:val="19"/>
          <w:lang w:val="en-US" w:eastAsia="pl-PL"/>
        </w:rPr>
        <w:t>A decrease in sales</w:t>
      </w:r>
      <w:r>
        <w:rPr>
          <w:szCs w:val="19"/>
          <w:lang w:val="en-US" w:eastAsia="pl-PL"/>
        </w:rPr>
        <w:t xml:space="preserve"> </w:t>
      </w:r>
      <w:r w:rsidRPr="00B0314E">
        <w:rPr>
          <w:szCs w:val="19"/>
          <w:lang w:val="en-US" w:eastAsia="pl-PL"/>
        </w:rPr>
        <w:t>was reported by units selling motor vehicles, motorcycles, parts (by </w:t>
      </w:r>
      <w:r w:rsidR="000A42C5">
        <w:rPr>
          <w:szCs w:val="19"/>
          <w:lang w:val="en-US" w:eastAsia="pl-PL"/>
        </w:rPr>
        <w:t>13</w:t>
      </w:r>
      <w:r>
        <w:rPr>
          <w:szCs w:val="19"/>
          <w:lang w:val="en-US" w:eastAsia="pl-PL"/>
        </w:rPr>
        <w:t>.5</w:t>
      </w:r>
      <w:r w:rsidRPr="00B0314E">
        <w:rPr>
          <w:szCs w:val="19"/>
          <w:lang w:val="en-US" w:eastAsia="pl-PL"/>
        </w:rPr>
        <w:t>%)</w:t>
      </w:r>
      <w:r w:rsidR="000A42C5">
        <w:rPr>
          <w:szCs w:val="19"/>
          <w:lang w:val="en-US" w:eastAsia="pl-PL"/>
        </w:rPr>
        <w:t>, solid, liquid and gaseous fuels (by 1.5%)</w:t>
      </w:r>
      <w:r w:rsidR="00775979">
        <w:rPr>
          <w:szCs w:val="19"/>
          <w:lang w:val="en-US" w:eastAsia="pl-PL"/>
        </w:rPr>
        <w:t xml:space="preserve"> </w:t>
      </w:r>
      <w:r w:rsidR="000A42C5">
        <w:rPr>
          <w:szCs w:val="19"/>
          <w:lang w:val="en-US" w:eastAsia="pl-PL"/>
        </w:rPr>
        <w:t xml:space="preserve">as well as furniture, radio, TV and household appliances (by </w:t>
      </w:r>
      <w:r w:rsidR="00CE6337">
        <w:rPr>
          <w:szCs w:val="19"/>
          <w:lang w:val="en-US" w:eastAsia="pl-PL"/>
        </w:rPr>
        <w:t>0.4%)</w:t>
      </w:r>
      <w:r w:rsidRPr="00B0314E">
        <w:rPr>
          <w:szCs w:val="19"/>
          <w:lang w:val="en-US" w:eastAsia="pl-PL"/>
        </w:rPr>
        <w:t xml:space="preserve">. </w:t>
      </w:r>
    </w:p>
    <w:p w14:paraId="341E9B97" w14:textId="4B4061E1" w:rsidR="00FB7FC5" w:rsidRDefault="00FB7FC5" w:rsidP="0072538B">
      <w:pPr>
        <w:rPr>
          <w:szCs w:val="19"/>
          <w:lang w:val="en-US" w:eastAsia="pl-PL"/>
        </w:rPr>
      </w:pPr>
      <w:r w:rsidRPr="00B0314E">
        <w:rPr>
          <w:szCs w:val="19"/>
          <w:lang w:val="en-US" w:eastAsia="pl-PL"/>
        </w:rPr>
        <w:t xml:space="preserve">In </w:t>
      </w:r>
      <w:r w:rsidR="002263F7">
        <w:rPr>
          <w:szCs w:val="19"/>
          <w:lang w:val="en-US" w:eastAsia="pl-PL"/>
        </w:rPr>
        <w:t>January 2022</w:t>
      </w:r>
      <w:r w:rsidRPr="00B0314E">
        <w:rPr>
          <w:szCs w:val="19"/>
          <w:lang w:val="en-US" w:eastAsia="pl-PL"/>
        </w:rPr>
        <w:t xml:space="preserve"> compared with </w:t>
      </w:r>
      <w:r w:rsidR="00002CBF">
        <w:rPr>
          <w:szCs w:val="19"/>
          <w:lang w:val="en-US" w:eastAsia="pl-PL"/>
        </w:rPr>
        <w:t>Decem</w:t>
      </w:r>
      <w:r w:rsidRPr="00B0314E">
        <w:rPr>
          <w:szCs w:val="19"/>
          <w:lang w:val="en-US" w:eastAsia="pl-PL"/>
        </w:rPr>
        <w:t xml:space="preserve">ber </w:t>
      </w:r>
      <w:r>
        <w:rPr>
          <w:szCs w:val="19"/>
          <w:lang w:val="en-US" w:eastAsia="pl-PL"/>
        </w:rPr>
        <w:t>2021</w:t>
      </w:r>
      <w:r w:rsidRPr="00B0314E">
        <w:rPr>
          <w:szCs w:val="19"/>
          <w:lang w:val="en-US" w:eastAsia="pl-PL"/>
        </w:rPr>
        <w:t xml:space="preserve">, a </w:t>
      </w:r>
      <w:r w:rsidR="00002CBF">
        <w:rPr>
          <w:szCs w:val="19"/>
          <w:lang w:val="en-US" w:eastAsia="pl-PL"/>
        </w:rPr>
        <w:t>de</w:t>
      </w:r>
      <w:r w:rsidRPr="00B0314E">
        <w:rPr>
          <w:szCs w:val="19"/>
          <w:lang w:val="en-US" w:eastAsia="pl-PL"/>
        </w:rPr>
        <w:t>crease in retail sales value via Internet at</w:t>
      </w:r>
      <w:r>
        <w:rPr>
          <w:szCs w:val="19"/>
          <w:lang w:val="en-US" w:eastAsia="pl-PL"/>
        </w:rPr>
        <w:t> </w:t>
      </w:r>
      <w:r w:rsidRPr="00B0314E">
        <w:rPr>
          <w:szCs w:val="19"/>
          <w:lang w:val="en-US" w:eastAsia="pl-PL"/>
        </w:rPr>
        <w:t xml:space="preserve">current prices was recorded (by </w:t>
      </w:r>
      <w:r w:rsidR="00AB72CD">
        <w:rPr>
          <w:szCs w:val="19"/>
          <w:lang w:val="en-US" w:eastAsia="pl-PL"/>
        </w:rPr>
        <w:t>15</w:t>
      </w:r>
      <w:r>
        <w:rPr>
          <w:szCs w:val="19"/>
          <w:lang w:val="en-US" w:eastAsia="pl-PL"/>
        </w:rPr>
        <w:t>.</w:t>
      </w:r>
      <w:r w:rsidR="00AB72CD">
        <w:rPr>
          <w:szCs w:val="19"/>
          <w:lang w:val="en-US" w:eastAsia="pl-PL"/>
        </w:rPr>
        <w:t>5</w:t>
      </w:r>
      <w:r w:rsidRPr="00B0314E">
        <w:rPr>
          <w:szCs w:val="19"/>
          <w:lang w:val="en-US" w:eastAsia="pl-PL"/>
        </w:rPr>
        <w:t xml:space="preserve">%). The share of such sales </w:t>
      </w:r>
      <w:r w:rsidR="00D81C7F">
        <w:rPr>
          <w:szCs w:val="19"/>
          <w:lang w:val="en-US" w:eastAsia="pl-PL"/>
        </w:rPr>
        <w:t>in</w:t>
      </w:r>
      <w:r>
        <w:rPr>
          <w:szCs w:val="19"/>
          <w:lang w:val="en-US" w:eastAsia="pl-PL"/>
        </w:rPr>
        <w:t xml:space="preserve">creased from </w:t>
      </w:r>
      <w:r w:rsidR="00D81C7F">
        <w:rPr>
          <w:szCs w:val="19"/>
          <w:lang w:val="en-US" w:eastAsia="pl-PL"/>
        </w:rPr>
        <w:t>10</w:t>
      </w:r>
      <w:r w:rsidRPr="00B0314E">
        <w:rPr>
          <w:szCs w:val="19"/>
          <w:lang w:val="en-US" w:eastAsia="pl-PL"/>
        </w:rPr>
        <w:t>.</w:t>
      </w:r>
      <w:r w:rsidR="00D81C7F">
        <w:rPr>
          <w:szCs w:val="19"/>
          <w:lang w:val="en-US" w:eastAsia="pl-PL"/>
        </w:rPr>
        <w:t>2</w:t>
      </w:r>
      <w:r w:rsidRPr="00B0314E">
        <w:rPr>
          <w:szCs w:val="19"/>
          <w:lang w:val="en-US" w:eastAsia="pl-PL"/>
        </w:rPr>
        <w:t>% in</w:t>
      </w:r>
      <w:r>
        <w:rPr>
          <w:szCs w:val="19"/>
          <w:lang w:val="en-US" w:eastAsia="pl-PL"/>
        </w:rPr>
        <w:t> </w:t>
      </w:r>
      <w:r w:rsidR="00D81C7F">
        <w:rPr>
          <w:szCs w:val="19"/>
          <w:lang w:val="en-US" w:eastAsia="pl-PL"/>
        </w:rPr>
        <w:t>Dec</w:t>
      </w:r>
      <w:r>
        <w:rPr>
          <w:szCs w:val="19"/>
          <w:lang w:val="en-US" w:eastAsia="pl-PL"/>
        </w:rPr>
        <w:t>em</w:t>
      </w:r>
      <w:r w:rsidRPr="00B0314E">
        <w:rPr>
          <w:szCs w:val="19"/>
          <w:lang w:val="en-US" w:eastAsia="pl-PL"/>
        </w:rPr>
        <w:t>ber</w:t>
      </w:r>
      <w:r w:rsidR="00D81C7F">
        <w:rPr>
          <w:szCs w:val="19"/>
          <w:lang w:val="en-US" w:eastAsia="pl-PL"/>
        </w:rPr>
        <w:t xml:space="preserve"> 2021</w:t>
      </w:r>
      <w:r w:rsidRPr="00B0314E">
        <w:rPr>
          <w:szCs w:val="19"/>
          <w:lang w:val="en-US" w:eastAsia="pl-PL"/>
        </w:rPr>
        <w:t xml:space="preserve"> to 1</w:t>
      </w:r>
      <w:r w:rsidR="00D81C7F">
        <w:rPr>
          <w:szCs w:val="19"/>
          <w:lang w:val="en-US" w:eastAsia="pl-PL"/>
        </w:rPr>
        <w:t>1</w:t>
      </w:r>
      <w:r>
        <w:rPr>
          <w:szCs w:val="19"/>
          <w:lang w:val="en-US" w:eastAsia="pl-PL"/>
        </w:rPr>
        <w:t>.</w:t>
      </w:r>
      <w:r w:rsidR="00D81C7F">
        <w:rPr>
          <w:szCs w:val="19"/>
          <w:lang w:val="en-US" w:eastAsia="pl-PL"/>
        </w:rPr>
        <w:t>1</w:t>
      </w:r>
      <w:r w:rsidRPr="00B0314E">
        <w:rPr>
          <w:szCs w:val="19"/>
          <w:lang w:val="en-US" w:eastAsia="pl-PL"/>
        </w:rPr>
        <w:t xml:space="preserve">% in </w:t>
      </w:r>
      <w:r w:rsidR="00D81C7F">
        <w:rPr>
          <w:szCs w:val="19"/>
          <w:lang w:val="en-US" w:eastAsia="pl-PL"/>
        </w:rPr>
        <w:t>January</w:t>
      </w:r>
      <w:r w:rsidRPr="00B0314E">
        <w:rPr>
          <w:szCs w:val="19"/>
          <w:lang w:val="en-US" w:eastAsia="pl-PL"/>
        </w:rPr>
        <w:t xml:space="preserve"> </w:t>
      </w:r>
      <w:r w:rsidR="00CF6CE6">
        <w:rPr>
          <w:szCs w:val="19"/>
          <w:lang w:val="en-US" w:eastAsia="pl-PL"/>
        </w:rPr>
        <w:t>this</w:t>
      </w:r>
      <w:r w:rsidR="00D81C7F">
        <w:rPr>
          <w:szCs w:val="19"/>
          <w:lang w:val="en-US" w:eastAsia="pl-PL"/>
        </w:rPr>
        <w:t xml:space="preserve"> year</w:t>
      </w:r>
      <w:r w:rsidRPr="00B0314E">
        <w:rPr>
          <w:szCs w:val="19"/>
          <w:lang w:val="en-US" w:eastAsia="pl-PL"/>
        </w:rPr>
        <w:t xml:space="preserve">. </w:t>
      </w:r>
      <w:r w:rsidR="00D81C7F">
        <w:rPr>
          <w:szCs w:val="19"/>
          <w:lang w:val="en-US" w:eastAsia="pl-PL"/>
        </w:rPr>
        <w:t xml:space="preserve">Among the </w:t>
      </w:r>
      <w:r w:rsidR="00E1323E">
        <w:rPr>
          <w:szCs w:val="19"/>
          <w:lang w:val="en-US" w:eastAsia="pl-PL"/>
        </w:rPr>
        <w:t xml:space="preserve">presented </w:t>
      </w:r>
      <w:r w:rsidR="00D81C7F">
        <w:rPr>
          <w:szCs w:val="19"/>
          <w:lang w:val="en-US" w:eastAsia="pl-PL"/>
        </w:rPr>
        <w:t>groups with a significant share</w:t>
      </w:r>
      <w:r w:rsidRPr="00B0314E">
        <w:rPr>
          <w:szCs w:val="19"/>
          <w:lang w:val="en-US" w:eastAsia="pl-PL"/>
        </w:rPr>
        <w:t xml:space="preserve"> in sales </w:t>
      </w:r>
      <w:r w:rsidR="00D81C7F">
        <w:rPr>
          <w:szCs w:val="19"/>
          <w:lang w:val="en-US" w:eastAsia="pl-PL"/>
        </w:rPr>
        <w:t xml:space="preserve">an increase </w:t>
      </w:r>
      <w:r w:rsidRPr="00B0314E">
        <w:rPr>
          <w:szCs w:val="19"/>
          <w:lang w:val="en-US" w:eastAsia="pl-PL"/>
        </w:rPr>
        <w:t>was reported by enterprises classified into the groups: “</w:t>
      </w:r>
      <w:r w:rsidRPr="00B0314E">
        <w:rPr>
          <w:rFonts w:cs="Arial"/>
          <w:szCs w:val="19"/>
          <w:lang w:val="en-US"/>
        </w:rPr>
        <w:t>textiles, clothing, footwear</w:t>
      </w:r>
      <w:r w:rsidRPr="00B0314E">
        <w:rPr>
          <w:szCs w:val="19"/>
          <w:lang w:val="en-US" w:eastAsia="pl-PL"/>
        </w:rPr>
        <w:t xml:space="preserve">” (from </w:t>
      </w:r>
      <w:r>
        <w:rPr>
          <w:szCs w:val="19"/>
          <w:lang w:val="en-US" w:eastAsia="pl-PL"/>
        </w:rPr>
        <w:t>2</w:t>
      </w:r>
      <w:r w:rsidR="00D81C7F">
        <w:rPr>
          <w:szCs w:val="19"/>
          <w:lang w:val="en-US" w:eastAsia="pl-PL"/>
        </w:rPr>
        <w:t>4</w:t>
      </w:r>
      <w:r>
        <w:rPr>
          <w:szCs w:val="19"/>
          <w:lang w:val="en-US" w:eastAsia="pl-PL"/>
        </w:rPr>
        <w:t>.</w:t>
      </w:r>
      <w:r w:rsidR="00D81C7F">
        <w:rPr>
          <w:szCs w:val="19"/>
          <w:lang w:val="en-US" w:eastAsia="pl-PL"/>
        </w:rPr>
        <w:t>0</w:t>
      </w:r>
      <w:r w:rsidRPr="00B0314E">
        <w:rPr>
          <w:szCs w:val="19"/>
          <w:lang w:val="en-US" w:eastAsia="pl-PL"/>
        </w:rPr>
        <w:t>% a</w:t>
      </w:r>
      <w:r>
        <w:rPr>
          <w:szCs w:val="19"/>
          <w:lang w:val="en-US" w:eastAsia="pl-PL"/>
        </w:rPr>
        <w:t> </w:t>
      </w:r>
      <w:r w:rsidRPr="00B0314E">
        <w:rPr>
          <w:szCs w:val="19"/>
          <w:lang w:val="en-US" w:eastAsia="pl-PL"/>
        </w:rPr>
        <w:t xml:space="preserve">month ago to </w:t>
      </w:r>
      <w:r>
        <w:rPr>
          <w:szCs w:val="19"/>
          <w:lang w:val="en-US" w:eastAsia="pl-PL"/>
        </w:rPr>
        <w:t>2</w:t>
      </w:r>
      <w:r w:rsidR="00D81C7F">
        <w:rPr>
          <w:szCs w:val="19"/>
          <w:lang w:val="en-US" w:eastAsia="pl-PL"/>
        </w:rPr>
        <w:t>8</w:t>
      </w:r>
      <w:r>
        <w:rPr>
          <w:szCs w:val="19"/>
          <w:lang w:val="en-US" w:eastAsia="pl-PL"/>
        </w:rPr>
        <w:t>.</w:t>
      </w:r>
      <w:r w:rsidR="00D81C7F">
        <w:rPr>
          <w:szCs w:val="19"/>
          <w:lang w:val="en-US" w:eastAsia="pl-PL"/>
        </w:rPr>
        <w:t>8</w:t>
      </w:r>
      <w:r w:rsidRPr="00B0314E">
        <w:rPr>
          <w:szCs w:val="19"/>
          <w:lang w:val="en-US" w:eastAsia="pl-PL"/>
        </w:rPr>
        <w:t xml:space="preserve">%), “newspapers, books, other sale in specialized stores” (from </w:t>
      </w:r>
      <w:r>
        <w:rPr>
          <w:szCs w:val="19"/>
          <w:lang w:val="en-US" w:eastAsia="pl-PL"/>
        </w:rPr>
        <w:t>2</w:t>
      </w:r>
      <w:r w:rsidR="00D81C7F">
        <w:rPr>
          <w:szCs w:val="19"/>
          <w:lang w:val="en-US" w:eastAsia="pl-PL"/>
        </w:rPr>
        <w:t>3</w:t>
      </w:r>
      <w:r w:rsidRPr="00B0314E">
        <w:rPr>
          <w:szCs w:val="19"/>
          <w:lang w:val="en-US" w:eastAsia="pl-PL"/>
        </w:rPr>
        <w:t>.</w:t>
      </w:r>
      <w:r w:rsidR="00D81C7F">
        <w:rPr>
          <w:szCs w:val="19"/>
          <w:lang w:val="en-US" w:eastAsia="pl-PL"/>
        </w:rPr>
        <w:t>2</w:t>
      </w:r>
      <w:r w:rsidRPr="00B0314E">
        <w:rPr>
          <w:szCs w:val="19"/>
          <w:lang w:val="en-US" w:eastAsia="pl-PL"/>
        </w:rPr>
        <w:t>% to</w:t>
      </w:r>
      <w:r>
        <w:rPr>
          <w:szCs w:val="19"/>
          <w:lang w:val="en-US" w:eastAsia="pl-PL"/>
        </w:rPr>
        <w:t> 2</w:t>
      </w:r>
      <w:r w:rsidR="00D81C7F">
        <w:rPr>
          <w:szCs w:val="19"/>
          <w:lang w:val="en-US" w:eastAsia="pl-PL"/>
        </w:rPr>
        <w:t>5</w:t>
      </w:r>
      <w:r w:rsidRPr="00B0314E">
        <w:rPr>
          <w:szCs w:val="19"/>
          <w:lang w:val="en-US" w:eastAsia="pl-PL"/>
        </w:rPr>
        <w:t>.</w:t>
      </w:r>
      <w:r w:rsidR="00D81C7F">
        <w:rPr>
          <w:szCs w:val="19"/>
          <w:lang w:val="en-US" w:eastAsia="pl-PL"/>
        </w:rPr>
        <w:t>1</w:t>
      </w:r>
      <w:r w:rsidRPr="00B0314E">
        <w:rPr>
          <w:szCs w:val="19"/>
          <w:lang w:val="en-US" w:eastAsia="pl-PL"/>
        </w:rPr>
        <w:t>% respectively) and “furniture, radio, TV a</w:t>
      </w:r>
      <w:r>
        <w:rPr>
          <w:szCs w:val="19"/>
          <w:lang w:val="en-US" w:eastAsia="pl-PL"/>
        </w:rPr>
        <w:t xml:space="preserve">nd household appliances” from </w:t>
      </w:r>
      <w:r w:rsidR="00D81C7F">
        <w:rPr>
          <w:szCs w:val="19"/>
          <w:lang w:val="en-US" w:eastAsia="pl-PL"/>
        </w:rPr>
        <w:t>17</w:t>
      </w:r>
      <w:r>
        <w:rPr>
          <w:szCs w:val="19"/>
          <w:lang w:val="en-US" w:eastAsia="pl-PL"/>
        </w:rPr>
        <w:t>.</w:t>
      </w:r>
      <w:r w:rsidR="00D81C7F">
        <w:rPr>
          <w:szCs w:val="19"/>
          <w:lang w:val="en-US" w:eastAsia="pl-PL"/>
        </w:rPr>
        <w:t>5</w:t>
      </w:r>
      <w:r w:rsidRPr="00B0314E">
        <w:rPr>
          <w:szCs w:val="19"/>
          <w:lang w:val="en-US" w:eastAsia="pl-PL"/>
        </w:rPr>
        <w:t xml:space="preserve">% to </w:t>
      </w:r>
      <w:r w:rsidR="00D81C7F">
        <w:rPr>
          <w:szCs w:val="19"/>
          <w:lang w:val="en-US" w:eastAsia="pl-PL"/>
        </w:rPr>
        <w:t>20</w:t>
      </w:r>
      <w:r>
        <w:rPr>
          <w:szCs w:val="19"/>
          <w:lang w:val="en-US" w:eastAsia="pl-PL"/>
        </w:rPr>
        <w:t>.5</w:t>
      </w:r>
      <w:r w:rsidRPr="00B0314E">
        <w:rPr>
          <w:szCs w:val="19"/>
          <w:lang w:val="en-US" w:eastAsia="pl-PL"/>
        </w:rPr>
        <w:t>%).</w:t>
      </w:r>
    </w:p>
    <w:p w14:paraId="0A884063" w14:textId="5314E7C5" w:rsidR="00245566" w:rsidRPr="002C7C66" w:rsidRDefault="00633E04" w:rsidP="00D15296">
      <w:pPr>
        <w:pStyle w:val="tytuwykresu"/>
        <w:rPr>
          <w:szCs w:val="18"/>
          <w:lang w:val="en-US" w:eastAsia="pl-PL"/>
        </w:rPr>
      </w:pPr>
      <w:r w:rsidRPr="002C7C66">
        <w:rPr>
          <w:noProof/>
          <w:color w:val="AAA9A9"/>
          <w:szCs w:val="18"/>
          <w:lang w:eastAsia="pl-PL"/>
        </w:rPr>
        <w:drawing>
          <wp:anchor distT="0" distB="0" distL="114300" distR="114300" simplePos="0" relativeHeight="251761664" behindDoc="0" locked="0" layoutInCell="1" allowOverlap="1" wp14:anchorId="7C388B15" wp14:editId="460455D2">
            <wp:simplePos x="0" y="0"/>
            <wp:positionH relativeFrom="margin">
              <wp:align>right</wp:align>
            </wp:positionH>
            <wp:positionV relativeFrom="margin">
              <wp:posOffset>5050155</wp:posOffset>
            </wp:positionV>
            <wp:extent cx="5118735" cy="2717165"/>
            <wp:effectExtent l="0" t="0" r="5715" b="6985"/>
            <wp:wrapSquare wrapText="bothSides"/>
            <wp:docPr id="16" name="Wykres 16" descr="Chart 1. Retail sales of goods (constant prices) - corresponding period of previous year=100&#10;Indices in particular months in the years: 2019, 2020, 2021,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245566" w:rsidRPr="002C7C66">
        <w:rPr>
          <w:szCs w:val="18"/>
          <w:lang w:val="en-US"/>
        </w:rPr>
        <w:t>Chart 1.</w:t>
      </w:r>
      <w:r w:rsidR="00245566" w:rsidRPr="002C7C66">
        <w:rPr>
          <w:szCs w:val="18"/>
          <w:shd w:val="clear" w:color="auto" w:fill="FFFFFF"/>
          <w:lang w:val="en-US"/>
        </w:rPr>
        <w:t xml:space="preserve"> Retail sales of goods (constant prices) – corresponding period of previous year=100</w:t>
      </w:r>
    </w:p>
    <w:p w14:paraId="26FAF713" w14:textId="32BDB372" w:rsidR="003A57EB" w:rsidRPr="00633E04" w:rsidRDefault="00E95B8E" w:rsidP="003A57EB">
      <w:pPr>
        <w:pStyle w:val="Nagwek1"/>
        <w:rPr>
          <w:rFonts w:ascii="Fira Sans" w:hAnsi="Fira Sans" w:cs="Arial"/>
          <w:b/>
          <w:color w:val="auto"/>
          <w:szCs w:val="19"/>
          <w:lang w:val="en-US"/>
        </w:rPr>
      </w:pPr>
      <w:r w:rsidRPr="00633E04">
        <w:rPr>
          <w:color w:val="auto"/>
          <w:lang w:val="en-GB"/>
        </w:rPr>
        <w:lastRenderedPageBreak/>
        <w:t>Tabl</w:t>
      </w:r>
      <w:r w:rsidR="00850B7B" w:rsidRPr="00633E04">
        <w:rPr>
          <w:color w:val="auto"/>
          <w:lang w:val="en-GB"/>
        </w:rPr>
        <w:t>e</w:t>
      </w:r>
      <w:r w:rsidRPr="00633E04">
        <w:rPr>
          <w:color w:val="auto"/>
          <w:lang w:val="en-GB"/>
        </w:rPr>
        <w:t xml:space="preserve"> </w:t>
      </w:r>
      <w:r w:rsidR="00D972F6" w:rsidRPr="00633E04">
        <w:rPr>
          <w:color w:val="auto"/>
          <w:lang w:val="en-GB"/>
        </w:rPr>
        <w:t>1</w:t>
      </w:r>
      <w:r w:rsidRPr="00633E04">
        <w:rPr>
          <w:color w:val="auto"/>
          <w:szCs w:val="19"/>
          <w:lang w:val="en-GB"/>
        </w:rPr>
        <w:t>.</w:t>
      </w:r>
      <w:r w:rsidR="00D972F6" w:rsidRPr="00633E04">
        <w:rPr>
          <w:color w:val="auto"/>
          <w:szCs w:val="19"/>
          <w:lang w:val="en-GB"/>
        </w:rPr>
        <w:t xml:space="preserve"> </w:t>
      </w:r>
      <w:r w:rsidR="003A57EB" w:rsidRPr="00633E04">
        <w:rPr>
          <w:rFonts w:ascii="Fira Sans" w:hAnsi="Fira Sans" w:cs="Arial"/>
          <w:b/>
          <w:color w:val="auto"/>
          <w:szCs w:val="19"/>
          <w:lang w:val="en-US"/>
        </w:rPr>
        <w:t xml:space="preserve">Index numbers of retail sales </w:t>
      </w:r>
    </w:p>
    <w:tbl>
      <w:tblPr>
        <w:tblW w:w="8051"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w:tblDescription w:val="Index numbers of retail sales"/>
      </w:tblPr>
      <w:tblGrid>
        <w:gridCol w:w="3403"/>
        <w:gridCol w:w="1162"/>
        <w:gridCol w:w="1162"/>
        <w:gridCol w:w="1162"/>
        <w:gridCol w:w="1162"/>
      </w:tblGrid>
      <w:tr w:rsidR="003A57EB" w:rsidRPr="00382DAE" w14:paraId="40549CE1" w14:textId="77777777" w:rsidTr="008316BD">
        <w:trPr>
          <w:trHeight w:val="340"/>
        </w:trPr>
        <w:tc>
          <w:tcPr>
            <w:tcW w:w="3403" w:type="dxa"/>
            <w:vMerge w:val="restart"/>
            <w:tcBorders>
              <w:top w:val="nil"/>
            </w:tcBorders>
            <w:shd w:val="clear" w:color="auto" w:fill="auto"/>
            <w:vAlign w:val="center"/>
            <w:hideMark/>
          </w:tcPr>
          <w:p w14:paraId="6DACC3D4" w14:textId="2CDC8AB1" w:rsidR="003A57EB" w:rsidRPr="00E900DB" w:rsidRDefault="003A57EB" w:rsidP="00E60B11">
            <w:pPr>
              <w:spacing w:before="240" w:line="240" w:lineRule="atLeast"/>
              <w:jc w:val="center"/>
              <w:rPr>
                <w:rFonts w:cs="Arial"/>
                <w:color w:val="000000"/>
                <w:szCs w:val="19"/>
                <w:lang w:val="en-GB"/>
              </w:rPr>
            </w:pPr>
            <w:r w:rsidRPr="00E900DB">
              <w:rPr>
                <w:rFonts w:cs="Arial"/>
                <w:color w:val="000000"/>
                <w:szCs w:val="19"/>
                <w:lang w:val="en-GB"/>
              </w:rPr>
              <w:t>S</w:t>
            </w:r>
            <w:r w:rsidR="00633E04">
              <w:rPr>
                <w:rFonts w:cs="Arial"/>
                <w:color w:val="000000"/>
                <w:szCs w:val="19"/>
                <w:lang w:val="en-GB"/>
              </w:rPr>
              <w:t>pecification</w:t>
            </w:r>
          </w:p>
        </w:tc>
        <w:tc>
          <w:tcPr>
            <w:tcW w:w="2324" w:type="dxa"/>
            <w:gridSpan w:val="2"/>
            <w:tcBorders>
              <w:top w:val="nil"/>
            </w:tcBorders>
            <w:shd w:val="clear" w:color="auto" w:fill="auto"/>
            <w:vAlign w:val="center"/>
            <w:hideMark/>
          </w:tcPr>
          <w:p w14:paraId="17E19AA6" w14:textId="77777777" w:rsidR="003A57EB" w:rsidRPr="00E900DB" w:rsidRDefault="003A57EB" w:rsidP="00E60B11">
            <w:pPr>
              <w:spacing w:after="0" w:line="240" w:lineRule="atLeast"/>
              <w:jc w:val="center"/>
              <w:rPr>
                <w:rFonts w:cs="Arial"/>
                <w:b/>
                <w:color w:val="000000"/>
                <w:szCs w:val="19"/>
              </w:rPr>
            </w:pPr>
            <w:r w:rsidRPr="00E900DB">
              <w:rPr>
                <w:rFonts w:cs="Arial"/>
                <w:color w:val="000000"/>
                <w:szCs w:val="19"/>
                <w:lang w:val="en-GB"/>
              </w:rPr>
              <w:t>Constant prices</w:t>
            </w:r>
          </w:p>
        </w:tc>
        <w:tc>
          <w:tcPr>
            <w:tcW w:w="2324" w:type="dxa"/>
            <w:gridSpan w:val="2"/>
            <w:tcBorders>
              <w:top w:val="nil"/>
            </w:tcBorders>
            <w:shd w:val="clear" w:color="auto" w:fill="auto"/>
            <w:vAlign w:val="center"/>
          </w:tcPr>
          <w:p w14:paraId="44F684E2" w14:textId="77777777" w:rsidR="003A57EB" w:rsidRPr="00E900DB" w:rsidRDefault="003A57EB" w:rsidP="00E60B11">
            <w:pPr>
              <w:spacing w:after="0" w:line="240" w:lineRule="atLeast"/>
              <w:jc w:val="center"/>
              <w:rPr>
                <w:rFonts w:cs="Arial"/>
                <w:b/>
                <w:color w:val="000000"/>
                <w:szCs w:val="19"/>
              </w:rPr>
            </w:pPr>
            <w:r w:rsidRPr="00E900DB">
              <w:rPr>
                <w:rFonts w:cs="Arial"/>
                <w:color w:val="000000"/>
                <w:szCs w:val="19"/>
                <w:lang w:val="en-GB"/>
              </w:rPr>
              <w:t>Current prices</w:t>
            </w:r>
          </w:p>
        </w:tc>
      </w:tr>
      <w:tr w:rsidR="003A57EB" w:rsidRPr="00382DAE" w14:paraId="10F98C49" w14:textId="77777777" w:rsidTr="008316BD">
        <w:trPr>
          <w:trHeight w:val="340"/>
        </w:trPr>
        <w:tc>
          <w:tcPr>
            <w:tcW w:w="3403" w:type="dxa"/>
            <w:vMerge/>
            <w:shd w:val="clear" w:color="auto" w:fill="auto"/>
            <w:vAlign w:val="center"/>
          </w:tcPr>
          <w:p w14:paraId="09134839" w14:textId="77777777" w:rsidR="003A57EB" w:rsidRPr="00760B21" w:rsidRDefault="003A57EB" w:rsidP="00E60B11">
            <w:pPr>
              <w:spacing w:before="240" w:line="240" w:lineRule="atLeast"/>
              <w:jc w:val="center"/>
              <w:rPr>
                <w:rFonts w:cs="Arial"/>
                <w:color w:val="000000"/>
                <w:sz w:val="16"/>
                <w:szCs w:val="16"/>
              </w:rPr>
            </w:pPr>
          </w:p>
        </w:tc>
        <w:tc>
          <w:tcPr>
            <w:tcW w:w="2324" w:type="dxa"/>
            <w:gridSpan w:val="2"/>
            <w:tcBorders>
              <w:top w:val="nil"/>
            </w:tcBorders>
            <w:shd w:val="clear" w:color="auto" w:fill="auto"/>
            <w:vAlign w:val="center"/>
          </w:tcPr>
          <w:p w14:paraId="43C65613" w14:textId="4945BEF1" w:rsidR="003A57EB" w:rsidRPr="00E900DB" w:rsidRDefault="000046A8" w:rsidP="00E60B11">
            <w:pPr>
              <w:spacing w:after="0" w:line="240" w:lineRule="atLeast"/>
              <w:jc w:val="center"/>
              <w:rPr>
                <w:rFonts w:cs="Arial"/>
                <w:color w:val="000000"/>
                <w:szCs w:val="19"/>
              </w:rPr>
            </w:pPr>
            <w:r>
              <w:rPr>
                <w:rFonts w:cs="Arial"/>
                <w:color w:val="000000"/>
                <w:szCs w:val="19"/>
              </w:rPr>
              <w:t>01</w:t>
            </w:r>
            <w:r w:rsidR="003A57EB" w:rsidRPr="00E900DB">
              <w:rPr>
                <w:rFonts w:cs="Arial"/>
                <w:color w:val="000000"/>
                <w:szCs w:val="19"/>
              </w:rPr>
              <w:t xml:space="preserve"> 202</w:t>
            </w:r>
            <w:r w:rsidR="00802AB9" w:rsidRPr="00E900DB">
              <w:rPr>
                <w:rFonts w:cs="Arial"/>
                <w:color w:val="000000"/>
                <w:szCs w:val="19"/>
              </w:rPr>
              <w:t>2</w:t>
            </w:r>
          </w:p>
        </w:tc>
        <w:tc>
          <w:tcPr>
            <w:tcW w:w="2324" w:type="dxa"/>
            <w:gridSpan w:val="2"/>
            <w:tcBorders>
              <w:top w:val="nil"/>
            </w:tcBorders>
            <w:shd w:val="clear" w:color="auto" w:fill="auto"/>
            <w:vAlign w:val="center"/>
          </w:tcPr>
          <w:p w14:paraId="2AE0E68D" w14:textId="0AEF716A" w:rsidR="003A57EB" w:rsidRPr="00E900DB" w:rsidRDefault="000046A8" w:rsidP="00E60B11">
            <w:pPr>
              <w:spacing w:after="0" w:line="240" w:lineRule="atLeast"/>
              <w:jc w:val="center"/>
              <w:rPr>
                <w:rFonts w:cs="Arial"/>
                <w:color w:val="000000"/>
                <w:szCs w:val="19"/>
              </w:rPr>
            </w:pPr>
            <w:r>
              <w:rPr>
                <w:rFonts w:cs="Arial"/>
                <w:color w:val="000000"/>
                <w:szCs w:val="19"/>
              </w:rPr>
              <w:t xml:space="preserve">01 </w:t>
            </w:r>
            <w:r w:rsidR="003A57EB" w:rsidRPr="00E900DB">
              <w:rPr>
                <w:rFonts w:cs="Arial"/>
                <w:color w:val="000000"/>
                <w:szCs w:val="19"/>
              </w:rPr>
              <w:t>202</w:t>
            </w:r>
            <w:r w:rsidR="00802AB9" w:rsidRPr="00E900DB">
              <w:rPr>
                <w:rFonts w:cs="Arial"/>
                <w:color w:val="000000"/>
                <w:szCs w:val="19"/>
              </w:rPr>
              <w:t>2</w:t>
            </w:r>
          </w:p>
        </w:tc>
      </w:tr>
      <w:tr w:rsidR="003A57EB" w:rsidRPr="00382DAE" w14:paraId="23A11B58" w14:textId="77777777" w:rsidTr="008316BD">
        <w:trPr>
          <w:trHeight w:val="340"/>
        </w:trPr>
        <w:tc>
          <w:tcPr>
            <w:tcW w:w="3403" w:type="dxa"/>
            <w:vMerge/>
            <w:tcBorders>
              <w:bottom w:val="single" w:sz="12" w:space="0" w:color="001D77"/>
            </w:tcBorders>
            <w:vAlign w:val="center"/>
            <w:hideMark/>
          </w:tcPr>
          <w:p w14:paraId="508796EC" w14:textId="77777777" w:rsidR="003A57EB" w:rsidRPr="00760B21" w:rsidRDefault="003A57EB" w:rsidP="00E60B11">
            <w:pPr>
              <w:spacing w:line="240" w:lineRule="atLeast"/>
              <w:rPr>
                <w:rFonts w:cs="Arial"/>
                <w:color w:val="000000"/>
                <w:sz w:val="16"/>
                <w:szCs w:val="16"/>
              </w:rPr>
            </w:pPr>
          </w:p>
        </w:tc>
        <w:tc>
          <w:tcPr>
            <w:tcW w:w="1162" w:type="dxa"/>
            <w:tcBorders>
              <w:top w:val="single" w:sz="4" w:space="0" w:color="001D77"/>
              <w:bottom w:val="single" w:sz="12" w:space="0" w:color="001D77"/>
            </w:tcBorders>
            <w:shd w:val="clear" w:color="auto" w:fill="auto"/>
            <w:vAlign w:val="center"/>
            <w:hideMark/>
          </w:tcPr>
          <w:p w14:paraId="7CB5C3BB" w14:textId="38C7947D" w:rsidR="003A57EB" w:rsidRPr="00E900DB" w:rsidRDefault="000046A8" w:rsidP="00E900DB">
            <w:pPr>
              <w:spacing w:after="0" w:line="240" w:lineRule="atLeast"/>
              <w:jc w:val="center"/>
              <w:rPr>
                <w:rFonts w:cs="Arial"/>
                <w:color w:val="000000"/>
                <w:szCs w:val="19"/>
              </w:rPr>
            </w:pPr>
            <w:r>
              <w:rPr>
                <w:rFonts w:cs="Arial"/>
                <w:color w:val="000000"/>
                <w:szCs w:val="19"/>
              </w:rPr>
              <w:t xml:space="preserve">12 </w:t>
            </w:r>
            <w:r w:rsidR="003A57EB" w:rsidRPr="00E900DB">
              <w:rPr>
                <w:rFonts w:cs="Arial"/>
                <w:color w:val="000000"/>
                <w:szCs w:val="19"/>
              </w:rPr>
              <w:t>202</w:t>
            </w:r>
            <w:r w:rsidR="00015E7B" w:rsidRPr="00E900DB">
              <w:rPr>
                <w:rFonts w:cs="Arial"/>
                <w:color w:val="000000"/>
                <w:szCs w:val="19"/>
              </w:rPr>
              <w:t>1</w:t>
            </w:r>
            <w:r w:rsidR="003A57EB" w:rsidRPr="00E900DB">
              <w:rPr>
                <w:rFonts w:cs="Arial"/>
                <w:color w:val="000000"/>
                <w:szCs w:val="19"/>
              </w:rPr>
              <w:t>=100</w:t>
            </w:r>
          </w:p>
        </w:tc>
        <w:tc>
          <w:tcPr>
            <w:tcW w:w="1162" w:type="dxa"/>
            <w:tcBorders>
              <w:top w:val="single" w:sz="4" w:space="0" w:color="001D77"/>
              <w:bottom w:val="single" w:sz="12" w:space="0" w:color="001D77"/>
            </w:tcBorders>
            <w:shd w:val="clear" w:color="auto" w:fill="auto"/>
            <w:vAlign w:val="center"/>
          </w:tcPr>
          <w:p w14:paraId="6422E1A1" w14:textId="174800BF" w:rsidR="003A57EB" w:rsidRPr="00E900DB" w:rsidRDefault="000046A8" w:rsidP="00E900DB">
            <w:pPr>
              <w:spacing w:after="0" w:line="240" w:lineRule="atLeast"/>
              <w:jc w:val="center"/>
              <w:rPr>
                <w:rFonts w:cs="Arial"/>
                <w:color w:val="000000"/>
                <w:szCs w:val="19"/>
              </w:rPr>
            </w:pPr>
            <w:r>
              <w:rPr>
                <w:rFonts w:cs="Arial"/>
                <w:color w:val="000000"/>
                <w:szCs w:val="19"/>
              </w:rPr>
              <w:t>01</w:t>
            </w:r>
            <w:r w:rsidR="003A57EB" w:rsidRPr="00E900DB">
              <w:rPr>
                <w:rFonts w:cs="Arial"/>
                <w:color w:val="000000"/>
                <w:szCs w:val="19"/>
              </w:rPr>
              <w:t xml:space="preserve"> 202</w:t>
            </w:r>
            <w:r w:rsidR="00015E7B" w:rsidRPr="00E900DB">
              <w:rPr>
                <w:rFonts w:cs="Arial"/>
                <w:color w:val="000000"/>
                <w:szCs w:val="19"/>
              </w:rPr>
              <w:t>1</w:t>
            </w:r>
            <w:r w:rsidR="003A57EB" w:rsidRPr="00E900DB">
              <w:rPr>
                <w:rFonts w:cs="Arial"/>
                <w:color w:val="000000"/>
                <w:szCs w:val="19"/>
              </w:rPr>
              <w:t>=100</w:t>
            </w:r>
          </w:p>
        </w:tc>
        <w:tc>
          <w:tcPr>
            <w:tcW w:w="1162" w:type="dxa"/>
            <w:tcBorders>
              <w:top w:val="single" w:sz="4" w:space="0" w:color="001D77"/>
              <w:bottom w:val="single" w:sz="12" w:space="0" w:color="001D77"/>
            </w:tcBorders>
            <w:shd w:val="clear" w:color="auto" w:fill="auto"/>
            <w:vAlign w:val="center"/>
          </w:tcPr>
          <w:p w14:paraId="2936D1B4" w14:textId="3371F839" w:rsidR="003A57EB" w:rsidRPr="00E900DB" w:rsidRDefault="000046A8" w:rsidP="00E900DB">
            <w:pPr>
              <w:spacing w:after="0" w:line="240" w:lineRule="atLeast"/>
              <w:jc w:val="center"/>
              <w:rPr>
                <w:rFonts w:cs="Arial"/>
                <w:color w:val="000000"/>
                <w:szCs w:val="19"/>
              </w:rPr>
            </w:pPr>
            <w:r>
              <w:rPr>
                <w:rFonts w:cs="Arial"/>
                <w:color w:val="000000"/>
                <w:szCs w:val="19"/>
              </w:rPr>
              <w:t xml:space="preserve">12 </w:t>
            </w:r>
            <w:r w:rsidR="003A57EB" w:rsidRPr="00E900DB">
              <w:rPr>
                <w:rFonts w:cs="Arial"/>
                <w:color w:val="000000"/>
                <w:szCs w:val="19"/>
              </w:rPr>
              <w:t>202</w:t>
            </w:r>
            <w:r w:rsidR="00015E7B" w:rsidRPr="00E900DB">
              <w:rPr>
                <w:rFonts w:cs="Arial"/>
                <w:color w:val="000000"/>
                <w:szCs w:val="19"/>
              </w:rPr>
              <w:t>1</w:t>
            </w:r>
            <w:r w:rsidR="003A57EB" w:rsidRPr="00E900DB">
              <w:rPr>
                <w:rFonts w:cs="Arial"/>
                <w:color w:val="000000"/>
                <w:szCs w:val="19"/>
              </w:rPr>
              <w:t>=100</w:t>
            </w:r>
          </w:p>
        </w:tc>
        <w:tc>
          <w:tcPr>
            <w:tcW w:w="1162" w:type="dxa"/>
            <w:tcBorders>
              <w:top w:val="single" w:sz="4" w:space="0" w:color="001D77"/>
              <w:bottom w:val="single" w:sz="12" w:space="0" w:color="001D77"/>
            </w:tcBorders>
            <w:shd w:val="clear" w:color="auto" w:fill="auto"/>
            <w:vAlign w:val="center"/>
          </w:tcPr>
          <w:p w14:paraId="3717B5AA" w14:textId="12D340D2" w:rsidR="003A57EB" w:rsidRPr="00E900DB" w:rsidRDefault="000046A8" w:rsidP="00E900DB">
            <w:pPr>
              <w:spacing w:after="0" w:line="240" w:lineRule="atLeast"/>
              <w:jc w:val="center"/>
              <w:rPr>
                <w:rFonts w:cs="Arial"/>
                <w:color w:val="000000"/>
                <w:szCs w:val="19"/>
              </w:rPr>
            </w:pPr>
            <w:r>
              <w:rPr>
                <w:rFonts w:cs="Arial"/>
                <w:color w:val="000000"/>
                <w:szCs w:val="19"/>
              </w:rPr>
              <w:t>01</w:t>
            </w:r>
            <w:r w:rsidR="003A57EB" w:rsidRPr="00E900DB">
              <w:rPr>
                <w:rFonts w:cs="Arial"/>
                <w:color w:val="000000"/>
                <w:szCs w:val="19"/>
              </w:rPr>
              <w:t xml:space="preserve"> 202</w:t>
            </w:r>
            <w:r w:rsidR="00015E7B" w:rsidRPr="00E900DB">
              <w:rPr>
                <w:rFonts w:cs="Arial"/>
                <w:color w:val="000000"/>
                <w:szCs w:val="19"/>
              </w:rPr>
              <w:t>1</w:t>
            </w:r>
            <w:r w:rsidR="003A57EB" w:rsidRPr="00E900DB">
              <w:rPr>
                <w:rFonts w:cs="Arial"/>
                <w:color w:val="000000"/>
                <w:szCs w:val="19"/>
              </w:rPr>
              <w:t>=100</w:t>
            </w:r>
          </w:p>
        </w:tc>
      </w:tr>
      <w:tr w:rsidR="00BC0D70" w:rsidRPr="00382DAE" w14:paraId="6F5F394A" w14:textId="77777777" w:rsidTr="008316BD">
        <w:trPr>
          <w:trHeight w:val="369"/>
        </w:trPr>
        <w:tc>
          <w:tcPr>
            <w:tcW w:w="3403" w:type="dxa"/>
            <w:tcBorders>
              <w:top w:val="single" w:sz="12" w:space="0" w:color="001D77"/>
            </w:tcBorders>
            <w:shd w:val="clear" w:color="auto" w:fill="auto"/>
            <w:vAlign w:val="center"/>
            <w:hideMark/>
          </w:tcPr>
          <w:p w14:paraId="76A2B79D" w14:textId="77777777" w:rsidR="00BC0D70" w:rsidRPr="00E900DB" w:rsidRDefault="00BC0D70" w:rsidP="00BC0D70">
            <w:pPr>
              <w:spacing w:before="0" w:after="0" w:line="240" w:lineRule="atLeast"/>
              <w:rPr>
                <w:rFonts w:cs="Arial"/>
                <w:b/>
                <w:bCs/>
                <w:color w:val="000000"/>
                <w:szCs w:val="19"/>
              </w:rPr>
            </w:pPr>
            <w:r w:rsidRPr="00E900DB">
              <w:rPr>
                <w:rFonts w:cs="Arial"/>
                <w:b/>
                <w:bCs/>
                <w:color w:val="000000"/>
                <w:szCs w:val="19"/>
              </w:rPr>
              <w:t>TOTAL</w:t>
            </w:r>
          </w:p>
        </w:tc>
        <w:tc>
          <w:tcPr>
            <w:tcW w:w="1162" w:type="dxa"/>
            <w:tcBorders>
              <w:top w:val="single" w:sz="12" w:space="0" w:color="001D77"/>
            </w:tcBorders>
            <w:shd w:val="clear" w:color="auto" w:fill="auto"/>
            <w:vAlign w:val="center"/>
          </w:tcPr>
          <w:p w14:paraId="5B6AE829" w14:textId="03D7814A" w:rsidR="00BC0D70" w:rsidRPr="00374327" w:rsidRDefault="00BC0D70" w:rsidP="00BC0D70">
            <w:pPr>
              <w:spacing w:before="60" w:after="0"/>
              <w:jc w:val="right"/>
              <w:rPr>
                <w:rFonts w:cs="Arial"/>
                <w:b/>
                <w:bCs/>
                <w:color w:val="000000"/>
                <w:sz w:val="16"/>
                <w:szCs w:val="16"/>
              </w:rPr>
            </w:pPr>
            <w:r w:rsidRPr="00522630">
              <w:rPr>
                <w:rFonts w:cs="Arial"/>
                <w:b/>
                <w:bCs/>
                <w:color w:val="000000"/>
                <w:szCs w:val="19"/>
              </w:rPr>
              <w:t>77</w:t>
            </w:r>
            <w:r w:rsidR="00D1176D">
              <w:rPr>
                <w:rFonts w:cs="Arial"/>
                <w:b/>
                <w:bCs/>
                <w:color w:val="000000"/>
                <w:szCs w:val="19"/>
              </w:rPr>
              <w:t>.</w:t>
            </w:r>
            <w:r w:rsidRPr="00522630">
              <w:rPr>
                <w:rFonts w:cs="Arial"/>
                <w:b/>
                <w:bCs/>
                <w:color w:val="000000"/>
                <w:szCs w:val="19"/>
              </w:rPr>
              <w:t>2</w:t>
            </w:r>
          </w:p>
        </w:tc>
        <w:tc>
          <w:tcPr>
            <w:tcW w:w="1162" w:type="dxa"/>
            <w:tcBorders>
              <w:top w:val="single" w:sz="12" w:space="0" w:color="001D77"/>
            </w:tcBorders>
            <w:shd w:val="clear" w:color="auto" w:fill="auto"/>
            <w:vAlign w:val="center"/>
          </w:tcPr>
          <w:p w14:paraId="2F595CEA" w14:textId="145AB688" w:rsidR="00BC0D70" w:rsidRPr="00374327" w:rsidRDefault="00BC0D70" w:rsidP="00BC0D70">
            <w:pPr>
              <w:spacing w:before="60" w:after="0"/>
              <w:jc w:val="right"/>
              <w:rPr>
                <w:rFonts w:cs="Arial"/>
                <w:b/>
                <w:bCs/>
                <w:color w:val="000000"/>
                <w:sz w:val="16"/>
                <w:szCs w:val="16"/>
              </w:rPr>
            </w:pPr>
            <w:r w:rsidRPr="00522630">
              <w:rPr>
                <w:rFonts w:cs="Arial"/>
                <w:b/>
                <w:bCs/>
                <w:color w:val="000000"/>
                <w:szCs w:val="19"/>
              </w:rPr>
              <w:t>110</w:t>
            </w:r>
            <w:r w:rsidR="00D1176D">
              <w:rPr>
                <w:rFonts w:cs="Arial"/>
                <w:b/>
                <w:bCs/>
                <w:color w:val="000000"/>
                <w:szCs w:val="19"/>
              </w:rPr>
              <w:t>.</w:t>
            </w:r>
            <w:r w:rsidRPr="00522630">
              <w:rPr>
                <w:rFonts w:cs="Arial"/>
                <w:b/>
                <w:bCs/>
                <w:color w:val="000000"/>
                <w:szCs w:val="19"/>
              </w:rPr>
              <w:t>6</w:t>
            </w:r>
          </w:p>
        </w:tc>
        <w:tc>
          <w:tcPr>
            <w:tcW w:w="1162" w:type="dxa"/>
            <w:tcBorders>
              <w:top w:val="single" w:sz="12" w:space="0" w:color="001D77"/>
            </w:tcBorders>
            <w:shd w:val="clear" w:color="auto" w:fill="auto"/>
            <w:vAlign w:val="center"/>
          </w:tcPr>
          <w:p w14:paraId="124E45B1" w14:textId="7B627156" w:rsidR="00BC0D70" w:rsidRPr="00374327" w:rsidRDefault="00BC0D70" w:rsidP="00BC0D70">
            <w:pPr>
              <w:spacing w:before="60" w:after="0"/>
              <w:jc w:val="right"/>
              <w:rPr>
                <w:rFonts w:cs="Arial"/>
                <w:b/>
                <w:bCs/>
                <w:color w:val="000000"/>
                <w:sz w:val="16"/>
                <w:szCs w:val="16"/>
              </w:rPr>
            </w:pPr>
            <w:r w:rsidRPr="00522630">
              <w:rPr>
                <w:rFonts w:cs="Arial"/>
                <w:b/>
                <w:bCs/>
                <w:color w:val="000000"/>
                <w:szCs w:val="19"/>
              </w:rPr>
              <w:t>77</w:t>
            </w:r>
            <w:r w:rsidR="00D1176D">
              <w:rPr>
                <w:rFonts w:cs="Arial"/>
                <w:b/>
                <w:bCs/>
                <w:color w:val="000000"/>
                <w:szCs w:val="19"/>
              </w:rPr>
              <w:t>.</w:t>
            </w:r>
            <w:r w:rsidRPr="00522630">
              <w:rPr>
                <w:rFonts w:cs="Arial"/>
                <w:b/>
                <w:bCs/>
                <w:color w:val="000000"/>
                <w:szCs w:val="19"/>
              </w:rPr>
              <w:t>4</w:t>
            </w:r>
          </w:p>
        </w:tc>
        <w:tc>
          <w:tcPr>
            <w:tcW w:w="1162" w:type="dxa"/>
            <w:tcBorders>
              <w:top w:val="single" w:sz="12" w:space="0" w:color="001D77"/>
            </w:tcBorders>
            <w:shd w:val="clear" w:color="auto" w:fill="auto"/>
            <w:vAlign w:val="center"/>
          </w:tcPr>
          <w:p w14:paraId="5FD4521E" w14:textId="43F7511D" w:rsidR="00BC0D70" w:rsidRPr="00374327" w:rsidRDefault="00BC0D70" w:rsidP="00BC0D70">
            <w:pPr>
              <w:spacing w:before="60" w:after="0"/>
              <w:jc w:val="right"/>
              <w:rPr>
                <w:rFonts w:cs="Arial"/>
                <w:b/>
                <w:bCs/>
                <w:color w:val="000000"/>
                <w:sz w:val="16"/>
                <w:szCs w:val="16"/>
              </w:rPr>
            </w:pPr>
            <w:r w:rsidRPr="00522630">
              <w:rPr>
                <w:rFonts w:cs="Arial"/>
                <w:b/>
                <w:bCs/>
                <w:color w:val="000000"/>
                <w:szCs w:val="19"/>
              </w:rPr>
              <w:t>120</w:t>
            </w:r>
            <w:r w:rsidR="00D1176D">
              <w:rPr>
                <w:rFonts w:cs="Arial"/>
                <w:b/>
                <w:bCs/>
                <w:color w:val="000000"/>
                <w:szCs w:val="19"/>
              </w:rPr>
              <w:t>.</w:t>
            </w:r>
            <w:r w:rsidRPr="00522630">
              <w:rPr>
                <w:rFonts w:cs="Arial"/>
                <w:b/>
                <w:bCs/>
                <w:color w:val="000000"/>
                <w:szCs w:val="19"/>
              </w:rPr>
              <w:t>0</w:t>
            </w:r>
          </w:p>
        </w:tc>
      </w:tr>
      <w:tr w:rsidR="00BC0D70" w:rsidRPr="00382DAE" w14:paraId="3E8EC290" w14:textId="77777777" w:rsidTr="008316BD">
        <w:trPr>
          <w:trHeight w:val="369"/>
        </w:trPr>
        <w:tc>
          <w:tcPr>
            <w:tcW w:w="3403" w:type="dxa"/>
            <w:shd w:val="clear" w:color="auto" w:fill="auto"/>
            <w:vAlign w:val="center"/>
            <w:hideMark/>
          </w:tcPr>
          <w:p w14:paraId="3325B768" w14:textId="77777777" w:rsidR="00BC0D70" w:rsidRPr="00E900DB" w:rsidRDefault="00BC0D70" w:rsidP="00BC0D70">
            <w:pPr>
              <w:spacing w:before="0" w:after="0" w:line="240" w:lineRule="atLeast"/>
              <w:ind w:firstLine="176"/>
              <w:rPr>
                <w:rFonts w:cs="Arial"/>
                <w:color w:val="000000"/>
                <w:szCs w:val="19"/>
              </w:rPr>
            </w:pPr>
            <w:r w:rsidRPr="00E900DB">
              <w:rPr>
                <w:rFonts w:cs="Arial"/>
                <w:color w:val="000000"/>
                <w:szCs w:val="19"/>
                <w:lang w:val="en-GB"/>
              </w:rPr>
              <w:t>of which:</w:t>
            </w:r>
          </w:p>
        </w:tc>
        <w:tc>
          <w:tcPr>
            <w:tcW w:w="1162" w:type="dxa"/>
            <w:shd w:val="clear" w:color="auto" w:fill="auto"/>
            <w:vAlign w:val="center"/>
          </w:tcPr>
          <w:p w14:paraId="48F9DD6F" w14:textId="77777777" w:rsidR="00BC0D70" w:rsidRPr="00374327" w:rsidRDefault="00BC0D70" w:rsidP="00BC0D70">
            <w:pPr>
              <w:spacing w:before="0" w:after="0"/>
              <w:jc w:val="right"/>
              <w:rPr>
                <w:rFonts w:cs="Arial"/>
                <w:color w:val="000000"/>
                <w:sz w:val="16"/>
                <w:szCs w:val="16"/>
              </w:rPr>
            </w:pPr>
          </w:p>
        </w:tc>
        <w:tc>
          <w:tcPr>
            <w:tcW w:w="1162" w:type="dxa"/>
            <w:shd w:val="clear" w:color="auto" w:fill="auto"/>
            <w:vAlign w:val="center"/>
          </w:tcPr>
          <w:p w14:paraId="34B0BE32" w14:textId="77777777" w:rsidR="00BC0D70" w:rsidRPr="00374327" w:rsidRDefault="00BC0D70" w:rsidP="00BC0D70">
            <w:pPr>
              <w:spacing w:before="0" w:after="0"/>
              <w:jc w:val="right"/>
              <w:rPr>
                <w:rFonts w:cs="Arial"/>
                <w:color w:val="000000"/>
                <w:sz w:val="16"/>
                <w:szCs w:val="16"/>
              </w:rPr>
            </w:pPr>
          </w:p>
        </w:tc>
        <w:tc>
          <w:tcPr>
            <w:tcW w:w="1162" w:type="dxa"/>
            <w:shd w:val="clear" w:color="auto" w:fill="auto"/>
            <w:vAlign w:val="center"/>
          </w:tcPr>
          <w:p w14:paraId="7B7D59F4" w14:textId="77777777" w:rsidR="00BC0D70" w:rsidRPr="00374327" w:rsidRDefault="00BC0D70" w:rsidP="00BC0D70">
            <w:pPr>
              <w:spacing w:before="0" w:after="0"/>
              <w:jc w:val="right"/>
              <w:rPr>
                <w:rFonts w:cs="Arial"/>
                <w:color w:val="000000"/>
                <w:sz w:val="16"/>
                <w:szCs w:val="16"/>
              </w:rPr>
            </w:pPr>
          </w:p>
        </w:tc>
        <w:tc>
          <w:tcPr>
            <w:tcW w:w="1162" w:type="dxa"/>
            <w:shd w:val="clear" w:color="auto" w:fill="auto"/>
            <w:vAlign w:val="center"/>
          </w:tcPr>
          <w:p w14:paraId="12F0E506" w14:textId="77777777" w:rsidR="00BC0D70" w:rsidRPr="00374327" w:rsidRDefault="00BC0D70" w:rsidP="00BC0D70">
            <w:pPr>
              <w:spacing w:before="0" w:after="0"/>
              <w:jc w:val="right"/>
              <w:rPr>
                <w:rFonts w:cs="Arial"/>
                <w:color w:val="000000"/>
                <w:sz w:val="16"/>
                <w:szCs w:val="16"/>
              </w:rPr>
            </w:pPr>
          </w:p>
        </w:tc>
      </w:tr>
      <w:tr w:rsidR="00BC0D70" w:rsidRPr="00382DAE" w14:paraId="08F441F9" w14:textId="77777777" w:rsidTr="008316BD">
        <w:trPr>
          <w:trHeight w:val="369"/>
        </w:trPr>
        <w:tc>
          <w:tcPr>
            <w:tcW w:w="3403" w:type="dxa"/>
            <w:shd w:val="clear" w:color="auto" w:fill="auto"/>
            <w:vAlign w:val="center"/>
            <w:hideMark/>
          </w:tcPr>
          <w:p w14:paraId="05CAEEAD" w14:textId="77777777" w:rsidR="00BC0D70" w:rsidRPr="00E900DB" w:rsidRDefault="00BC0D70" w:rsidP="00BC0D70">
            <w:pPr>
              <w:spacing w:before="0" w:after="0" w:line="240" w:lineRule="atLeast"/>
              <w:rPr>
                <w:rFonts w:cs="Arial"/>
                <w:color w:val="000000"/>
                <w:szCs w:val="19"/>
              </w:rPr>
            </w:pPr>
            <w:bookmarkStart w:id="0" w:name="OLE_LINK1"/>
            <w:r w:rsidRPr="00E900DB">
              <w:rPr>
                <w:rFonts w:cs="Arial"/>
                <w:szCs w:val="19"/>
                <w:lang w:val="en-GB"/>
              </w:rPr>
              <w:t>Motor vehicles, motorcycles, parts</w:t>
            </w:r>
            <w:bookmarkEnd w:id="0"/>
          </w:p>
        </w:tc>
        <w:tc>
          <w:tcPr>
            <w:tcW w:w="1162" w:type="dxa"/>
            <w:shd w:val="clear" w:color="auto" w:fill="auto"/>
            <w:vAlign w:val="center"/>
          </w:tcPr>
          <w:p w14:paraId="55330696" w14:textId="59CFF336" w:rsidR="00BC0D70" w:rsidRPr="00374327" w:rsidRDefault="00BC0D70" w:rsidP="00BC0D70">
            <w:pPr>
              <w:spacing w:before="0" w:after="0"/>
              <w:jc w:val="right"/>
              <w:rPr>
                <w:rFonts w:cs="Arial"/>
                <w:color w:val="000000"/>
                <w:sz w:val="16"/>
                <w:szCs w:val="16"/>
              </w:rPr>
            </w:pPr>
            <w:r w:rsidRPr="00522630">
              <w:rPr>
                <w:rFonts w:cs="Arial"/>
                <w:color w:val="000000"/>
                <w:szCs w:val="19"/>
              </w:rPr>
              <w:t>85</w:t>
            </w:r>
            <w:r w:rsidR="00D1176D">
              <w:rPr>
                <w:rFonts w:cs="Arial"/>
                <w:color w:val="000000"/>
                <w:szCs w:val="19"/>
              </w:rPr>
              <w:t>.</w:t>
            </w:r>
            <w:r w:rsidRPr="00522630">
              <w:rPr>
                <w:rFonts w:cs="Arial"/>
                <w:color w:val="000000"/>
                <w:szCs w:val="19"/>
              </w:rPr>
              <w:t>0</w:t>
            </w:r>
          </w:p>
        </w:tc>
        <w:tc>
          <w:tcPr>
            <w:tcW w:w="1162" w:type="dxa"/>
            <w:shd w:val="clear" w:color="auto" w:fill="auto"/>
            <w:vAlign w:val="center"/>
          </w:tcPr>
          <w:p w14:paraId="21909AFC" w14:textId="1E4BA80F" w:rsidR="00BC0D70" w:rsidRPr="00374327" w:rsidRDefault="00BC0D70" w:rsidP="00BC0D70">
            <w:pPr>
              <w:spacing w:before="0" w:after="0"/>
              <w:jc w:val="right"/>
              <w:rPr>
                <w:rFonts w:cs="Arial"/>
                <w:color w:val="000000"/>
                <w:sz w:val="16"/>
                <w:szCs w:val="16"/>
              </w:rPr>
            </w:pPr>
            <w:r w:rsidRPr="00522630">
              <w:rPr>
                <w:rFonts w:cs="Arial"/>
                <w:color w:val="000000"/>
                <w:szCs w:val="19"/>
              </w:rPr>
              <w:t>86</w:t>
            </w:r>
            <w:r w:rsidR="00D1176D">
              <w:rPr>
                <w:rFonts w:cs="Arial"/>
                <w:color w:val="000000"/>
                <w:szCs w:val="19"/>
              </w:rPr>
              <w:t>.</w:t>
            </w:r>
            <w:r w:rsidRPr="00522630">
              <w:rPr>
                <w:rFonts w:cs="Arial"/>
                <w:color w:val="000000"/>
                <w:szCs w:val="19"/>
              </w:rPr>
              <w:t>5</w:t>
            </w:r>
          </w:p>
        </w:tc>
        <w:tc>
          <w:tcPr>
            <w:tcW w:w="1162" w:type="dxa"/>
            <w:shd w:val="clear" w:color="auto" w:fill="auto"/>
            <w:vAlign w:val="center"/>
          </w:tcPr>
          <w:p w14:paraId="43967E01" w14:textId="242F025C" w:rsidR="00BC0D70" w:rsidRPr="00374327" w:rsidRDefault="00BC0D70" w:rsidP="00BC0D70">
            <w:pPr>
              <w:spacing w:before="0" w:after="0"/>
              <w:jc w:val="right"/>
              <w:rPr>
                <w:rFonts w:cs="Arial"/>
                <w:color w:val="000000"/>
                <w:sz w:val="16"/>
                <w:szCs w:val="16"/>
              </w:rPr>
            </w:pPr>
            <w:r w:rsidRPr="00522630">
              <w:rPr>
                <w:rFonts w:cs="Arial"/>
                <w:color w:val="000000"/>
                <w:szCs w:val="19"/>
              </w:rPr>
              <w:t>85</w:t>
            </w:r>
            <w:r w:rsidR="00D1176D">
              <w:rPr>
                <w:rFonts w:cs="Arial"/>
                <w:color w:val="000000"/>
                <w:szCs w:val="19"/>
              </w:rPr>
              <w:t>.</w:t>
            </w:r>
            <w:r w:rsidRPr="00522630">
              <w:rPr>
                <w:rFonts w:cs="Arial"/>
                <w:color w:val="000000"/>
                <w:szCs w:val="19"/>
              </w:rPr>
              <w:t>7</w:t>
            </w:r>
          </w:p>
        </w:tc>
        <w:tc>
          <w:tcPr>
            <w:tcW w:w="1162" w:type="dxa"/>
            <w:shd w:val="clear" w:color="auto" w:fill="auto"/>
            <w:vAlign w:val="center"/>
          </w:tcPr>
          <w:p w14:paraId="7F6CB8A3" w14:textId="5F3B0922" w:rsidR="00BC0D70" w:rsidRPr="00374327" w:rsidRDefault="00BC0D70" w:rsidP="00BC0D70">
            <w:pPr>
              <w:spacing w:before="0" w:after="0"/>
              <w:jc w:val="right"/>
              <w:rPr>
                <w:rFonts w:cs="Arial"/>
                <w:color w:val="000000"/>
                <w:sz w:val="16"/>
                <w:szCs w:val="16"/>
              </w:rPr>
            </w:pPr>
            <w:r w:rsidRPr="00522630">
              <w:rPr>
                <w:rFonts w:cs="Arial"/>
                <w:color w:val="000000"/>
                <w:szCs w:val="19"/>
              </w:rPr>
              <w:t>92</w:t>
            </w:r>
            <w:r w:rsidR="00D1176D">
              <w:rPr>
                <w:rFonts w:cs="Arial"/>
                <w:color w:val="000000"/>
                <w:szCs w:val="19"/>
              </w:rPr>
              <w:t>.</w:t>
            </w:r>
            <w:r w:rsidRPr="00522630">
              <w:rPr>
                <w:rFonts w:cs="Arial"/>
                <w:color w:val="000000"/>
                <w:szCs w:val="19"/>
              </w:rPr>
              <w:t>6</w:t>
            </w:r>
          </w:p>
        </w:tc>
      </w:tr>
      <w:tr w:rsidR="00BC0D70" w:rsidRPr="0072538B" w14:paraId="035D3B51" w14:textId="77777777" w:rsidTr="008316BD">
        <w:trPr>
          <w:trHeight w:val="369"/>
        </w:trPr>
        <w:tc>
          <w:tcPr>
            <w:tcW w:w="3403" w:type="dxa"/>
            <w:shd w:val="clear" w:color="auto" w:fill="auto"/>
            <w:vAlign w:val="center"/>
            <w:hideMark/>
          </w:tcPr>
          <w:p w14:paraId="1D93B192" w14:textId="77777777" w:rsidR="00BC0D70" w:rsidRPr="00E900DB" w:rsidRDefault="00BC0D70" w:rsidP="00BC0D70">
            <w:pPr>
              <w:spacing w:before="0" w:after="0" w:line="240" w:lineRule="atLeast"/>
              <w:rPr>
                <w:rFonts w:cs="Arial"/>
                <w:color w:val="000000"/>
                <w:szCs w:val="19"/>
                <w:lang w:val="en-US"/>
              </w:rPr>
            </w:pPr>
            <w:r w:rsidRPr="00E900DB">
              <w:rPr>
                <w:rFonts w:cs="Arial"/>
                <w:szCs w:val="19"/>
                <w:lang w:val="en-US"/>
              </w:rPr>
              <w:t>Solid, liquid and gaseous fuels</w:t>
            </w:r>
          </w:p>
        </w:tc>
        <w:tc>
          <w:tcPr>
            <w:tcW w:w="1162" w:type="dxa"/>
            <w:shd w:val="clear" w:color="auto" w:fill="auto"/>
            <w:vAlign w:val="center"/>
          </w:tcPr>
          <w:p w14:paraId="460FE5C9" w14:textId="66ED1E00" w:rsidR="00BC0D70" w:rsidRPr="0072538B" w:rsidRDefault="00BC0D70" w:rsidP="00BC0D70">
            <w:pPr>
              <w:spacing w:before="0" w:after="0"/>
              <w:jc w:val="right"/>
              <w:rPr>
                <w:rFonts w:cs="Arial"/>
                <w:color w:val="000000"/>
                <w:sz w:val="16"/>
                <w:szCs w:val="16"/>
                <w:lang w:val="en-GB"/>
              </w:rPr>
            </w:pPr>
            <w:r w:rsidRPr="00522630">
              <w:rPr>
                <w:rFonts w:cs="Arial"/>
                <w:color w:val="000000"/>
                <w:szCs w:val="19"/>
              </w:rPr>
              <w:t>85</w:t>
            </w:r>
            <w:r w:rsidR="00D1176D">
              <w:rPr>
                <w:rFonts w:cs="Arial"/>
                <w:color w:val="000000"/>
                <w:szCs w:val="19"/>
              </w:rPr>
              <w:t>.</w:t>
            </w:r>
            <w:r w:rsidRPr="00522630">
              <w:rPr>
                <w:rFonts w:cs="Arial"/>
                <w:color w:val="000000"/>
                <w:szCs w:val="19"/>
              </w:rPr>
              <w:t>1</w:t>
            </w:r>
          </w:p>
        </w:tc>
        <w:tc>
          <w:tcPr>
            <w:tcW w:w="1162" w:type="dxa"/>
            <w:shd w:val="clear" w:color="auto" w:fill="auto"/>
            <w:vAlign w:val="center"/>
          </w:tcPr>
          <w:p w14:paraId="6AEF2F40" w14:textId="258B95AA" w:rsidR="00BC0D70" w:rsidRPr="0072538B" w:rsidRDefault="00BC0D70" w:rsidP="00BC0D70">
            <w:pPr>
              <w:spacing w:before="0" w:after="0"/>
              <w:jc w:val="right"/>
              <w:rPr>
                <w:rFonts w:cs="Arial"/>
                <w:color w:val="000000"/>
                <w:sz w:val="16"/>
                <w:szCs w:val="16"/>
                <w:lang w:val="en-GB"/>
              </w:rPr>
            </w:pPr>
            <w:r w:rsidRPr="00522630">
              <w:rPr>
                <w:rFonts w:cs="Arial"/>
                <w:color w:val="000000"/>
                <w:szCs w:val="19"/>
              </w:rPr>
              <w:t>98</w:t>
            </w:r>
            <w:r w:rsidR="00D1176D">
              <w:rPr>
                <w:rFonts w:cs="Arial"/>
                <w:color w:val="000000"/>
                <w:szCs w:val="19"/>
              </w:rPr>
              <w:t>.</w:t>
            </w:r>
            <w:r w:rsidRPr="00522630">
              <w:rPr>
                <w:rFonts w:cs="Arial"/>
                <w:color w:val="000000"/>
                <w:szCs w:val="19"/>
              </w:rPr>
              <w:t>5</w:t>
            </w:r>
          </w:p>
        </w:tc>
        <w:tc>
          <w:tcPr>
            <w:tcW w:w="1162" w:type="dxa"/>
            <w:shd w:val="clear" w:color="auto" w:fill="auto"/>
            <w:vAlign w:val="center"/>
          </w:tcPr>
          <w:p w14:paraId="74F4A548" w14:textId="7DE0C3FD" w:rsidR="00BC0D70" w:rsidRPr="0072538B" w:rsidRDefault="00BC0D70" w:rsidP="00BC0D70">
            <w:pPr>
              <w:spacing w:before="0" w:after="0"/>
              <w:jc w:val="right"/>
              <w:rPr>
                <w:rFonts w:cs="Arial"/>
                <w:color w:val="000000"/>
                <w:sz w:val="16"/>
                <w:szCs w:val="16"/>
                <w:lang w:val="en-GB"/>
              </w:rPr>
            </w:pPr>
            <w:r w:rsidRPr="00522630">
              <w:rPr>
                <w:rFonts w:cs="Arial"/>
                <w:color w:val="000000"/>
                <w:szCs w:val="19"/>
              </w:rPr>
              <w:t>82</w:t>
            </w:r>
            <w:r w:rsidR="00D1176D">
              <w:rPr>
                <w:rFonts w:cs="Arial"/>
                <w:color w:val="000000"/>
                <w:szCs w:val="19"/>
              </w:rPr>
              <w:t>.</w:t>
            </w:r>
            <w:r w:rsidRPr="00522630">
              <w:rPr>
                <w:rFonts w:cs="Arial"/>
                <w:color w:val="000000"/>
                <w:szCs w:val="19"/>
              </w:rPr>
              <w:t>6</w:t>
            </w:r>
          </w:p>
        </w:tc>
        <w:tc>
          <w:tcPr>
            <w:tcW w:w="1162" w:type="dxa"/>
            <w:shd w:val="clear" w:color="auto" w:fill="auto"/>
            <w:vAlign w:val="center"/>
          </w:tcPr>
          <w:p w14:paraId="68759EE2" w14:textId="2FF3D3E7" w:rsidR="00BC0D70" w:rsidRPr="0072538B" w:rsidRDefault="00BC0D70" w:rsidP="00BC0D70">
            <w:pPr>
              <w:spacing w:before="0" w:after="0"/>
              <w:jc w:val="right"/>
              <w:rPr>
                <w:rFonts w:cs="Arial"/>
                <w:color w:val="000000"/>
                <w:sz w:val="16"/>
                <w:szCs w:val="16"/>
                <w:lang w:val="en-GB"/>
              </w:rPr>
            </w:pPr>
            <w:r w:rsidRPr="00522630">
              <w:rPr>
                <w:rFonts w:cs="Arial"/>
                <w:color w:val="000000"/>
                <w:szCs w:val="19"/>
              </w:rPr>
              <w:t>126</w:t>
            </w:r>
            <w:r w:rsidR="00D1176D">
              <w:rPr>
                <w:rFonts w:cs="Arial"/>
                <w:color w:val="000000"/>
                <w:szCs w:val="19"/>
              </w:rPr>
              <w:t>.</w:t>
            </w:r>
            <w:r w:rsidRPr="00522630">
              <w:rPr>
                <w:rFonts w:cs="Arial"/>
                <w:color w:val="000000"/>
                <w:szCs w:val="19"/>
              </w:rPr>
              <w:t>4</w:t>
            </w:r>
          </w:p>
        </w:tc>
      </w:tr>
      <w:tr w:rsidR="00BC0D70" w:rsidRPr="0072538B" w14:paraId="3A3A0154" w14:textId="77777777" w:rsidTr="008316BD">
        <w:trPr>
          <w:trHeight w:val="369"/>
        </w:trPr>
        <w:tc>
          <w:tcPr>
            <w:tcW w:w="3403" w:type="dxa"/>
            <w:shd w:val="clear" w:color="auto" w:fill="auto"/>
            <w:vAlign w:val="center"/>
            <w:hideMark/>
          </w:tcPr>
          <w:p w14:paraId="2AB94587" w14:textId="77777777" w:rsidR="00BC0D70" w:rsidRPr="00E900DB" w:rsidRDefault="00BC0D70" w:rsidP="00BC0D70">
            <w:pPr>
              <w:spacing w:before="0" w:after="0" w:line="240" w:lineRule="atLeast"/>
              <w:rPr>
                <w:rFonts w:cs="Arial"/>
                <w:color w:val="000000"/>
                <w:szCs w:val="19"/>
                <w:lang w:val="en-US"/>
              </w:rPr>
            </w:pPr>
            <w:r w:rsidRPr="00E900DB">
              <w:rPr>
                <w:rFonts w:cs="Arial"/>
                <w:szCs w:val="19"/>
                <w:lang w:val="en-US"/>
              </w:rPr>
              <w:t>Food, beverages and tobacco products</w:t>
            </w:r>
          </w:p>
        </w:tc>
        <w:tc>
          <w:tcPr>
            <w:tcW w:w="1162" w:type="dxa"/>
            <w:shd w:val="clear" w:color="auto" w:fill="auto"/>
            <w:vAlign w:val="center"/>
          </w:tcPr>
          <w:p w14:paraId="20AD213D" w14:textId="19B39D85" w:rsidR="00BC0D70" w:rsidRPr="0072538B" w:rsidRDefault="00BC0D70" w:rsidP="00BC0D70">
            <w:pPr>
              <w:spacing w:before="0" w:after="0" w:line="240" w:lineRule="auto"/>
              <w:jc w:val="right"/>
              <w:rPr>
                <w:rFonts w:cs="Arial"/>
                <w:color w:val="000000"/>
                <w:sz w:val="16"/>
                <w:szCs w:val="16"/>
                <w:lang w:val="en-GB"/>
              </w:rPr>
            </w:pPr>
            <w:r w:rsidRPr="00522630">
              <w:rPr>
                <w:rFonts w:cs="Arial"/>
                <w:color w:val="000000"/>
                <w:szCs w:val="19"/>
              </w:rPr>
              <w:t>77</w:t>
            </w:r>
            <w:r w:rsidR="00D1176D">
              <w:rPr>
                <w:rFonts w:cs="Arial"/>
                <w:color w:val="000000"/>
                <w:szCs w:val="19"/>
              </w:rPr>
              <w:t>.</w:t>
            </w:r>
            <w:r w:rsidRPr="00522630">
              <w:rPr>
                <w:rFonts w:cs="Arial"/>
                <w:color w:val="000000"/>
                <w:szCs w:val="19"/>
              </w:rPr>
              <w:t>7</w:t>
            </w:r>
          </w:p>
        </w:tc>
        <w:tc>
          <w:tcPr>
            <w:tcW w:w="1162" w:type="dxa"/>
            <w:shd w:val="clear" w:color="auto" w:fill="auto"/>
            <w:vAlign w:val="center"/>
          </w:tcPr>
          <w:p w14:paraId="2CE0E8CB" w14:textId="5AB0269D" w:rsidR="00BC0D70" w:rsidRPr="0072538B" w:rsidRDefault="00BC0D70" w:rsidP="00BC0D70">
            <w:pPr>
              <w:spacing w:before="0" w:after="0" w:line="240" w:lineRule="auto"/>
              <w:jc w:val="right"/>
              <w:rPr>
                <w:rFonts w:cs="Arial"/>
                <w:color w:val="000000"/>
                <w:sz w:val="16"/>
                <w:szCs w:val="16"/>
                <w:lang w:val="en-GB"/>
              </w:rPr>
            </w:pPr>
            <w:r w:rsidRPr="00522630">
              <w:rPr>
                <w:rFonts w:cs="Arial"/>
                <w:color w:val="000000"/>
                <w:szCs w:val="19"/>
              </w:rPr>
              <w:t>103</w:t>
            </w:r>
            <w:r w:rsidR="00D1176D">
              <w:rPr>
                <w:rFonts w:cs="Arial"/>
                <w:color w:val="000000"/>
                <w:szCs w:val="19"/>
              </w:rPr>
              <w:t>.</w:t>
            </w:r>
            <w:r w:rsidRPr="00522630">
              <w:rPr>
                <w:rFonts w:cs="Arial"/>
                <w:color w:val="000000"/>
                <w:szCs w:val="19"/>
              </w:rPr>
              <w:t>6</w:t>
            </w:r>
          </w:p>
        </w:tc>
        <w:tc>
          <w:tcPr>
            <w:tcW w:w="1162" w:type="dxa"/>
            <w:shd w:val="clear" w:color="auto" w:fill="auto"/>
            <w:vAlign w:val="center"/>
          </w:tcPr>
          <w:p w14:paraId="4B4F8019" w14:textId="4F79D350" w:rsidR="00BC0D70" w:rsidRPr="0072538B" w:rsidRDefault="00BC0D70" w:rsidP="00BC0D70">
            <w:pPr>
              <w:spacing w:before="0" w:after="0" w:line="240" w:lineRule="auto"/>
              <w:jc w:val="right"/>
              <w:rPr>
                <w:rFonts w:cs="Arial"/>
                <w:color w:val="000000"/>
                <w:sz w:val="16"/>
                <w:szCs w:val="16"/>
                <w:lang w:val="en-GB"/>
              </w:rPr>
            </w:pPr>
            <w:r w:rsidRPr="00522630">
              <w:rPr>
                <w:rFonts w:cs="Arial"/>
                <w:color w:val="000000"/>
                <w:szCs w:val="19"/>
              </w:rPr>
              <w:t>79</w:t>
            </w:r>
            <w:r w:rsidR="00D1176D">
              <w:rPr>
                <w:rFonts w:cs="Arial"/>
                <w:color w:val="000000"/>
                <w:szCs w:val="19"/>
              </w:rPr>
              <w:t>.</w:t>
            </w:r>
            <w:r w:rsidRPr="00522630">
              <w:rPr>
                <w:rFonts w:cs="Arial"/>
                <w:color w:val="000000"/>
                <w:szCs w:val="19"/>
              </w:rPr>
              <w:t>6</w:t>
            </w:r>
          </w:p>
        </w:tc>
        <w:tc>
          <w:tcPr>
            <w:tcW w:w="1162" w:type="dxa"/>
            <w:shd w:val="clear" w:color="auto" w:fill="auto"/>
            <w:vAlign w:val="center"/>
          </w:tcPr>
          <w:p w14:paraId="43F21C71" w14:textId="1C9D51E9" w:rsidR="00BC0D70" w:rsidRPr="0072538B" w:rsidRDefault="00BC0D70" w:rsidP="00BC0D70">
            <w:pPr>
              <w:spacing w:before="0" w:after="0" w:line="240" w:lineRule="auto"/>
              <w:jc w:val="right"/>
              <w:rPr>
                <w:rFonts w:cs="Arial"/>
                <w:color w:val="000000"/>
                <w:sz w:val="16"/>
                <w:szCs w:val="16"/>
                <w:lang w:val="en-GB"/>
              </w:rPr>
            </w:pPr>
            <w:r w:rsidRPr="00522630">
              <w:rPr>
                <w:rFonts w:cs="Arial"/>
                <w:color w:val="000000"/>
                <w:szCs w:val="19"/>
              </w:rPr>
              <w:t>112</w:t>
            </w:r>
            <w:r w:rsidR="00D1176D">
              <w:rPr>
                <w:rFonts w:cs="Arial"/>
                <w:color w:val="000000"/>
                <w:szCs w:val="19"/>
              </w:rPr>
              <w:t>.</w:t>
            </w:r>
            <w:r w:rsidRPr="00522630">
              <w:rPr>
                <w:rFonts w:cs="Arial"/>
                <w:color w:val="000000"/>
                <w:szCs w:val="19"/>
              </w:rPr>
              <w:t>1</w:t>
            </w:r>
          </w:p>
        </w:tc>
      </w:tr>
      <w:tr w:rsidR="00BC0D70" w:rsidRPr="00543644" w14:paraId="2FD04473" w14:textId="77777777" w:rsidTr="008316BD">
        <w:trPr>
          <w:trHeight w:val="567"/>
        </w:trPr>
        <w:tc>
          <w:tcPr>
            <w:tcW w:w="3403" w:type="dxa"/>
            <w:shd w:val="clear" w:color="auto" w:fill="auto"/>
            <w:vAlign w:val="center"/>
            <w:hideMark/>
          </w:tcPr>
          <w:p w14:paraId="5E51CB08" w14:textId="77777777" w:rsidR="00BC0D70" w:rsidRPr="00E900DB" w:rsidRDefault="00BC0D70" w:rsidP="00BC0D70">
            <w:pPr>
              <w:spacing w:before="0" w:after="0" w:line="240" w:lineRule="atLeast"/>
              <w:rPr>
                <w:rFonts w:cs="Arial"/>
                <w:color w:val="000000"/>
                <w:szCs w:val="19"/>
                <w:lang w:val="en-US"/>
              </w:rPr>
            </w:pPr>
            <w:r w:rsidRPr="00E900DB">
              <w:rPr>
                <w:rFonts w:cs="Arial"/>
                <w:szCs w:val="19"/>
                <w:lang w:val="en-US"/>
              </w:rPr>
              <w:t>Other retail sales in non-specialized stores</w:t>
            </w:r>
          </w:p>
        </w:tc>
        <w:tc>
          <w:tcPr>
            <w:tcW w:w="1162" w:type="dxa"/>
            <w:shd w:val="clear" w:color="auto" w:fill="auto"/>
            <w:vAlign w:val="center"/>
          </w:tcPr>
          <w:p w14:paraId="02E6D1BE" w14:textId="66BAA680" w:rsidR="00BC0D70" w:rsidRPr="00374327" w:rsidRDefault="00BC0D70" w:rsidP="00BC0D70">
            <w:pPr>
              <w:spacing w:before="0" w:after="0" w:line="240" w:lineRule="auto"/>
              <w:jc w:val="right"/>
              <w:rPr>
                <w:rFonts w:cs="Arial"/>
                <w:color w:val="000000"/>
                <w:sz w:val="16"/>
                <w:szCs w:val="16"/>
              </w:rPr>
            </w:pPr>
            <w:r w:rsidRPr="00522630">
              <w:rPr>
                <w:rFonts w:cs="Arial"/>
                <w:color w:val="000000"/>
                <w:szCs w:val="19"/>
              </w:rPr>
              <w:t>.</w:t>
            </w:r>
          </w:p>
        </w:tc>
        <w:tc>
          <w:tcPr>
            <w:tcW w:w="1162" w:type="dxa"/>
            <w:shd w:val="clear" w:color="auto" w:fill="auto"/>
            <w:vAlign w:val="center"/>
          </w:tcPr>
          <w:p w14:paraId="6C0925B6" w14:textId="0837A010" w:rsidR="00BC0D70" w:rsidRPr="00374327" w:rsidRDefault="00BC0D70" w:rsidP="00BC0D70">
            <w:pPr>
              <w:spacing w:before="0" w:after="0" w:line="240" w:lineRule="auto"/>
              <w:jc w:val="right"/>
              <w:rPr>
                <w:rFonts w:cs="Arial"/>
                <w:color w:val="000000"/>
                <w:sz w:val="16"/>
                <w:szCs w:val="16"/>
              </w:rPr>
            </w:pPr>
            <w:r w:rsidRPr="00522630">
              <w:rPr>
                <w:rFonts w:cs="Arial"/>
                <w:color w:val="000000"/>
                <w:szCs w:val="19"/>
              </w:rPr>
              <w:t>.</w:t>
            </w:r>
          </w:p>
        </w:tc>
        <w:tc>
          <w:tcPr>
            <w:tcW w:w="1162" w:type="dxa"/>
            <w:shd w:val="clear" w:color="auto" w:fill="auto"/>
            <w:vAlign w:val="center"/>
          </w:tcPr>
          <w:p w14:paraId="35F8A018" w14:textId="1252FAD8" w:rsidR="00BC0D70" w:rsidRPr="00374327" w:rsidRDefault="00BC0D70" w:rsidP="00BC0D70">
            <w:pPr>
              <w:spacing w:before="0" w:after="0" w:line="240" w:lineRule="auto"/>
              <w:jc w:val="right"/>
              <w:rPr>
                <w:rFonts w:cs="Arial"/>
                <w:color w:val="000000"/>
                <w:sz w:val="16"/>
                <w:szCs w:val="16"/>
              </w:rPr>
            </w:pPr>
            <w:r w:rsidRPr="00522630">
              <w:rPr>
                <w:rFonts w:cs="Arial"/>
                <w:color w:val="000000"/>
                <w:szCs w:val="19"/>
              </w:rPr>
              <w:t>.</w:t>
            </w:r>
          </w:p>
        </w:tc>
        <w:tc>
          <w:tcPr>
            <w:tcW w:w="1162" w:type="dxa"/>
            <w:shd w:val="clear" w:color="auto" w:fill="auto"/>
            <w:vAlign w:val="center"/>
          </w:tcPr>
          <w:p w14:paraId="1E22958F" w14:textId="5544BE4D" w:rsidR="00BC0D70" w:rsidRPr="00374327" w:rsidRDefault="00BC0D70" w:rsidP="00BC0D70">
            <w:pPr>
              <w:spacing w:before="0" w:after="0" w:line="240" w:lineRule="auto"/>
              <w:jc w:val="right"/>
              <w:rPr>
                <w:rFonts w:cs="Arial"/>
                <w:color w:val="000000"/>
                <w:sz w:val="16"/>
                <w:szCs w:val="16"/>
              </w:rPr>
            </w:pPr>
            <w:r w:rsidRPr="00522630">
              <w:rPr>
                <w:rFonts w:cs="Arial"/>
                <w:color w:val="000000"/>
                <w:szCs w:val="19"/>
              </w:rPr>
              <w:t>.</w:t>
            </w:r>
          </w:p>
        </w:tc>
      </w:tr>
      <w:tr w:rsidR="00BC0D70" w:rsidRPr="00382DAE" w14:paraId="5539C2F3" w14:textId="77777777" w:rsidTr="008316BD">
        <w:trPr>
          <w:trHeight w:val="567"/>
        </w:trPr>
        <w:tc>
          <w:tcPr>
            <w:tcW w:w="3403" w:type="dxa"/>
            <w:shd w:val="clear" w:color="auto" w:fill="auto"/>
            <w:vAlign w:val="center"/>
            <w:hideMark/>
          </w:tcPr>
          <w:p w14:paraId="63DEBDC7" w14:textId="77777777" w:rsidR="00BC0D70" w:rsidRPr="00E900DB" w:rsidRDefault="00BC0D70" w:rsidP="00BC0D70">
            <w:pPr>
              <w:spacing w:before="0" w:after="0" w:line="240" w:lineRule="atLeast"/>
              <w:rPr>
                <w:rFonts w:cs="Arial"/>
                <w:color w:val="000000"/>
                <w:szCs w:val="19"/>
              </w:rPr>
            </w:pPr>
            <w:r w:rsidRPr="00E900DB">
              <w:rPr>
                <w:rFonts w:cs="Arial"/>
                <w:szCs w:val="19"/>
                <w:lang w:val="en-US"/>
              </w:rPr>
              <w:t xml:space="preserve">Pharmaceuticals, cosmetics, </w:t>
            </w:r>
            <w:r w:rsidRPr="00E900DB">
              <w:rPr>
                <w:rFonts w:cs="Arial"/>
                <w:szCs w:val="19"/>
                <w:lang w:val="en-GB"/>
              </w:rPr>
              <w:t xml:space="preserve">orthopaedic </w:t>
            </w:r>
            <w:r w:rsidRPr="00E900DB">
              <w:rPr>
                <w:rFonts w:cs="Arial"/>
                <w:szCs w:val="19"/>
                <w:lang w:val="en-US"/>
              </w:rPr>
              <w:t>equipment</w:t>
            </w:r>
          </w:p>
        </w:tc>
        <w:tc>
          <w:tcPr>
            <w:tcW w:w="1162" w:type="dxa"/>
            <w:shd w:val="clear" w:color="auto" w:fill="auto"/>
            <w:vAlign w:val="center"/>
          </w:tcPr>
          <w:p w14:paraId="73235880" w14:textId="3BA6EABA" w:rsidR="00BC0D70" w:rsidRPr="00374327" w:rsidRDefault="00BC0D70" w:rsidP="00BC0D70">
            <w:pPr>
              <w:spacing w:before="0" w:after="0"/>
              <w:jc w:val="right"/>
              <w:rPr>
                <w:rFonts w:cs="Arial"/>
                <w:color w:val="000000"/>
                <w:sz w:val="16"/>
                <w:szCs w:val="16"/>
              </w:rPr>
            </w:pPr>
            <w:r w:rsidRPr="00522630">
              <w:rPr>
                <w:rFonts w:cs="Arial"/>
                <w:color w:val="000000"/>
                <w:szCs w:val="19"/>
              </w:rPr>
              <w:t>79</w:t>
            </w:r>
            <w:r w:rsidR="00D1176D">
              <w:rPr>
                <w:rFonts w:cs="Arial"/>
                <w:color w:val="000000"/>
                <w:szCs w:val="19"/>
              </w:rPr>
              <w:t>.</w:t>
            </w:r>
            <w:r w:rsidRPr="00522630">
              <w:rPr>
                <w:rFonts w:cs="Arial"/>
                <w:color w:val="000000"/>
                <w:szCs w:val="19"/>
              </w:rPr>
              <w:t>0</w:t>
            </w:r>
          </w:p>
        </w:tc>
        <w:tc>
          <w:tcPr>
            <w:tcW w:w="1162" w:type="dxa"/>
            <w:shd w:val="clear" w:color="auto" w:fill="auto"/>
            <w:vAlign w:val="center"/>
          </w:tcPr>
          <w:p w14:paraId="2E072535" w14:textId="7C7EE550" w:rsidR="00BC0D70" w:rsidRPr="00374327" w:rsidRDefault="00BC0D70" w:rsidP="00BC0D70">
            <w:pPr>
              <w:spacing w:before="0" w:after="0"/>
              <w:jc w:val="right"/>
              <w:rPr>
                <w:rFonts w:cs="Arial"/>
                <w:color w:val="000000"/>
                <w:sz w:val="16"/>
                <w:szCs w:val="16"/>
              </w:rPr>
            </w:pPr>
            <w:r w:rsidRPr="00522630">
              <w:rPr>
                <w:rFonts w:cs="Arial"/>
                <w:color w:val="000000"/>
                <w:szCs w:val="19"/>
              </w:rPr>
              <w:t>119</w:t>
            </w:r>
            <w:r w:rsidR="00D1176D">
              <w:rPr>
                <w:rFonts w:cs="Arial"/>
                <w:color w:val="000000"/>
                <w:szCs w:val="19"/>
              </w:rPr>
              <w:t>.</w:t>
            </w:r>
            <w:r w:rsidRPr="00522630">
              <w:rPr>
                <w:rFonts w:cs="Arial"/>
                <w:color w:val="000000"/>
                <w:szCs w:val="19"/>
              </w:rPr>
              <w:t>2</w:t>
            </w:r>
          </w:p>
        </w:tc>
        <w:tc>
          <w:tcPr>
            <w:tcW w:w="1162" w:type="dxa"/>
            <w:shd w:val="clear" w:color="auto" w:fill="auto"/>
            <w:vAlign w:val="center"/>
          </w:tcPr>
          <w:p w14:paraId="632B1BB9" w14:textId="65AF0C60" w:rsidR="00BC0D70" w:rsidRPr="00374327" w:rsidRDefault="00BC0D70" w:rsidP="00BC0D70">
            <w:pPr>
              <w:spacing w:before="0" w:after="0"/>
              <w:jc w:val="right"/>
              <w:rPr>
                <w:rFonts w:cs="Arial"/>
                <w:color w:val="000000"/>
                <w:sz w:val="16"/>
                <w:szCs w:val="16"/>
              </w:rPr>
            </w:pPr>
            <w:r w:rsidRPr="00522630">
              <w:rPr>
                <w:rFonts w:cs="Arial"/>
                <w:color w:val="000000"/>
                <w:szCs w:val="19"/>
              </w:rPr>
              <w:t>79</w:t>
            </w:r>
            <w:r w:rsidR="00D1176D">
              <w:rPr>
                <w:rFonts w:cs="Arial"/>
                <w:color w:val="000000"/>
                <w:szCs w:val="19"/>
              </w:rPr>
              <w:t>.</w:t>
            </w:r>
            <w:r w:rsidRPr="00522630">
              <w:rPr>
                <w:rFonts w:cs="Arial"/>
                <w:color w:val="000000"/>
                <w:szCs w:val="19"/>
              </w:rPr>
              <w:t>2</w:t>
            </w:r>
          </w:p>
        </w:tc>
        <w:tc>
          <w:tcPr>
            <w:tcW w:w="1162" w:type="dxa"/>
            <w:shd w:val="clear" w:color="auto" w:fill="auto"/>
            <w:vAlign w:val="center"/>
          </w:tcPr>
          <w:p w14:paraId="07D36E43" w14:textId="1AA1993A" w:rsidR="00BC0D70" w:rsidRPr="00374327" w:rsidRDefault="00BC0D70" w:rsidP="00BC0D70">
            <w:pPr>
              <w:spacing w:before="0" w:after="0"/>
              <w:jc w:val="right"/>
              <w:rPr>
                <w:rFonts w:cs="Arial"/>
                <w:color w:val="000000"/>
                <w:sz w:val="16"/>
                <w:szCs w:val="16"/>
              </w:rPr>
            </w:pPr>
            <w:r w:rsidRPr="00522630">
              <w:rPr>
                <w:rFonts w:cs="Arial"/>
                <w:color w:val="000000"/>
                <w:szCs w:val="19"/>
              </w:rPr>
              <w:t>121</w:t>
            </w:r>
            <w:r w:rsidR="00D1176D">
              <w:rPr>
                <w:rFonts w:cs="Arial"/>
                <w:color w:val="000000"/>
                <w:szCs w:val="19"/>
              </w:rPr>
              <w:t>.</w:t>
            </w:r>
            <w:r w:rsidRPr="00522630">
              <w:rPr>
                <w:rFonts w:cs="Arial"/>
                <w:color w:val="000000"/>
                <w:szCs w:val="19"/>
              </w:rPr>
              <w:t>3</w:t>
            </w:r>
          </w:p>
        </w:tc>
      </w:tr>
      <w:tr w:rsidR="00BC0D70" w:rsidRPr="00382DAE" w14:paraId="768406DA" w14:textId="77777777" w:rsidTr="008316BD">
        <w:trPr>
          <w:trHeight w:val="424"/>
        </w:trPr>
        <w:tc>
          <w:tcPr>
            <w:tcW w:w="3403" w:type="dxa"/>
            <w:shd w:val="clear" w:color="auto" w:fill="auto"/>
            <w:vAlign w:val="center"/>
            <w:hideMark/>
          </w:tcPr>
          <w:p w14:paraId="23F8D07A" w14:textId="77777777" w:rsidR="00BC0D70" w:rsidRPr="00E900DB" w:rsidRDefault="00BC0D70" w:rsidP="00BC0D70">
            <w:pPr>
              <w:spacing w:before="0" w:after="0" w:line="240" w:lineRule="atLeast"/>
              <w:rPr>
                <w:rFonts w:cs="Arial"/>
                <w:color w:val="000000"/>
                <w:szCs w:val="19"/>
              </w:rPr>
            </w:pPr>
            <w:r w:rsidRPr="00E900DB">
              <w:rPr>
                <w:rFonts w:cs="Arial"/>
                <w:szCs w:val="19"/>
                <w:lang w:val="en-US"/>
              </w:rPr>
              <w:t>Textiles, clothing, footwear</w:t>
            </w:r>
          </w:p>
        </w:tc>
        <w:tc>
          <w:tcPr>
            <w:tcW w:w="1162" w:type="dxa"/>
            <w:shd w:val="clear" w:color="auto" w:fill="auto"/>
            <w:vAlign w:val="center"/>
          </w:tcPr>
          <w:p w14:paraId="1B6296E3" w14:textId="2A084A02" w:rsidR="00BC0D70" w:rsidRPr="00374327" w:rsidRDefault="00BC0D70" w:rsidP="00BC0D70">
            <w:pPr>
              <w:spacing w:before="0" w:after="0"/>
              <w:jc w:val="right"/>
              <w:rPr>
                <w:rFonts w:cs="Arial"/>
                <w:color w:val="000000"/>
                <w:sz w:val="16"/>
                <w:szCs w:val="16"/>
              </w:rPr>
            </w:pPr>
            <w:r w:rsidRPr="00522630">
              <w:rPr>
                <w:rFonts w:cs="Arial"/>
                <w:color w:val="000000"/>
                <w:szCs w:val="19"/>
              </w:rPr>
              <w:t>72</w:t>
            </w:r>
            <w:r w:rsidR="00D1176D">
              <w:rPr>
                <w:rFonts w:cs="Arial"/>
                <w:color w:val="000000"/>
                <w:szCs w:val="19"/>
              </w:rPr>
              <w:t>.</w:t>
            </w:r>
            <w:r w:rsidRPr="00522630">
              <w:rPr>
                <w:rFonts w:cs="Arial"/>
                <w:color w:val="000000"/>
                <w:szCs w:val="19"/>
              </w:rPr>
              <w:t>3</w:t>
            </w:r>
          </w:p>
        </w:tc>
        <w:tc>
          <w:tcPr>
            <w:tcW w:w="1162" w:type="dxa"/>
            <w:shd w:val="clear" w:color="auto" w:fill="auto"/>
            <w:vAlign w:val="center"/>
          </w:tcPr>
          <w:p w14:paraId="30434FA4" w14:textId="72887727" w:rsidR="00BC0D70" w:rsidRPr="00374327" w:rsidRDefault="00BC0D70" w:rsidP="00BC0D70">
            <w:pPr>
              <w:spacing w:before="0" w:after="0"/>
              <w:jc w:val="right"/>
              <w:rPr>
                <w:rFonts w:cs="Arial"/>
                <w:color w:val="000000"/>
                <w:sz w:val="16"/>
                <w:szCs w:val="16"/>
              </w:rPr>
            </w:pPr>
            <w:r w:rsidRPr="00522630">
              <w:rPr>
                <w:rFonts w:cs="Arial"/>
                <w:color w:val="000000"/>
                <w:szCs w:val="19"/>
              </w:rPr>
              <w:t>197</w:t>
            </w:r>
            <w:r w:rsidR="00D1176D">
              <w:rPr>
                <w:rFonts w:cs="Arial"/>
                <w:color w:val="000000"/>
                <w:szCs w:val="19"/>
              </w:rPr>
              <w:t>.</w:t>
            </w:r>
            <w:r w:rsidRPr="00522630">
              <w:rPr>
                <w:rFonts w:cs="Arial"/>
                <w:color w:val="000000"/>
                <w:szCs w:val="19"/>
              </w:rPr>
              <w:t>7</w:t>
            </w:r>
          </w:p>
        </w:tc>
        <w:tc>
          <w:tcPr>
            <w:tcW w:w="1162" w:type="dxa"/>
            <w:shd w:val="clear" w:color="auto" w:fill="auto"/>
            <w:vAlign w:val="center"/>
          </w:tcPr>
          <w:p w14:paraId="215323DE" w14:textId="07B13A18" w:rsidR="00BC0D70" w:rsidRPr="00374327" w:rsidRDefault="00BC0D70" w:rsidP="00BC0D70">
            <w:pPr>
              <w:spacing w:before="0" w:after="0"/>
              <w:jc w:val="right"/>
              <w:rPr>
                <w:rFonts w:cs="Arial"/>
                <w:color w:val="000000"/>
                <w:sz w:val="16"/>
                <w:szCs w:val="16"/>
              </w:rPr>
            </w:pPr>
            <w:r w:rsidRPr="00522630">
              <w:rPr>
                <w:rFonts w:cs="Arial"/>
                <w:color w:val="000000"/>
                <w:szCs w:val="19"/>
              </w:rPr>
              <w:t>70</w:t>
            </w:r>
            <w:r w:rsidR="00D1176D">
              <w:rPr>
                <w:rFonts w:cs="Arial"/>
                <w:color w:val="000000"/>
                <w:szCs w:val="19"/>
              </w:rPr>
              <w:t>.</w:t>
            </w:r>
            <w:r w:rsidRPr="00522630">
              <w:rPr>
                <w:rFonts w:cs="Arial"/>
                <w:color w:val="000000"/>
                <w:szCs w:val="19"/>
              </w:rPr>
              <w:t>4</w:t>
            </w:r>
          </w:p>
        </w:tc>
        <w:tc>
          <w:tcPr>
            <w:tcW w:w="1162" w:type="dxa"/>
            <w:shd w:val="clear" w:color="auto" w:fill="auto"/>
            <w:vAlign w:val="center"/>
          </w:tcPr>
          <w:p w14:paraId="0D93B499" w14:textId="7D643837" w:rsidR="00BC0D70" w:rsidRPr="00374327" w:rsidRDefault="00BC0D70" w:rsidP="00BC0D70">
            <w:pPr>
              <w:spacing w:before="0" w:after="0"/>
              <w:jc w:val="right"/>
              <w:rPr>
                <w:rFonts w:cs="Arial"/>
                <w:color w:val="000000"/>
                <w:sz w:val="16"/>
                <w:szCs w:val="16"/>
              </w:rPr>
            </w:pPr>
            <w:r w:rsidRPr="00522630">
              <w:rPr>
                <w:rFonts w:cs="Arial"/>
                <w:color w:val="000000"/>
                <w:szCs w:val="19"/>
              </w:rPr>
              <w:t>206</w:t>
            </w:r>
            <w:r w:rsidR="00D1176D">
              <w:rPr>
                <w:rFonts w:cs="Arial"/>
                <w:color w:val="000000"/>
                <w:szCs w:val="19"/>
              </w:rPr>
              <w:t>.</w:t>
            </w:r>
            <w:r w:rsidRPr="00522630">
              <w:rPr>
                <w:rFonts w:cs="Arial"/>
                <w:color w:val="000000"/>
                <w:szCs w:val="19"/>
              </w:rPr>
              <w:t>2</w:t>
            </w:r>
          </w:p>
        </w:tc>
      </w:tr>
      <w:tr w:rsidR="00BC0D70" w:rsidRPr="0072538B" w14:paraId="2ED54907" w14:textId="77777777" w:rsidTr="008316BD">
        <w:trPr>
          <w:trHeight w:val="370"/>
        </w:trPr>
        <w:tc>
          <w:tcPr>
            <w:tcW w:w="3403" w:type="dxa"/>
            <w:shd w:val="clear" w:color="auto" w:fill="auto"/>
            <w:vAlign w:val="center"/>
            <w:hideMark/>
          </w:tcPr>
          <w:p w14:paraId="4207DF04" w14:textId="77777777" w:rsidR="00BC0D70" w:rsidRPr="00E900DB" w:rsidRDefault="00BC0D70" w:rsidP="00BC0D70">
            <w:pPr>
              <w:spacing w:before="0" w:after="0" w:line="240" w:lineRule="atLeast"/>
              <w:rPr>
                <w:rFonts w:cs="Arial"/>
                <w:color w:val="000000"/>
                <w:szCs w:val="19"/>
                <w:lang w:val="en-US"/>
              </w:rPr>
            </w:pPr>
            <w:r w:rsidRPr="00E900DB">
              <w:rPr>
                <w:rFonts w:cs="Arial"/>
                <w:szCs w:val="19"/>
                <w:lang w:val="en-US"/>
              </w:rPr>
              <w:t>Furniture, radio, TV and household appliances</w:t>
            </w:r>
          </w:p>
        </w:tc>
        <w:tc>
          <w:tcPr>
            <w:tcW w:w="1162" w:type="dxa"/>
            <w:shd w:val="clear" w:color="auto" w:fill="auto"/>
            <w:vAlign w:val="center"/>
          </w:tcPr>
          <w:p w14:paraId="4303862D" w14:textId="3760F7F8" w:rsidR="00BC0D70" w:rsidRPr="0072538B" w:rsidRDefault="00BC0D70" w:rsidP="00BC0D70">
            <w:pPr>
              <w:spacing w:before="0" w:after="0"/>
              <w:jc w:val="right"/>
              <w:rPr>
                <w:rFonts w:cs="Arial"/>
                <w:color w:val="000000"/>
                <w:sz w:val="16"/>
                <w:szCs w:val="16"/>
                <w:lang w:val="en-GB"/>
              </w:rPr>
            </w:pPr>
            <w:r w:rsidRPr="00522630">
              <w:rPr>
                <w:rFonts w:cs="Arial"/>
                <w:color w:val="000000"/>
                <w:szCs w:val="19"/>
              </w:rPr>
              <w:t>66</w:t>
            </w:r>
            <w:r w:rsidR="00D1176D">
              <w:rPr>
                <w:rFonts w:cs="Arial"/>
                <w:color w:val="000000"/>
                <w:szCs w:val="19"/>
              </w:rPr>
              <w:t>.</w:t>
            </w:r>
            <w:r w:rsidRPr="00522630">
              <w:rPr>
                <w:rFonts w:cs="Arial"/>
                <w:color w:val="000000"/>
                <w:szCs w:val="19"/>
              </w:rPr>
              <w:t>3</w:t>
            </w:r>
          </w:p>
        </w:tc>
        <w:tc>
          <w:tcPr>
            <w:tcW w:w="1162" w:type="dxa"/>
            <w:shd w:val="clear" w:color="auto" w:fill="auto"/>
            <w:vAlign w:val="center"/>
          </w:tcPr>
          <w:p w14:paraId="793F517F" w14:textId="3390CED9" w:rsidR="00BC0D70" w:rsidRPr="0072538B" w:rsidRDefault="00BC0D70" w:rsidP="00BC0D70">
            <w:pPr>
              <w:spacing w:before="0" w:after="0"/>
              <w:jc w:val="right"/>
              <w:rPr>
                <w:rFonts w:cs="Arial"/>
                <w:color w:val="000000"/>
                <w:sz w:val="16"/>
                <w:szCs w:val="16"/>
                <w:lang w:val="en-GB"/>
              </w:rPr>
            </w:pPr>
            <w:r w:rsidRPr="00522630">
              <w:rPr>
                <w:rFonts w:cs="Arial"/>
                <w:color w:val="000000"/>
                <w:szCs w:val="19"/>
              </w:rPr>
              <w:t>99</w:t>
            </w:r>
            <w:r w:rsidR="00D1176D">
              <w:rPr>
                <w:rFonts w:cs="Arial"/>
                <w:color w:val="000000"/>
                <w:szCs w:val="19"/>
              </w:rPr>
              <w:t>.</w:t>
            </w:r>
            <w:r w:rsidRPr="00522630">
              <w:rPr>
                <w:rFonts w:cs="Arial"/>
                <w:color w:val="000000"/>
                <w:szCs w:val="19"/>
              </w:rPr>
              <w:t>6</w:t>
            </w:r>
          </w:p>
        </w:tc>
        <w:tc>
          <w:tcPr>
            <w:tcW w:w="1162" w:type="dxa"/>
            <w:shd w:val="clear" w:color="auto" w:fill="auto"/>
            <w:vAlign w:val="center"/>
          </w:tcPr>
          <w:p w14:paraId="0D267D96" w14:textId="01662B2E" w:rsidR="00BC0D70" w:rsidRPr="0072538B" w:rsidRDefault="00BC0D70" w:rsidP="00BC0D70">
            <w:pPr>
              <w:spacing w:before="0" w:after="0"/>
              <w:jc w:val="right"/>
              <w:rPr>
                <w:rFonts w:cs="Arial"/>
                <w:color w:val="000000"/>
                <w:sz w:val="16"/>
                <w:szCs w:val="16"/>
                <w:lang w:val="en-GB"/>
              </w:rPr>
            </w:pPr>
            <w:r w:rsidRPr="00522630">
              <w:rPr>
                <w:rFonts w:cs="Arial"/>
                <w:color w:val="000000"/>
                <w:szCs w:val="19"/>
              </w:rPr>
              <w:t>67</w:t>
            </w:r>
            <w:r w:rsidR="00D1176D">
              <w:rPr>
                <w:rFonts w:cs="Arial"/>
                <w:color w:val="000000"/>
                <w:szCs w:val="19"/>
              </w:rPr>
              <w:t>.</w:t>
            </w:r>
            <w:r w:rsidRPr="00522630">
              <w:rPr>
                <w:rFonts w:cs="Arial"/>
                <w:color w:val="000000"/>
                <w:szCs w:val="19"/>
              </w:rPr>
              <w:t>2</w:t>
            </w:r>
          </w:p>
        </w:tc>
        <w:tc>
          <w:tcPr>
            <w:tcW w:w="1162" w:type="dxa"/>
            <w:shd w:val="clear" w:color="auto" w:fill="auto"/>
            <w:vAlign w:val="center"/>
          </w:tcPr>
          <w:p w14:paraId="18AC8E21" w14:textId="537D0A02" w:rsidR="00BC0D70" w:rsidRPr="0072538B" w:rsidRDefault="00BC0D70" w:rsidP="00BC0D70">
            <w:pPr>
              <w:spacing w:before="0" w:after="0"/>
              <w:jc w:val="right"/>
              <w:rPr>
                <w:rFonts w:cs="Arial"/>
                <w:color w:val="000000"/>
                <w:sz w:val="16"/>
                <w:szCs w:val="16"/>
                <w:lang w:val="en-GB"/>
              </w:rPr>
            </w:pPr>
            <w:r w:rsidRPr="00522630">
              <w:rPr>
                <w:rFonts w:cs="Arial"/>
                <w:color w:val="000000"/>
                <w:szCs w:val="19"/>
              </w:rPr>
              <w:t>106</w:t>
            </w:r>
            <w:r w:rsidR="00D1176D">
              <w:rPr>
                <w:rFonts w:cs="Arial"/>
                <w:color w:val="000000"/>
                <w:szCs w:val="19"/>
              </w:rPr>
              <w:t>.</w:t>
            </w:r>
            <w:r w:rsidRPr="00522630">
              <w:rPr>
                <w:rFonts w:cs="Arial"/>
                <w:color w:val="000000"/>
                <w:szCs w:val="19"/>
              </w:rPr>
              <w:t>4</w:t>
            </w:r>
          </w:p>
        </w:tc>
      </w:tr>
      <w:tr w:rsidR="00BC0D70" w:rsidRPr="0072538B" w14:paraId="3D7562D3" w14:textId="77777777" w:rsidTr="008316BD">
        <w:trPr>
          <w:trHeight w:val="567"/>
        </w:trPr>
        <w:tc>
          <w:tcPr>
            <w:tcW w:w="3403" w:type="dxa"/>
            <w:shd w:val="clear" w:color="auto" w:fill="auto"/>
            <w:vAlign w:val="center"/>
            <w:hideMark/>
          </w:tcPr>
          <w:p w14:paraId="475F5E7F" w14:textId="77777777" w:rsidR="00BC0D70" w:rsidRPr="00E900DB" w:rsidRDefault="00BC0D70" w:rsidP="00BC0D70">
            <w:pPr>
              <w:spacing w:before="0" w:after="0" w:line="240" w:lineRule="atLeast"/>
              <w:rPr>
                <w:rFonts w:cs="Arial"/>
                <w:color w:val="000000"/>
                <w:szCs w:val="19"/>
                <w:lang w:val="en-US"/>
              </w:rPr>
            </w:pPr>
            <w:r w:rsidRPr="00E900DB">
              <w:rPr>
                <w:rFonts w:cs="Arial"/>
                <w:szCs w:val="19"/>
                <w:lang w:val="en-US"/>
              </w:rPr>
              <w:t>Newspapers, books, other sale in specialized stores</w:t>
            </w:r>
          </w:p>
        </w:tc>
        <w:tc>
          <w:tcPr>
            <w:tcW w:w="1162" w:type="dxa"/>
            <w:shd w:val="clear" w:color="auto" w:fill="auto"/>
            <w:vAlign w:val="center"/>
          </w:tcPr>
          <w:p w14:paraId="30B8F685" w14:textId="4344E8C1" w:rsidR="00BC0D70" w:rsidRPr="0072538B" w:rsidRDefault="00BC0D70" w:rsidP="00BC0D70">
            <w:pPr>
              <w:spacing w:before="0" w:after="0"/>
              <w:jc w:val="right"/>
              <w:rPr>
                <w:rFonts w:cs="Arial"/>
                <w:color w:val="000000"/>
                <w:sz w:val="16"/>
                <w:szCs w:val="16"/>
                <w:lang w:val="en-GB"/>
              </w:rPr>
            </w:pPr>
            <w:r w:rsidRPr="00522630">
              <w:rPr>
                <w:rFonts w:cs="Arial"/>
                <w:color w:val="000000"/>
                <w:szCs w:val="19"/>
              </w:rPr>
              <w:t>58</w:t>
            </w:r>
            <w:r w:rsidR="00D1176D">
              <w:rPr>
                <w:rFonts w:cs="Arial"/>
                <w:color w:val="000000"/>
                <w:szCs w:val="19"/>
              </w:rPr>
              <w:t>.</w:t>
            </w:r>
            <w:r w:rsidRPr="00522630">
              <w:rPr>
                <w:rFonts w:cs="Arial"/>
                <w:color w:val="000000"/>
                <w:szCs w:val="19"/>
              </w:rPr>
              <w:t>5</w:t>
            </w:r>
          </w:p>
        </w:tc>
        <w:tc>
          <w:tcPr>
            <w:tcW w:w="1162" w:type="dxa"/>
            <w:shd w:val="clear" w:color="auto" w:fill="auto"/>
            <w:vAlign w:val="center"/>
          </w:tcPr>
          <w:p w14:paraId="42D611A0" w14:textId="4BCB0E43" w:rsidR="00BC0D70" w:rsidRPr="0072538B" w:rsidRDefault="00BC0D70" w:rsidP="00BC0D70">
            <w:pPr>
              <w:spacing w:before="0" w:after="0"/>
              <w:jc w:val="right"/>
              <w:rPr>
                <w:rFonts w:cs="Arial"/>
                <w:color w:val="000000"/>
                <w:sz w:val="16"/>
                <w:szCs w:val="16"/>
                <w:lang w:val="en-GB"/>
              </w:rPr>
            </w:pPr>
            <w:r w:rsidRPr="00522630">
              <w:rPr>
                <w:rFonts w:cs="Arial"/>
                <w:color w:val="000000"/>
                <w:szCs w:val="19"/>
              </w:rPr>
              <w:t>117</w:t>
            </w:r>
            <w:r w:rsidR="00D1176D">
              <w:rPr>
                <w:rFonts w:cs="Arial"/>
                <w:color w:val="000000"/>
                <w:szCs w:val="19"/>
              </w:rPr>
              <w:t>.</w:t>
            </w:r>
            <w:r w:rsidRPr="00522630">
              <w:rPr>
                <w:rFonts w:cs="Arial"/>
                <w:color w:val="000000"/>
                <w:szCs w:val="19"/>
              </w:rPr>
              <w:t>5</w:t>
            </w:r>
          </w:p>
        </w:tc>
        <w:tc>
          <w:tcPr>
            <w:tcW w:w="1162" w:type="dxa"/>
            <w:shd w:val="clear" w:color="auto" w:fill="auto"/>
            <w:vAlign w:val="center"/>
          </w:tcPr>
          <w:p w14:paraId="296F01A4" w14:textId="7412711E" w:rsidR="00BC0D70" w:rsidRPr="0072538B" w:rsidRDefault="00BC0D70" w:rsidP="00BC0D70">
            <w:pPr>
              <w:spacing w:before="0" w:after="0"/>
              <w:jc w:val="right"/>
              <w:rPr>
                <w:rFonts w:cs="Arial"/>
                <w:color w:val="000000"/>
                <w:sz w:val="16"/>
                <w:szCs w:val="16"/>
                <w:lang w:val="en-GB"/>
              </w:rPr>
            </w:pPr>
            <w:r w:rsidRPr="00522630">
              <w:rPr>
                <w:rFonts w:cs="Arial"/>
                <w:color w:val="000000"/>
                <w:szCs w:val="19"/>
              </w:rPr>
              <w:t>58</w:t>
            </w:r>
            <w:r w:rsidR="00D1176D">
              <w:rPr>
                <w:rFonts w:cs="Arial"/>
                <w:color w:val="000000"/>
                <w:szCs w:val="19"/>
              </w:rPr>
              <w:t>.</w:t>
            </w:r>
            <w:r w:rsidRPr="00522630">
              <w:rPr>
                <w:rFonts w:cs="Arial"/>
                <w:color w:val="000000"/>
                <w:szCs w:val="19"/>
              </w:rPr>
              <w:t>5</w:t>
            </w:r>
          </w:p>
        </w:tc>
        <w:tc>
          <w:tcPr>
            <w:tcW w:w="1162" w:type="dxa"/>
            <w:shd w:val="clear" w:color="auto" w:fill="auto"/>
            <w:vAlign w:val="center"/>
          </w:tcPr>
          <w:p w14:paraId="229EB43E" w14:textId="374A06C5" w:rsidR="00BC0D70" w:rsidRPr="0072538B" w:rsidRDefault="00BC0D70" w:rsidP="00BC0D70">
            <w:pPr>
              <w:spacing w:before="0" w:after="0"/>
              <w:jc w:val="right"/>
              <w:rPr>
                <w:rFonts w:cs="Arial"/>
                <w:color w:val="000000"/>
                <w:sz w:val="16"/>
                <w:szCs w:val="16"/>
                <w:lang w:val="en-GB"/>
              </w:rPr>
            </w:pPr>
            <w:r w:rsidRPr="00522630">
              <w:rPr>
                <w:rFonts w:cs="Arial"/>
                <w:color w:val="000000"/>
                <w:szCs w:val="19"/>
              </w:rPr>
              <w:t>123</w:t>
            </w:r>
            <w:r w:rsidR="00D1176D">
              <w:rPr>
                <w:rFonts w:cs="Arial"/>
                <w:color w:val="000000"/>
                <w:szCs w:val="19"/>
              </w:rPr>
              <w:t>.</w:t>
            </w:r>
            <w:r w:rsidRPr="00522630">
              <w:rPr>
                <w:rFonts w:cs="Arial"/>
                <w:color w:val="000000"/>
                <w:szCs w:val="19"/>
              </w:rPr>
              <w:t>3</w:t>
            </w:r>
          </w:p>
        </w:tc>
      </w:tr>
      <w:tr w:rsidR="00BC0D70" w:rsidRPr="00382DAE" w14:paraId="3FCDDBF2" w14:textId="77777777" w:rsidTr="008316BD">
        <w:trPr>
          <w:trHeight w:val="369"/>
        </w:trPr>
        <w:tc>
          <w:tcPr>
            <w:tcW w:w="3403" w:type="dxa"/>
            <w:tcBorders>
              <w:bottom w:val="nil"/>
            </w:tcBorders>
            <w:shd w:val="clear" w:color="auto" w:fill="auto"/>
            <w:vAlign w:val="center"/>
            <w:hideMark/>
          </w:tcPr>
          <w:p w14:paraId="5B5D0A3F" w14:textId="77777777" w:rsidR="00BC0D70" w:rsidRPr="00E900DB" w:rsidRDefault="00BC0D70" w:rsidP="00BC0D70">
            <w:pPr>
              <w:spacing w:before="0" w:after="0" w:line="240" w:lineRule="atLeast"/>
              <w:rPr>
                <w:rFonts w:cs="Arial"/>
                <w:color w:val="000000"/>
                <w:szCs w:val="19"/>
              </w:rPr>
            </w:pPr>
            <w:r w:rsidRPr="00E900DB">
              <w:rPr>
                <w:rFonts w:cs="Arial"/>
                <w:szCs w:val="19"/>
                <w:lang w:val="en-US"/>
              </w:rPr>
              <w:t>Others</w:t>
            </w:r>
          </w:p>
        </w:tc>
        <w:tc>
          <w:tcPr>
            <w:tcW w:w="1162" w:type="dxa"/>
            <w:tcBorders>
              <w:bottom w:val="nil"/>
            </w:tcBorders>
            <w:shd w:val="clear" w:color="auto" w:fill="auto"/>
            <w:vAlign w:val="center"/>
          </w:tcPr>
          <w:p w14:paraId="1B5F0BAC" w14:textId="76290DDC" w:rsidR="00BC0D70" w:rsidRPr="00374327" w:rsidRDefault="00BC0D70" w:rsidP="00BC0D70">
            <w:pPr>
              <w:spacing w:before="0" w:after="0"/>
              <w:jc w:val="right"/>
              <w:rPr>
                <w:rFonts w:cs="Arial"/>
                <w:color w:val="000000"/>
                <w:sz w:val="16"/>
                <w:szCs w:val="16"/>
              </w:rPr>
            </w:pPr>
            <w:r w:rsidRPr="00522630">
              <w:rPr>
                <w:rFonts w:cs="Arial"/>
                <w:color w:val="000000"/>
                <w:szCs w:val="19"/>
              </w:rPr>
              <w:t>78</w:t>
            </w:r>
            <w:r w:rsidR="00D1176D">
              <w:rPr>
                <w:rFonts w:cs="Arial"/>
                <w:color w:val="000000"/>
                <w:szCs w:val="19"/>
              </w:rPr>
              <w:t>.</w:t>
            </w:r>
            <w:r w:rsidRPr="00522630">
              <w:rPr>
                <w:rFonts w:cs="Arial"/>
                <w:color w:val="000000"/>
                <w:szCs w:val="19"/>
              </w:rPr>
              <w:t>4</w:t>
            </w:r>
          </w:p>
        </w:tc>
        <w:tc>
          <w:tcPr>
            <w:tcW w:w="1162" w:type="dxa"/>
            <w:tcBorders>
              <w:bottom w:val="nil"/>
            </w:tcBorders>
            <w:shd w:val="clear" w:color="auto" w:fill="auto"/>
            <w:vAlign w:val="center"/>
          </w:tcPr>
          <w:p w14:paraId="284F97D5" w14:textId="3628C693" w:rsidR="00BC0D70" w:rsidRPr="00374327" w:rsidRDefault="00BC0D70" w:rsidP="00BC0D70">
            <w:pPr>
              <w:spacing w:before="0" w:after="0"/>
              <w:jc w:val="right"/>
              <w:rPr>
                <w:rFonts w:cs="Arial"/>
                <w:color w:val="000000"/>
                <w:sz w:val="16"/>
                <w:szCs w:val="16"/>
              </w:rPr>
            </w:pPr>
            <w:r w:rsidRPr="00522630">
              <w:rPr>
                <w:rFonts w:cs="Arial"/>
                <w:color w:val="000000"/>
                <w:szCs w:val="19"/>
              </w:rPr>
              <w:t>124</w:t>
            </w:r>
            <w:r w:rsidR="00D1176D">
              <w:rPr>
                <w:rFonts w:cs="Arial"/>
                <w:color w:val="000000"/>
                <w:szCs w:val="19"/>
              </w:rPr>
              <w:t>.</w:t>
            </w:r>
            <w:r w:rsidRPr="00522630">
              <w:rPr>
                <w:rFonts w:cs="Arial"/>
                <w:color w:val="000000"/>
                <w:szCs w:val="19"/>
              </w:rPr>
              <w:t>4</w:t>
            </w:r>
          </w:p>
        </w:tc>
        <w:tc>
          <w:tcPr>
            <w:tcW w:w="1162" w:type="dxa"/>
            <w:tcBorders>
              <w:bottom w:val="nil"/>
            </w:tcBorders>
            <w:shd w:val="clear" w:color="auto" w:fill="auto"/>
            <w:vAlign w:val="center"/>
          </w:tcPr>
          <w:p w14:paraId="108091C3" w14:textId="18A08E06" w:rsidR="00BC0D70" w:rsidRPr="00374327" w:rsidRDefault="00BC0D70" w:rsidP="00BC0D70">
            <w:pPr>
              <w:spacing w:before="0" w:after="0"/>
              <w:jc w:val="right"/>
              <w:rPr>
                <w:rFonts w:cs="Arial"/>
                <w:color w:val="000000"/>
                <w:sz w:val="16"/>
                <w:szCs w:val="16"/>
              </w:rPr>
            </w:pPr>
            <w:r w:rsidRPr="00522630">
              <w:rPr>
                <w:rFonts w:cs="Arial"/>
                <w:color w:val="000000"/>
                <w:szCs w:val="19"/>
              </w:rPr>
              <w:t>78</w:t>
            </w:r>
            <w:r w:rsidR="00D1176D">
              <w:rPr>
                <w:rFonts w:cs="Arial"/>
                <w:color w:val="000000"/>
                <w:szCs w:val="19"/>
              </w:rPr>
              <w:t>.</w:t>
            </w:r>
            <w:r w:rsidRPr="00522630">
              <w:rPr>
                <w:rFonts w:cs="Arial"/>
                <w:color w:val="000000"/>
                <w:szCs w:val="19"/>
              </w:rPr>
              <w:t>9</w:t>
            </w:r>
          </w:p>
        </w:tc>
        <w:tc>
          <w:tcPr>
            <w:tcW w:w="1162" w:type="dxa"/>
            <w:tcBorders>
              <w:bottom w:val="nil"/>
            </w:tcBorders>
            <w:shd w:val="clear" w:color="auto" w:fill="auto"/>
            <w:vAlign w:val="center"/>
          </w:tcPr>
          <w:p w14:paraId="2F648EFA" w14:textId="4B7E3398" w:rsidR="00BC0D70" w:rsidRPr="00374327" w:rsidRDefault="00BC0D70" w:rsidP="00BC0D70">
            <w:pPr>
              <w:spacing w:before="0" w:after="0"/>
              <w:jc w:val="right"/>
              <w:rPr>
                <w:rFonts w:cs="Arial"/>
                <w:color w:val="000000"/>
                <w:sz w:val="16"/>
                <w:szCs w:val="16"/>
              </w:rPr>
            </w:pPr>
            <w:r w:rsidRPr="00522630">
              <w:rPr>
                <w:rFonts w:cs="Arial"/>
                <w:color w:val="000000"/>
                <w:szCs w:val="19"/>
              </w:rPr>
              <w:t>131</w:t>
            </w:r>
            <w:r w:rsidR="00D1176D">
              <w:rPr>
                <w:rFonts w:cs="Arial"/>
                <w:color w:val="000000"/>
                <w:szCs w:val="19"/>
              </w:rPr>
              <w:t>.</w:t>
            </w:r>
            <w:r w:rsidRPr="00522630">
              <w:rPr>
                <w:rFonts w:cs="Arial"/>
                <w:color w:val="000000"/>
                <w:szCs w:val="19"/>
              </w:rPr>
              <w:t>4</w:t>
            </w:r>
          </w:p>
        </w:tc>
      </w:tr>
    </w:tbl>
    <w:p w14:paraId="45F9032A" w14:textId="68466DAD" w:rsidR="003A57EB" w:rsidRPr="00866BF0" w:rsidRDefault="003A57EB" w:rsidP="00866BF0">
      <w:pPr>
        <w:spacing w:after="240"/>
        <w:rPr>
          <w:rStyle w:val="tlid-translation"/>
          <w:sz w:val="16"/>
          <w:szCs w:val="16"/>
          <w:lang w:val="en"/>
        </w:rPr>
      </w:pPr>
      <w:r w:rsidRPr="00866BF0">
        <w:rPr>
          <w:sz w:val="16"/>
          <w:szCs w:val="16"/>
          <w:lang w:val="en-US" w:eastAsia="pl-PL"/>
        </w:rPr>
        <w:t xml:space="preserve">(.) </w:t>
      </w:r>
      <w:r w:rsidRPr="00866BF0">
        <w:rPr>
          <w:rStyle w:val="tlid-translation"/>
          <w:sz w:val="16"/>
          <w:szCs w:val="16"/>
          <w:lang w:val="en"/>
        </w:rPr>
        <w:t>Data not available, classified data (statistical confidentiality) or providing data impossible</w:t>
      </w:r>
      <w:r w:rsidR="00866BF0" w:rsidRPr="00866BF0">
        <w:rPr>
          <w:rStyle w:val="tlid-translation"/>
          <w:sz w:val="16"/>
          <w:szCs w:val="16"/>
          <w:lang w:val="en"/>
        </w:rPr>
        <w:t xml:space="preserve"> </w:t>
      </w:r>
      <w:r w:rsidRPr="00866BF0">
        <w:rPr>
          <w:rStyle w:val="tlid-translation"/>
          <w:sz w:val="16"/>
          <w:szCs w:val="16"/>
          <w:lang w:val="en"/>
        </w:rPr>
        <w:t>or purposeless</w:t>
      </w:r>
    </w:p>
    <w:p w14:paraId="41F1ADD4" w14:textId="70013895" w:rsidR="00CD0C51" w:rsidRPr="002C7C66" w:rsidRDefault="00CD0C51" w:rsidP="00866BF0">
      <w:pPr>
        <w:pStyle w:val="tytuwykresu"/>
        <w:spacing w:before="360"/>
        <w:ind w:left="709" w:hanging="709"/>
        <w:rPr>
          <w:szCs w:val="18"/>
          <w:shd w:val="clear" w:color="auto" w:fill="FFFFFF"/>
          <w:lang w:val="en-US"/>
        </w:rPr>
      </w:pPr>
      <w:r w:rsidRPr="002C7C66">
        <w:rPr>
          <w:szCs w:val="18"/>
          <w:lang w:val="en-US"/>
        </w:rPr>
        <w:t>Chart 2.</w:t>
      </w:r>
      <w:r w:rsidRPr="002C7C66">
        <w:rPr>
          <w:szCs w:val="18"/>
          <w:shd w:val="clear" w:color="auto" w:fill="FFFFFF"/>
          <w:lang w:val="en-US"/>
        </w:rPr>
        <w:t xml:space="preserve">  Retail sales of goods in </w:t>
      </w:r>
      <w:r w:rsidR="007B09B2" w:rsidRPr="002C7C66">
        <w:rPr>
          <w:szCs w:val="18"/>
          <w:shd w:val="clear" w:color="auto" w:fill="FFFFFF"/>
          <w:lang w:val="en-US"/>
        </w:rPr>
        <w:t>January</w:t>
      </w:r>
      <w:r w:rsidRPr="002C7C66">
        <w:rPr>
          <w:szCs w:val="18"/>
          <w:shd w:val="clear" w:color="auto" w:fill="FFFFFF"/>
          <w:lang w:val="en-US"/>
        </w:rPr>
        <w:t xml:space="preserve"> 202</w:t>
      </w:r>
      <w:r w:rsidR="007B09B2" w:rsidRPr="002C7C66">
        <w:rPr>
          <w:szCs w:val="18"/>
          <w:shd w:val="clear" w:color="auto" w:fill="FFFFFF"/>
          <w:lang w:val="en-US"/>
        </w:rPr>
        <w:t>2</w:t>
      </w:r>
      <w:r w:rsidRPr="002C7C66">
        <w:rPr>
          <w:rFonts w:cs="Arial"/>
          <w:b w:val="0"/>
          <w:szCs w:val="18"/>
          <w:lang w:val="en-US"/>
        </w:rPr>
        <w:t xml:space="preserve"> </w:t>
      </w:r>
      <w:r w:rsidRPr="002C7C66">
        <w:rPr>
          <w:rFonts w:cs="Arial"/>
          <w:szCs w:val="18"/>
          <w:lang w:val="en-US"/>
        </w:rPr>
        <w:t xml:space="preserve">by type of enterprise activity </w:t>
      </w:r>
      <w:r w:rsidRPr="002C7C66">
        <w:rPr>
          <w:szCs w:val="18"/>
          <w:shd w:val="clear" w:color="auto" w:fill="FFFFFF"/>
          <w:lang w:val="en-US"/>
        </w:rPr>
        <w:t>(constant prices) – corresponding period of previous year=100</w:t>
      </w:r>
    </w:p>
    <w:p w14:paraId="2D24EA22" w14:textId="7A399C21" w:rsidR="008A549C" w:rsidRDefault="006E3A93" w:rsidP="00966C9A">
      <w:pPr>
        <w:pStyle w:val="Tablicanotka"/>
        <w:rPr>
          <w:lang w:val="en-GB"/>
        </w:rPr>
      </w:pPr>
      <w:r w:rsidRPr="00BC695C">
        <w:rPr>
          <w:color w:val="339D68"/>
          <w:lang w:eastAsia="pl-PL"/>
        </w:rPr>
        <w:drawing>
          <wp:anchor distT="0" distB="0" distL="114300" distR="114300" simplePos="0" relativeHeight="251772928" behindDoc="0" locked="0" layoutInCell="1" allowOverlap="1" wp14:anchorId="0F278518" wp14:editId="5342F2EF">
            <wp:simplePos x="0" y="0"/>
            <wp:positionH relativeFrom="margin">
              <wp:posOffset>0</wp:posOffset>
            </wp:positionH>
            <wp:positionV relativeFrom="margin">
              <wp:posOffset>5201285</wp:posOffset>
            </wp:positionV>
            <wp:extent cx="5166360" cy="2724150"/>
            <wp:effectExtent l="0" t="0" r="0" b="0"/>
            <wp:wrapSquare wrapText="bothSides"/>
            <wp:docPr id="4" name="Wykres 4" descr="Chart 2. Retail sales of goods in January 2022 by type of enterprise activity (constant prices) - corresponding period of previous year=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6E77F0F1" w14:textId="3DF35F0E" w:rsidR="006E3A93" w:rsidRDefault="006E3A93" w:rsidP="00966C9A">
      <w:pPr>
        <w:pStyle w:val="Tablicanotka"/>
        <w:rPr>
          <w:lang w:val="en-GB"/>
        </w:rPr>
      </w:pPr>
    </w:p>
    <w:p w14:paraId="5215E5B4" w14:textId="77777777" w:rsidR="006E3A93" w:rsidRDefault="006E3A93" w:rsidP="008F49B1">
      <w:pPr>
        <w:spacing w:before="0" w:after="160" w:line="259" w:lineRule="auto"/>
        <w:rPr>
          <w:b/>
          <w:szCs w:val="23"/>
          <w:lang w:val="en-US"/>
        </w:rPr>
      </w:pPr>
    </w:p>
    <w:p w14:paraId="5DB8F3B8" w14:textId="77777777" w:rsidR="006E3A93" w:rsidRDefault="006E3A93" w:rsidP="008F49B1">
      <w:pPr>
        <w:spacing w:before="0" w:after="160" w:line="259" w:lineRule="auto"/>
        <w:rPr>
          <w:b/>
          <w:szCs w:val="23"/>
          <w:lang w:val="en-US"/>
        </w:rPr>
      </w:pPr>
    </w:p>
    <w:p w14:paraId="43A39DEF" w14:textId="2D1A1C35" w:rsidR="008F49B1" w:rsidRPr="008367E8" w:rsidRDefault="001B2F9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w:lastRenderedPageBreak/>
        <mc:AlternateContent>
          <mc:Choice Requires="wps">
            <w:drawing>
              <wp:anchor distT="45720" distB="45720" distL="114300" distR="114300" simplePos="0" relativeHeight="251769856" behindDoc="1" locked="0" layoutInCell="1" allowOverlap="1" wp14:anchorId="76EEB0AA" wp14:editId="70D72A77">
                <wp:simplePos x="0" y="0"/>
                <wp:positionH relativeFrom="page">
                  <wp:posOffset>5676265</wp:posOffset>
                </wp:positionH>
                <wp:positionV relativeFrom="paragraph">
                  <wp:posOffset>117475</wp:posOffset>
                </wp:positionV>
                <wp:extent cx="1774825" cy="951230"/>
                <wp:effectExtent l="0" t="0" r="0" b="1270"/>
                <wp:wrapTight wrapText="bothSides">
                  <wp:wrapPolygon edited="0">
                    <wp:start x="696" y="0"/>
                    <wp:lineTo x="696" y="21196"/>
                    <wp:lineTo x="20866" y="21196"/>
                    <wp:lineTo x="20866" y="0"/>
                    <wp:lineTo x="696" y="0"/>
                  </wp:wrapPolygon>
                </wp:wrapTight>
                <wp:docPr id="3" name="Pole tekstowe 2" descr="In January 2022, there was an increase of 3.6% in retail sales seasonally adjusted in comparison with December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951230"/>
                        </a:xfrm>
                        <a:prstGeom prst="rect">
                          <a:avLst/>
                        </a:prstGeom>
                        <a:noFill/>
                        <a:ln w="9525">
                          <a:noFill/>
                          <a:miter lim="800000"/>
                          <a:headEnd/>
                          <a:tailEnd/>
                        </a:ln>
                      </wps:spPr>
                      <wps:txbx>
                        <w:txbxContent>
                          <w:p w14:paraId="23D77034" w14:textId="421657DC" w:rsidR="008F49B1" w:rsidRPr="003D0EDA" w:rsidRDefault="008F49B1" w:rsidP="008F49B1">
                            <w:pPr>
                              <w:pStyle w:val="tekstzboku"/>
                              <w:rPr>
                                <w:lang w:val="en-US"/>
                              </w:rPr>
                            </w:pPr>
                            <w:r w:rsidRPr="007725C8">
                              <w:rPr>
                                <w:rFonts w:cs="Arial"/>
                                <w:lang w:val="en-US"/>
                              </w:rPr>
                              <w:t>In</w:t>
                            </w:r>
                            <w:r>
                              <w:rPr>
                                <w:rFonts w:cs="Arial"/>
                                <w:lang w:val="en-US"/>
                              </w:rPr>
                              <w:t xml:space="preserve"> </w:t>
                            </w:r>
                            <w:r w:rsidR="001B2F98">
                              <w:rPr>
                                <w:rFonts w:cs="Arial"/>
                                <w:lang w:val="en-US"/>
                              </w:rPr>
                              <w:t xml:space="preserve">January </w:t>
                            </w:r>
                            <w:r>
                              <w:rPr>
                                <w:rFonts w:cs="Arial"/>
                                <w:lang w:val="en-US"/>
                              </w:rPr>
                              <w:t>202</w:t>
                            </w:r>
                            <w:r w:rsidR="001B2F98">
                              <w:rPr>
                                <w:rFonts w:cs="Arial"/>
                                <w:lang w:val="en-US"/>
                              </w:rPr>
                              <w:t>2</w:t>
                            </w:r>
                            <w:r>
                              <w:rPr>
                                <w:rFonts w:cs="Arial"/>
                                <w:lang w:val="en-US"/>
                              </w:rPr>
                              <w:t xml:space="preserve">, there was </w:t>
                            </w:r>
                            <w:r w:rsidRPr="00074CD7">
                              <w:rPr>
                                <w:rFonts w:cs="Arial"/>
                                <w:lang w:val="en-US"/>
                              </w:rPr>
                              <w:t>a</w:t>
                            </w:r>
                            <w:r w:rsidR="001B2F98" w:rsidRPr="00074CD7">
                              <w:rPr>
                                <w:rFonts w:cs="Arial"/>
                                <w:lang w:val="en-US"/>
                              </w:rPr>
                              <w:t>n</w:t>
                            </w:r>
                            <w:r w:rsidRPr="00074CD7">
                              <w:rPr>
                                <w:rFonts w:cs="Arial"/>
                                <w:lang w:val="en-US"/>
                              </w:rPr>
                              <w:t> </w:t>
                            </w:r>
                            <w:r w:rsidR="001B2F98" w:rsidRPr="00074CD7">
                              <w:rPr>
                                <w:rFonts w:cs="Arial"/>
                                <w:lang w:val="en-US"/>
                              </w:rPr>
                              <w:t>in</w:t>
                            </w:r>
                            <w:r w:rsidRPr="00074CD7">
                              <w:rPr>
                                <w:rFonts w:cs="Arial"/>
                                <w:lang w:val="en-US"/>
                              </w:rPr>
                              <w:t>crease of 3.</w:t>
                            </w:r>
                            <w:r w:rsidR="001B2F98" w:rsidRPr="00074CD7">
                              <w:rPr>
                                <w:rFonts w:cs="Arial"/>
                                <w:lang w:val="en-US"/>
                              </w:rPr>
                              <w:t>6</w:t>
                            </w:r>
                            <w:r w:rsidRPr="00074CD7">
                              <w:rPr>
                                <w:rFonts w:cs="Arial"/>
                                <w:lang w:val="en-US"/>
                              </w:rPr>
                              <w:t>% in retail sales seasonally</w:t>
                            </w:r>
                            <w:r>
                              <w:rPr>
                                <w:rFonts w:cs="Arial"/>
                                <w:lang w:val="en-US"/>
                              </w:rPr>
                              <w:t xml:space="preserve"> adjusted in comparison with </w:t>
                            </w:r>
                            <w:r w:rsidR="001B2F98">
                              <w:rPr>
                                <w:rFonts w:cs="Arial"/>
                                <w:lang w:val="en-US"/>
                              </w:rPr>
                              <w:t>Dece</w:t>
                            </w:r>
                            <w:r>
                              <w:rPr>
                                <w:rFonts w:cs="Arial"/>
                                <w:lang w:val="en-US"/>
                              </w:rPr>
                              <w:t>mber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B0AA" id="_x0000_s1028" type="#_x0000_t202" alt="In January 2022, there was an increase of 3.6% in retail sales seasonally adjusted in comparison with December 2021" style="position:absolute;margin-left:446.95pt;margin-top:9.25pt;width:139.75pt;height:74.9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" filled="f" stroked="f">
                <v:textbox>
                  <w:txbxContent>
                    <w:p w14:paraId="23D77034" w14:textId="421657DC" w:rsidR="008F49B1" w:rsidRPr="003D0EDA" w:rsidRDefault="008F49B1" w:rsidP="008F49B1">
                      <w:pPr>
                        <w:pStyle w:val="tekstzboku"/>
                        <w:rPr>
                          <w:lang w:val="en-US"/>
                        </w:rPr>
                      </w:pPr>
                      <w:r w:rsidRPr="007725C8">
                        <w:rPr>
                          <w:rFonts w:cs="Arial"/>
                          <w:lang w:val="en-US"/>
                        </w:rPr>
                        <w:t>In</w:t>
                      </w:r>
                      <w:r>
                        <w:rPr>
                          <w:rFonts w:cs="Arial"/>
                          <w:lang w:val="en-US"/>
                        </w:rPr>
                        <w:t xml:space="preserve"> </w:t>
                      </w:r>
                      <w:r w:rsidR="001B2F98">
                        <w:rPr>
                          <w:rFonts w:cs="Arial"/>
                          <w:lang w:val="en-US"/>
                        </w:rPr>
                        <w:t xml:space="preserve">January </w:t>
                      </w:r>
                      <w:r>
                        <w:rPr>
                          <w:rFonts w:cs="Arial"/>
                          <w:lang w:val="en-US"/>
                        </w:rPr>
                        <w:t>202</w:t>
                      </w:r>
                      <w:r w:rsidR="001B2F98">
                        <w:rPr>
                          <w:rFonts w:cs="Arial"/>
                          <w:lang w:val="en-US"/>
                        </w:rPr>
                        <w:t>2</w:t>
                      </w:r>
                      <w:r>
                        <w:rPr>
                          <w:rFonts w:cs="Arial"/>
                          <w:lang w:val="en-US"/>
                        </w:rPr>
                        <w:t xml:space="preserve">, there was </w:t>
                      </w:r>
                      <w:r w:rsidRPr="00074CD7">
                        <w:rPr>
                          <w:rFonts w:cs="Arial"/>
                          <w:lang w:val="en-US"/>
                        </w:rPr>
                        <w:t>a</w:t>
                      </w:r>
                      <w:r w:rsidR="001B2F98" w:rsidRPr="00074CD7">
                        <w:rPr>
                          <w:rFonts w:cs="Arial"/>
                          <w:lang w:val="en-US"/>
                        </w:rPr>
                        <w:t>n</w:t>
                      </w:r>
                      <w:r w:rsidRPr="00074CD7">
                        <w:rPr>
                          <w:rFonts w:cs="Arial"/>
                          <w:lang w:val="en-US"/>
                        </w:rPr>
                        <w:t> </w:t>
                      </w:r>
                      <w:r w:rsidR="001B2F98" w:rsidRPr="00074CD7">
                        <w:rPr>
                          <w:rFonts w:cs="Arial"/>
                          <w:lang w:val="en-US"/>
                        </w:rPr>
                        <w:t>in</w:t>
                      </w:r>
                      <w:r w:rsidRPr="00074CD7">
                        <w:rPr>
                          <w:rFonts w:cs="Arial"/>
                          <w:lang w:val="en-US"/>
                        </w:rPr>
                        <w:t>crease of 3.</w:t>
                      </w:r>
                      <w:r w:rsidR="001B2F98" w:rsidRPr="00074CD7">
                        <w:rPr>
                          <w:rFonts w:cs="Arial"/>
                          <w:lang w:val="en-US"/>
                        </w:rPr>
                        <w:t>6</w:t>
                      </w:r>
                      <w:r w:rsidRPr="00074CD7">
                        <w:rPr>
                          <w:rFonts w:cs="Arial"/>
                          <w:lang w:val="en-US"/>
                        </w:rPr>
                        <w:t>% in retail sales seasonally</w:t>
                      </w:r>
                      <w:r>
                        <w:rPr>
                          <w:rFonts w:cs="Arial"/>
                          <w:lang w:val="en-US"/>
                        </w:rPr>
                        <w:t xml:space="preserve"> adjusted in comparison with </w:t>
                      </w:r>
                      <w:r w:rsidR="001B2F98">
                        <w:rPr>
                          <w:rFonts w:cs="Arial"/>
                          <w:lang w:val="en-US"/>
                        </w:rPr>
                        <w:t>Dece</w:t>
                      </w:r>
                      <w:r>
                        <w:rPr>
                          <w:rFonts w:cs="Arial"/>
                          <w:lang w:val="en-US"/>
                        </w:rPr>
                        <w:t>mber 2021</w:t>
                      </w:r>
                    </w:p>
                  </w:txbxContent>
                </v:textbox>
                <w10:wrap type="tight" anchorx="page"/>
              </v:shape>
            </w:pict>
          </mc:Fallback>
        </mc:AlternateContent>
      </w:r>
      <w:r w:rsidR="008F49B1" w:rsidRPr="008367E8">
        <w:rPr>
          <w:b/>
          <w:color w:val="002060"/>
          <w:szCs w:val="23"/>
          <w:lang w:val="en-US"/>
        </w:rPr>
        <w:t>Retail sales seasonally adjusted</w:t>
      </w:r>
    </w:p>
    <w:p w14:paraId="1A0B8A72" w14:textId="5687F3A8"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1B2F98">
        <w:rPr>
          <w:rFonts w:eastAsia="Fira Sans Light" w:cs="Times New Roman"/>
          <w:szCs w:val="23"/>
          <w:lang w:val="en-US"/>
        </w:rPr>
        <w:t xml:space="preserve">January </w:t>
      </w:r>
      <w:r w:rsidRPr="002B0592">
        <w:rPr>
          <w:rFonts w:eastAsia="Fira Sans Light" w:cs="Times New Roman"/>
          <w:szCs w:val="23"/>
          <w:lang w:val="en-US"/>
        </w:rPr>
        <w:t>202</w:t>
      </w:r>
      <w:r w:rsidR="001B2F98">
        <w:rPr>
          <w:rFonts w:eastAsia="Fira Sans Light" w:cs="Times New Roman"/>
          <w:szCs w:val="23"/>
          <w:lang w:val="en-US"/>
        </w:rPr>
        <w:t>2</w:t>
      </w:r>
      <w:r w:rsidRPr="002B0592">
        <w:rPr>
          <w:rFonts w:eastAsia="Fira Sans Light" w:cs="Times New Roman"/>
          <w:szCs w:val="23"/>
          <w:lang w:val="en-US"/>
        </w:rPr>
        <w:t xml:space="preserve"> were by 3.</w:t>
      </w:r>
      <w:r w:rsidR="001B2F98">
        <w:rPr>
          <w:rFonts w:eastAsia="Fira Sans Light" w:cs="Times New Roman"/>
          <w:szCs w:val="23"/>
          <w:lang w:val="en-US"/>
        </w:rPr>
        <w:t>6</w:t>
      </w:r>
      <w:r w:rsidRPr="002B0592">
        <w:rPr>
          <w:rFonts w:eastAsia="Fira Sans Light" w:cs="Times New Roman"/>
          <w:szCs w:val="23"/>
          <w:lang w:val="en-US"/>
        </w:rPr>
        <w:t xml:space="preserve">% </w:t>
      </w:r>
      <w:r w:rsidR="001B2F98">
        <w:rPr>
          <w:rFonts w:eastAsia="Fira Sans Light" w:cs="Times New Roman"/>
          <w:szCs w:val="23"/>
          <w:lang w:val="en-US"/>
        </w:rPr>
        <w:t xml:space="preserve">higher </w:t>
      </w:r>
      <w:r w:rsidRPr="002B0592">
        <w:rPr>
          <w:rFonts w:eastAsia="Fira Sans Light" w:cs="Times New Roman"/>
          <w:szCs w:val="23"/>
          <w:lang w:val="en-US"/>
        </w:rPr>
        <w:t xml:space="preserve">in comparison to </w:t>
      </w:r>
      <w:r w:rsidR="001B2F98">
        <w:rPr>
          <w:rFonts w:eastAsia="Fira Sans Light" w:cs="Times New Roman"/>
          <w:szCs w:val="23"/>
          <w:lang w:val="en-US"/>
        </w:rPr>
        <w:t>Dec</w:t>
      </w:r>
      <w:r w:rsidRPr="002B0592">
        <w:rPr>
          <w:rFonts w:eastAsia="Fira Sans Light" w:cs="Times New Roman"/>
          <w:szCs w:val="23"/>
          <w:lang w:val="en-US"/>
        </w:rPr>
        <w:t>ember 2021.</w:t>
      </w:r>
    </w:p>
    <w:p w14:paraId="71D4223F" w14:textId="669AF9F5" w:rsidR="002B0592" w:rsidRPr="00237B7E" w:rsidRDefault="00526B01" w:rsidP="00866BF0">
      <w:pPr>
        <w:pStyle w:val="tytuwykresu"/>
        <w:spacing w:before="360"/>
        <w:ind w:left="709" w:hanging="709"/>
        <w:rPr>
          <w:rFonts w:ascii="Fira Sans SemiBold" w:hAnsi="Fira Sans SemiBold"/>
          <w:szCs w:val="18"/>
          <w:shd w:val="clear" w:color="auto" w:fill="FFFFFF"/>
          <w:lang w:val="en-US"/>
        </w:rPr>
      </w:pPr>
      <w:r>
        <w:rPr>
          <w:noProof/>
        </w:rPr>
        <w:drawing>
          <wp:anchor distT="0" distB="0" distL="114300" distR="114300" simplePos="0" relativeHeight="251770880" behindDoc="0" locked="0" layoutInCell="1" allowOverlap="1" wp14:anchorId="2167090B" wp14:editId="105C1BCF">
            <wp:simplePos x="0" y="0"/>
            <wp:positionH relativeFrom="margin">
              <wp:posOffset>-120658</wp:posOffset>
            </wp:positionH>
            <wp:positionV relativeFrom="paragraph">
              <wp:posOffset>507605</wp:posOffset>
            </wp:positionV>
            <wp:extent cx="5122545" cy="2249170"/>
            <wp:effectExtent l="0" t="0" r="1905" b="17780"/>
            <wp:wrapThrough wrapText="bothSides">
              <wp:wrapPolygon edited="0">
                <wp:start x="0" y="0"/>
                <wp:lineTo x="0" y="21588"/>
                <wp:lineTo x="21528" y="21588"/>
                <wp:lineTo x="21528" y="0"/>
                <wp:lineTo x="0" y="0"/>
              </wp:wrapPolygon>
            </wp:wrapThrough>
            <wp:docPr id="1" name="Wykres 1" descr="Chart 3. Retail sales  – seasonally adjusted and unadjusted data (constant prices) – monthly average 2015=100&#10;Indices in particular months in the years: 2017, 2018, 2019, 2020, 2021, 2022">
              <a:extLst xmlns:a="http://schemas.openxmlformats.org/drawingml/2006/main">
                <a:ext uri="{FF2B5EF4-FFF2-40B4-BE49-F238E27FC236}">
                  <a16:creationId xmlns:a16="http://schemas.microsoft.com/office/drawing/2014/main" id="{01DFB9B5-C636-42F1-91EF-A0E94D987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50B7B" w:rsidRPr="0072538B">
        <w:rPr>
          <w:rFonts w:ascii="Fira Sans SemiBold" w:hAnsi="Fira Sans SemiBold"/>
          <w:szCs w:val="18"/>
          <w:lang w:val="en-GB"/>
        </w:rPr>
        <w:t>Chart</w:t>
      </w:r>
      <w:r w:rsidR="00B16871" w:rsidRPr="0072538B">
        <w:rPr>
          <w:rFonts w:ascii="Fira Sans SemiBold" w:hAnsi="Fira Sans SemiBold"/>
          <w:szCs w:val="18"/>
          <w:lang w:val="en-GB"/>
        </w:rPr>
        <w:t xml:space="preserve"> </w:t>
      </w:r>
      <w:r w:rsidR="002B0592" w:rsidRPr="0072538B">
        <w:rPr>
          <w:rFonts w:ascii="Fira Sans SemiBold" w:hAnsi="Fira Sans SemiBold"/>
          <w:szCs w:val="18"/>
          <w:lang w:val="en-GB"/>
        </w:rPr>
        <w:t>3.</w:t>
      </w:r>
      <w:r w:rsidR="00B16871" w:rsidRPr="0072538B">
        <w:rPr>
          <w:rFonts w:ascii="Fira Sans SemiBold" w:hAnsi="Fira Sans SemiBold"/>
          <w:szCs w:val="18"/>
          <w:lang w:val="en-GB"/>
        </w:rPr>
        <w:t xml:space="preserve"> </w:t>
      </w:r>
      <w:r w:rsidR="002B0592" w:rsidRPr="00237B7E">
        <w:rPr>
          <w:rFonts w:ascii="Fira Sans SemiBold" w:hAnsi="Fira Sans SemiBold"/>
          <w:szCs w:val="18"/>
          <w:shd w:val="clear" w:color="auto" w:fill="FFFFFF"/>
          <w:lang w:val="en-US"/>
        </w:rPr>
        <w:t xml:space="preserve">Retail sales  – seasonally adjusted and unadjusted </w:t>
      </w:r>
      <w:r w:rsidR="004B714F" w:rsidRPr="00237B7E">
        <w:rPr>
          <w:rFonts w:ascii="Fira Sans SemiBold" w:hAnsi="Fira Sans SemiBold"/>
          <w:szCs w:val="18"/>
          <w:shd w:val="clear" w:color="auto" w:fill="FFFFFF"/>
          <w:lang w:val="en-US"/>
        </w:rPr>
        <w:t xml:space="preserve">data </w:t>
      </w:r>
      <w:r w:rsidR="002B0592" w:rsidRPr="00237B7E">
        <w:rPr>
          <w:rFonts w:ascii="Fira Sans SemiBold" w:hAnsi="Fira Sans SemiBold"/>
          <w:szCs w:val="18"/>
          <w:shd w:val="clear" w:color="auto" w:fill="FFFFFF"/>
          <w:lang w:val="en-US"/>
        </w:rPr>
        <w:t>(constant prices) – monthly average 2015=100</w:t>
      </w:r>
    </w:p>
    <w:p w14:paraId="588F6ADB" w14:textId="59229F75" w:rsidR="00F90D9F" w:rsidRDefault="00F90D9F" w:rsidP="00F90D9F">
      <w:pPr>
        <w:jc w:val="both"/>
        <w:rPr>
          <w:rStyle w:val="tlid-translation"/>
          <w:lang w:val="en"/>
        </w:rPr>
      </w:pPr>
    </w:p>
    <w:p w14:paraId="256033A2" w14:textId="77140EBE" w:rsidR="00F90D9F" w:rsidRDefault="00F90D9F" w:rsidP="00F90D9F">
      <w:pPr>
        <w:jc w:val="both"/>
        <w:rPr>
          <w:rStyle w:val="tlid-translation"/>
          <w:lang w:val="en"/>
        </w:rPr>
      </w:pPr>
      <w:r>
        <w:rPr>
          <w:rStyle w:val="tlid-translation"/>
          <w:lang w:val="en"/>
        </w:rPr>
        <w:t>In the publication "Statistical Bulletin" in tab. 1 simultaneously with the data on retail sales, the indices of the deflated turnover in retail trade are also presented, which are provided in accordance with the requirements for the needs of European statistics. The deflated turnover in retail trade covers the complete population of entities classified according to NACE in division 47 - "Retail trade, except of motor vehicles and motorcycles".</w:t>
      </w:r>
    </w:p>
    <w:p w14:paraId="578674ED" w14:textId="2E42B64B"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31F3A3CB" w14:textId="6ADF608F" w:rsidR="00763753" w:rsidRPr="00117634" w:rsidRDefault="00763753" w:rsidP="00F90D9F">
      <w:pPr>
        <w:jc w:val="both"/>
        <w:rPr>
          <w:rStyle w:val="tlid-translation"/>
          <w:color w:val="FF0000"/>
          <w:lang w:val="en"/>
        </w:rPr>
      </w:pPr>
    </w:p>
    <w:p w14:paraId="16884889" w14:textId="0553698B" w:rsidR="00763753" w:rsidRDefault="00763753" w:rsidP="00F90D9F">
      <w:pPr>
        <w:jc w:val="both"/>
        <w:rPr>
          <w:rStyle w:val="tlid-translation"/>
          <w:lang w:val="en"/>
        </w:rPr>
      </w:pPr>
    </w:p>
    <w:p w14:paraId="6C04AEB1" w14:textId="0AAEBB28" w:rsidR="00763753" w:rsidRDefault="00763753" w:rsidP="00F90D9F">
      <w:pPr>
        <w:jc w:val="both"/>
        <w:rPr>
          <w:rStyle w:val="tlid-translation"/>
          <w:lang w:val="en"/>
        </w:rPr>
      </w:pPr>
    </w:p>
    <w:p w14:paraId="6C4EB4EF" w14:textId="22803900" w:rsidR="00763753" w:rsidRDefault="00763753" w:rsidP="00F90D9F">
      <w:pPr>
        <w:jc w:val="both"/>
        <w:rPr>
          <w:rStyle w:val="tlid-translation"/>
          <w:lang w:val="en"/>
        </w:rPr>
      </w:pPr>
    </w:p>
    <w:p w14:paraId="2C17785D" w14:textId="77777777" w:rsidR="00763753" w:rsidRDefault="00763753" w:rsidP="00F90D9F">
      <w:pPr>
        <w:jc w:val="both"/>
        <w:rPr>
          <w:rStyle w:val="tlid-translation"/>
          <w:lang w:val="en"/>
        </w:rPr>
      </w:pP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even" r:id="rId13"/>
          <w:headerReference w:type="default" r:id="rId14"/>
          <w:footerReference w:type="even"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763753">
              <w:rPr>
                <w:b/>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240A7F"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9"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385E56CC" w14:textId="77777777" w:rsidTr="009E7D31">
        <w:trPr>
          <w:trHeight w:val="4114"/>
        </w:trPr>
        <w:tc>
          <w:tcPr>
            <w:tcW w:w="9853" w:type="dxa"/>
            <w:gridSpan w:val="2"/>
            <w:shd w:val="clear" w:color="auto" w:fill="D9D9D9" w:themeFill="background1" w:themeFillShade="D9"/>
          </w:tcPr>
          <w:p w14:paraId="08948A60" w14:textId="49BD2C24" w:rsidR="00DE2400" w:rsidRPr="0098048D" w:rsidRDefault="00CA784C" w:rsidP="00747B8C">
            <w:pPr>
              <w:shd w:val="clear" w:color="auto" w:fill="D9D9D9" w:themeFill="background1" w:themeFillShade="D9"/>
              <w:rPr>
                <w:b/>
                <w:color w:val="001D77"/>
                <w:lang w:val="en-GB"/>
              </w:rPr>
            </w:pPr>
            <w:r w:rsidRPr="0098048D">
              <w:rPr>
                <w:b/>
                <w:lang w:val="en-GB"/>
              </w:rPr>
              <w:t>Related information</w:t>
            </w:r>
          </w:p>
          <w:p w14:paraId="7D9034BF" w14:textId="2B48FA3E" w:rsidR="00FC5D52" w:rsidRPr="00E4218B" w:rsidRDefault="00927089" w:rsidP="00FC5D52">
            <w:pPr>
              <w:rPr>
                <w:b/>
                <w:color w:val="001D77"/>
                <w:szCs w:val="24"/>
                <w:lang w:val="en-GB"/>
              </w:rPr>
            </w:pPr>
            <w:hyperlink r:id="rId26" w:tooltip="Link to the publication Internal market in 2020" w:history="1">
              <w:r w:rsidR="00FC5D52" w:rsidRPr="00E4218B">
                <w:rPr>
                  <w:rStyle w:val="Hipercze"/>
                  <w:color w:val="001D77"/>
                  <w:lang w:val="en-GB"/>
                </w:rPr>
                <w:t>Internal market in 2020</w:t>
              </w:r>
            </w:hyperlink>
          </w:p>
          <w:p w14:paraId="55DA24D0" w14:textId="771E2998" w:rsidR="00DE2400" w:rsidRPr="0098048D" w:rsidRDefault="000F569C" w:rsidP="00747B8C">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Data available in databases</w:t>
            </w:r>
          </w:p>
          <w:p w14:paraId="2CC3343A" w14:textId="55F7A854" w:rsidR="00DE2400" w:rsidRPr="00C03482" w:rsidRDefault="00927089" w:rsidP="00747B8C">
            <w:pPr>
              <w:rPr>
                <w:color w:val="001D77"/>
                <w:lang w:val="en-GB"/>
              </w:rPr>
            </w:pPr>
            <w:hyperlink r:id="rId27" w:tooltip="Link to Knowledge Databases - Trade and Services" w:history="1">
              <w:r w:rsidR="00130556" w:rsidRPr="00C03482">
                <w:rPr>
                  <w:rStyle w:val="Hipercze"/>
                  <w:color w:val="001D77"/>
                  <w:lang w:val="en-GB"/>
                </w:rPr>
                <w:t>Knowledge Databases – Trade and Services</w:t>
              </w:r>
            </w:hyperlink>
            <w:r w:rsidR="00130556" w:rsidRPr="00C03482">
              <w:rPr>
                <w:rFonts w:cs="Times New Roman"/>
                <w:color w:val="001D77"/>
                <w:lang w:val="en-GB"/>
              </w:rPr>
              <w:t xml:space="preserve"> </w:t>
            </w:r>
            <w:r w:rsidR="00B16871" w:rsidRPr="00C03482">
              <w:rPr>
                <w:rFonts w:cs="Times New Roman"/>
                <w:color w:val="001D77"/>
                <w:lang w:val="en-GB"/>
              </w:rPr>
              <w:t xml:space="preserve">  </w:t>
            </w:r>
          </w:p>
          <w:p w14:paraId="4039E3B5" w14:textId="1CB72916" w:rsidR="00130556" w:rsidRPr="00C03482" w:rsidRDefault="00927089" w:rsidP="00130556">
            <w:pPr>
              <w:rPr>
                <w:rStyle w:val="Hipercze"/>
                <w:rFonts w:cstheme="minorBidi"/>
                <w:color w:val="001D77"/>
                <w:sz w:val="18"/>
                <w:szCs w:val="18"/>
                <w:lang w:val="en-GB"/>
              </w:rPr>
            </w:pPr>
            <w:hyperlink r:id="rId28" w:tooltip="Link to Macroeconomic Data Bank" w:history="1">
              <w:r w:rsidR="00130556" w:rsidRPr="00C03482">
                <w:rPr>
                  <w:rStyle w:val="Hipercze"/>
                  <w:rFonts w:cstheme="minorBidi"/>
                  <w:color w:val="001D77"/>
                  <w:sz w:val="18"/>
                  <w:szCs w:val="18"/>
                  <w:lang w:val="en-GB"/>
                </w:rPr>
                <w:t>Macroeconom</w:t>
              </w:r>
              <w:bookmarkStart w:id="1" w:name="_GoBack"/>
              <w:bookmarkEnd w:id="1"/>
              <w:r w:rsidR="00130556" w:rsidRPr="00C03482">
                <w:rPr>
                  <w:rStyle w:val="Hipercze"/>
                  <w:rFonts w:cstheme="minorBidi"/>
                  <w:color w:val="001D77"/>
                  <w:sz w:val="18"/>
                  <w:szCs w:val="18"/>
                  <w:lang w:val="en-GB"/>
                </w:rPr>
                <w:t>ic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3F31FC0C" w:rsidR="00130556" w:rsidRPr="00C03482" w:rsidRDefault="00927089" w:rsidP="00130556">
            <w:pPr>
              <w:rPr>
                <w:rStyle w:val="Hipercze"/>
                <w:color w:val="001D77"/>
                <w:lang w:val="en-GB"/>
              </w:rPr>
            </w:pPr>
            <w:hyperlink r:id="rId29" w:tooltip="Link to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30"/>
      <w:footerReference w:type="default" r:id="rId3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34836" w14:textId="77777777" w:rsidR="00620662" w:rsidRDefault="00620662" w:rsidP="000662E2">
      <w:pPr>
        <w:spacing w:after="0" w:line="240" w:lineRule="auto"/>
      </w:pPr>
      <w:r>
        <w:separator/>
      </w:r>
    </w:p>
  </w:endnote>
  <w:endnote w:type="continuationSeparator" w:id="0">
    <w:p w14:paraId="482B2D09" w14:textId="77777777" w:rsidR="00620662" w:rsidRDefault="0062066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3A2C7107-E0B7-44E4-9A82-3402B621A6D8}"/>
    <w:embedBold r:id="rId2" w:fontKey="{9D6804C5-FDCF-4ECC-B01F-DB421325FFFB}"/>
  </w:font>
  <w:font w:name="Fira Sans Light">
    <w:panose1 w:val="020B0403050000020004"/>
    <w:charset w:val="EE"/>
    <w:family w:val="swiss"/>
    <w:pitch w:val="variable"/>
    <w:sig w:usb0="600002FF" w:usb1="02000001" w:usb2="00000000" w:usb3="00000000" w:csb0="0000019F" w:csb1="00000000"/>
    <w:embedRegular r:id="rId3" w:fontKey="{B0CEEE81-D8DC-42AE-B503-C9E2D7027F3E}"/>
    <w:embedBold r:id="rId4" w:fontKey="{C8DE29D0-DCF6-4D6A-A1A1-A1C6DBB86E0E}"/>
  </w:font>
  <w:font w:name="Fira Sans SemiBold">
    <w:panose1 w:val="020B0603050000020004"/>
    <w:charset w:val="EE"/>
    <w:family w:val="swiss"/>
    <w:pitch w:val="variable"/>
    <w:sig w:usb0="600002FF" w:usb1="02000001" w:usb2="00000000" w:usb3="00000000" w:csb0="0000019F" w:csb1="00000000"/>
    <w:embedRegular r:id="rId5" w:fontKey="{4BF31231-1152-47D1-ABC4-582C35A0931E}"/>
    <w:embedBold r:id="rId6" w:fontKey="{7D657428-1818-4CC6-9613-1DE1056F34A3}"/>
  </w:font>
  <w:font w:name="Fira Sans Medium">
    <w:panose1 w:val="020B0603050000020004"/>
    <w:charset w:val="EE"/>
    <w:family w:val="swiss"/>
    <w:pitch w:val="variable"/>
    <w:sig w:usb0="600002FF" w:usb1="02000001" w:usb2="00000000" w:usb3="00000000" w:csb0="0000019F" w:csb1="00000000"/>
    <w:embedRegular r:id="rId7" w:fontKey="{BA027C3A-6FBC-4264-BBCF-44C18AA76CA4}"/>
    <w:embedBold r:id="rId8" w:fontKey="{5E3ADB65-EE89-49EA-8D00-DE68E92E97DA}"/>
    <w:embedItalic r:id="rId9" w:fontKey="{0EAB57D1-BD14-4C44-897B-DD274D1AE035}"/>
  </w:font>
  <w:font w:name="Segoe UI">
    <w:panose1 w:val="020B0502040204020203"/>
    <w:charset w:val="EE"/>
    <w:family w:val="swiss"/>
    <w:pitch w:val="variable"/>
    <w:sig w:usb0="E4002EFF" w:usb1="C000E47F" w:usb2="00000009" w:usb3="00000000" w:csb0="000001FF" w:csb1="00000000"/>
    <w:embedRegular r:id="rId10" w:fontKey="{A010DBF0-DC8C-48D7-8762-C9DECF8A15AD}"/>
  </w:font>
  <w:font w:name="Fira Sans Extra Condensed SemiB">
    <w:panose1 w:val="020B0603050000020004"/>
    <w:charset w:val="EE"/>
    <w:family w:val="swiss"/>
    <w:pitch w:val="variable"/>
    <w:sig w:usb0="600002FF" w:usb1="00000001" w:usb2="00000000" w:usb3="00000000" w:csb0="0000019F" w:csb1="00000000"/>
    <w:embedRegular r:id="rId11" w:fontKey="{8D1C719A-625C-4913-85FB-AD1763A6779A}"/>
  </w:font>
  <w:font w:name="Calibri">
    <w:panose1 w:val="020F0502020204030204"/>
    <w:charset w:val="EE"/>
    <w:family w:val="swiss"/>
    <w:pitch w:val="variable"/>
    <w:sig w:usb0="E4002EFF" w:usb1="C000247B" w:usb2="00000009" w:usb3="00000000" w:csb0="000001FF" w:csb1="00000000"/>
    <w:embedRegular r:id="rId12" w:fontKey="{F3A0EBF4-F666-41C7-BEB2-993A68C49A11}"/>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07068" w14:textId="77777777" w:rsidR="00B50844" w:rsidRDefault="00B5084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FC682" w14:textId="77777777" w:rsidR="00620662" w:rsidRDefault="00620662" w:rsidP="000662E2">
      <w:pPr>
        <w:spacing w:after="0" w:line="240" w:lineRule="auto"/>
      </w:pPr>
      <w:r>
        <w:separator/>
      </w:r>
    </w:p>
  </w:footnote>
  <w:footnote w:type="continuationSeparator" w:id="0">
    <w:p w14:paraId="3FB3D93F" w14:textId="77777777" w:rsidR="00620662" w:rsidRDefault="00620662" w:rsidP="000662E2">
      <w:pPr>
        <w:spacing w:after="0" w:line="240" w:lineRule="auto"/>
      </w:pPr>
      <w:r>
        <w:continuationSeparator/>
      </w:r>
    </w:p>
  </w:footnote>
  <w:footnote w:id="1">
    <w:p w14:paraId="5E9021FC" w14:textId="77777777" w:rsidR="0083146D" w:rsidRPr="00633E04" w:rsidRDefault="0083146D" w:rsidP="0083146D">
      <w:pPr>
        <w:pStyle w:val="Tekstprzypisudolnego"/>
        <w:spacing w:before="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09697990" w14:textId="17476755" w:rsidR="00E1323E" w:rsidRPr="00E1323E" w:rsidRDefault="00E1323E">
      <w:pPr>
        <w:pStyle w:val="Tekstprzypisudolnego"/>
        <w:rPr>
          <w:sz w:val="19"/>
          <w:szCs w:val="19"/>
        </w:rPr>
      </w:pPr>
      <w:r>
        <w:rPr>
          <w:rStyle w:val="Odwoanieprzypisudolnego"/>
        </w:rPr>
        <w:footnoteRef/>
      </w:r>
      <w:r>
        <w:t xml:space="preserve"> </w:t>
      </w:r>
      <w:r w:rsidRPr="00E1323E">
        <w:rPr>
          <w:sz w:val="19"/>
          <w:szCs w:val="19"/>
        </w:rPr>
        <w:t>Preliminary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12CEB" w14:textId="77777777" w:rsidR="00B50844" w:rsidRDefault="00B5084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15D332EE">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10;21 February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227549F0" w:rsidR="00F37172" w:rsidRPr="00A01B40" w:rsidRDefault="00794619" w:rsidP="00F049AB">
                          <w:pPr>
                            <w:pStyle w:val="Datainformacjisygnalnej"/>
                          </w:pPr>
                          <w:r>
                            <w:t>21</w:t>
                          </w:r>
                          <w:r w:rsidR="00DE6B58">
                            <w:t>.</w:t>
                          </w:r>
                          <w:r>
                            <w:t>02</w:t>
                          </w:r>
                          <w:r w:rsidR="00DE6B58">
                            <w:t>.</w:t>
                          </w:r>
                          <w: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a&#10;21 February 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" filled="f" stroked="f">
              <v:textbox>
                <w:txbxContent>
                  <w:p w14:paraId="71967FEA" w14:textId="227549F0" w:rsidR="00F37172" w:rsidRPr="00A01B40" w:rsidRDefault="00794619" w:rsidP="00F049AB">
                    <w:pPr>
                      <w:pStyle w:val="Datainformacjisygnalnej"/>
                    </w:pPr>
                    <w:r>
                      <w:t>21</w:t>
                    </w:r>
                    <w:r w:rsidR="00DE6B58">
                      <w:t>.</w:t>
                    </w:r>
                    <w:r>
                      <w:t>02</w:t>
                    </w:r>
                    <w:r w:rsidR="00DE6B58">
                      <w:t>.</w:t>
                    </w:r>
                    <w:r>
                      <w:t>2022</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5pt;height:125.25pt;visibility:visible;mso-wrap-style:square" o:bullet="t">
        <v:imagedata r:id="rId1" o:title=""/>
      </v:shape>
    </w:pict>
  </w:numPicBullet>
  <w:numPicBullet w:numPicBulletId="1">
    <w:pict>
      <v:shape id="_x0000_i1027" type="#_x0000_t75" style="width:124.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CBF"/>
    <w:rsid w:val="00003437"/>
    <w:rsid w:val="000046A8"/>
    <w:rsid w:val="0000709F"/>
    <w:rsid w:val="000108B8"/>
    <w:rsid w:val="000152F5"/>
    <w:rsid w:val="00015E7B"/>
    <w:rsid w:val="00021CD0"/>
    <w:rsid w:val="00030CB6"/>
    <w:rsid w:val="000360D4"/>
    <w:rsid w:val="00043902"/>
    <w:rsid w:val="0004582E"/>
    <w:rsid w:val="000470AA"/>
    <w:rsid w:val="00057CA1"/>
    <w:rsid w:val="000647A9"/>
    <w:rsid w:val="000662E2"/>
    <w:rsid w:val="00066883"/>
    <w:rsid w:val="00071B39"/>
    <w:rsid w:val="000730F9"/>
    <w:rsid w:val="00074CD7"/>
    <w:rsid w:val="00074DD8"/>
    <w:rsid w:val="00075759"/>
    <w:rsid w:val="00076AD4"/>
    <w:rsid w:val="000806F7"/>
    <w:rsid w:val="00094CB9"/>
    <w:rsid w:val="00097840"/>
    <w:rsid w:val="000A42C5"/>
    <w:rsid w:val="000B0727"/>
    <w:rsid w:val="000B08D0"/>
    <w:rsid w:val="000B3A56"/>
    <w:rsid w:val="000C135D"/>
    <w:rsid w:val="000D1D43"/>
    <w:rsid w:val="000D225C"/>
    <w:rsid w:val="000D2A5C"/>
    <w:rsid w:val="000D39F0"/>
    <w:rsid w:val="000E0918"/>
    <w:rsid w:val="000E79A9"/>
    <w:rsid w:val="000F569C"/>
    <w:rsid w:val="001011C3"/>
    <w:rsid w:val="00106DA3"/>
    <w:rsid w:val="00110214"/>
    <w:rsid w:val="00110D87"/>
    <w:rsid w:val="00112399"/>
    <w:rsid w:val="00114DB9"/>
    <w:rsid w:val="00116087"/>
    <w:rsid w:val="0011638E"/>
    <w:rsid w:val="00117634"/>
    <w:rsid w:val="00117711"/>
    <w:rsid w:val="00130296"/>
    <w:rsid w:val="00130556"/>
    <w:rsid w:val="00134145"/>
    <w:rsid w:val="00136736"/>
    <w:rsid w:val="00136740"/>
    <w:rsid w:val="00136D67"/>
    <w:rsid w:val="001423B6"/>
    <w:rsid w:val="001448A7"/>
    <w:rsid w:val="00146621"/>
    <w:rsid w:val="00153B53"/>
    <w:rsid w:val="00156F04"/>
    <w:rsid w:val="001617E3"/>
    <w:rsid w:val="00162325"/>
    <w:rsid w:val="00194E1E"/>
    <w:rsid w:val="001951DA"/>
    <w:rsid w:val="001B053D"/>
    <w:rsid w:val="001B2F98"/>
    <w:rsid w:val="001C22C7"/>
    <w:rsid w:val="001C3269"/>
    <w:rsid w:val="001D19B6"/>
    <w:rsid w:val="001D1DB4"/>
    <w:rsid w:val="001D23F1"/>
    <w:rsid w:val="001D25F9"/>
    <w:rsid w:val="001D2F93"/>
    <w:rsid w:val="001D61ED"/>
    <w:rsid w:val="001E2DF2"/>
    <w:rsid w:val="001E5B2D"/>
    <w:rsid w:val="001E5EE3"/>
    <w:rsid w:val="0020156C"/>
    <w:rsid w:val="002021A6"/>
    <w:rsid w:val="00216634"/>
    <w:rsid w:val="0022439C"/>
    <w:rsid w:val="002263F7"/>
    <w:rsid w:val="00236D46"/>
    <w:rsid w:val="00237B7E"/>
    <w:rsid w:val="00240A7F"/>
    <w:rsid w:val="00242D31"/>
    <w:rsid w:val="00245566"/>
    <w:rsid w:val="0025481E"/>
    <w:rsid w:val="002574F9"/>
    <w:rsid w:val="00260F7D"/>
    <w:rsid w:val="00262B61"/>
    <w:rsid w:val="00262CC6"/>
    <w:rsid w:val="00263E08"/>
    <w:rsid w:val="002645FC"/>
    <w:rsid w:val="00276811"/>
    <w:rsid w:val="00276D44"/>
    <w:rsid w:val="00282699"/>
    <w:rsid w:val="002926DF"/>
    <w:rsid w:val="00296697"/>
    <w:rsid w:val="002B0472"/>
    <w:rsid w:val="002B0592"/>
    <w:rsid w:val="002B6B12"/>
    <w:rsid w:val="002C21F0"/>
    <w:rsid w:val="002C7C66"/>
    <w:rsid w:val="002D01DF"/>
    <w:rsid w:val="002E2973"/>
    <w:rsid w:val="002E3EB3"/>
    <w:rsid w:val="002E6140"/>
    <w:rsid w:val="002E6985"/>
    <w:rsid w:val="002E71B6"/>
    <w:rsid w:val="002F35F6"/>
    <w:rsid w:val="002F77C8"/>
    <w:rsid w:val="00304F22"/>
    <w:rsid w:val="00306C7C"/>
    <w:rsid w:val="00314F86"/>
    <w:rsid w:val="00317F4D"/>
    <w:rsid w:val="00322EDD"/>
    <w:rsid w:val="003309FA"/>
    <w:rsid w:val="00332320"/>
    <w:rsid w:val="00347D72"/>
    <w:rsid w:val="00353F45"/>
    <w:rsid w:val="00357611"/>
    <w:rsid w:val="0036432A"/>
    <w:rsid w:val="00364AF9"/>
    <w:rsid w:val="00367237"/>
    <w:rsid w:val="0037077F"/>
    <w:rsid w:val="00372411"/>
    <w:rsid w:val="00373882"/>
    <w:rsid w:val="00376F5F"/>
    <w:rsid w:val="003843DB"/>
    <w:rsid w:val="00393761"/>
    <w:rsid w:val="003949F3"/>
    <w:rsid w:val="00394E26"/>
    <w:rsid w:val="00396691"/>
    <w:rsid w:val="00397D18"/>
    <w:rsid w:val="003A1B36"/>
    <w:rsid w:val="003A4BD9"/>
    <w:rsid w:val="003A57EB"/>
    <w:rsid w:val="003B1454"/>
    <w:rsid w:val="003B18B6"/>
    <w:rsid w:val="003C161B"/>
    <w:rsid w:val="003C59E0"/>
    <w:rsid w:val="003C6C8D"/>
    <w:rsid w:val="003D2656"/>
    <w:rsid w:val="003D4F95"/>
    <w:rsid w:val="003D5F42"/>
    <w:rsid w:val="003D60A9"/>
    <w:rsid w:val="003D7542"/>
    <w:rsid w:val="003F24B8"/>
    <w:rsid w:val="003F4C97"/>
    <w:rsid w:val="003F666D"/>
    <w:rsid w:val="003F7FE6"/>
    <w:rsid w:val="00400193"/>
    <w:rsid w:val="00416EAF"/>
    <w:rsid w:val="004212E7"/>
    <w:rsid w:val="00423C88"/>
    <w:rsid w:val="0042446D"/>
    <w:rsid w:val="00427BF8"/>
    <w:rsid w:val="00431311"/>
    <w:rsid w:val="00431C02"/>
    <w:rsid w:val="00434C9A"/>
    <w:rsid w:val="00437395"/>
    <w:rsid w:val="00445047"/>
    <w:rsid w:val="00445C74"/>
    <w:rsid w:val="00446749"/>
    <w:rsid w:val="00453EB7"/>
    <w:rsid w:val="00463E39"/>
    <w:rsid w:val="004657FC"/>
    <w:rsid w:val="004733F6"/>
    <w:rsid w:val="00474E69"/>
    <w:rsid w:val="00483E9F"/>
    <w:rsid w:val="00485A2C"/>
    <w:rsid w:val="0049055A"/>
    <w:rsid w:val="0049621B"/>
    <w:rsid w:val="004A1D19"/>
    <w:rsid w:val="004B714F"/>
    <w:rsid w:val="004C1895"/>
    <w:rsid w:val="004C6D40"/>
    <w:rsid w:val="004D6B9F"/>
    <w:rsid w:val="004E6AA8"/>
    <w:rsid w:val="004F0C3C"/>
    <w:rsid w:val="004F2280"/>
    <w:rsid w:val="004F23BB"/>
    <w:rsid w:val="004F63FC"/>
    <w:rsid w:val="00505A92"/>
    <w:rsid w:val="005203F1"/>
    <w:rsid w:val="00521BC3"/>
    <w:rsid w:val="00526B01"/>
    <w:rsid w:val="00533632"/>
    <w:rsid w:val="00534013"/>
    <w:rsid w:val="00540C5C"/>
    <w:rsid w:val="00541E6E"/>
    <w:rsid w:val="0054251F"/>
    <w:rsid w:val="005520D8"/>
    <w:rsid w:val="0055371A"/>
    <w:rsid w:val="00555CFB"/>
    <w:rsid w:val="00556CF1"/>
    <w:rsid w:val="0057399F"/>
    <w:rsid w:val="005762A7"/>
    <w:rsid w:val="00587CEE"/>
    <w:rsid w:val="005916D7"/>
    <w:rsid w:val="0059427F"/>
    <w:rsid w:val="005A698C"/>
    <w:rsid w:val="005C0CAC"/>
    <w:rsid w:val="005D062E"/>
    <w:rsid w:val="005E0799"/>
    <w:rsid w:val="005E10F9"/>
    <w:rsid w:val="005E1200"/>
    <w:rsid w:val="005F45EE"/>
    <w:rsid w:val="005F5A80"/>
    <w:rsid w:val="006044FF"/>
    <w:rsid w:val="00607CC5"/>
    <w:rsid w:val="0061179B"/>
    <w:rsid w:val="006125F9"/>
    <w:rsid w:val="00616C78"/>
    <w:rsid w:val="00620662"/>
    <w:rsid w:val="00633014"/>
    <w:rsid w:val="00633E04"/>
    <w:rsid w:val="0063437B"/>
    <w:rsid w:val="0064017E"/>
    <w:rsid w:val="006413CA"/>
    <w:rsid w:val="00653DC3"/>
    <w:rsid w:val="00654BB6"/>
    <w:rsid w:val="006673CA"/>
    <w:rsid w:val="00673C26"/>
    <w:rsid w:val="00674DE5"/>
    <w:rsid w:val="00677ACA"/>
    <w:rsid w:val="006812AF"/>
    <w:rsid w:val="0068327D"/>
    <w:rsid w:val="006857FD"/>
    <w:rsid w:val="00691278"/>
    <w:rsid w:val="00691534"/>
    <w:rsid w:val="00693880"/>
    <w:rsid w:val="00694AF0"/>
    <w:rsid w:val="006A4686"/>
    <w:rsid w:val="006A66E5"/>
    <w:rsid w:val="006B0E9E"/>
    <w:rsid w:val="006B486D"/>
    <w:rsid w:val="006B5AE4"/>
    <w:rsid w:val="006C197A"/>
    <w:rsid w:val="006D1507"/>
    <w:rsid w:val="006D4054"/>
    <w:rsid w:val="006E02EC"/>
    <w:rsid w:val="006E3A93"/>
    <w:rsid w:val="006E3C4F"/>
    <w:rsid w:val="006E6F41"/>
    <w:rsid w:val="006E73E6"/>
    <w:rsid w:val="007211B1"/>
    <w:rsid w:val="0072538B"/>
    <w:rsid w:val="007267B0"/>
    <w:rsid w:val="007277DA"/>
    <w:rsid w:val="00731D27"/>
    <w:rsid w:val="00732902"/>
    <w:rsid w:val="00746187"/>
    <w:rsid w:val="0076254F"/>
    <w:rsid w:val="00763753"/>
    <w:rsid w:val="00775979"/>
    <w:rsid w:val="007801F5"/>
    <w:rsid w:val="00783CA4"/>
    <w:rsid w:val="007842FB"/>
    <w:rsid w:val="00786124"/>
    <w:rsid w:val="0079041E"/>
    <w:rsid w:val="00794619"/>
    <w:rsid w:val="0079514B"/>
    <w:rsid w:val="00795252"/>
    <w:rsid w:val="00797203"/>
    <w:rsid w:val="007A1FAF"/>
    <w:rsid w:val="007A2DC1"/>
    <w:rsid w:val="007B09B2"/>
    <w:rsid w:val="007D0869"/>
    <w:rsid w:val="007D14C4"/>
    <w:rsid w:val="007D3319"/>
    <w:rsid w:val="007D335D"/>
    <w:rsid w:val="007D605C"/>
    <w:rsid w:val="007E3314"/>
    <w:rsid w:val="007E3514"/>
    <w:rsid w:val="007E4B03"/>
    <w:rsid w:val="007E691D"/>
    <w:rsid w:val="007F324B"/>
    <w:rsid w:val="00802AB9"/>
    <w:rsid w:val="00803031"/>
    <w:rsid w:val="0080553C"/>
    <w:rsid w:val="00805B46"/>
    <w:rsid w:val="00805DB4"/>
    <w:rsid w:val="00823593"/>
    <w:rsid w:val="00825DC2"/>
    <w:rsid w:val="0083146D"/>
    <w:rsid w:val="008316BD"/>
    <w:rsid w:val="00834AD3"/>
    <w:rsid w:val="008367E8"/>
    <w:rsid w:val="00843795"/>
    <w:rsid w:val="00847F0F"/>
    <w:rsid w:val="00850B7B"/>
    <w:rsid w:val="00852448"/>
    <w:rsid w:val="00862CEF"/>
    <w:rsid w:val="00866BF0"/>
    <w:rsid w:val="00877F6C"/>
    <w:rsid w:val="0088258A"/>
    <w:rsid w:val="00886332"/>
    <w:rsid w:val="008925F0"/>
    <w:rsid w:val="0089448A"/>
    <w:rsid w:val="00894C23"/>
    <w:rsid w:val="00897877"/>
    <w:rsid w:val="008A26D9"/>
    <w:rsid w:val="008A549C"/>
    <w:rsid w:val="008A7B5B"/>
    <w:rsid w:val="008B12D2"/>
    <w:rsid w:val="008B1E9B"/>
    <w:rsid w:val="008C0C29"/>
    <w:rsid w:val="008D02DA"/>
    <w:rsid w:val="008D76BC"/>
    <w:rsid w:val="008E7DBA"/>
    <w:rsid w:val="008F0829"/>
    <w:rsid w:val="008F3638"/>
    <w:rsid w:val="008F4441"/>
    <w:rsid w:val="008F49B1"/>
    <w:rsid w:val="008F6B20"/>
    <w:rsid w:val="008F6F31"/>
    <w:rsid w:val="008F74DF"/>
    <w:rsid w:val="00902274"/>
    <w:rsid w:val="00903F16"/>
    <w:rsid w:val="009127BA"/>
    <w:rsid w:val="00920AAE"/>
    <w:rsid w:val="009227A6"/>
    <w:rsid w:val="00927089"/>
    <w:rsid w:val="00933EC1"/>
    <w:rsid w:val="009445F3"/>
    <w:rsid w:val="009446AD"/>
    <w:rsid w:val="009530DB"/>
    <w:rsid w:val="00953676"/>
    <w:rsid w:val="00956F30"/>
    <w:rsid w:val="00962B00"/>
    <w:rsid w:val="00966C9A"/>
    <w:rsid w:val="00966FE6"/>
    <w:rsid w:val="009705EE"/>
    <w:rsid w:val="00976299"/>
    <w:rsid w:val="00977927"/>
    <w:rsid w:val="0098048D"/>
    <w:rsid w:val="0098135C"/>
    <w:rsid w:val="0098156A"/>
    <w:rsid w:val="00990605"/>
    <w:rsid w:val="00991BAC"/>
    <w:rsid w:val="009A6EA0"/>
    <w:rsid w:val="009C1335"/>
    <w:rsid w:val="009C1AB2"/>
    <w:rsid w:val="009C7251"/>
    <w:rsid w:val="009E2E91"/>
    <w:rsid w:val="009E7D31"/>
    <w:rsid w:val="00A01B40"/>
    <w:rsid w:val="00A139F5"/>
    <w:rsid w:val="00A17C9C"/>
    <w:rsid w:val="00A17D5D"/>
    <w:rsid w:val="00A32E16"/>
    <w:rsid w:val="00A361E8"/>
    <w:rsid w:val="00A365F4"/>
    <w:rsid w:val="00A47D80"/>
    <w:rsid w:val="00A51FE7"/>
    <w:rsid w:val="00A53132"/>
    <w:rsid w:val="00A563F2"/>
    <w:rsid w:val="00A566E8"/>
    <w:rsid w:val="00A61CAC"/>
    <w:rsid w:val="00A66347"/>
    <w:rsid w:val="00A7392B"/>
    <w:rsid w:val="00A810F9"/>
    <w:rsid w:val="00A82D31"/>
    <w:rsid w:val="00A84406"/>
    <w:rsid w:val="00A85E7E"/>
    <w:rsid w:val="00A86ECC"/>
    <w:rsid w:val="00A86FCC"/>
    <w:rsid w:val="00A90A6D"/>
    <w:rsid w:val="00A91617"/>
    <w:rsid w:val="00A94D70"/>
    <w:rsid w:val="00A971E5"/>
    <w:rsid w:val="00AA710D"/>
    <w:rsid w:val="00AB64F3"/>
    <w:rsid w:val="00AB6916"/>
    <w:rsid w:val="00AB6D25"/>
    <w:rsid w:val="00AB72CD"/>
    <w:rsid w:val="00AC0238"/>
    <w:rsid w:val="00AD0E56"/>
    <w:rsid w:val="00AE229B"/>
    <w:rsid w:val="00AE2D4B"/>
    <w:rsid w:val="00AE4F99"/>
    <w:rsid w:val="00B11B69"/>
    <w:rsid w:val="00B14952"/>
    <w:rsid w:val="00B16871"/>
    <w:rsid w:val="00B25B45"/>
    <w:rsid w:val="00B31E5A"/>
    <w:rsid w:val="00B43533"/>
    <w:rsid w:val="00B47359"/>
    <w:rsid w:val="00B50844"/>
    <w:rsid w:val="00B5579E"/>
    <w:rsid w:val="00B653AB"/>
    <w:rsid w:val="00B65F9E"/>
    <w:rsid w:val="00B66B19"/>
    <w:rsid w:val="00B66FEC"/>
    <w:rsid w:val="00B914E9"/>
    <w:rsid w:val="00B956EE"/>
    <w:rsid w:val="00BA2BA1"/>
    <w:rsid w:val="00BA3447"/>
    <w:rsid w:val="00BA3562"/>
    <w:rsid w:val="00BA66B5"/>
    <w:rsid w:val="00BB4F09"/>
    <w:rsid w:val="00BB54B5"/>
    <w:rsid w:val="00BC0D70"/>
    <w:rsid w:val="00BD4E33"/>
    <w:rsid w:val="00BE1060"/>
    <w:rsid w:val="00C030DE"/>
    <w:rsid w:val="00C03482"/>
    <w:rsid w:val="00C051A8"/>
    <w:rsid w:val="00C13CA0"/>
    <w:rsid w:val="00C22105"/>
    <w:rsid w:val="00C244B6"/>
    <w:rsid w:val="00C27BF1"/>
    <w:rsid w:val="00C3702F"/>
    <w:rsid w:val="00C4500A"/>
    <w:rsid w:val="00C51D1F"/>
    <w:rsid w:val="00C60504"/>
    <w:rsid w:val="00C62238"/>
    <w:rsid w:val="00C64A37"/>
    <w:rsid w:val="00C7154B"/>
    <w:rsid w:val="00C7158E"/>
    <w:rsid w:val="00C7250B"/>
    <w:rsid w:val="00C7346B"/>
    <w:rsid w:val="00C77C0E"/>
    <w:rsid w:val="00C91687"/>
    <w:rsid w:val="00C924A8"/>
    <w:rsid w:val="00C945FE"/>
    <w:rsid w:val="00C96FAA"/>
    <w:rsid w:val="00C97A04"/>
    <w:rsid w:val="00CA107B"/>
    <w:rsid w:val="00CA484D"/>
    <w:rsid w:val="00CA4FB6"/>
    <w:rsid w:val="00CA784C"/>
    <w:rsid w:val="00CB2F90"/>
    <w:rsid w:val="00CB6AD4"/>
    <w:rsid w:val="00CC739E"/>
    <w:rsid w:val="00CD0C51"/>
    <w:rsid w:val="00CD1EBB"/>
    <w:rsid w:val="00CD28CF"/>
    <w:rsid w:val="00CD58B7"/>
    <w:rsid w:val="00CD7967"/>
    <w:rsid w:val="00CE034F"/>
    <w:rsid w:val="00CE6337"/>
    <w:rsid w:val="00CF18EE"/>
    <w:rsid w:val="00CF30BD"/>
    <w:rsid w:val="00CF4099"/>
    <w:rsid w:val="00CF6CE6"/>
    <w:rsid w:val="00D00796"/>
    <w:rsid w:val="00D1176D"/>
    <w:rsid w:val="00D15296"/>
    <w:rsid w:val="00D15816"/>
    <w:rsid w:val="00D21F75"/>
    <w:rsid w:val="00D24987"/>
    <w:rsid w:val="00D261A2"/>
    <w:rsid w:val="00D616D2"/>
    <w:rsid w:val="00D63B5F"/>
    <w:rsid w:val="00D70EF7"/>
    <w:rsid w:val="00D81C7F"/>
    <w:rsid w:val="00D8397C"/>
    <w:rsid w:val="00D94EED"/>
    <w:rsid w:val="00D96026"/>
    <w:rsid w:val="00D972F6"/>
    <w:rsid w:val="00DA331D"/>
    <w:rsid w:val="00DA52DA"/>
    <w:rsid w:val="00DA7C1C"/>
    <w:rsid w:val="00DB0D9A"/>
    <w:rsid w:val="00DB147A"/>
    <w:rsid w:val="00DB1B7A"/>
    <w:rsid w:val="00DB3F19"/>
    <w:rsid w:val="00DB706E"/>
    <w:rsid w:val="00DC6708"/>
    <w:rsid w:val="00DD011A"/>
    <w:rsid w:val="00DE1D0A"/>
    <w:rsid w:val="00DE2400"/>
    <w:rsid w:val="00DE58F1"/>
    <w:rsid w:val="00DE6B58"/>
    <w:rsid w:val="00DF5E02"/>
    <w:rsid w:val="00DF5E32"/>
    <w:rsid w:val="00E01436"/>
    <w:rsid w:val="00E03E79"/>
    <w:rsid w:val="00E045BD"/>
    <w:rsid w:val="00E04D6C"/>
    <w:rsid w:val="00E1323E"/>
    <w:rsid w:val="00E16435"/>
    <w:rsid w:val="00E17B77"/>
    <w:rsid w:val="00E20005"/>
    <w:rsid w:val="00E231AB"/>
    <w:rsid w:val="00E23337"/>
    <w:rsid w:val="00E259EA"/>
    <w:rsid w:val="00E25D33"/>
    <w:rsid w:val="00E32061"/>
    <w:rsid w:val="00E33F48"/>
    <w:rsid w:val="00E4218B"/>
    <w:rsid w:val="00E42FF9"/>
    <w:rsid w:val="00E44790"/>
    <w:rsid w:val="00E44AD5"/>
    <w:rsid w:val="00E4714C"/>
    <w:rsid w:val="00E5178D"/>
    <w:rsid w:val="00E51AEB"/>
    <w:rsid w:val="00E522A7"/>
    <w:rsid w:val="00E5349E"/>
    <w:rsid w:val="00E54452"/>
    <w:rsid w:val="00E63B0C"/>
    <w:rsid w:val="00E664C5"/>
    <w:rsid w:val="00E671A2"/>
    <w:rsid w:val="00E726C8"/>
    <w:rsid w:val="00E76D26"/>
    <w:rsid w:val="00E76EE5"/>
    <w:rsid w:val="00E900DB"/>
    <w:rsid w:val="00E95036"/>
    <w:rsid w:val="00E95B8E"/>
    <w:rsid w:val="00E96BD5"/>
    <w:rsid w:val="00EB1390"/>
    <w:rsid w:val="00EB2C71"/>
    <w:rsid w:val="00EB3333"/>
    <w:rsid w:val="00EB4340"/>
    <w:rsid w:val="00EB556D"/>
    <w:rsid w:val="00EB5A7D"/>
    <w:rsid w:val="00ED480B"/>
    <w:rsid w:val="00ED55C0"/>
    <w:rsid w:val="00ED682B"/>
    <w:rsid w:val="00EE41D5"/>
    <w:rsid w:val="00F0166F"/>
    <w:rsid w:val="00F037A4"/>
    <w:rsid w:val="00F049AB"/>
    <w:rsid w:val="00F133EE"/>
    <w:rsid w:val="00F142DB"/>
    <w:rsid w:val="00F152DC"/>
    <w:rsid w:val="00F21DD2"/>
    <w:rsid w:val="00F27C8F"/>
    <w:rsid w:val="00F31754"/>
    <w:rsid w:val="00F32749"/>
    <w:rsid w:val="00F37172"/>
    <w:rsid w:val="00F4477E"/>
    <w:rsid w:val="00F46269"/>
    <w:rsid w:val="00F54EBB"/>
    <w:rsid w:val="00F60BA8"/>
    <w:rsid w:val="00F67D8F"/>
    <w:rsid w:val="00F802BE"/>
    <w:rsid w:val="00F80E93"/>
    <w:rsid w:val="00F86024"/>
    <w:rsid w:val="00F8611A"/>
    <w:rsid w:val="00F90D9F"/>
    <w:rsid w:val="00FA4D6D"/>
    <w:rsid w:val="00FA5128"/>
    <w:rsid w:val="00FB42D4"/>
    <w:rsid w:val="00FB5906"/>
    <w:rsid w:val="00FB762F"/>
    <w:rsid w:val="00FB7FC5"/>
    <w:rsid w:val="00FC2AED"/>
    <w:rsid w:val="00FC5D52"/>
    <w:rsid w:val="00FD2152"/>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stat.gov.pl/en/topics/prices-trade/trade/internal-market-in-2020,7,19.html"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yperlink" Target="https://stat.gov.pl/en/metainformation/glossary/terms-used-in-official-statistics/473,term.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yperlink" Target="https://bdm.stat.gov.pl/" TargetMode="External"/><Relationship Id="rId10" Type="http://schemas.openxmlformats.org/officeDocument/2006/relationships/chart" Target="charts/chart1.xml"/><Relationship Id="rId19" Type="http://schemas.openxmlformats.org/officeDocument/2006/relationships/hyperlink" Target="mailto:obslugaprasowa@stat.gov.pl" TargetMode="External"/><Relationship Id="rId31"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yperlink" Target="http://swaid.stat.gov.pl/EN/SitePagesDBW/HandelUslugi.aspx" TargetMode="External"/><Relationship Id="rId30" Type="http://schemas.openxmlformats.org/officeDocument/2006/relationships/header" Target="header4.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96651223397973E-2"/>
          <c:y val="5.3825857519788918E-2"/>
          <c:w val="0.93325015595757954"/>
          <c:h val="0.81233069286599957"/>
        </c:manualLayout>
      </c:layout>
      <c:barChart>
        <c:barDir val="col"/>
        <c:grouping val="clustered"/>
        <c:varyColors val="0"/>
        <c:ser>
          <c:idx val="0"/>
          <c:order val="0"/>
          <c:spPr>
            <a:solidFill>
              <a:srgbClr val="AAA9A9"/>
            </a:solidFill>
            <a:ln w="3175">
              <a:noFill/>
              <a:prstDash val="solid"/>
            </a:ln>
          </c:spPr>
          <c:invertIfNegative val="0"/>
          <c:dPt>
            <c:idx val="25"/>
            <c:invertIfNegative val="0"/>
            <c:bubble3D val="0"/>
            <c:extLst>
              <c:ext xmlns:c16="http://schemas.microsoft.com/office/drawing/2014/chart" uri="{C3380CC4-5D6E-409C-BE32-E72D297353CC}">
                <c16:uniqueId val="{00000000-9C7F-4BB3-B269-1BB19E02B337}"/>
              </c:ext>
            </c:extLst>
          </c:dPt>
          <c:dPt>
            <c:idx val="26"/>
            <c:invertIfNegative val="0"/>
            <c:bubble3D val="0"/>
            <c:extLst>
              <c:ext xmlns:c16="http://schemas.microsoft.com/office/drawing/2014/chart" uri="{C3380CC4-5D6E-409C-BE32-E72D297353CC}">
                <c16:uniqueId val="{00000001-9C7F-4BB3-B269-1BB19E02B337}"/>
              </c:ext>
            </c:extLst>
          </c:dPt>
          <c:dPt>
            <c:idx val="27"/>
            <c:invertIfNegative val="0"/>
            <c:bubble3D val="0"/>
            <c:extLst>
              <c:ext xmlns:c16="http://schemas.microsoft.com/office/drawing/2014/chart" uri="{C3380CC4-5D6E-409C-BE32-E72D297353CC}">
                <c16:uniqueId val="{00000002-9C7F-4BB3-B269-1BB19E02B337}"/>
              </c:ext>
            </c:extLst>
          </c:dPt>
          <c:dPt>
            <c:idx val="28"/>
            <c:invertIfNegative val="0"/>
            <c:bubble3D val="0"/>
            <c:extLst>
              <c:ext xmlns:c16="http://schemas.microsoft.com/office/drawing/2014/chart" uri="{C3380CC4-5D6E-409C-BE32-E72D297353CC}">
                <c16:uniqueId val="{00000003-9C7F-4BB3-B269-1BB19E02B337}"/>
              </c:ext>
            </c:extLst>
          </c:dPt>
          <c:dPt>
            <c:idx val="29"/>
            <c:invertIfNegative val="0"/>
            <c:bubble3D val="0"/>
            <c:extLst>
              <c:ext xmlns:c16="http://schemas.microsoft.com/office/drawing/2014/chart" uri="{C3380CC4-5D6E-409C-BE32-E72D297353CC}">
                <c16:uniqueId val="{00000004-9C7F-4BB3-B269-1BB19E02B337}"/>
              </c:ext>
            </c:extLst>
          </c:dPt>
          <c:dPt>
            <c:idx val="30"/>
            <c:invertIfNegative val="0"/>
            <c:bubble3D val="0"/>
            <c:extLst>
              <c:ext xmlns:c16="http://schemas.microsoft.com/office/drawing/2014/chart" uri="{C3380CC4-5D6E-409C-BE32-E72D297353CC}">
                <c16:uniqueId val="{00000005-9C7F-4BB3-B269-1BB19E02B337}"/>
              </c:ext>
            </c:extLst>
          </c:dPt>
          <c:dPt>
            <c:idx val="31"/>
            <c:invertIfNegative val="0"/>
            <c:bubble3D val="0"/>
            <c:extLst>
              <c:ext xmlns:c16="http://schemas.microsoft.com/office/drawing/2014/chart" uri="{C3380CC4-5D6E-409C-BE32-E72D297353CC}">
                <c16:uniqueId val="{00000006-9C7F-4BB3-B269-1BB19E02B337}"/>
              </c:ext>
            </c:extLst>
          </c:dPt>
          <c:dPt>
            <c:idx val="32"/>
            <c:invertIfNegative val="0"/>
            <c:bubble3D val="0"/>
            <c:extLst>
              <c:ext xmlns:c16="http://schemas.microsoft.com/office/drawing/2014/chart" uri="{C3380CC4-5D6E-409C-BE32-E72D297353CC}">
                <c16:uniqueId val="{00000007-9C7F-4BB3-B269-1BB19E02B337}"/>
              </c:ext>
            </c:extLst>
          </c:dPt>
          <c:dPt>
            <c:idx val="33"/>
            <c:invertIfNegative val="0"/>
            <c:bubble3D val="0"/>
            <c:extLst>
              <c:ext xmlns:c16="http://schemas.microsoft.com/office/drawing/2014/chart" uri="{C3380CC4-5D6E-409C-BE32-E72D297353CC}">
                <c16:uniqueId val="{00000008-9C7F-4BB3-B269-1BB19E02B337}"/>
              </c:ext>
            </c:extLst>
          </c:dPt>
          <c:dPt>
            <c:idx val="34"/>
            <c:invertIfNegative val="0"/>
            <c:bubble3D val="0"/>
            <c:extLst>
              <c:ext xmlns:c16="http://schemas.microsoft.com/office/drawing/2014/chart" uri="{C3380CC4-5D6E-409C-BE32-E72D297353CC}">
                <c16:uniqueId val="{00000009-9C7F-4BB3-B269-1BB19E02B337}"/>
              </c:ext>
            </c:extLst>
          </c:dPt>
          <c:dPt>
            <c:idx val="35"/>
            <c:invertIfNegative val="0"/>
            <c:bubble3D val="0"/>
            <c:extLst>
              <c:ext xmlns:c16="http://schemas.microsoft.com/office/drawing/2014/chart" uri="{C3380CC4-5D6E-409C-BE32-E72D297353CC}">
                <c16:uniqueId val="{0000000B-9C7F-4BB3-B269-1BB19E02B337}"/>
              </c:ext>
            </c:extLst>
          </c:dPt>
          <c:dPt>
            <c:idx val="36"/>
            <c:invertIfNegative val="0"/>
            <c:bubble3D val="0"/>
            <c:spPr>
              <a:solidFill>
                <a:schemeClr val="tx2"/>
              </a:solidFill>
              <a:ln w="3175">
                <a:noFill/>
                <a:prstDash val="solid"/>
              </a:ln>
            </c:spPr>
            <c:extLst>
              <c:ext xmlns:c16="http://schemas.microsoft.com/office/drawing/2014/chart" uri="{C3380CC4-5D6E-409C-BE32-E72D297353CC}">
                <c16:uniqueId val="{0000000B-343E-41FA-AFAF-6EF6C3F2734B}"/>
              </c:ext>
            </c:extLst>
          </c:dPt>
          <c:cat>
            <c:multiLvlStrRef>
              <c:f>Arkusz1!$B$101:$C$137</c:f>
              <c:multiLvlStrCache>
                <c:ptCount val="37"/>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lvl>
                <c:lvl>
                  <c:pt idx="0">
                    <c:v>2019</c:v>
                  </c:pt>
                  <c:pt idx="12">
                    <c:v>2020</c:v>
                  </c:pt>
                  <c:pt idx="24">
                    <c:v>2021</c:v>
                  </c:pt>
                  <c:pt idx="36">
                    <c:v>2022</c:v>
                  </c:pt>
                </c:lvl>
              </c:multiLvlStrCache>
            </c:multiLvlStrRef>
          </c:cat>
          <c:val>
            <c:numRef>
              <c:f>Arkusz1!$D$101:$D$137</c:f>
              <c:numCache>
                <c:formatCode>General</c:formatCode>
                <c:ptCount val="37"/>
                <c:pt idx="0">
                  <c:v>106.1</c:v>
                </c:pt>
                <c:pt idx="1">
                  <c:v>105.6</c:v>
                </c:pt>
                <c:pt idx="2">
                  <c:v>101.8</c:v>
                </c:pt>
                <c:pt idx="3">
                  <c:v>111.9</c:v>
                </c:pt>
                <c:pt idx="4">
                  <c:v>105.6</c:v>
                </c:pt>
                <c:pt idx="5">
                  <c:v>103.7</c:v>
                </c:pt>
                <c:pt idx="6">
                  <c:v>105.7</c:v>
                </c:pt>
                <c:pt idx="7">
                  <c:v>104.4</c:v>
                </c:pt>
                <c:pt idx="8">
                  <c:v>104.3</c:v>
                </c:pt>
                <c:pt idx="9">
                  <c:v>104.6</c:v>
                </c:pt>
                <c:pt idx="10">
                  <c:v>105.2</c:v>
                </c:pt>
                <c:pt idx="11">
                  <c:v>105.7</c:v>
                </c:pt>
                <c:pt idx="12">
                  <c:v>103.5</c:v>
                </c:pt>
                <c:pt idx="13">
                  <c:v>107.3</c:v>
                </c:pt>
                <c:pt idx="14">
                  <c:v>91.1</c:v>
                </c:pt>
                <c:pt idx="15">
                  <c:v>77.099999999999994</c:v>
                </c:pt>
                <c:pt idx="16">
                  <c:v>92.3</c:v>
                </c:pt>
                <c:pt idx="17">
                  <c:v>98.7</c:v>
                </c:pt>
                <c:pt idx="18">
                  <c:v>103</c:v>
                </c:pt>
                <c:pt idx="19">
                  <c:v>100.5</c:v>
                </c:pt>
                <c:pt idx="20">
                  <c:v>102.5</c:v>
                </c:pt>
                <c:pt idx="21">
                  <c:v>97.7</c:v>
                </c:pt>
                <c:pt idx="22">
                  <c:v>94.7</c:v>
                </c:pt>
                <c:pt idx="23">
                  <c:v>99.2</c:v>
                </c:pt>
                <c:pt idx="24">
                  <c:v>94</c:v>
                </c:pt>
                <c:pt idx="25">
                  <c:v>96.9</c:v>
                </c:pt>
                <c:pt idx="26">
                  <c:v>115.2</c:v>
                </c:pt>
                <c:pt idx="27">
                  <c:v>121.1</c:v>
                </c:pt>
                <c:pt idx="28">
                  <c:v>113.9</c:v>
                </c:pt>
                <c:pt idx="29">
                  <c:v>108.6</c:v>
                </c:pt>
                <c:pt idx="30">
                  <c:v>103.9</c:v>
                </c:pt>
                <c:pt idx="31">
                  <c:v>105.4</c:v>
                </c:pt>
                <c:pt idx="32">
                  <c:v>105.1</c:v>
                </c:pt>
                <c:pt idx="33">
                  <c:v>106.9</c:v>
                </c:pt>
                <c:pt idx="34">
                  <c:v>112.1</c:v>
                </c:pt>
                <c:pt idx="35">
                  <c:v>108</c:v>
                </c:pt>
                <c:pt idx="36">
                  <c:v>110.6</c:v>
                </c:pt>
              </c:numCache>
            </c:numRef>
          </c:val>
          <c:extLst>
            <c:ext xmlns:c16="http://schemas.microsoft.com/office/drawing/2014/chart" uri="{C3380CC4-5D6E-409C-BE32-E72D297353CC}">
              <c16:uniqueId val="{0000000D-6F13-4AFC-B311-D329CC14643D}"/>
            </c:ext>
          </c:extLst>
        </c:ser>
        <c:dLbls>
          <c:showLegendKey val="0"/>
          <c:showVal val="0"/>
          <c:showCatName val="0"/>
          <c:showSerName val="0"/>
          <c:showPercent val="0"/>
          <c:showBubbleSize val="0"/>
        </c:dLbls>
        <c:gapWidth val="67"/>
        <c:axId val="-689788320"/>
        <c:axId val="-689784512"/>
      </c:barChart>
      <c:catAx>
        <c:axId val="-689788320"/>
        <c:scaling>
          <c:orientation val="minMax"/>
        </c:scaling>
        <c:delete val="0"/>
        <c:axPos val="b"/>
        <c:numFmt formatCode="General" sourceLinked="0"/>
        <c:majorTickMark val="cross"/>
        <c:minorTickMark val="none"/>
        <c:tickLblPos val="low"/>
        <c:spPr>
          <a:noFill/>
          <a:ln w="3175">
            <a:solidFill>
              <a:schemeClr val="tx1"/>
            </a:solid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a:defRPr>
            </a:pPr>
            <a:endParaRPr lang="pl-PL"/>
          </a:p>
        </c:txPr>
        <c:crossAx val="-689784512"/>
        <c:crossesAt val="100"/>
        <c:auto val="0"/>
        <c:lblAlgn val="ctr"/>
        <c:lblOffset val="50"/>
        <c:tickLblSkip val="10"/>
        <c:tickMarkSkip val="2"/>
        <c:noMultiLvlLbl val="0"/>
      </c:catAx>
      <c:valAx>
        <c:axId val="-689784512"/>
        <c:scaling>
          <c:orientation val="minMax"/>
          <c:max val="122"/>
          <c:min val="76"/>
        </c:scaling>
        <c:delete val="0"/>
        <c:axPos val="l"/>
        <c:majorGridlines>
          <c:spPr>
            <a:ln w="3175">
              <a:solidFill>
                <a:schemeClr val="bg1">
                  <a:lumMod val="65000"/>
                </a:schemeClr>
              </a:solidFill>
              <a:prstDash val="sysDot"/>
            </a:ln>
          </c:spPr>
        </c:majorGridlines>
        <c:numFmt formatCode="0" sourceLinked="0"/>
        <c:majorTickMark val="out"/>
        <c:minorTickMark val="none"/>
        <c:tickLblPos val="nextTo"/>
        <c:spPr>
          <a:ln w="3175">
            <a:no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CE"/>
              </a:defRPr>
            </a:pPr>
            <a:endParaRPr lang="pl-PL"/>
          </a:p>
        </c:txPr>
        <c:crossAx val="-689788320"/>
        <c:crosses val="autoZero"/>
        <c:crossBetween val="between"/>
        <c:majorUnit val="2"/>
        <c:minorUnit val="2"/>
      </c:valAx>
      <c:spPr>
        <a:noFill/>
        <a:ln w="3175">
          <a:no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48897870067124E-2"/>
          <c:y val="4.8680505845860179E-2"/>
          <c:w val="0.90746450357941544"/>
          <c:h val="0.69910735168004989"/>
        </c:manualLayout>
      </c:layout>
      <c:barChart>
        <c:barDir val="col"/>
        <c:grouping val="clustered"/>
        <c:varyColors val="0"/>
        <c:ser>
          <c:idx val="0"/>
          <c:order val="0"/>
          <c:spPr>
            <a:solidFill>
              <a:srgbClr val="001D77"/>
            </a:solidFill>
            <a:ln w="12700">
              <a:noFill/>
              <a:prstDash val="solid"/>
            </a:ln>
            <a:scene3d>
              <a:camera prst="orthographicFront"/>
              <a:lightRig rig="threePt" dir="t"/>
            </a:scene3d>
            <a:sp3d>
              <a:bevelT w="0" h="0"/>
            </a:sp3d>
          </c:spPr>
          <c:invertIfNegative val="0"/>
          <c:dLbls>
            <c:dLbl>
              <c:idx val="0"/>
              <c:tx>
                <c:rich>
                  <a:bodyPr/>
                  <a:lstStyle/>
                  <a:p>
                    <a:pPr>
                      <a:defRPr sz="800" baseline="0">
                        <a:latin typeface="Fira Sans" panose="020B0503050000020004" pitchFamily="34" charset="0"/>
                      </a:defRPr>
                    </a:pPr>
                    <a:r>
                      <a:rPr lang="en-US" sz="800"/>
                      <a:t>86.5</a:t>
                    </a:r>
                  </a:p>
                </c:rich>
              </c:tx>
              <c:spPr>
                <a:solidFill>
                  <a:schemeClr val="bg1"/>
                </a:solid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AD-4D92-9E68-5B28F91EDB1B}"/>
                </c:ext>
              </c:extLst>
            </c:dLbl>
            <c:dLbl>
              <c:idx val="1"/>
              <c:layout>
                <c:manualLayout>
                  <c:x val="0"/>
                  <c:y val="-3.2633665547051376E-2"/>
                </c:manualLayout>
              </c:layout>
              <c:tx>
                <c:rich>
                  <a:bodyPr/>
                  <a:lstStyle/>
                  <a:p>
                    <a:pPr>
                      <a:defRPr sz="800" baseline="0">
                        <a:latin typeface="Fira Sans" panose="020B0503050000020004" pitchFamily="34" charset="0"/>
                      </a:defRPr>
                    </a:pPr>
                    <a:r>
                      <a:rPr lang="en-US" sz="800"/>
                      <a:t>98.5</a:t>
                    </a:r>
                  </a:p>
                </c:rich>
              </c:tx>
              <c:spPr>
                <a:solidFill>
                  <a:schemeClr val="bg1"/>
                </a:solid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6.429633242747311E-2"/>
                      <c:h val="6.0205935796486976E-2"/>
                    </c:manualLayout>
                  </c15:layout>
                </c:ext>
                <c:ext xmlns:c16="http://schemas.microsoft.com/office/drawing/2014/chart" uri="{C3380CC4-5D6E-409C-BE32-E72D297353CC}">
                  <c16:uniqueId val="{00000001-7CAD-4D92-9E68-5B28F91EDB1B}"/>
                </c:ext>
              </c:extLst>
            </c:dLbl>
            <c:dLbl>
              <c:idx val="2"/>
              <c:layout>
                <c:manualLayout>
                  <c:x val="-4.5066670470867229E-17"/>
                  <c:y val="-5.128205128205137E-2"/>
                </c:manualLayout>
              </c:layout>
              <c:tx>
                <c:rich>
                  <a:bodyPr/>
                  <a:lstStyle/>
                  <a:p>
                    <a:pPr>
                      <a:defRPr sz="800" baseline="0">
                        <a:latin typeface="Fira Sans" panose="020B0503050000020004" pitchFamily="34" charset="0"/>
                      </a:defRPr>
                    </a:pPr>
                    <a:r>
                      <a:rPr lang="en-US" sz="800"/>
                      <a:t>103.6</a:t>
                    </a:r>
                  </a:p>
                </c:rich>
              </c:tx>
              <c:spPr>
                <a:solidFill>
                  <a:schemeClr val="bg1"/>
                </a:solid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AD-4D92-9E68-5B28F91EDB1B}"/>
                </c:ext>
              </c:extLst>
            </c:dLbl>
            <c:dLbl>
              <c:idx val="3"/>
              <c:tx>
                <c:rich>
                  <a:bodyPr/>
                  <a:lstStyle/>
                  <a:p>
                    <a:r>
                      <a:rPr lang="en-US" sz="800"/>
                      <a:t>119.2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AD-4D92-9E68-5B28F91EDB1B}"/>
                </c:ext>
              </c:extLst>
            </c:dLbl>
            <c:dLbl>
              <c:idx val="4"/>
              <c:tx>
                <c:rich>
                  <a:bodyPr/>
                  <a:lstStyle/>
                  <a:p>
                    <a:r>
                      <a:rPr lang="en-US" sz="800"/>
                      <a:t>197.7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AD-4D92-9E68-5B28F91EDB1B}"/>
                </c:ext>
              </c:extLst>
            </c:dLbl>
            <c:dLbl>
              <c:idx val="5"/>
              <c:tx>
                <c:rich>
                  <a:bodyPr/>
                  <a:lstStyle/>
                  <a:p>
                    <a:r>
                      <a:rPr lang="en-US" sz="800"/>
                      <a:t>99.6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AD-4D92-9E68-5B28F91EDB1B}"/>
                </c:ext>
              </c:extLst>
            </c:dLbl>
            <c:dLbl>
              <c:idx val="6"/>
              <c:tx>
                <c:rich>
                  <a:bodyPr/>
                  <a:lstStyle/>
                  <a:p>
                    <a:pPr>
                      <a:defRPr sz="800" baseline="0">
                        <a:latin typeface="Fira Sans" panose="020B0503050000020004" pitchFamily="34" charset="0"/>
                      </a:defRPr>
                    </a:pPr>
                    <a:r>
                      <a:rPr lang="en-US" sz="800"/>
                      <a:t>117.5</a:t>
                    </a:r>
                  </a:p>
                </c:rich>
              </c:tx>
              <c:spPr>
                <a:solidFill>
                  <a:schemeClr val="bg1"/>
                </a:solid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AD-4D92-9E68-5B28F91EDB1B}"/>
                </c:ext>
              </c:extLst>
            </c:dLbl>
            <c:dLbl>
              <c:idx val="7"/>
              <c:tx>
                <c:rich>
                  <a:bodyPr/>
                  <a:lstStyle/>
                  <a:p>
                    <a:r>
                      <a:rPr lang="en-US" sz="800"/>
                      <a:t>124.4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AD-4D92-9E68-5B28F91EDB1B}"/>
                </c:ext>
              </c:extLst>
            </c:dLbl>
            <c:dLbl>
              <c:idx val="8"/>
              <c:tx>
                <c:rich>
                  <a:bodyPr/>
                  <a:lstStyle/>
                  <a:p>
                    <a:pPr>
                      <a:defRPr sz="800" baseline="0">
                        <a:latin typeface="Fira Sans" panose="020B0503050000020004" pitchFamily="34" charset="0"/>
                      </a:defRPr>
                    </a:pPr>
                    <a:r>
                      <a:rPr lang="en-US" sz="800"/>
                      <a:t>100.9</a:t>
                    </a:r>
                  </a:p>
                </c:rich>
              </c:tx>
              <c:spPr>
                <a:solidFill>
                  <a:schemeClr val="bg1"/>
                </a:solid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AD-4D92-9E68-5B28F91EDB1B}"/>
                </c:ext>
              </c:extLst>
            </c:dLbl>
            <c:dLbl>
              <c:idx val="9"/>
              <c:tx>
                <c:rich>
                  <a:bodyPr/>
                  <a:lstStyle/>
                  <a:p>
                    <a:r>
                      <a:rPr lang="en-US"/>
                      <a:t> [WARTOŚĆ]</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AD-4D92-9E68-5B28F91EDB1B}"/>
                </c:ext>
              </c:extLst>
            </c:dLbl>
            <c:spPr>
              <a:solidFill>
                <a:schemeClr val="bg1"/>
              </a:solidFill>
              <a:ln>
                <a:noFill/>
              </a:ln>
              <a:effectLst/>
            </c:spPr>
            <c:txPr>
              <a:bodyPr/>
              <a:lstStyle/>
              <a:p>
                <a:pPr>
                  <a:defRPr sz="850" baseline="0">
                    <a:latin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rodz_dział_miesiąc!$B$4:$B$11</c:f>
              <c:strCache>
                <c:ptCount val="8"/>
                <c:pt idx="0">
                  <c:v>motor vehicles,
 motorcycles,
 parts
</c:v>
                </c:pt>
                <c:pt idx="1">
                  <c:v>solid, liquid
 and gaseous
 fuels
</c:v>
                </c:pt>
                <c:pt idx="2">
                  <c:v>food, 
beverages
and tobacco
products
</c:v>
                </c:pt>
                <c:pt idx="3">
                  <c:v>pharmaceuticals,
cosmetics,
orthopaedic 
equipment
</c:v>
                </c:pt>
                <c:pt idx="4">
                  <c:v>textiles,
clothing,
 footwear
</c:v>
                </c:pt>
                <c:pt idx="5">
                  <c:v>furniture, radio
TV and household
appliance
</c:v>
                </c:pt>
                <c:pt idx="6">
                  <c:v>newspapers,
books,
other sale
in specialized stores
</c:v>
                </c:pt>
                <c:pt idx="7">
                  <c:v>others</c:v>
                </c:pt>
              </c:strCache>
            </c:strRef>
          </c:cat>
          <c:val>
            <c:numRef>
              <c:f>rodz_dział_miesiąc!$CO$4:$CO$11</c:f>
              <c:numCache>
                <c:formatCode>0.0</c:formatCode>
                <c:ptCount val="8"/>
                <c:pt idx="0">
                  <c:v>86.5</c:v>
                </c:pt>
                <c:pt idx="1">
                  <c:v>98.5</c:v>
                </c:pt>
                <c:pt idx="2">
                  <c:v>103.6</c:v>
                </c:pt>
                <c:pt idx="3">
                  <c:v>119.2</c:v>
                </c:pt>
                <c:pt idx="4">
                  <c:v>197.7</c:v>
                </c:pt>
                <c:pt idx="5">
                  <c:v>99.6</c:v>
                </c:pt>
                <c:pt idx="6">
                  <c:v>117.5</c:v>
                </c:pt>
                <c:pt idx="7">
                  <c:v>124.4</c:v>
                </c:pt>
              </c:numCache>
            </c:numRef>
          </c:val>
          <c:extLst>
            <c:ext xmlns:c16="http://schemas.microsoft.com/office/drawing/2014/chart" uri="{C3380CC4-5D6E-409C-BE32-E72D297353CC}">
              <c16:uniqueId val="{0000000A-7CAD-4D92-9E68-5B28F91EDB1B}"/>
            </c:ext>
          </c:extLst>
        </c:ser>
        <c:dLbls>
          <c:showLegendKey val="0"/>
          <c:showVal val="0"/>
          <c:showCatName val="0"/>
          <c:showSerName val="0"/>
          <c:showPercent val="0"/>
          <c:showBubbleSize val="0"/>
        </c:dLbls>
        <c:gapWidth val="100"/>
        <c:axId val="1889788464"/>
        <c:axId val="1889785200"/>
      </c:barChart>
      <c:catAx>
        <c:axId val="1889788464"/>
        <c:scaling>
          <c:orientation val="minMax"/>
        </c:scaling>
        <c:delete val="0"/>
        <c:axPos val="b"/>
        <c:numFmt formatCode="#,##0.00" sourceLinked="0"/>
        <c:majorTickMark val="cross"/>
        <c:minorTickMark val="none"/>
        <c:tickLblPos val="low"/>
        <c:spPr>
          <a:ln w="12700">
            <a:noFill/>
            <a:prstDash val="solid"/>
          </a:ln>
        </c:spPr>
        <c:txPr>
          <a:bodyPr rot="0" vert="horz"/>
          <a:lstStyle/>
          <a:p>
            <a:pPr>
              <a:defRPr sz="800" b="0" i="0" u="none" strike="noStrike" baseline="30000">
                <a:solidFill>
                  <a:srgbClr val="000000"/>
                </a:solidFill>
                <a:latin typeface="Fira Sans" panose="020B0503050000020004" pitchFamily="34" charset="0"/>
                <a:ea typeface="Arial CE"/>
                <a:cs typeface="Arial CE"/>
              </a:defRPr>
            </a:pPr>
            <a:endParaRPr lang="pl-PL"/>
          </a:p>
        </c:txPr>
        <c:crossAx val="1889785200"/>
        <c:crossesAt val="100"/>
        <c:auto val="0"/>
        <c:lblAlgn val="ctr"/>
        <c:lblOffset val="80"/>
        <c:tickLblSkip val="1"/>
        <c:tickMarkSkip val="1"/>
        <c:noMultiLvlLbl val="0"/>
      </c:catAx>
      <c:valAx>
        <c:axId val="1889785200"/>
        <c:scaling>
          <c:orientation val="minMax"/>
          <c:max val="200"/>
          <c:min val="70"/>
        </c:scaling>
        <c:delete val="0"/>
        <c:axPos val="l"/>
        <c:majorGridlines>
          <c:spPr>
            <a:ln w="3175">
              <a:solidFill>
                <a:schemeClr val="bg1">
                  <a:lumMod val="65000"/>
                </a:schemeClr>
              </a:solidFill>
              <a:prstDash val="solid"/>
            </a:ln>
          </c:spPr>
        </c:majorGridlines>
        <c:numFmt formatCode="0" sourceLinked="0"/>
        <c:majorTickMark val="out"/>
        <c:minorTickMark val="none"/>
        <c:tickLblPos val="nextTo"/>
        <c:spPr>
          <a:ln w="3175">
            <a:noFill/>
            <a:prstDash val="solid"/>
          </a:ln>
        </c:spPr>
        <c:txPr>
          <a:bodyPr rot="0" vert="horz"/>
          <a:lstStyle/>
          <a:p>
            <a:pPr>
              <a:defRPr sz="700" b="0" i="0" u="none" strike="noStrike" baseline="0">
                <a:solidFill>
                  <a:srgbClr val="000000"/>
                </a:solidFill>
                <a:latin typeface="Fira Sans" panose="020B0503050000020004" pitchFamily="34" charset="0"/>
                <a:ea typeface="Arial CE"/>
                <a:cs typeface="Arial CE"/>
              </a:defRPr>
            </a:pPr>
            <a:endParaRPr lang="pl-PL"/>
          </a:p>
        </c:txPr>
        <c:crossAx val="1889788464"/>
        <c:crosses val="autoZero"/>
        <c:crossBetween val="between"/>
        <c:majorUnit val="1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55086680546486E-2"/>
          <c:y val="8.0933410991610236E-2"/>
          <c:w val="0.93548402210229487"/>
          <c:h val="0.64979614702312405"/>
        </c:manualLayout>
      </c:layout>
      <c:lineChart>
        <c:grouping val="standard"/>
        <c:varyColors val="0"/>
        <c:ser>
          <c:idx val="0"/>
          <c:order val="0"/>
          <c:tx>
            <c:strRef>
              <c:f>Arkusz1!$C$1</c:f>
              <c:strCache>
                <c:ptCount val="1"/>
                <c:pt idx="0">
                  <c:v>unadjusted data</c:v>
                </c:pt>
              </c:strCache>
            </c:strRef>
          </c:tx>
          <c:spPr>
            <a:ln w="28575" cap="rnd">
              <a:solidFill>
                <a:srgbClr val="001D77"/>
              </a:solidFill>
              <a:round/>
            </a:ln>
            <a:effectLst/>
          </c:spPr>
          <c:marker>
            <c:symbol val="none"/>
          </c:marker>
          <c:dLbls>
            <c:dLbl>
              <c:idx val="60"/>
              <c:layout>
                <c:manualLayout>
                  <c:x val="-2.9750836742283376E-2"/>
                  <c:y val="-2.2585887238403501E-2"/>
                </c:manualLayout>
              </c:layout>
              <c:tx>
                <c:rich>
                  <a:bodyPr rot="0" spcFirstLastPara="1" vertOverflow="ellipsis" vert="horz" wrap="square" lIns="38100" tIns="19050" rIns="38100" bIns="19050" anchor="ctr" anchorCtr="1">
                    <a:noAutofit/>
                  </a:bodyPr>
                  <a:lstStyle/>
                  <a:p>
                    <a:pPr>
                      <a:defRPr sz="800" b="0" i="0" u="none" strike="noStrike" kern="1200" baseline="0">
                        <a:solidFill>
                          <a:srgbClr val="001D77"/>
                        </a:solidFill>
                        <a:latin typeface="Fira Sans" panose="020B0503050000020004" pitchFamily="34" charset="0"/>
                        <a:ea typeface="+mn-ea"/>
                        <a:cs typeface="+mn-cs"/>
                      </a:defRPr>
                    </a:pPr>
                    <a:r>
                      <a:rPr lang="en-US" sz="800" baseline="0">
                        <a:solidFill>
                          <a:srgbClr val="001D77"/>
                        </a:solidFill>
                        <a:latin typeface="Fira Sans" panose="020B0503050000020004" pitchFamily="34" charset="0"/>
                      </a:rPr>
                      <a:t>123.1</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5.9452088756662948E-2"/>
                      <c:h val="6.6629023150762273E-2"/>
                    </c:manualLayout>
                  </c15:layout>
                </c:ext>
                <c:ext xmlns:c16="http://schemas.microsoft.com/office/drawing/2014/chart" uri="{C3380CC4-5D6E-409C-BE32-E72D297353CC}">
                  <c16:uniqueId val="{00000002-BB92-46FE-959E-AF41F30D08A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Arkusz1!$A$2:$B$62</c:f>
              <c:multiLvlStrCache>
                <c:ptCount val="61"/>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lvl>
                <c:lvl>
                  <c:pt idx="0">
                    <c:v>2017</c:v>
                  </c:pt>
                  <c:pt idx="12">
                    <c:v>2018</c:v>
                  </c:pt>
                  <c:pt idx="24">
                    <c:v>2019</c:v>
                  </c:pt>
                  <c:pt idx="36">
                    <c:v>2020</c:v>
                  </c:pt>
                  <c:pt idx="48">
                    <c:v>2021</c:v>
                  </c:pt>
                  <c:pt idx="60">
                    <c:v>2022</c:v>
                  </c:pt>
                </c:lvl>
              </c:multiLvlStrCache>
            </c:multiLvlStrRef>
          </c:cat>
          <c:val>
            <c:numRef>
              <c:f>Arkusz1!$C$2:$C$62</c:f>
              <c:numCache>
                <c:formatCode>General</c:formatCode>
                <c:ptCount val="61"/>
                <c:pt idx="0">
                  <c:v>99.3</c:v>
                </c:pt>
                <c:pt idx="1">
                  <c:v>96.5</c:v>
                </c:pt>
                <c:pt idx="2">
                  <c:v>112.5</c:v>
                </c:pt>
                <c:pt idx="3">
                  <c:v>110.9</c:v>
                </c:pt>
                <c:pt idx="4">
                  <c:v>111</c:v>
                </c:pt>
                <c:pt idx="5">
                  <c:v>112.8</c:v>
                </c:pt>
                <c:pt idx="6">
                  <c:v>114.1</c:v>
                </c:pt>
                <c:pt idx="7">
                  <c:v>115.8</c:v>
                </c:pt>
                <c:pt idx="8">
                  <c:v>114.8</c:v>
                </c:pt>
                <c:pt idx="9">
                  <c:v>117.8</c:v>
                </c:pt>
                <c:pt idx="10">
                  <c:v>115.7</c:v>
                </c:pt>
                <c:pt idx="11">
                  <c:v>134.80000000000001</c:v>
                </c:pt>
                <c:pt idx="12">
                  <c:v>107.2</c:v>
                </c:pt>
                <c:pt idx="13">
                  <c:v>104.1</c:v>
                </c:pt>
                <c:pt idx="14">
                  <c:v>122.6</c:v>
                </c:pt>
                <c:pt idx="15">
                  <c:v>115.7</c:v>
                </c:pt>
                <c:pt idx="16">
                  <c:v>118</c:v>
                </c:pt>
                <c:pt idx="17">
                  <c:v>122.3</c:v>
                </c:pt>
                <c:pt idx="18">
                  <c:v>122.5</c:v>
                </c:pt>
                <c:pt idx="19">
                  <c:v>123.8</c:v>
                </c:pt>
                <c:pt idx="20">
                  <c:v>119.1</c:v>
                </c:pt>
                <c:pt idx="21">
                  <c:v>127.2</c:v>
                </c:pt>
                <c:pt idx="22">
                  <c:v>123.8</c:v>
                </c:pt>
                <c:pt idx="23">
                  <c:v>140.4</c:v>
                </c:pt>
                <c:pt idx="24">
                  <c:v>113.8</c:v>
                </c:pt>
                <c:pt idx="25">
                  <c:v>110.1</c:v>
                </c:pt>
                <c:pt idx="26">
                  <c:v>125.2</c:v>
                </c:pt>
                <c:pt idx="27">
                  <c:v>129.30000000000001</c:v>
                </c:pt>
                <c:pt idx="28">
                  <c:v>124.8</c:v>
                </c:pt>
                <c:pt idx="29">
                  <c:v>127</c:v>
                </c:pt>
                <c:pt idx="30">
                  <c:v>129.5</c:v>
                </c:pt>
                <c:pt idx="31">
                  <c:v>129.4</c:v>
                </c:pt>
                <c:pt idx="32">
                  <c:v>124.4</c:v>
                </c:pt>
                <c:pt idx="33">
                  <c:v>133.19999999999999</c:v>
                </c:pt>
                <c:pt idx="34">
                  <c:v>130.30000000000001</c:v>
                </c:pt>
                <c:pt idx="35">
                  <c:v>148.69999999999999</c:v>
                </c:pt>
                <c:pt idx="36">
                  <c:v>118</c:v>
                </c:pt>
                <c:pt idx="37">
                  <c:v>118.3</c:v>
                </c:pt>
                <c:pt idx="38">
                  <c:v>113.1</c:v>
                </c:pt>
                <c:pt idx="39">
                  <c:v>98.9</c:v>
                </c:pt>
                <c:pt idx="40">
                  <c:v>115.1</c:v>
                </c:pt>
                <c:pt idx="41">
                  <c:v>125.7</c:v>
                </c:pt>
                <c:pt idx="42">
                  <c:v>133.80000000000001</c:v>
                </c:pt>
                <c:pt idx="43">
                  <c:v>130.30000000000001</c:v>
                </c:pt>
                <c:pt idx="44">
                  <c:v>127.7</c:v>
                </c:pt>
                <c:pt idx="45">
                  <c:v>130.19999999999999</c:v>
                </c:pt>
                <c:pt idx="46">
                  <c:v>123.3</c:v>
                </c:pt>
                <c:pt idx="47">
                  <c:v>147.5</c:v>
                </c:pt>
                <c:pt idx="48">
                  <c:v>110.4</c:v>
                </c:pt>
                <c:pt idx="49">
                  <c:v>115.4</c:v>
                </c:pt>
                <c:pt idx="50">
                  <c:v>132.1</c:v>
                </c:pt>
                <c:pt idx="51">
                  <c:v>121.4</c:v>
                </c:pt>
                <c:pt idx="52">
                  <c:v>132.6</c:v>
                </c:pt>
                <c:pt idx="53">
                  <c:v>137.1</c:v>
                </c:pt>
                <c:pt idx="54">
                  <c:v>139.5</c:v>
                </c:pt>
                <c:pt idx="55">
                  <c:v>138.19999999999999</c:v>
                </c:pt>
                <c:pt idx="56">
                  <c:v>134.69999999999999</c:v>
                </c:pt>
                <c:pt idx="57">
                  <c:v>139.6</c:v>
                </c:pt>
                <c:pt idx="58">
                  <c:v>138.9</c:v>
                </c:pt>
                <c:pt idx="59">
                  <c:v>159.9</c:v>
                </c:pt>
                <c:pt idx="60">
                  <c:v>123.1</c:v>
                </c:pt>
              </c:numCache>
            </c:numRef>
          </c:val>
          <c:smooth val="0"/>
          <c:extLst>
            <c:ext xmlns:c16="http://schemas.microsoft.com/office/drawing/2014/chart" uri="{C3380CC4-5D6E-409C-BE32-E72D297353CC}">
              <c16:uniqueId val="{00000000-BB92-46FE-959E-AF41F30D08A8}"/>
            </c:ext>
          </c:extLst>
        </c:ser>
        <c:ser>
          <c:idx val="1"/>
          <c:order val="1"/>
          <c:tx>
            <c:strRef>
              <c:f>Arkusz1!$D$1</c:f>
              <c:strCache>
                <c:ptCount val="1"/>
                <c:pt idx="0">
                  <c:v>seasonally adjusted data</c:v>
                </c:pt>
              </c:strCache>
            </c:strRef>
          </c:tx>
          <c:spPr>
            <a:ln w="28575" cap="rnd">
              <a:solidFill>
                <a:srgbClr val="339D68"/>
              </a:solidFill>
              <a:round/>
            </a:ln>
            <a:effectLst/>
          </c:spPr>
          <c:marker>
            <c:symbol val="none"/>
          </c:marker>
          <c:dLbls>
            <c:dLbl>
              <c:idx val="60"/>
              <c:layout>
                <c:manualLayout>
                  <c:x val="-2.7271502739361003E-2"/>
                  <c:y val="7.058137001649497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800" baseline="0">
                        <a:solidFill>
                          <a:srgbClr val="339D68"/>
                        </a:solidFill>
                        <a:latin typeface="Fira Sans" panose="020B0503050000020004" pitchFamily="34" charset="0"/>
                      </a:rPr>
                      <a:t>140.0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6.49189026157896E-2"/>
                      <c:h val="6.5499717673630706E-2"/>
                    </c:manualLayout>
                  </c15:layout>
                </c:ext>
                <c:ext xmlns:c16="http://schemas.microsoft.com/office/drawing/2014/chart" uri="{C3380CC4-5D6E-409C-BE32-E72D297353CC}">
                  <c16:uniqueId val="{00000003-BB92-46FE-959E-AF41F30D08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Arkusz1!$A$2:$B$62</c:f>
              <c:multiLvlStrCache>
                <c:ptCount val="61"/>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lvl>
                <c:lvl>
                  <c:pt idx="0">
                    <c:v>2017</c:v>
                  </c:pt>
                  <c:pt idx="12">
                    <c:v>2018</c:v>
                  </c:pt>
                  <c:pt idx="24">
                    <c:v>2019</c:v>
                  </c:pt>
                  <c:pt idx="36">
                    <c:v>2020</c:v>
                  </c:pt>
                  <c:pt idx="48">
                    <c:v>2021</c:v>
                  </c:pt>
                  <c:pt idx="60">
                    <c:v>2022</c:v>
                  </c:pt>
                </c:lvl>
              </c:multiLvlStrCache>
            </c:multiLvlStrRef>
          </c:cat>
          <c:val>
            <c:numRef>
              <c:f>Arkusz1!$D$2:$D$62</c:f>
              <c:numCache>
                <c:formatCode>General</c:formatCode>
                <c:ptCount val="61"/>
                <c:pt idx="0">
                  <c:v>110.8</c:v>
                </c:pt>
                <c:pt idx="1">
                  <c:v>110.1</c:v>
                </c:pt>
                <c:pt idx="2">
                  <c:v>110.9</c:v>
                </c:pt>
                <c:pt idx="3">
                  <c:v>111.2</c:v>
                </c:pt>
                <c:pt idx="4">
                  <c:v>111.7</c:v>
                </c:pt>
                <c:pt idx="5">
                  <c:v>112.2</c:v>
                </c:pt>
                <c:pt idx="6">
                  <c:v>113</c:v>
                </c:pt>
                <c:pt idx="7">
                  <c:v>113.5</c:v>
                </c:pt>
                <c:pt idx="8">
                  <c:v>114.9</c:v>
                </c:pt>
                <c:pt idx="9">
                  <c:v>115.3</c:v>
                </c:pt>
                <c:pt idx="10">
                  <c:v>117.2</c:v>
                </c:pt>
                <c:pt idx="11">
                  <c:v>116.9</c:v>
                </c:pt>
                <c:pt idx="12">
                  <c:v>118.4</c:v>
                </c:pt>
                <c:pt idx="13">
                  <c:v>118.7</c:v>
                </c:pt>
                <c:pt idx="14">
                  <c:v>118.8</c:v>
                </c:pt>
                <c:pt idx="15">
                  <c:v>118.4</c:v>
                </c:pt>
                <c:pt idx="16">
                  <c:v>119.9</c:v>
                </c:pt>
                <c:pt idx="17">
                  <c:v>120.4</c:v>
                </c:pt>
                <c:pt idx="18">
                  <c:v>120.9</c:v>
                </c:pt>
                <c:pt idx="19">
                  <c:v>121.1</c:v>
                </c:pt>
                <c:pt idx="20">
                  <c:v>121.3</c:v>
                </c:pt>
                <c:pt idx="21">
                  <c:v>122.9</c:v>
                </c:pt>
                <c:pt idx="22">
                  <c:v>123.2</c:v>
                </c:pt>
                <c:pt idx="23">
                  <c:v>123.1</c:v>
                </c:pt>
                <c:pt idx="24">
                  <c:v>124.8</c:v>
                </c:pt>
                <c:pt idx="25">
                  <c:v>125.5</c:v>
                </c:pt>
                <c:pt idx="26">
                  <c:v>125.4</c:v>
                </c:pt>
                <c:pt idx="27">
                  <c:v>127.7</c:v>
                </c:pt>
                <c:pt idx="28">
                  <c:v>125.9</c:v>
                </c:pt>
                <c:pt idx="29">
                  <c:v>128.30000000000001</c:v>
                </c:pt>
                <c:pt idx="30">
                  <c:v>125.8</c:v>
                </c:pt>
                <c:pt idx="31">
                  <c:v>126.4</c:v>
                </c:pt>
                <c:pt idx="32">
                  <c:v>126.8</c:v>
                </c:pt>
                <c:pt idx="33">
                  <c:v>128.80000000000001</c:v>
                </c:pt>
                <c:pt idx="34">
                  <c:v>131.80000000000001</c:v>
                </c:pt>
                <c:pt idx="35">
                  <c:v>130</c:v>
                </c:pt>
                <c:pt idx="36">
                  <c:v>130.80000000000001</c:v>
                </c:pt>
                <c:pt idx="37">
                  <c:v>131.19999999999999</c:v>
                </c:pt>
                <c:pt idx="38">
                  <c:v>113.9</c:v>
                </c:pt>
                <c:pt idx="39">
                  <c:v>97.3</c:v>
                </c:pt>
                <c:pt idx="40">
                  <c:v>116.3</c:v>
                </c:pt>
                <c:pt idx="41">
                  <c:v>125.5</c:v>
                </c:pt>
                <c:pt idx="42">
                  <c:v>128.80000000000001</c:v>
                </c:pt>
                <c:pt idx="43">
                  <c:v>128.9</c:v>
                </c:pt>
                <c:pt idx="44">
                  <c:v>127.9</c:v>
                </c:pt>
                <c:pt idx="45">
                  <c:v>126.1</c:v>
                </c:pt>
                <c:pt idx="46">
                  <c:v>125.4</c:v>
                </c:pt>
                <c:pt idx="47">
                  <c:v>127.2</c:v>
                </c:pt>
                <c:pt idx="48">
                  <c:v>125.3</c:v>
                </c:pt>
                <c:pt idx="49">
                  <c:v>131.9</c:v>
                </c:pt>
                <c:pt idx="50">
                  <c:v>129.19999999999999</c:v>
                </c:pt>
                <c:pt idx="51">
                  <c:v>120.4</c:v>
                </c:pt>
                <c:pt idx="52">
                  <c:v>135.1</c:v>
                </c:pt>
                <c:pt idx="53">
                  <c:v>136.19999999999999</c:v>
                </c:pt>
                <c:pt idx="54">
                  <c:v>134.1</c:v>
                </c:pt>
                <c:pt idx="55">
                  <c:v>134.6</c:v>
                </c:pt>
                <c:pt idx="56">
                  <c:v>134.9</c:v>
                </c:pt>
                <c:pt idx="57">
                  <c:v>136.5</c:v>
                </c:pt>
                <c:pt idx="58">
                  <c:v>139.9</c:v>
                </c:pt>
                <c:pt idx="59">
                  <c:v>135.19999999999999</c:v>
                </c:pt>
                <c:pt idx="60">
                  <c:v>140</c:v>
                </c:pt>
              </c:numCache>
            </c:numRef>
          </c:val>
          <c:smooth val="0"/>
          <c:extLst>
            <c:ext xmlns:c16="http://schemas.microsoft.com/office/drawing/2014/chart" uri="{C3380CC4-5D6E-409C-BE32-E72D297353CC}">
              <c16:uniqueId val="{00000001-BB92-46FE-959E-AF41F30D08A8}"/>
            </c:ext>
          </c:extLst>
        </c:ser>
        <c:dLbls>
          <c:showLegendKey val="0"/>
          <c:showVal val="0"/>
          <c:showCatName val="0"/>
          <c:showSerName val="0"/>
          <c:showPercent val="0"/>
          <c:showBubbleSize val="0"/>
        </c:dLbls>
        <c:smooth val="0"/>
        <c:axId val="167366080"/>
        <c:axId val="167361728"/>
      </c:lineChart>
      <c:catAx>
        <c:axId val="16736608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67361728"/>
        <c:crosses val="autoZero"/>
        <c:auto val="1"/>
        <c:lblAlgn val="ctr"/>
        <c:lblOffset val="20"/>
        <c:tickMarkSkip val="12"/>
        <c:noMultiLvlLbl val="0"/>
      </c:catAx>
      <c:valAx>
        <c:axId val="167361728"/>
        <c:scaling>
          <c:orientation val="minMax"/>
          <c:max val="16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67366080"/>
        <c:crosses val="autoZero"/>
        <c:crossBetween val="between"/>
      </c:valAx>
      <c:spPr>
        <a:noFill/>
        <a:ln>
          <a:noFill/>
        </a:ln>
        <a:effectLst/>
      </c:spPr>
    </c:plotArea>
    <c:legend>
      <c:legendPos val="b"/>
      <c:layout>
        <c:manualLayout>
          <c:xMode val="edge"/>
          <c:yMode val="edge"/>
          <c:x val="0.20725830617398189"/>
          <c:y val="0.87293090339992085"/>
          <c:w val="0.5854831924365721"/>
          <c:h val="0.1101295144431056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0.26089</cdr:x>
      <cdr:y>0.24644</cdr:y>
    </cdr:from>
    <cdr:to>
      <cdr:x>0.39953</cdr:x>
      <cdr:y>0.36619</cdr:y>
    </cdr:to>
    <cdr:sp macro="" textlink="">
      <cdr:nvSpPr>
        <cdr:cNvPr id="3" name="Text Box 1032"/>
        <cdr:cNvSpPr txBox="1">
          <a:spLocks xmlns:a="http://schemas.openxmlformats.org/drawingml/2006/main" noChangeArrowheads="1"/>
        </cdr:cNvSpPr>
      </cdr:nvSpPr>
      <cdr:spPr bwMode="auto">
        <a:xfrm xmlns:a="http://schemas.openxmlformats.org/drawingml/2006/main" rot="10800000" flipV="1">
          <a:off x="1347835" y="671337"/>
          <a:ext cx="716265" cy="32621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anchorCtr="0" upright="1"/>
        <a:lstStyle xmlns:a="http://schemas.openxmlformats.org/drawingml/2006/main"/>
        <a:p xmlns:a="http://schemas.openxmlformats.org/drawingml/2006/main">
          <a:pPr algn="ctr" rtl="0">
            <a:defRPr sz="1000"/>
          </a:pPr>
          <a:endParaRPr lang="pl-PL" sz="900" b="1" i="1" u="none" strike="noStrike" baseline="0">
            <a:solidFill>
              <a:srgbClr val="FF0000"/>
            </a:solidFill>
            <a:latin typeface="Arial CE"/>
            <a:cs typeface="Arial CE"/>
          </a:endParaRPr>
        </a:p>
        <a:p xmlns:a="http://schemas.openxmlformats.org/drawingml/2006/main">
          <a:pPr algn="ctr" rtl="0">
            <a:lnSpc>
              <a:spcPts val="800"/>
            </a:lnSpc>
            <a:defRPr sz="1000"/>
          </a:pPr>
          <a:r>
            <a:rPr lang="pl-PL" sz="800" b="1" i="1" u="none" strike="noStrike" baseline="0">
              <a:solidFill>
                <a:srgbClr val="339D68"/>
              </a:solidFill>
              <a:latin typeface="Fira Sans" pitchFamily="34" charset="0"/>
              <a:ea typeface="Fira Sans" pitchFamily="34" charset="0"/>
              <a:cs typeface="Arial CE"/>
            </a:rPr>
            <a:t>Total</a:t>
          </a:r>
          <a:r>
            <a:rPr lang="pl-PL" sz="900" b="1" i="1" u="none" strike="noStrike" baseline="0">
              <a:solidFill>
                <a:srgbClr val="339D68"/>
              </a:solidFill>
              <a:latin typeface="Arial CE"/>
              <a:cs typeface="Arial CE"/>
            </a:rPr>
            <a:t>  </a:t>
          </a:r>
          <a:r>
            <a:rPr lang="pl-PL" sz="800" b="1" i="1" u="none" strike="noStrike" baseline="0">
              <a:solidFill>
                <a:srgbClr val="339D68"/>
              </a:solidFill>
              <a:latin typeface="Fira Sans" pitchFamily="34" charset="0"/>
              <a:ea typeface="Fira Sans" pitchFamily="34" charset="0"/>
              <a:cs typeface="Arial CE"/>
            </a:rPr>
            <a:t>110.6</a:t>
          </a:r>
        </a:p>
      </cdr:txBody>
    </cdr:sp>
  </cdr:relSizeAnchor>
  <cdr:relSizeAnchor xmlns:cdr="http://schemas.openxmlformats.org/drawingml/2006/chartDrawing">
    <cdr:from>
      <cdr:x>0.25976</cdr:x>
      <cdr:y>0.3338</cdr:y>
    </cdr:from>
    <cdr:to>
      <cdr:x>0.31162</cdr:x>
      <cdr:y>0.51966</cdr:y>
    </cdr:to>
    <cdr:sp macro="" textlink="">
      <cdr:nvSpPr>
        <cdr:cNvPr id="4" name="Line 1033"/>
        <cdr:cNvSpPr>
          <a:spLocks xmlns:a="http://schemas.openxmlformats.org/drawingml/2006/main" noChangeShapeType="1"/>
        </cdr:cNvSpPr>
      </cdr:nvSpPr>
      <cdr:spPr bwMode="auto">
        <a:xfrm xmlns:a="http://schemas.openxmlformats.org/drawingml/2006/main" flipH="1">
          <a:off x="1342036" y="909325"/>
          <a:ext cx="267927" cy="506310"/>
        </a:xfrm>
        <a:prstGeom xmlns:a="http://schemas.openxmlformats.org/drawingml/2006/main" prst="line">
          <a:avLst/>
        </a:prstGeom>
        <a:noFill xmlns:a="http://schemas.openxmlformats.org/drawingml/2006/main"/>
        <a:ln xmlns:a="http://schemas.openxmlformats.org/drawingml/2006/main" w="19050">
          <a:solidFill>
            <a:srgbClr val="339D68"/>
          </a:solidFill>
          <a:round/>
          <a:headEnd/>
          <a:tailEnd type="triangle" w="med" len="me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0.04555</cdr:x>
      <cdr:y>0.52652</cdr:y>
    </cdr:from>
    <cdr:to>
      <cdr:x>0.95267</cdr:x>
      <cdr:y>0.52774</cdr:y>
    </cdr:to>
    <cdr:sp macro="" textlink="">
      <cdr:nvSpPr>
        <cdr:cNvPr id="5" name="Line 1034"/>
        <cdr:cNvSpPr>
          <a:spLocks xmlns:a="http://schemas.openxmlformats.org/drawingml/2006/main" noChangeShapeType="1"/>
        </cdr:cNvSpPr>
      </cdr:nvSpPr>
      <cdr:spPr bwMode="auto">
        <a:xfrm xmlns:a="http://schemas.openxmlformats.org/drawingml/2006/main" flipV="1">
          <a:off x="235350" y="1434326"/>
          <a:ext cx="4686508" cy="3324"/>
        </a:xfrm>
        <a:prstGeom xmlns:a="http://schemas.openxmlformats.org/drawingml/2006/main" prst="line">
          <a:avLst/>
        </a:prstGeom>
        <a:noFill xmlns:a="http://schemas.openxmlformats.org/drawingml/2006/main"/>
        <a:ln xmlns:a="http://schemas.openxmlformats.org/drawingml/2006/main" w="34925">
          <a:solidFill>
            <a:srgbClr val="339D68"/>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E1698BE9-D6DF-4CDB-B60D-7E9C9B1B6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702</Words>
  <Characters>4212</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2022-02-21T06:34:00Z</dcterms:created>
  <dcterms:modified xsi:type="dcterms:W3CDTF">2022-02-21T07:37:00Z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