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69F5EED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3CFBBD07" w14:textId="56CA551D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E66F2C">
        <w:rPr>
          <w:shd w:val="clear" w:color="auto" w:fill="FFFFFF"/>
          <w:lang w:val="en-GB"/>
        </w:rPr>
        <w:t>January</w:t>
      </w:r>
      <w:r w:rsidR="002C5475">
        <w:rPr>
          <w:shd w:val="clear" w:color="auto" w:fill="FFFFFF"/>
          <w:lang w:val="en-GB"/>
        </w:rPr>
        <w:t xml:space="preserve"> 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6EF51FEA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556D8322" w:rsidR="00BB33B9" w:rsidRDefault="00E66F2C" w:rsidP="00BB33B9">
      <w:pPr>
        <w:pStyle w:val="LID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7E3E42F">
                <wp:simplePos x="0" y="0"/>
                <wp:positionH relativeFrom="margin">
                  <wp:posOffset>44450</wp:posOffset>
                </wp:positionH>
                <wp:positionV relativeFrom="paragraph">
                  <wp:posOffset>36195</wp:posOffset>
                </wp:positionV>
                <wp:extent cx="2204085" cy="1181100"/>
                <wp:effectExtent l="0" t="0" r="5715" b="0"/>
                <wp:wrapSquare wrapText="bothSides"/>
                <wp:docPr id="2" name="Pole tekstowe 2" descr="19.2%&#10;Increase in sold production of industry as compared to January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07A8648F" w:rsidR="00E66F2C" w:rsidRPr="007D605C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06E25">
                              <w:rPr>
                                <w:rStyle w:val="WartowskanikaZnak"/>
                              </w:rPr>
                              <w:t>19.2</w:t>
                            </w:r>
                            <w:r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4C20F358" w14:textId="195E2B2E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January 2021</w:t>
                            </w:r>
                          </w:p>
                          <w:p w14:paraId="632BCC0C" w14:textId="77777777" w:rsidR="00E66F2C" w:rsidRPr="007D605C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9.2%&#10;Increase in sold production of industry as compared to January 2021" style="position:absolute;margin-left:3.5pt;margin-top:2.85pt;width:173.5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" fillcolor="#001d77" stroked="f">
                <v:stroke joinstyle="miter"/>
                <v:textbox>
                  <w:txbxContent>
                    <w:p w14:paraId="56629F65" w14:textId="07A8648F" w:rsidR="00E66F2C" w:rsidRPr="007D605C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06E25">
                        <w:rPr>
                          <w:rStyle w:val="WartowskanikaZnak"/>
                        </w:rPr>
                        <w:t>19.2</w:t>
                      </w:r>
                      <w:r>
                        <w:rPr>
                          <w:rStyle w:val="WartowskanikaZnak"/>
                        </w:rPr>
                        <w:t>%</w:t>
                      </w:r>
                    </w:p>
                    <w:p w14:paraId="4C20F358" w14:textId="195E2B2E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January 2021</w:t>
                      </w:r>
                    </w:p>
                    <w:p w14:paraId="632BCC0C" w14:textId="77777777" w:rsidR="00E66F2C" w:rsidRPr="007D605C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>
        <w:rPr>
          <w:lang w:val="en-GB"/>
        </w:rPr>
        <w:t>January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51335D">
        <w:rPr>
          <w:lang w:val="en-GB"/>
        </w:rPr>
        <w:t>19.2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53525A">
        <w:rPr>
          <w:lang w:val="en-GB"/>
        </w:rPr>
        <w:t>January</w:t>
      </w:r>
      <w:r w:rsidR="00A5369B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53525A">
        <w:rPr>
          <w:spacing w:val="-2"/>
          <w:lang w:val="en-GB"/>
        </w:rPr>
        <w:t>0.7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>December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2021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6B5C9A">
        <w:rPr>
          <w:spacing w:val="-2"/>
          <w:lang w:val="en-GB"/>
        </w:rPr>
        <w:t>de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53525A">
        <w:rPr>
          <w:spacing w:val="-2"/>
          <w:lang w:val="en-GB"/>
        </w:rPr>
        <w:t>3.0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</w:p>
    <w:p w14:paraId="185AC143" w14:textId="49BAB09D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44390FCA" w14:textId="2B7F1594" w:rsidR="00EF56DF" w:rsidRDefault="00EF56DF" w:rsidP="00BB33B9">
      <w:pPr>
        <w:pStyle w:val="LID"/>
        <w:jc w:val="both"/>
        <w:rPr>
          <w:spacing w:val="-2"/>
          <w:lang w:val="en-GB"/>
        </w:rPr>
      </w:pPr>
    </w:p>
    <w:p w14:paraId="73D91776" w14:textId="3EFA41E6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1908F9C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January 2022 amounted to 16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03F00440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January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5352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16.4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January 2022 amounted to 16.4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" filled="f" stroked="f">
                <v:textbox>
                  <w:txbxContent>
                    <w:p w14:paraId="74E140B5" w14:textId="03F00440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January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5352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16.4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F07F472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911670">
        <w:rPr>
          <w:noProof/>
          <w:spacing w:val="-2"/>
          <w:szCs w:val="19"/>
          <w:lang w:val="en-GB"/>
        </w:rPr>
        <w:t>January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53525A">
        <w:rPr>
          <w:noProof/>
          <w:spacing w:val="-2"/>
          <w:szCs w:val="19"/>
          <w:lang w:val="en-GB"/>
        </w:rPr>
        <w:t>16.4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53525A">
        <w:rPr>
          <w:noProof/>
          <w:spacing w:val="-2"/>
          <w:szCs w:val="19"/>
          <w:lang w:val="en-GB"/>
        </w:rPr>
        <w:t>4</w:t>
      </w:r>
      <w:r w:rsidR="006B5C9A">
        <w:rPr>
          <w:noProof/>
          <w:spacing w:val="-2"/>
          <w:szCs w:val="19"/>
          <w:lang w:val="en-GB"/>
        </w:rPr>
        <w:t>.2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53525A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911670">
        <w:rPr>
          <w:noProof/>
          <w:spacing w:val="-2"/>
          <w:szCs w:val="19"/>
          <w:lang w:val="en-GB"/>
        </w:rPr>
        <w:t>December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2711E1E4" w:rsidR="003627E7" w:rsidRDefault="00721027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891712" behindDoc="0" locked="0" layoutInCell="1" allowOverlap="1" wp14:anchorId="3FC0B048" wp14:editId="09C4EB04">
            <wp:simplePos x="0" y="0"/>
            <wp:positionH relativeFrom="column">
              <wp:posOffset>-106680</wp:posOffset>
            </wp:positionH>
            <wp:positionV relativeFrom="paragraph">
              <wp:posOffset>350520</wp:posOffset>
            </wp:positionV>
            <wp:extent cx="5267325" cy="3017520"/>
            <wp:effectExtent l="0" t="0" r="9525" b="0"/>
            <wp:wrapSquare wrapText="bothSides"/>
            <wp:docPr id="4" name="Obraz 4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3F93E055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6A768C68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911670">
        <w:rPr>
          <w:b w:val="0"/>
          <w:sz w:val="19"/>
          <w:szCs w:val="19"/>
          <w:shd w:val="clear" w:color="auto" w:fill="FFFFFF"/>
          <w:lang w:val="en-GB"/>
        </w:rPr>
        <w:t>January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</w:t>
      </w:r>
      <w:r w:rsidR="00911670">
        <w:rPr>
          <w:b w:val="0"/>
          <w:sz w:val="19"/>
          <w:szCs w:val="19"/>
          <w:shd w:val="clear" w:color="auto" w:fill="FFFFFF"/>
          <w:lang w:val="en-GB"/>
        </w:rPr>
        <w:t>2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all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39.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2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.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93D4E">
        <w:rPr>
          <w:b w:val="0"/>
          <w:sz w:val="19"/>
          <w:szCs w:val="19"/>
          <w:shd w:val="clear" w:color="auto" w:fill="FFFFFF"/>
          <w:lang w:val="en-GB"/>
        </w:rPr>
        <w:t xml:space="preserve">The lower increase </w:t>
      </w:r>
      <w:r w:rsidR="00F93D4E" w:rsidRPr="00E2764C">
        <w:rPr>
          <w:b w:val="0"/>
          <w:sz w:val="19"/>
          <w:szCs w:val="19"/>
          <w:lang w:val="en-GB"/>
        </w:rPr>
        <w:t xml:space="preserve">was </w:t>
      </w:r>
      <w:r w:rsidR="00F93D4E" w:rsidRPr="004D23D2">
        <w:rPr>
          <w:b w:val="0"/>
          <w:sz w:val="19"/>
          <w:szCs w:val="19"/>
          <w:lang w:val="en-GB"/>
        </w:rPr>
        <w:t xml:space="preserve">observed </w:t>
      </w:r>
      <w:r w:rsidR="00A5369B" w:rsidRPr="004D23D2">
        <w:rPr>
          <w:b w:val="0"/>
          <w:sz w:val="19"/>
          <w:szCs w:val="19"/>
          <w:lang w:val="en-GB"/>
        </w:rPr>
        <w:t>in</w:t>
      </w:r>
      <w:r w:rsidR="00A5369B" w:rsidRPr="004D23D2">
        <w:rPr>
          <w:sz w:val="19"/>
          <w:szCs w:val="19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1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9.0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53525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3525A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 xml:space="preserve">15.9%, </w:t>
      </w:r>
      <w:r w:rsidR="006B5C9A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B5C9A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11.5</w:t>
      </w:r>
      <w:r w:rsidR="006B5C9A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6B5C9A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B5C9A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10.4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%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>.</w:t>
      </w:r>
      <w:r w:rsidR="006B5C9A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5C1F936B" w:rsidR="00FB1C70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67644F" w14:textId="6AF8C5CF" w:rsidR="00EF56DF" w:rsidRDefault="00EF56D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4C9931A" w14:textId="77777777" w:rsidR="00911670" w:rsidRPr="000C2AC9" w:rsidRDefault="009116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1FF845B" w14:textId="611D0E9F" w:rsidR="00DC1CD2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1CEBC92C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3"/>
        <w:tblpPr w:leftFromText="141" w:rightFromText="141" w:vertAnchor="text" w:horzAnchor="margin" w:tblpY="17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552"/>
        <w:gridCol w:w="1843"/>
        <w:gridCol w:w="1842"/>
        <w:gridCol w:w="1701"/>
      </w:tblGrid>
      <w:tr w:rsidR="00911670" w:rsidRPr="00911670" w14:paraId="6E04CF7D" w14:textId="77777777" w:rsidTr="00D902C2">
        <w:trPr>
          <w:trHeight w:val="57"/>
        </w:trPr>
        <w:tc>
          <w:tcPr>
            <w:tcW w:w="2552" w:type="dxa"/>
            <w:vMerge w:val="restart"/>
            <w:vAlign w:val="center"/>
          </w:tcPr>
          <w:p w14:paraId="340BDFCC" w14:textId="7197C192" w:rsidR="00911670" w:rsidRPr="00911670" w:rsidRDefault="00911670" w:rsidP="00911670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911670">
              <w:rPr>
                <w:rFonts w:cs="Arial"/>
                <w:color w:val="000000" w:themeColor="text1"/>
                <w:szCs w:val="19"/>
                <w:lang w:val="en-GB"/>
              </w:rPr>
              <w:t>SPECIFICATION</w:t>
            </w:r>
          </w:p>
        </w:tc>
        <w:tc>
          <w:tcPr>
            <w:tcW w:w="5386" w:type="dxa"/>
            <w:gridSpan w:val="3"/>
            <w:vAlign w:val="center"/>
          </w:tcPr>
          <w:p w14:paraId="4695705F" w14:textId="77777777" w:rsidR="00911670" w:rsidRPr="00911670" w:rsidRDefault="00911670" w:rsidP="00911670">
            <w:pPr>
              <w:jc w:val="center"/>
              <w:rPr>
                <w:szCs w:val="19"/>
                <w:shd w:val="clear" w:color="auto" w:fill="FFFFFF"/>
              </w:rPr>
            </w:pPr>
            <w:r w:rsidRPr="00911670">
              <w:rPr>
                <w:szCs w:val="19"/>
                <w:shd w:val="clear" w:color="auto" w:fill="FFFFFF"/>
              </w:rPr>
              <w:t>01 2022</w:t>
            </w:r>
          </w:p>
        </w:tc>
      </w:tr>
      <w:tr w:rsidR="00911670" w:rsidRPr="00911670" w14:paraId="381BF9D3" w14:textId="77777777" w:rsidTr="00D902C2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14:paraId="4998EC97" w14:textId="77777777" w:rsidR="00911670" w:rsidRPr="00911670" w:rsidRDefault="00911670" w:rsidP="00911670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12" w:space="0" w:color="212492"/>
            </w:tcBorders>
            <w:vAlign w:val="center"/>
          </w:tcPr>
          <w:p w14:paraId="0AB93234" w14:textId="77777777" w:rsidR="00911670" w:rsidRPr="00911670" w:rsidRDefault="00911670" w:rsidP="00911670">
            <w:pPr>
              <w:jc w:val="center"/>
              <w:rPr>
                <w:szCs w:val="19"/>
                <w:shd w:val="clear" w:color="auto" w:fill="FFFFFF"/>
              </w:rPr>
            </w:pPr>
            <w:r w:rsidRPr="00911670">
              <w:rPr>
                <w:szCs w:val="19"/>
                <w:shd w:val="clear" w:color="auto" w:fill="FFFFFF"/>
              </w:rPr>
              <w:t>12 2021=100</w:t>
            </w:r>
          </w:p>
        </w:tc>
        <w:tc>
          <w:tcPr>
            <w:tcW w:w="1842" w:type="dxa"/>
            <w:tcBorders>
              <w:bottom w:val="single" w:sz="12" w:space="0" w:color="212492"/>
            </w:tcBorders>
            <w:vAlign w:val="center"/>
          </w:tcPr>
          <w:p w14:paraId="7DC7A418" w14:textId="77777777" w:rsidR="00911670" w:rsidRPr="00911670" w:rsidRDefault="00911670" w:rsidP="00911670">
            <w:pPr>
              <w:jc w:val="center"/>
              <w:rPr>
                <w:szCs w:val="19"/>
                <w:shd w:val="clear" w:color="auto" w:fill="FFFFFF"/>
              </w:rPr>
            </w:pPr>
            <w:r w:rsidRPr="00911670">
              <w:rPr>
                <w:szCs w:val="19"/>
                <w:shd w:val="clear" w:color="auto" w:fill="FFFFFF"/>
              </w:rPr>
              <w:t>01 2021=100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14:paraId="0CEB43FC" w14:textId="77777777" w:rsidR="00911670" w:rsidRPr="00911670" w:rsidRDefault="00911670" w:rsidP="00911670">
            <w:pPr>
              <w:spacing w:before="60" w:after="60"/>
              <w:jc w:val="center"/>
              <w:rPr>
                <w:color w:val="000000" w:themeColor="text1"/>
                <w:szCs w:val="19"/>
                <w:lang w:val="en-GB"/>
              </w:rPr>
            </w:pPr>
            <w:r w:rsidRPr="00911670">
              <w:rPr>
                <w:color w:val="000000" w:themeColor="text1"/>
                <w:szCs w:val="19"/>
                <w:lang w:val="en-GB"/>
              </w:rPr>
              <w:t>monthly average</w:t>
            </w:r>
          </w:p>
          <w:p w14:paraId="655990FC" w14:textId="389BD7C4" w:rsidR="00911670" w:rsidRPr="00911670" w:rsidRDefault="00911670" w:rsidP="0091167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911670">
              <w:rPr>
                <w:color w:val="000000" w:themeColor="text1"/>
                <w:szCs w:val="19"/>
                <w:lang w:val="en-GB"/>
              </w:rPr>
              <w:t>of 2015=100</w:t>
            </w:r>
          </w:p>
        </w:tc>
      </w:tr>
      <w:tr w:rsidR="00911670" w:rsidRPr="00911670" w14:paraId="4024D020" w14:textId="77777777" w:rsidTr="00D902C2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14:paraId="244BEB2C" w14:textId="02A7A69A" w:rsidR="00911670" w:rsidRPr="00911670" w:rsidRDefault="00911670" w:rsidP="00911670">
            <w:pPr>
              <w:spacing w:before="60" w:after="60"/>
              <w:jc w:val="both"/>
              <w:rPr>
                <w:b/>
                <w:szCs w:val="19"/>
                <w:shd w:val="clear" w:color="auto" w:fill="FFFFFF"/>
              </w:rPr>
            </w:pPr>
            <w:r w:rsidRPr="00911670">
              <w:rPr>
                <w:b/>
                <w:color w:val="000000" w:themeColor="text1"/>
                <w:szCs w:val="19"/>
                <w:lang w:val="en-GB"/>
              </w:rPr>
              <w:t xml:space="preserve">INDUSTRY 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0F89B075" w14:textId="339B8A92" w:rsidR="00911670" w:rsidRPr="00911670" w:rsidRDefault="0053525A" w:rsidP="00911670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97.0</w:t>
            </w:r>
          </w:p>
        </w:tc>
        <w:tc>
          <w:tcPr>
            <w:tcW w:w="1842" w:type="dxa"/>
            <w:tcBorders>
              <w:top w:val="single" w:sz="12" w:space="0" w:color="212492"/>
            </w:tcBorders>
            <w:vAlign w:val="center"/>
          </w:tcPr>
          <w:p w14:paraId="30433832" w14:textId="4118409E" w:rsidR="00911670" w:rsidRPr="00911670" w:rsidRDefault="0053525A" w:rsidP="00911670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119.2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1DCF98C7" w14:textId="37DCECAC" w:rsidR="00911670" w:rsidRPr="00911670" w:rsidRDefault="0053525A" w:rsidP="00911670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142.9</w:t>
            </w:r>
          </w:p>
        </w:tc>
      </w:tr>
      <w:tr w:rsidR="00911670" w:rsidRPr="00911670" w14:paraId="05805877" w14:textId="77777777" w:rsidTr="00D902C2">
        <w:trPr>
          <w:trHeight w:val="57"/>
        </w:trPr>
        <w:tc>
          <w:tcPr>
            <w:tcW w:w="2552" w:type="dxa"/>
            <w:vAlign w:val="center"/>
          </w:tcPr>
          <w:p w14:paraId="5F51408D" w14:textId="7DB88C2E" w:rsidR="00911670" w:rsidRPr="00911670" w:rsidRDefault="00911670" w:rsidP="00911670">
            <w:pPr>
              <w:spacing w:before="60" w:after="60"/>
              <w:jc w:val="both"/>
              <w:rPr>
                <w:szCs w:val="19"/>
                <w:shd w:val="clear" w:color="auto" w:fill="FFFFFF"/>
              </w:rPr>
            </w:pPr>
            <w:r w:rsidRPr="00911670">
              <w:rPr>
                <w:color w:val="000000" w:themeColor="text1"/>
                <w:szCs w:val="19"/>
                <w:lang w:val="en-GB"/>
              </w:rPr>
              <w:t>Mining and quarrying</w:t>
            </w:r>
          </w:p>
        </w:tc>
        <w:tc>
          <w:tcPr>
            <w:tcW w:w="1843" w:type="dxa"/>
            <w:vAlign w:val="center"/>
          </w:tcPr>
          <w:p w14:paraId="4B2654C3" w14:textId="0EB5654A" w:rsidR="00911670" w:rsidRPr="00911670" w:rsidRDefault="0053525A" w:rsidP="00911670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95.8</w:t>
            </w:r>
          </w:p>
        </w:tc>
        <w:tc>
          <w:tcPr>
            <w:tcW w:w="1842" w:type="dxa"/>
            <w:vAlign w:val="center"/>
          </w:tcPr>
          <w:p w14:paraId="188E9A21" w14:textId="6BF55523" w:rsidR="00911670" w:rsidRPr="00911670" w:rsidRDefault="0053525A" w:rsidP="00911670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132.6</w:t>
            </w:r>
          </w:p>
        </w:tc>
        <w:tc>
          <w:tcPr>
            <w:tcW w:w="1701" w:type="dxa"/>
            <w:vAlign w:val="center"/>
          </w:tcPr>
          <w:p w14:paraId="31BB9CEF" w14:textId="58971DF5" w:rsidR="00911670" w:rsidRPr="00911670" w:rsidRDefault="0053525A" w:rsidP="00911670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88.7</w:t>
            </w:r>
          </w:p>
        </w:tc>
      </w:tr>
      <w:tr w:rsidR="00911670" w:rsidRPr="00911670" w14:paraId="0FF34E25" w14:textId="77777777" w:rsidTr="00D902C2">
        <w:trPr>
          <w:trHeight w:val="57"/>
        </w:trPr>
        <w:tc>
          <w:tcPr>
            <w:tcW w:w="2552" w:type="dxa"/>
            <w:vAlign w:val="center"/>
          </w:tcPr>
          <w:p w14:paraId="27CE8654" w14:textId="4BE30104" w:rsidR="00911670" w:rsidRPr="00911670" w:rsidRDefault="00911670" w:rsidP="00911670">
            <w:pPr>
              <w:spacing w:before="60" w:after="60"/>
              <w:jc w:val="both"/>
              <w:rPr>
                <w:szCs w:val="19"/>
                <w:shd w:val="clear" w:color="auto" w:fill="FFFFFF"/>
              </w:rPr>
            </w:pPr>
            <w:r w:rsidRPr="00911670">
              <w:rPr>
                <w:color w:val="000000" w:themeColor="text1"/>
                <w:szCs w:val="19"/>
                <w:lang w:val="en-GB"/>
              </w:rPr>
              <w:t>Manufacturing</w:t>
            </w:r>
          </w:p>
        </w:tc>
        <w:tc>
          <w:tcPr>
            <w:tcW w:w="1843" w:type="dxa"/>
            <w:vAlign w:val="center"/>
          </w:tcPr>
          <w:p w14:paraId="390407BA" w14:textId="25521BE7" w:rsidR="00911670" w:rsidRPr="00911670" w:rsidRDefault="0053525A" w:rsidP="00911670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96.0</w:t>
            </w:r>
          </w:p>
        </w:tc>
        <w:tc>
          <w:tcPr>
            <w:tcW w:w="1842" w:type="dxa"/>
            <w:vAlign w:val="center"/>
          </w:tcPr>
          <w:p w14:paraId="6AA941C9" w14:textId="0DCB97CD" w:rsidR="00911670" w:rsidRPr="00911670" w:rsidRDefault="0053525A" w:rsidP="00911670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115.6</w:t>
            </w:r>
          </w:p>
        </w:tc>
        <w:tc>
          <w:tcPr>
            <w:tcW w:w="1701" w:type="dxa"/>
            <w:vAlign w:val="center"/>
          </w:tcPr>
          <w:p w14:paraId="7A4DA657" w14:textId="6EFC95D4" w:rsidR="00911670" w:rsidRPr="00911670" w:rsidRDefault="0053525A" w:rsidP="00911670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139.3</w:t>
            </w:r>
          </w:p>
        </w:tc>
      </w:tr>
      <w:tr w:rsidR="00911670" w:rsidRPr="00911670" w14:paraId="258C46F4" w14:textId="77777777" w:rsidTr="00D902C2">
        <w:trPr>
          <w:trHeight w:val="57"/>
        </w:trPr>
        <w:tc>
          <w:tcPr>
            <w:tcW w:w="2552" w:type="dxa"/>
            <w:vAlign w:val="center"/>
          </w:tcPr>
          <w:p w14:paraId="0409A2B5" w14:textId="078BB5C5" w:rsidR="00911670" w:rsidRPr="00911670" w:rsidRDefault="00911670" w:rsidP="00911670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Cs w:val="19"/>
                <w:lang w:val="en-GB"/>
              </w:rPr>
            </w:pPr>
            <w:r w:rsidRPr="00911670">
              <w:rPr>
                <w:rFonts w:cstheme="majorBidi"/>
                <w:color w:val="000000" w:themeColor="text1"/>
                <w:szCs w:val="19"/>
                <w:lang w:val="en-GB"/>
              </w:rPr>
              <w:t>Electricity, gas, steam and air</w:t>
            </w:r>
            <w:r>
              <w:rPr>
                <w:rFonts w:cstheme="majorBidi"/>
                <w:color w:val="000000" w:themeColor="text1"/>
                <w:szCs w:val="19"/>
                <w:lang w:val="en-GB"/>
              </w:rPr>
              <w:t xml:space="preserve"> c</w:t>
            </w:r>
            <w:r w:rsidRPr="00911670">
              <w:rPr>
                <w:rFonts w:cstheme="majorBidi"/>
                <w:color w:val="000000" w:themeColor="text1"/>
                <w:szCs w:val="19"/>
                <w:lang w:val="en-GB"/>
              </w:rPr>
              <w:t>onditioning supply</w:t>
            </w:r>
          </w:p>
        </w:tc>
        <w:tc>
          <w:tcPr>
            <w:tcW w:w="1843" w:type="dxa"/>
            <w:vAlign w:val="center"/>
          </w:tcPr>
          <w:p w14:paraId="00B3B540" w14:textId="07B22FCF" w:rsidR="00911670" w:rsidRPr="00911670" w:rsidRDefault="0053525A" w:rsidP="00911670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106.3</w:t>
            </w:r>
          </w:p>
        </w:tc>
        <w:tc>
          <w:tcPr>
            <w:tcW w:w="1842" w:type="dxa"/>
            <w:vAlign w:val="center"/>
          </w:tcPr>
          <w:p w14:paraId="093D1445" w14:textId="1AFD39E8" w:rsidR="00911670" w:rsidRPr="00911670" w:rsidRDefault="0053525A" w:rsidP="00911670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151.6</w:t>
            </w:r>
          </w:p>
        </w:tc>
        <w:tc>
          <w:tcPr>
            <w:tcW w:w="1701" w:type="dxa"/>
            <w:vAlign w:val="center"/>
          </w:tcPr>
          <w:p w14:paraId="073F6181" w14:textId="21167F4A" w:rsidR="00911670" w:rsidRPr="00911670" w:rsidRDefault="0053525A" w:rsidP="00911670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208.4</w:t>
            </w:r>
          </w:p>
        </w:tc>
      </w:tr>
      <w:tr w:rsidR="00911670" w:rsidRPr="00911670" w14:paraId="6FDCA912" w14:textId="77777777" w:rsidTr="00D902C2">
        <w:trPr>
          <w:trHeight w:val="624"/>
        </w:trPr>
        <w:tc>
          <w:tcPr>
            <w:tcW w:w="2552" w:type="dxa"/>
            <w:vAlign w:val="center"/>
          </w:tcPr>
          <w:p w14:paraId="118AB980" w14:textId="0AF81FFA" w:rsidR="00911670" w:rsidRPr="00911670" w:rsidRDefault="00911670" w:rsidP="0091167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GB"/>
              </w:rPr>
            </w:pPr>
            <w:r w:rsidRPr="00911670"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GB"/>
              </w:rPr>
              <w:t xml:space="preserve"> </w:t>
            </w:r>
            <w:r w:rsidRPr="00911670"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GB"/>
              </w:rPr>
              <w:t>management and remediation</w:t>
            </w:r>
            <w:r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GB"/>
              </w:rPr>
              <w:t xml:space="preserve"> </w:t>
            </w:r>
            <w:r w:rsidRPr="00911670"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GB"/>
              </w:rPr>
              <w:t xml:space="preserve">activities </w:t>
            </w:r>
          </w:p>
        </w:tc>
        <w:tc>
          <w:tcPr>
            <w:tcW w:w="1843" w:type="dxa"/>
            <w:vAlign w:val="center"/>
          </w:tcPr>
          <w:p w14:paraId="11FB1DD6" w14:textId="609EF97B" w:rsidR="00911670" w:rsidRPr="00911670" w:rsidRDefault="0053525A" w:rsidP="00911670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90.1</w:t>
            </w:r>
          </w:p>
        </w:tc>
        <w:tc>
          <w:tcPr>
            <w:tcW w:w="1842" w:type="dxa"/>
            <w:vAlign w:val="center"/>
          </w:tcPr>
          <w:p w14:paraId="69B44AA8" w14:textId="448FC45E" w:rsidR="00911670" w:rsidRPr="00911670" w:rsidRDefault="0053525A" w:rsidP="00911670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112.6</w:t>
            </w:r>
          </w:p>
        </w:tc>
        <w:tc>
          <w:tcPr>
            <w:tcW w:w="1701" w:type="dxa"/>
            <w:vAlign w:val="center"/>
          </w:tcPr>
          <w:p w14:paraId="44A10229" w14:textId="166CFB64" w:rsidR="00911670" w:rsidRPr="00911670" w:rsidRDefault="0053525A" w:rsidP="00911670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139.3</w:t>
            </w:r>
          </w:p>
        </w:tc>
      </w:tr>
    </w:tbl>
    <w:p w14:paraId="6E3C5957" w14:textId="43026DC7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52E735D6" w14:textId="5780E840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5DB662D6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January 2021, stood at 99.9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9D4AABF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5352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9.</w:t>
                            </w:r>
                            <w:r w:rsidR="00BC3D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B519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January 2021, stood at 99.98%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" filled="f" stroked="f">
                <v:textbox>
                  <w:txbxContent>
                    <w:p w14:paraId="5F2B646E" w14:textId="79D4AABF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5352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9.</w:t>
                      </w:r>
                      <w:r w:rsidR="00BC3D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B519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77875BA4" w14:textId="69B93264" w:rsidR="00BD1B7C" w:rsidRPr="008B2431" w:rsidRDefault="00BB33B9" w:rsidP="00BD1B7C">
      <w:pPr>
        <w:spacing w:before="0" w:after="0"/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911670">
        <w:rPr>
          <w:noProof/>
          <w:spacing w:val="-2"/>
          <w:szCs w:val="19"/>
          <w:lang w:val="en-GB"/>
        </w:rPr>
        <w:t>January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911670">
        <w:rPr>
          <w:noProof/>
          <w:spacing w:val="-2"/>
          <w:szCs w:val="19"/>
          <w:lang w:val="en-GB"/>
        </w:rPr>
        <w:t>January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AA6DFC">
        <w:rPr>
          <w:noProof/>
          <w:spacing w:val="-2"/>
          <w:szCs w:val="19"/>
          <w:lang w:val="en-GB"/>
        </w:rPr>
        <w:t>3</w:t>
      </w:r>
      <w:r w:rsidR="00966FEB">
        <w:rPr>
          <w:noProof/>
          <w:spacing w:val="-2"/>
          <w:szCs w:val="19"/>
          <w:lang w:val="en-GB"/>
        </w:rPr>
        <w:t>3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 xml:space="preserve">, </w:t>
      </w:r>
      <w:r w:rsidR="00AA6DFC">
        <w:t xml:space="preserve">in </w:t>
      </w:r>
      <w:proofErr w:type="spellStart"/>
      <w:r w:rsidR="00BD1B7C">
        <w:t>m</w:t>
      </w:r>
      <w:r w:rsidR="00BD1B7C" w:rsidRPr="00BD1B7C">
        <w:t>anufacture</w:t>
      </w:r>
      <w:proofErr w:type="spellEnd"/>
      <w:r w:rsidR="00BD1B7C" w:rsidRPr="00BD1B7C">
        <w:t xml:space="preserve"> of </w:t>
      </w:r>
      <w:proofErr w:type="spellStart"/>
      <w:r w:rsidR="00BD1B7C" w:rsidRPr="00BD1B7C">
        <w:t>other</w:t>
      </w:r>
      <w:proofErr w:type="spellEnd"/>
      <w:r w:rsidR="00BD1B7C" w:rsidRPr="00BD1B7C">
        <w:t xml:space="preserve"> transport </w:t>
      </w:r>
      <w:proofErr w:type="spellStart"/>
      <w:r w:rsidR="00BD1B7C" w:rsidRPr="00BD1B7C">
        <w:t>equipment</w:t>
      </w:r>
      <w:proofErr w:type="spellEnd"/>
      <w:r w:rsidR="00BD1B7C">
        <w:t xml:space="preserve"> – by 40.2%, in </w:t>
      </w:r>
      <w:proofErr w:type="spellStart"/>
      <w:r w:rsidR="00BD1B7C">
        <w:t>m</w:t>
      </w:r>
      <w:r w:rsidR="00BD1B7C" w:rsidRPr="00BD1B7C">
        <w:t>ining</w:t>
      </w:r>
      <w:proofErr w:type="spellEnd"/>
      <w:r w:rsidR="00BD1B7C" w:rsidRPr="00BD1B7C">
        <w:t xml:space="preserve"> of </w:t>
      </w:r>
      <w:proofErr w:type="spellStart"/>
      <w:r w:rsidR="00BD1B7C" w:rsidRPr="00BD1B7C">
        <w:t>coal</w:t>
      </w:r>
      <w:proofErr w:type="spellEnd"/>
      <w:r w:rsidR="00BD1B7C" w:rsidRPr="00BD1B7C">
        <w:t xml:space="preserve"> and </w:t>
      </w:r>
      <w:proofErr w:type="spellStart"/>
      <w:r w:rsidR="00BD1B7C" w:rsidRPr="00BD1B7C">
        <w:t>lignite</w:t>
      </w:r>
      <w:proofErr w:type="spellEnd"/>
      <w:r w:rsidR="00BD1B7C">
        <w:t xml:space="preserve"> – by 34.9%,</w:t>
      </w:r>
      <w:r w:rsidR="00BD1B7C" w:rsidRPr="00BD1B7C">
        <w:t xml:space="preserve"> </w:t>
      </w:r>
      <w:r w:rsidR="00BD1B7C">
        <w:rPr>
          <w:noProof/>
          <w:spacing w:val="-2"/>
          <w:szCs w:val="19"/>
          <w:lang w:val="en-GB"/>
        </w:rPr>
        <w:t>m</w:t>
      </w:r>
      <w:r w:rsidR="00BD1B7C" w:rsidRPr="0065283F">
        <w:rPr>
          <w:noProof/>
          <w:spacing w:val="-2"/>
          <w:szCs w:val="19"/>
          <w:lang w:val="en-GB"/>
        </w:rPr>
        <w:t xml:space="preserve">anufacture of </w:t>
      </w:r>
      <w:r w:rsidR="00BD1B7C">
        <w:rPr>
          <w:noProof/>
          <w:spacing w:val="-2"/>
          <w:szCs w:val="19"/>
          <w:lang w:val="en-GB"/>
        </w:rPr>
        <w:t>c</w:t>
      </w:r>
      <w:r w:rsidR="00BD1B7C" w:rsidRPr="00B067A6">
        <w:rPr>
          <w:noProof/>
          <w:spacing w:val="-2"/>
          <w:szCs w:val="19"/>
          <w:lang w:val="en-GB"/>
        </w:rPr>
        <w:t>hemicals and chemical products</w:t>
      </w:r>
      <w:r w:rsidR="00BD1B7C" w:rsidRPr="00615DB7">
        <w:rPr>
          <w:noProof/>
          <w:spacing w:val="-2"/>
          <w:szCs w:val="19"/>
          <w:lang w:val="en-GB"/>
        </w:rPr>
        <w:t xml:space="preserve"> </w:t>
      </w:r>
      <w:r w:rsidR="00BD1B7C">
        <w:rPr>
          <w:noProof/>
          <w:spacing w:val="-2"/>
          <w:szCs w:val="19"/>
          <w:lang w:val="en-GB"/>
        </w:rPr>
        <w:t xml:space="preserve">– by 32.5%, </w:t>
      </w:r>
      <w:r w:rsidR="00BD1B7C" w:rsidRPr="009D61BA">
        <w:rPr>
          <w:noProof/>
          <w:szCs w:val="19"/>
          <w:lang w:val="en-GB"/>
        </w:rPr>
        <w:t xml:space="preserve">manufacture of </w:t>
      </w:r>
      <w:r w:rsidR="00BD1B7C" w:rsidRPr="00082002">
        <w:rPr>
          <w:noProof/>
          <w:spacing w:val="-2"/>
          <w:szCs w:val="19"/>
          <w:lang w:val="en-GB"/>
        </w:rPr>
        <w:t>machinery and equipment</w:t>
      </w:r>
      <w:r w:rsidR="00BD1B7C">
        <w:rPr>
          <w:noProof/>
          <w:spacing w:val="-2"/>
          <w:szCs w:val="19"/>
          <w:lang w:val="en-GB"/>
        </w:rPr>
        <w:t xml:space="preserve"> </w:t>
      </w:r>
      <w:r w:rsidR="00BD1B7C">
        <w:rPr>
          <w:noProof/>
          <w:szCs w:val="19"/>
          <w:lang w:val="en-GB"/>
        </w:rPr>
        <w:t>– by 28.1%,</w:t>
      </w:r>
      <w:r w:rsidR="00BD1B7C" w:rsidRPr="009753AD">
        <w:t xml:space="preserve"> </w:t>
      </w:r>
      <w:proofErr w:type="spellStart"/>
      <w:r w:rsidR="00BD1B7C">
        <w:t>m</w:t>
      </w:r>
      <w:r w:rsidR="00BD1B7C" w:rsidRPr="00BD1B7C">
        <w:t>anufacture</w:t>
      </w:r>
      <w:proofErr w:type="spellEnd"/>
      <w:r w:rsidR="00BD1B7C" w:rsidRPr="00BD1B7C">
        <w:t xml:space="preserve"> of </w:t>
      </w:r>
      <w:proofErr w:type="spellStart"/>
      <w:r w:rsidR="00BD1B7C" w:rsidRPr="00BD1B7C">
        <w:t>computer</w:t>
      </w:r>
      <w:proofErr w:type="spellEnd"/>
      <w:r w:rsidR="00BD1B7C" w:rsidRPr="00BD1B7C">
        <w:t xml:space="preserve">, </w:t>
      </w:r>
      <w:proofErr w:type="spellStart"/>
      <w:r w:rsidR="00BD1B7C" w:rsidRPr="00BD1B7C">
        <w:t>electronic</w:t>
      </w:r>
      <w:proofErr w:type="spellEnd"/>
      <w:r w:rsidR="00BD1B7C" w:rsidRPr="00BD1B7C">
        <w:t xml:space="preserve"> and </w:t>
      </w:r>
      <w:proofErr w:type="spellStart"/>
      <w:r w:rsidR="00BD1B7C" w:rsidRPr="00BD1B7C">
        <w:t>optical</w:t>
      </w:r>
      <w:proofErr w:type="spellEnd"/>
      <w:r w:rsidR="00BD1B7C" w:rsidRPr="00BD1B7C">
        <w:t xml:space="preserve"> products</w:t>
      </w:r>
      <w:r w:rsidR="00BD1B7C">
        <w:t xml:space="preserve"> – by 27.5%,</w:t>
      </w:r>
      <w:r w:rsidR="00BD1B7C" w:rsidRPr="00BD1B7C">
        <w:rPr>
          <w:noProof/>
          <w:spacing w:val="-2"/>
          <w:szCs w:val="19"/>
          <w:lang w:val="en-GB"/>
        </w:rPr>
        <w:t xml:space="preserve"> </w:t>
      </w:r>
      <w:r w:rsidR="00BD1B7C">
        <w:rPr>
          <w:noProof/>
          <w:spacing w:val="-2"/>
          <w:szCs w:val="19"/>
          <w:lang w:val="en-GB"/>
        </w:rPr>
        <w:t>m</w:t>
      </w:r>
      <w:r w:rsidR="00BD1B7C" w:rsidRPr="008C2E1C">
        <w:rPr>
          <w:noProof/>
          <w:spacing w:val="-2"/>
          <w:szCs w:val="19"/>
          <w:lang w:val="en-GB"/>
        </w:rPr>
        <w:t>anufacture of metal products</w:t>
      </w:r>
      <w:r w:rsidR="00BD1B7C" w:rsidRPr="004E532C">
        <w:rPr>
          <w:noProof/>
          <w:spacing w:val="-2"/>
          <w:szCs w:val="19"/>
          <w:lang w:val="en-GB"/>
        </w:rPr>
        <w:t xml:space="preserve"> </w:t>
      </w:r>
      <w:r w:rsidR="00BD1B7C">
        <w:rPr>
          <w:noProof/>
          <w:szCs w:val="19"/>
          <w:lang w:val="en-GB"/>
        </w:rPr>
        <w:t>– by 25.1%,</w:t>
      </w:r>
      <w:r w:rsidR="00BD1B7C" w:rsidRPr="00BD1B7C">
        <w:rPr>
          <w:noProof/>
          <w:spacing w:val="-2"/>
          <w:szCs w:val="19"/>
          <w:lang w:val="en-GB"/>
        </w:rPr>
        <w:t xml:space="preserve"> </w:t>
      </w:r>
      <w:r w:rsidR="00BD1B7C">
        <w:rPr>
          <w:noProof/>
          <w:spacing w:val="-2"/>
          <w:szCs w:val="19"/>
          <w:lang w:val="en-GB"/>
        </w:rPr>
        <w:t>m</w:t>
      </w:r>
      <w:r w:rsidR="00BD1B7C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BD1B7C">
        <w:rPr>
          <w:noProof/>
          <w:spacing w:val="-2"/>
          <w:szCs w:val="19"/>
          <w:lang w:val="en-GB"/>
        </w:rPr>
        <w:t xml:space="preserve"> – by 24.2%,</w:t>
      </w:r>
      <w:r w:rsidR="00BD1B7C" w:rsidRPr="00BD1B7C">
        <w:rPr>
          <w:noProof/>
          <w:spacing w:val="-2"/>
          <w:szCs w:val="19"/>
          <w:lang w:val="en-GB"/>
        </w:rPr>
        <w:t xml:space="preserve"> </w:t>
      </w:r>
      <w:bookmarkStart w:id="1" w:name="_Hlk95903919"/>
      <w:r w:rsidR="00BD1B7C">
        <w:rPr>
          <w:noProof/>
          <w:spacing w:val="-2"/>
          <w:szCs w:val="19"/>
          <w:lang w:val="en-GB"/>
        </w:rPr>
        <w:t>m</w:t>
      </w:r>
      <w:r w:rsidR="00BD1B7C" w:rsidRPr="005A074C">
        <w:rPr>
          <w:noProof/>
          <w:spacing w:val="-2"/>
          <w:szCs w:val="19"/>
          <w:lang w:val="en-GB"/>
        </w:rPr>
        <w:t>anufacture of paper and paper products</w:t>
      </w:r>
      <w:r w:rsidR="00BD1B7C">
        <w:rPr>
          <w:noProof/>
          <w:spacing w:val="-2"/>
          <w:szCs w:val="19"/>
          <w:lang w:val="en-GB"/>
        </w:rPr>
        <w:t xml:space="preserve"> – by 19.9%.</w:t>
      </w:r>
      <w:bookmarkEnd w:id="1"/>
    </w:p>
    <w:p w14:paraId="7D7E1994" w14:textId="0C117DF2" w:rsidR="003627E7" w:rsidRDefault="003627E7" w:rsidP="00F536E7">
      <w:pPr>
        <w:suppressAutoHyphens/>
        <w:spacing w:before="0" w:after="0" w:line="160" w:lineRule="exact"/>
        <w:rPr>
          <w:noProof/>
          <w:szCs w:val="19"/>
          <w:lang w:val="en-GB"/>
        </w:rPr>
      </w:pPr>
    </w:p>
    <w:p w14:paraId="5855A0A2" w14:textId="0791D3D9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60A13FF3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57326246" w14:textId="5450398B" w:rsidR="008B2431" w:rsidRPr="00AA6DFC" w:rsidRDefault="00680622" w:rsidP="006C4724">
      <w:pPr>
        <w:spacing w:before="0" w:after="0"/>
        <w:rPr>
          <w:noProof/>
          <w:lang w:eastAsia="pl-PL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4B3A71B1" w14:textId="24BC7BD7" w:rsidR="00721027" w:rsidRDefault="00721027" w:rsidP="006C4724">
      <w:pPr>
        <w:spacing w:before="0" w:after="0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90688" behindDoc="0" locked="0" layoutInCell="1" allowOverlap="1" wp14:anchorId="1395B988" wp14:editId="5DD0A470">
            <wp:simplePos x="0" y="0"/>
            <wp:positionH relativeFrom="column">
              <wp:posOffset>-50800</wp:posOffset>
            </wp:positionH>
            <wp:positionV relativeFrom="paragraph">
              <wp:posOffset>193040</wp:posOffset>
            </wp:positionV>
            <wp:extent cx="5047615" cy="4246880"/>
            <wp:effectExtent l="0" t="0" r="635" b="1270"/>
            <wp:wrapSquare wrapText="bothSides"/>
            <wp:docPr id="5" name="Obraz 5" descr="Index numbers of sold production of industry by selected NACE divisions (constant prices; previous year =100) - January 2021, Janu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424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F0E5C7" w14:textId="0271D8BE" w:rsidR="00D649F4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911670">
        <w:rPr>
          <w:szCs w:val="19"/>
          <w:lang w:val="en-GB"/>
        </w:rPr>
        <w:t>December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234F38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911670">
        <w:rPr>
          <w:szCs w:val="19"/>
          <w:lang w:val="en-GB"/>
        </w:rPr>
        <w:t>January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AA6DFC">
        <w:rPr>
          <w:szCs w:val="19"/>
          <w:lang w:val="en-GB"/>
        </w:rPr>
        <w:t>2</w:t>
      </w:r>
      <w:r w:rsidR="00D649F4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8B1F26" w:rsidRPr="008B1F26">
        <w:rPr>
          <w:noProof/>
          <w:szCs w:val="19"/>
          <w:lang w:val="en-GB"/>
        </w:rPr>
        <w:t xml:space="preserve"> </w:t>
      </w:r>
      <w:bookmarkEnd w:id="2"/>
      <w:r w:rsidR="00F536E7">
        <w:rPr>
          <w:noProof/>
          <w:spacing w:val="-2"/>
          <w:szCs w:val="19"/>
          <w:lang w:val="en-GB"/>
        </w:rPr>
        <w:t>in</w:t>
      </w:r>
      <w:r w:rsidR="00AA6DFC" w:rsidRPr="00AA6DFC">
        <w:rPr>
          <w:noProof/>
          <w:spacing w:val="-2"/>
          <w:szCs w:val="19"/>
          <w:lang w:val="en-GB"/>
        </w:rPr>
        <w:t xml:space="preserve"> </w:t>
      </w:r>
      <w:proofErr w:type="spellStart"/>
      <w:r w:rsidR="00D649F4">
        <w:t>m</w:t>
      </w:r>
      <w:r w:rsidR="00D649F4" w:rsidRPr="00BD1B7C">
        <w:t>anufacture</w:t>
      </w:r>
      <w:proofErr w:type="spellEnd"/>
      <w:r w:rsidR="00D649F4" w:rsidRPr="00BD1B7C">
        <w:t xml:space="preserve"> of </w:t>
      </w:r>
      <w:proofErr w:type="spellStart"/>
      <w:r w:rsidR="00D649F4" w:rsidRPr="00BD1B7C">
        <w:t>other</w:t>
      </w:r>
      <w:proofErr w:type="spellEnd"/>
      <w:r w:rsidR="00D649F4" w:rsidRPr="00BD1B7C">
        <w:t xml:space="preserve"> transport </w:t>
      </w:r>
      <w:proofErr w:type="spellStart"/>
      <w:r w:rsidR="00D649F4" w:rsidRPr="00BD1B7C">
        <w:t>equipment</w:t>
      </w:r>
      <w:proofErr w:type="spellEnd"/>
      <w:r w:rsidR="00D649F4">
        <w:t xml:space="preserve"> – by 27.5%,</w:t>
      </w:r>
      <w:r w:rsidR="00D649F4" w:rsidRPr="00D649F4">
        <w:rPr>
          <w:noProof/>
          <w:spacing w:val="-2"/>
          <w:szCs w:val="19"/>
          <w:lang w:val="en-GB"/>
        </w:rPr>
        <w:t xml:space="preserve"> </w:t>
      </w:r>
      <w:r w:rsidR="00D649F4" w:rsidRPr="009D61BA">
        <w:rPr>
          <w:noProof/>
          <w:szCs w:val="19"/>
          <w:lang w:val="en-GB"/>
        </w:rPr>
        <w:t xml:space="preserve">manufacture of </w:t>
      </w:r>
      <w:r w:rsidR="00D649F4" w:rsidRPr="00082002">
        <w:rPr>
          <w:noProof/>
          <w:spacing w:val="-2"/>
          <w:szCs w:val="19"/>
          <w:lang w:val="en-GB"/>
        </w:rPr>
        <w:t>machinery and equipment</w:t>
      </w:r>
      <w:r w:rsidR="00D649F4">
        <w:rPr>
          <w:noProof/>
          <w:spacing w:val="-2"/>
          <w:szCs w:val="19"/>
          <w:lang w:val="en-GB"/>
        </w:rPr>
        <w:t xml:space="preserve"> </w:t>
      </w:r>
      <w:r w:rsidR="00D649F4">
        <w:rPr>
          <w:noProof/>
          <w:szCs w:val="19"/>
          <w:lang w:val="en-GB"/>
        </w:rPr>
        <w:t>– by 14.0%,</w:t>
      </w:r>
      <w:r w:rsidR="00D649F4" w:rsidRPr="00D649F4">
        <w:t xml:space="preserve"> </w:t>
      </w:r>
      <w:r w:rsidR="00D649F4">
        <w:rPr>
          <w:noProof/>
          <w:szCs w:val="19"/>
          <w:lang w:val="en-GB"/>
        </w:rPr>
        <w:t>m</w:t>
      </w:r>
      <w:r w:rsidR="00D649F4" w:rsidRPr="00D649F4">
        <w:rPr>
          <w:noProof/>
          <w:szCs w:val="19"/>
          <w:lang w:val="en-GB"/>
        </w:rPr>
        <w:t>anufacture of electrical equipment</w:t>
      </w:r>
      <w:r w:rsidR="00D649F4">
        <w:rPr>
          <w:noProof/>
          <w:szCs w:val="19"/>
          <w:lang w:val="en-GB"/>
        </w:rPr>
        <w:t xml:space="preserve"> – by 12.1%,</w:t>
      </w:r>
      <w:r w:rsidR="00D649F4" w:rsidRPr="00D649F4">
        <w:t xml:space="preserve"> </w:t>
      </w:r>
      <w:r w:rsidR="00D649F4">
        <w:rPr>
          <w:noProof/>
          <w:szCs w:val="19"/>
          <w:lang w:val="en-GB"/>
        </w:rPr>
        <w:t>m</w:t>
      </w:r>
      <w:r w:rsidR="00D649F4" w:rsidRPr="00D649F4">
        <w:rPr>
          <w:noProof/>
          <w:szCs w:val="19"/>
          <w:lang w:val="en-GB"/>
        </w:rPr>
        <w:t>anufacture of coke and refined petroleum products</w:t>
      </w:r>
      <w:r w:rsidR="00D649F4">
        <w:rPr>
          <w:noProof/>
          <w:szCs w:val="19"/>
          <w:lang w:val="en-GB"/>
        </w:rPr>
        <w:t xml:space="preserve"> – by</w:t>
      </w:r>
      <w:r w:rsidR="00D56FAB">
        <w:rPr>
          <w:noProof/>
          <w:szCs w:val="19"/>
          <w:lang w:val="en-GB"/>
        </w:rPr>
        <w:t> </w:t>
      </w:r>
      <w:r w:rsidR="00D649F4">
        <w:rPr>
          <w:noProof/>
          <w:szCs w:val="19"/>
          <w:lang w:val="en-GB"/>
        </w:rPr>
        <w:t>9.6%,</w:t>
      </w:r>
      <w:r w:rsidR="00D649F4" w:rsidRPr="00D649F4">
        <w:rPr>
          <w:noProof/>
          <w:spacing w:val="-2"/>
          <w:szCs w:val="19"/>
          <w:lang w:val="en-GB"/>
        </w:rPr>
        <w:t xml:space="preserve"> </w:t>
      </w:r>
      <w:r w:rsidR="00D649F4">
        <w:rPr>
          <w:noProof/>
          <w:spacing w:val="-2"/>
          <w:szCs w:val="19"/>
          <w:lang w:val="en-GB"/>
        </w:rPr>
        <w:t>m</w:t>
      </w:r>
      <w:r w:rsidR="00D649F4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D649F4">
        <w:rPr>
          <w:noProof/>
          <w:spacing w:val="-2"/>
          <w:szCs w:val="19"/>
          <w:lang w:val="en-GB"/>
        </w:rPr>
        <w:t xml:space="preserve"> </w:t>
      </w:r>
      <w:r w:rsidR="00D649F4">
        <w:t>– by 6.4%,</w:t>
      </w:r>
      <w:r w:rsidR="00D649F4" w:rsidRPr="00D649F4">
        <w:t xml:space="preserve"> </w:t>
      </w:r>
      <w:proofErr w:type="spellStart"/>
      <w:r w:rsidR="00D649F4">
        <w:t>m</w:t>
      </w:r>
      <w:r w:rsidR="00D649F4" w:rsidRPr="00D649F4">
        <w:t>anufacture</w:t>
      </w:r>
      <w:proofErr w:type="spellEnd"/>
      <w:r w:rsidR="00D649F4" w:rsidRPr="00D649F4">
        <w:t xml:space="preserve"> of food products</w:t>
      </w:r>
      <w:r w:rsidR="00D649F4">
        <w:t xml:space="preserve"> – by 4.8%.</w:t>
      </w:r>
    </w:p>
    <w:p w14:paraId="75016C34" w14:textId="40E85382" w:rsidR="00D649F4" w:rsidRDefault="00256334" w:rsidP="00D649F4">
      <w:pPr>
        <w:spacing w:before="0" w:after="0"/>
      </w:pPr>
      <w:r>
        <w:rPr>
          <w:noProof/>
          <w:szCs w:val="19"/>
          <w:lang w:val="en-GB"/>
        </w:rPr>
        <w:t>A</w:t>
      </w:r>
      <w:r w:rsidR="00234F38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911670">
        <w:rPr>
          <w:noProof/>
          <w:szCs w:val="19"/>
          <w:lang w:val="en-GB"/>
        </w:rPr>
        <w:t>December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8B1F26">
        <w:rPr>
          <w:noProof/>
          <w:szCs w:val="19"/>
          <w:lang w:val="en-GB"/>
        </w:rPr>
        <w:t>1</w:t>
      </w:r>
      <w:r w:rsidR="00D649F4">
        <w:rPr>
          <w:noProof/>
          <w:szCs w:val="19"/>
          <w:lang w:val="en-GB"/>
        </w:rPr>
        <w:t>2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51196A">
        <w:t xml:space="preserve"> </w:t>
      </w:r>
      <w:bookmarkStart w:id="3" w:name="_Hlk95901314"/>
      <w:r w:rsidR="00D649F4">
        <w:t xml:space="preserve">in </w:t>
      </w:r>
      <w:r w:rsidR="00D649F4">
        <w:rPr>
          <w:noProof/>
          <w:spacing w:val="-2"/>
          <w:szCs w:val="19"/>
          <w:lang w:val="en-GB"/>
        </w:rPr>
        <w:t>m</w:t>
      </w:r>
      <w:r w:rsidR="00D649F4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D649F4">
        <w:rPr>
          <w:noProof/>
          <w:spacing w:val="-2"/>
          <w:szCs w:val="19"/>
          <w:lang w:val="en-GB"/>
        </w:rPr>
        <w:t xml:space="preserve"> – by 19.1%,</w:t>
      </w:r>
      <w:bookmarkEnd w:id="3"/>
      <w:r w:rsidR="00D649F4" w:rsidRPr="00D649F4">
        <w:rPr>
          <w:noProof/>
          <w:spacing w:val="-2"/>
          <w:szCs w:val="19"/>
          <w:lang w:val="en-GB"/>
        </w:rPr>
        <w:t xml:space="preserve"> </w:t>
      </w:r>
      <w:r w:rsidR="00D649F4">
        <w:rPr>
          <w:noProof/>
          <w:spacing w:val="-2"/>
          <w:szCs w:val="19"/>
          <w:lang w:val="en-GB"/>
        </w:rPr>
        <w:t>m</w:t>
      </w:r>
      <w:r w:rsidR="00D649F4" w:rsidRPr="008C2E1C">
        <w:rPr>
          <w:noProof/>
          <w:spacing w:val="-2"/>
          <w:szCs w:val="19"/>
          <w:lang w:val="en-GB"/>
        </w:rPr>
        <w:t xml:space="preserve">anufacture of </w:t>
      </w:r>
      <w:r w:rsidR="00D649F4">
        <w:rPr>
          <w:noProof/>
          <w:spacing w:val="-2"/>
          <w:szCs w:val="19"/>
          <w:lang w:val="en-GB"/>
        </w:rPr>
        <w:t xml:space="preserve">basic </w:t>
      </w:r>
      <w:r w:rsidR="00D649F4" w:rsidRPr="008C2E1C">
        <w:rPr>
          <w:noProof/>
          <w:spacing w:val="-2"/>
          <w:szCs w:val="19"/>
          <w:lang w:val="en-GB"/>
        </w:rPr>
        <w:t>metal</w:t>
      </w:r>
      <w:r w:rsidR="00D649F4">
        <w:rPr>
          <w:noProof/>
          <w:spacing w:val="-2"/>
          <w:szCs w:val="19"/>
          <w:lang w:val="en-GB"/>
        </w:rPr>
        <w:t>s</w:t>
      </w:r>
      <w:r w:rsidR="00D649F4" w:rsidRPr="004E532C">
        <w:rPr>
          <w:noProof/>
          <w:spacing w:val="-2"/>
          <w:szCs w:val="19"/>
          <w:lang w:val="en-GB"/>
        </w:rPr>
        <w:t xml:space="preserve"> </w:t>
      </w:r>
      <w:r w:rsidR="00D649F4">
        <w:rPr>
          <w:noProof/>
          <w:szCs w:val="19"/>
          <w:lang w:val="en-GB"/>
        </w:rPr>
        <w:t>– by 14.5%</w:t>
      </w:r>
      <w:r w:rsidR="00D649F4">
        <w:t>,</w:t>
      </w:r>
      <w:r w:rsidR="005B46E9" w:rsidRPr="005B46E9">
        <w:rPr>
          <w:noProof/>
          <w:spacing w:val="-2"/>
          <w:szCs w:val="19"/>
          <w:lang w:val="en-GB"/>
        </w:rPr>
        <w:t xml:space="preserve"> </w:t>
      </w:r>
      <w:r w:rsidR="005B46E9">
        <w:rPr>
          <w:noProof/>
          <w:spacing w:val="-2"/>
          <w:szCs w:val="19"/>
          <w:lang w:val="en-GB"/>
        </w:rPr>
        <w:t>m</w:t>
      </w:r>
      <w:r w:rsidR="005B46E9" w:rsidRPr="00234F38">
        <w:rPr>
          <w:noProof/>
          <w:spacing w:val="-2"/>
          <w:szCs w:val="19"/>
          <w:lang w:val="en-GB"/>
        </w:rPr>
        <w:t>anufacture of rubber and plastic products</w:t>
      </w:r>
      <w:r w:rsidR="005B46E9">
        <w:rPr>
          <w:noProof/>
          <w:spacing w:val="-2"/>
          <w:szCs w:val="19"/>
          <w:lang w:val="en-GB"/>
        </w:rPr>
        <w:t xml:space="preserve"> – by 9.8%,</w:t>
      </w:r>
      <w:r w:rsidR="005B46E9" w:rsidRPr="005B46E9">
        <w:rPr>
          <w:noProof/>
          <w:spacing w:val="-2"/>
          <w:szCs w:val="19"/>
          <w:lang w:val="en-GB"/>
        </w:rPr>
        <w:t xml:space="preserve"> </w:t>
      </w:r>
      <w:r w:rsidR="005B46E9">
        <w:rPr>
          <w:noProof/>
          <w:spacing w:val="-2"/>
          <w:szCs w:val="19"/>
          <w:lang w:val="en-GB"/>
        </w:rPr>
        <w:t>m</w:t>
      </w:r>
      <w:r w:rsidR="005B46E9" w:rsidRPr="0065283F">
        <w:rPr>
          <w:noProof/>
          <w:spacing w:val="-2"/>
          <w:szCs w:val="19"/>
          <w:lang w:val="en-GB"/>
        </w:rPr>
        <w:t xml:space="preserve">anufacture of </w:t>
      </w:r>
      <w:r w:rsidR="005B46E9">
        <w:rPr>
          <w:noProof/>
          <w:spacing w:val="-2"/>
          <w:szCs w:val="19"/>
          <w:lang w:val="en-GB"/>
        </w:rPr>
        <w:t>c</w:t>
      </w:r>
      <w:r w:rsidR="005B46E9" w:rsidRPr="00B067A6">
        <w:rPr>
          <w:noProof/>
          <w:spacing w:val="-2"/>
          <w:szCs w:val="19"/>
          <w:lang w:val="en-GB"/>
        </w:rPr>
        <w:t>hemicals and chemical products</w:t>
      </w:r>
      <w:r w:rsidR="005B46E9" w:rsidRPr="00615DB7">
        <w:rPr>
          <w:noProof/>
          <w:spacing w:val="-2"/>
          <w:szCs w:val="19"/>
          <w:lang w:val="en-GB"/>
        </w:rPr>
        <w:t xml:space="preserve"> </w:t>
      </w:r>
      <w:r w:rsidR="005B46E9">
        <w:rPr>
          <w:noProof/>
          <w:spacing w:val="-2"/>
          <w:szCs w:val="19"/>
          <w:lang w:val="en-GB"/>
        </w:rPr>
        <w:t>– by 9.3%,</w:t>
      </w:r>
      <w:r w:rsidR="005B46E9" w:rsidRPr="005B46E9">
        <w:rPr>
          <w:noProof/>
          <w:spacing w:val="-2"/>
          <w:szCs w:val="19"/>
          <w:lang w:val="en-GB"/>
        </w:rPr>
        <w:t xml:space="preserve"> </w:t>
      </w:r>
      <w:r w:rsidR="005B46E9">
        <w:rPr>
          <w:noProof/>
          <w:spacing w:val="-2"/>
          <w:szCs w:val="19"/>
          <w:lang w:val="en-GB"/>
        </w:rPr>
        <w:t>m</w:t>
      </w:r>
      <w:r w:rsidR="005B46E9" w:rsidRPr="005A074C">
        <w:rPr>
          <w:noProof/>
          <w:spacing w:val="-2"/>
          <w:szCs w:val="19"/>
          <w:lang w:val="en-GB"/>
        </w:rPr>
        <w:t>anufacture of paper and paper products</w:t>
      </w:r>
      <w:r w:rsidR="005B46E9">
        <w:rPr>
          <w:noProof/>
          <w:spacing w:val="-2"/>
          <w:szCs w:val="19"/>
          <w:lang w:val="en-GB"/>
        </w:rPr>
        <w:t xml:space="preserve"> – by 6.7%.</w:t>
      </w:r>
    </w:p>
    <w:p w14:paraId="64053EB8" w14:textId="7DAC223F" w:rsidR="00BD1B7C" w:rsidRDefault="00BD1B7C" w:rsidP="00BD1B7C">
      <w:pPr>
        <w:spacing w:before="0" w:after="0"/>
        <w:rPr>
          <w:noProof/>
          <w:spacing w:val="-2"/>
          <w:szCs w:val="19"/>
          <w:lang w:val="en-GB"/>
        </w:rPr>
      </w:pP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3A63A4F3" w:rsidR="00E44A8F" w:rsidRPr="00680622" w:rsidRDefault="0072102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892736" behindDoc="0" locked="0" layoutInCell="1" allowOverlap="1" wp14:anchorId="7091FCFA" wp14:editId="032B3160">
            <wp:simplePos x="0" y="0"/>
            <wp:positionH relativeFrom="column">
              <wp:posOffset>-53340</wp:posOffset>
            </wp:positionH>
            <wp:positionV relativeFrom="paragraph">
              <wp:posOffset>220980</wp:posOffset>
            </wp:positionV>
            <wp:extent cx="5227320" cy="3802380"/>
            <wp:effectExtent l="0" t="0" r="0" b="7620"/>
            <wp:wrapSquare wrapText="bothSides"/>
            <wp:docPr id="8" name="Obraz 8" descr="Index numbers of sold production of industry by selected NACE divisions (constant prices; previous month =100) - January 2021, January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6DE7A19F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0E7F080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3527E2DD" w:rsidR="00E44A8F" w:rsidRDefault="00E44A8F" w:rsidP="00E01D2D">
      <w:pPr>
        <w:spacing w:before="0" w:after="0" w:line="240" w:lineRule="auto"/>
        <w:rPr>
          <w:szCs w:val="19"/>
        </w:rPr>
      </w:pPr>
    </w:p>
    <w:p w14:paraId="5636FA98" w14:textId="77777777" w:rsidR="00342001" w:rsidRDefault="00342001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ED86892" w:rsidR="00E44A8F" w:rsidRDefault="00E44A8F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4A1D19" w:rsidRDefault="00322975" w:rsidP="00D902C2">
            <w:pPr>
              <w:spacing w:before="0" w:after="0" w:line="276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lastRenderedPageBreak/>
              <w:t>Prepared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</w:p>
          <w:p w14:paraId="13D52173" w14:textId="48032792" w:rsidR="00322975" w:rsidRPr="008925F0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Enterprises </w:t>
            </w:r>
            <w:proofErr w:type="spellStart"/>
            <w:r w:rsidRPr="008925F0">
              <w:rPr>
                <w:rFonts w:cs="Arial"/>
                <w:b/>
                <w:color w:val="000000" w:themeColor="text1"/>
                <w:sz w:val="20"/>
              </w:rPr>
              <w:t>Department</w:t>
            </w:r>
            <w:proofErr w:type="spellEnd"/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4A1D19" w:rsidRDefault="00322975" w:rsidP="00D902C2">
            <w:pPr>
              <w:spacing w:before="0" w:line="276" w:lineRule="auto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Issued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The </w:t>
            </w:r>
            <w:proofErr w:type="spellStart"/>
            <w:r w:rsidRPr="006C197A">
              <w:rPr>
                <w:rFonts w:cs="Arial"/>
                <w:b/>
                <w:sz w:val="20"/>
              </w:rPr>
              <w:t>Spokesperson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for the </w:t>
            </w:r>
            <w:proofErr w:type="spellStart"/>
            <w:r w:rsidRPr="006C197A">
              <w:rPr>
                <w:rFonts w:cs="Arial"/>
                <w:b/>
                <w:sz w:val="20"/>
              </w:rPr>
              <w:t>President</w:t>
            </w:r>
            <w:proofErr w:type="spellEnd"/>
            <w:r>
              <w:rPr>
                <w:rFonts w:cs="Arial"/>
                <w:b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of </w:t>
            </w:r>
            <w:proofErr w:type="spellStart"/>
            <w:r w:rsidRPr="006C197A">
              <w:rPr>
                <w:rFonts w:cs="Arial"/>
                <w:b/>
                <w:sz w:val="20"/>
              </w:rPr>
              <w:t>Statistics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C91687" w:rsidRDefault="00322975" w:rsidP="00D902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Press Office</w:t>
            </w:r>
            <w:r w:rsidRPr="00C91687">
              <w:rPr>
                <w:b/>
                <w:sz w:val="20"/>
              </w:rPr>
              <w:t xml:space="preserve"> </w:t>
            </w:r>
          </w:p>
          <w:p w14:paraId="62B8915A" w14:textId="77777777" w:rsidR="00322975" w:rsidRPr="00C91687" w:rsidRDefault="00322975" w:rsidP="00D902C2">
            <w:pPr>
              <w:rPr>
                <w:sz w:val="20"/>
              </w:rPr>
            </w:pPr>
            <w:r>
              <w:rPr>
                <w:sz w:val="20"/>
              </w:rPr>
              <w:t>Phone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(+48 22) 608 38 04</w:t>
            </w:r>
            <w:r w:rsidRPr="00C91687">
              <w:rPr>
                <w:sz w:val="20"/>
              </w:rPr>
              <w:t xml:space="preserve">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F42C67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93CA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"https://stat.gov.pl/en/topics/other-studies/informations-on-socio-economic-situation/statistical-bulletin-no-122021,4,134.html"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1100A74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93CA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"https://stat.gov.pl/en/topics/other-studies/informations-on-socio-economic-situation/socio-economic-situation-of-the-country-in-2021,1,129.html"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323B2C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323B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323B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F42C67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93CA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"https://stat.gov.pl/en/topics/other-studies/informations-on-socio-economic-situation/statistical-bulletin-no-122021,4,134.html"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1100A74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93CA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"https://stat.gov.pl/en/topics/other-studies/informations-on-socio-economic-situation/socio-economic-situation-of-the-country-in-2021,1,129.html"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323B2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323B2C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323B2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323B2C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323B2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323B2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323B2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323B2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323B2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323B2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7F8EE" w14:textId="77777777" w:rsidR="00323B2C" w:rsidRDefault="00323B2C" w:rsidP="000662E2">
      <w:pPr>
        <w:spacing w:after="0" w:line="240" w:lineRule="auto"/>
      </w:pPr>
      <w:r>
        <w:separator/>
      </w:r>
    </w:p>
  </w:endnote>
  <w:endnote w:type="continuationSeparator" w:id="0">
    <w:p w14:paraId="667CDD1C" w14:textId="77777777" w:rsidR="00323B2C" w:rsidRDefault="00323B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ADFCE" w14:textId="77777777" w:rsidR="00323B2C" w:rsidRDefault="00323B2C" w:rsidP="000662E2">
      <w:pPr>
        <w:spacing w:after="0" w:line="240" w:lineRule="auto"/>
      </w:pPr>
      <w:r>
        <w:separator/>
      </w:r>
    </w:p>
  </w:footnote>
  <w:footnote w:type="continuationSeparator" w:id="0">
    <w:p w14:paraId="42BFE689" w14:textId="77777777" w:rsidR="00323B2C" w:rsidRDefault="00323B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7DCF3AC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E8F5605" w:rsidR="00637ED3" w:rsidRPr="00E66F2C" w:rsidRDefault="00E66F2C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8.02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V9UlL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5E8F5605" w:rsidR="00637ED3" w:rsidRPr="00E66F2C" w:rsidRDefault="00E66F2C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4E70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22B3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975"/>
    <w:rsid w:val="00322EDD"/>
    <w:rsid w:val="003231A1"/>
    <w:rsid w:val="00323B2C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C85"/>
    <w:rsid w:val="003F13A9"/>
    <w:rsid w:val="003F1512"/>
    <w:rsid w:val="003F36A3"/>
    <w:rsid w:val="003F4C97"/>
    <w:rsid w:val="003F53CA"/>
    <w:rsid w:val="003F60A7"/>
    <w:rsid w:val="003F68D3"/>
    <w:rsid w:val="003F7D35"/>
    <w:rsid w:val="003F7FE6"/>
    <w:rsid w:val="00400193"/>
    <w:rsid w:val="00400B65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0C59"/>
    <w:rsid w:val="006A1938"/>
    <w:rsid w:val="006A19B6"/>
    <w:rsid w:val="006A37E8"/>
    <w:rsid w:val="006A6B61"/>
    <w:rsid w:val="006A6DB6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CFB"/>
    <w:rsid w:val="00A33667"/>
    <w:rsid w:val="00A34C61"/>
    <w:rsid w:val="00A365F4"/>
    <w:rsid w:val="00A36A47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6DFC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3CA8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43C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FC75FA6-77F2-4C34-8AF9-52E7635A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2022-02-17T09:54:00Z</dcterms:created>
  <dcterms:modified xsi:type="dcterms:W3CDTF">2022-02-17T09:54:00Z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