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17347A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3CE05066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D92469">
        <w:rPr>
          <w:shd w:val="clear" w:color="auto" w:fill="FFFFFF"/>
          <w:lang w:val="en-GB"/>
        </w:rPr>
        <w:t>February</w:t>
      </w:r>
      <w:r w:rsidR="002C5475">
        <w:rPr>
          <w:shd w:val="clear" w:color="auto" w:fill="FFFFFF"/>
          <w:lang w:val="en-GB"/>
        </w:rPr>
        <w:t xml:space="preserve"> 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0C364C0E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9A92814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7.6%&#10;Increase in sold production of industry as compared to February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70775FE2" w:rsidR="00E66F2C" w:rsidRPr="007D605C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06E25">
                              <w:rPr>
                                <w:rStyle w:val="WartowskanikaZnak"/>
                              </w:rPr>
                              <w:t>1</w:t>
                            </w:r>
                            <w:r w:rsidR="00D92469">
                              <w:rPr>
                                <w:rStyle w:val="WartowskanikaZnak"/>
                              </w:rPr>
                              <w:t>7.6</w:t>
                            </w:r>
                            <w:r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4C20F358" w14:textId="16EE50B2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D92469"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7D605C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7.6%&#10;Increase in sold production of industry as compared to February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" fillcolor="#001d77" stroked="f">
                <v:stroke joinstyle="miter"/>
                <v:textbox>
                  <w:txbxContent>
                    <w:p w14:paraId="56629F65" w14:textId="70775FE2" w:rsidR="00E66F2C" w:rsidRPr="007D605C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06E25">
                        <w:rPr>
                          <w:rStyle w:val="WartowskanikaZnak"/>
                        </w:rPr>
                        <w:t>1</w:t>
                      </w:r>
                      <w:r w:rsidR="00D92469">
                        <w:rPr>
                          <w:rStyle w:val="WartowskanikaZnak"/>
                        </w:rPr>
                        <w:t>7.6</w:t>
                      </w:r>
                      <w:r>
                        <w:rPr>
                          <w:rStyle w:val="WartowskanikaZnak"/>
                        </w:rPr>
                        <w:t>%</w:t>
                      </w:r>
                    </w:p>
                    <w:p w14:paraId="4C20F358" w14:textId="16EE50B2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D92469">
                        <w:rPr>
                          <w:sz w:val="20"/>
                          <w:lang w:val="en-US"/>
                        </w:rPr>
                        <w:t>February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7D605C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1336D0">
        <w:rPr>
          <w:lang w:val="en-GB"/>
        </w:rPr>
        <w:t>February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51335D">
        <w:rPr>
          <w:lang w:val="en-GB"/>
        </w:rPr>
        <w:t>1</w:t>
      </w:r>
      <w:r w:rsidR="001336D0">
        <w:rPr>
          <w:lang w:val="en-GB"/>
        </w:rPr>
        <w:t>7.6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1336D0">
        <w:rPr>
          <w:lang w:val="en-GB"/>
        </w:rPr>
        <w:t>February</w:t>
      </w:r>
      <w:r w:rsidR="00A5369B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1336D0">
        <w:rPr>
          <w:spacing w:val="-2"/>
          <w:lang w:val="en-GB"/>
        </w:rPr>
        <w:t>2.5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1336D0">
        <w:rPr>
          <w:spacing w:val="-2"/>
          <w:lang w:val="en-GB"/>
        </w:rPr>
        <w:t>January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1336D0">
        <w:rPr>
          <w:spacing w:val="-2"/>
          <w:lang w:val="en-GB"/>
        </w:rPr>
        <w:t>in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53525A">
        <w:rPr>
          <w:spacing w:val="-2"/>
          <w:lang w:val="en-GB"/>
        </w:rPr>
        <w:t>3.</w:t>
      </w:r>
      <w:r w:rsidR="001336D0">
        <w:rPr>
          <w:spacing w:val="-2"/>
          <w:lang w:val="en-GB"/>
        </w:rPr>
        <w:t>6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1336D0">
        <w:rPr>
          <w:lang w:val="en-GB"/>
        </w:rPr>
        <w:t>February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>by 1</w:t>
      </w:r>
      <w:r w:rsidR="001336D0">
        <w:rPr>
          <w:lang w:val="en-GB"/>
        </w:rPr>
        <w:t>7.4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1336D0">
        <w:rPr>
          <w:lang w:val="en-GB"/>
        </w:rPr>
        <w:t>1.9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73D91776" w14:textId="75D1F428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8E64722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February 2022 amounted to 17.6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49992E7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1336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352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1336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7.6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February 2022 amounted to 17.6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" filled="f" stroked="f">
                <v:textbox>
                  <w:txbxContent>
                    <w:p w14:paraId="74E140B5" w14:textId="349992E7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1336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352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1336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7.6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11BE67A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1336D0">
        <w:rPr>
          <w:noProof/>
          <w:spacing w:val="-2"/>
          <w:szCs w:val="19"/>
          <w:lang w:val="en-GB"/>
        </w:rPr>
        <w:t>February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3525A">
        <w:rPr>
          <w:noProof/>
          <w:spacing w:val="-2"/>
          <w:szCs w:val="19"/>
          <w:lang w:val="en-GB"/>
        </w:rPr>
        <w:t>1</w:t>
      </w:r>
      <w:r w:rsidR="001336D0">
        <w:rPr>
          <w:noProof/>
          <w:spacing w:val="-2"/>
          <w:szCs w:val="19"/>
          <w:lang w:val="en-GB"/>
        </w:rPr>
        <w:t>7.6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1336D0">
        <w:rPr>
          <w:noProof/>
          <w:spacing w:val="-2"/>
          <w:szCs w:val="19"/>
          <w:lang w:val="en-GB"/>
        </w:rPr>
        <w:t>2.1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3525A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1336D0">
        <w:rPr>
          <w:noProof/>
          <w:spacing w:val="-2"/>
          <w:szCs w:val="19"/>
          <w:lang w:val="en-GB"/>
        </w:rPr>
        <w:t>January</w:t>
      </w:r>
      <w:r w:rsidR="002C5475">
        <w:rPr>
          <w:noProof/>
          <w:spacing w:val="-2"/>
          <w:szCs w:val="19"/>
          <w:lang w:val="en-GB"/>
        </w:rPr>
        <w:t xml:space="preserve"> 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612C4ADA" w:rsidR="003627E7" w:rsidRDefault="001336D0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893760" behindDoc="0" locked="0" layoutInCell="1" allowOverlap="1" wp14:anchorId="6B7496C1" wp14:editId="6D328D09">
            <wp:simplePos x="0" y="0"/>
            <wp:positionH relativeFrom="column">
              <wp:posOffset>-88900</wp:posOffset>
            </wp:positionH>
            <wp:positionV relativeFrom="paragraph">
              <wp:posOffset>349250</wp:posOffset>
            </wp:positionV>
            <wp:extent cx="5255260" cy="3023870"/>
            <wp:effectExtent l="0" t="0" r="2540" b="5080"/>
            <wp:wrapSquare wrapText="bothSides"/>
            <wp:docPr id="6" name="Obraz 6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687EBD2D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05D4455D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>February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</w:t>
      </w:r>
      <w:r w:rsidR="00911670">
        <w:rPr>
          <w:b w:val="0"/>
          <w:sz w:val="19"/>
          <w:szCs w:val="19"/>
          <w:shd w:val="clear" w:color="auto" w:fill="FFFFFF"/>
          <w:lang w:val="en-GB"/>
        </w:rPr>
        <w:t>2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all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3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>2.7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.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93D4E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F93D4E" w:rsidRPr="00E2764C">
        <w:rPr>
          <w:b w:val="0"/>
          <w:sz w:val="19"/>
          <w:szCs w:val="19"/>
          <w:lang w:val="en-GB"/>
        </w:rPr>
        <w:t xml:space="preserve">was </w:t>
      </w:r>
      <w:r w:rsidR="00F93D4E" w:rsidRPr="004D23D2">
        <w:rPr>
          <w:b w:val="0"/>
          <w:sz w:val="19"/>
          <w:szCs w:val="19"/>
          <w:lang w:val="en-GB"/>
        </w:rPr>
        <w:t xml:space="preserve">observed </w:t>
      </w:r>
      <w:r w:rsidR="00A5369B" w:rsidRPr="004D23D2">
        <w:rPr>
          <w:b w:val="0"/>
          <w:sz w:val="19"/>
          <w:szCs w:val="19"/>
          <w:lang w:val="en-GB"/>
        </w:rPr>
        <w:t>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1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9.0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1336D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1336D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>13.8</w:t>
      </w:r>
      <w:r w:rsidR="001336D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53525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3525A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1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>1.6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6B5C9A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B5C9A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>9.9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%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.</w:t>
      </w:r>
      <w:r w:rsidR="006B5C9A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5C1F936B" w:rsidR="00FB1C70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67644F" w14:textId="6AF8C5CF" w:rsidR="00EF56DF" w:rsidRDefault="00EF56D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4C9931A" w14:textId="77777777" w:rsidR="00911670" w:rsidRPr="000C2AC9" w:rsidRDefault="009116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1CEBC92C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489"/>
        <w:gridCol w:w="1339"/>
        <w:gridCol w:w="1275"/>
        <w:gridCol w:w="1560"/>
        <w:gridCol w:w="1417"/>
      </w:tblGrid>
      <w:tr w:rsidR="00937AEA" w:rsidRPr="00C52703" w14:paraId="634E8DE8" w14:textId="77777777" w:rsidTr="00D32319">
        <w:trPr>
          <w:trHeight w:val="113"/>
        </w:trPr>
        <w:tc>
          <w:tcPr>
            <w:tcW w:w="2489" w:type="dxa"/>
            <w:vMerge w:val="restart"/>
            <w:vAlign w:val="center"/>
          </w:tcPr>
          <w:p w14:paraId="6F858582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705FCEAD" w14:textId="7D7F3DA0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02 2022</w:t>
            </w:r>
          </w:p>
        </w:tc>
        <w:tc>
          <w:tcPr>
            <w:tcW w:w="1417" w:type="dxa"/>
          </w:tcPr>
          <w:p w14:paraId="2688A5D4" w14:textId="5582367F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01-02 202</w:t>
            </w:r>
            <w:r w:rsidR="00B256D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937AEA" w:rsidRPr="00C52703" w14:paraId="1EAEFF5F" w14:textId="77777777" w:rsidTr="00D32319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57A6D997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36F66DAB" w14:textId="2C304AC0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01 2022=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26D9FD9B" w14:textId="6F9A0A70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02 2021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3E2FDE6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06332B30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740C809D" w14:textId="354E70B1" w:rsidR="00937AEA" w:rsidRPr="00C43A96" w:rsidRDefault="00937AEA" w:rsidP="00D32319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01-02 2021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937AEA" w:rsidRPr="00C52703" w14:paraId="58394D16" w14:textId="77777777" w:rsidTr="00D32319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3A87AE90" w14:textId="77777777" w:rsidR="00937AEA" w:rsidRPr="00C52703" w:rsidRDefault="00937AEA" w:rsidP="00D32319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024095FF" w14:textId="76CDB3B7" w:rsidR="00937AEA" w:rsidRPr="009D4C87" w:rsidRDefault="00201DA0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103.6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02C6F649" w14:textId="42030FD1" w:rsidR="00937AEA" w:rsidRPr="009D4C87" w:rsidRDefault="00201DA0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117.6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25E30D2A" w14:textId="6556E6A1" w:rsidR="00937AEA" w:rsidRPr="00DD58F4" w:rsidRDefault="00201DA0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146.6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27CC90A" w14:textId="23834FDD" w:rsidR="00937AEA" w:rsidRPr="009D4C87" w:rsidRDefault="00201DA0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117.4</w:t>
            </w:r>
          </w:p>
        </w:tc>
      </w:tr>
      <w:tr w:rsidR="00937AEA" w:rsidRPr="001D6A44" w14:paraId="5C414E19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94F37A2" w14:textId="77777777" w:rsidR="00937AEA" w:rsidRPr="00C52703" w:rsidRDefault="00937AEA" w:rsidP="00D32319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5F16183E" w14:textId="75870B59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  <w:tc>
          <w:tcPr>
            <w:tcW w:w="1275" w:type="dxa"/>
            <w:vAlign w:val="center"/>
          </w:tcPr>
          <w:p w14:paraId="6DACECEB" w14:textId="62367279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119.6</w:t>
            </w:r>
          </w:p>
        </w:tc>
        <w:tc>
          <w:tcPr>
            <w:tcW w:w="1560" w:type="dxa"/>
            <w:vAlign w:val="center"/>
          </w:tcPr>
          <w:p w14:paraId="1E09F0E1" w14:textId="1D579F33" w:rsidR="00937AEA" w:rsidRPr="00DD58F4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89.6</w:t>
            </w:r>
          </w:p>
        </w:tc>
        <w:tc>
          <w:tcPr>
            <w:tcW w:w="1417" w:type="dxa"/>
            <w:vAlign w:val="center"/>
          </w:tcPr>
          <w:p w14:paraId="7E6AA4CD" w14:textId="549B51B4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126.0</w:t>
            </w:r>
          </w:p>
        </w:tc>
      </w:tr>
      <w:tr w:rsidR="00937AEA" w:rsidRPr="001D6A44" w14:paraId="21B7DDE4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505DF836" w14:textId="77777777" w:rsidR="00937AEA" w:rsidRPr="00C52703" w:rsidRDefault="00937AEA" w:rsidP="00D32319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4008155F" w14:textId="3F8D298D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</w:t>
            </w:r>
          </w:p>
        </w:tc>
        <w:tc>
          <w:tcPr>
            <w:tcW w:w="1275" w:type="dxa"/>
            <w:vAlign w:val="center"/>
          </w:tcPr>
          <w:p w14:paraId="1128AA9E" w14:textId="0C43986F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115.8</w:t>
            </w:r>
          </w:p>
        </w:tc>
        <w:tc>
          <w:tcPr>
            <w:tcW w:w="1560" w:type="dxa"/>
            <w:vAlign w:val="center"/>
          </w:tcPr>
          <w:p w14:paraId="60261F5A" w14:textId="0B284761" w:rsidR="00937AEA" w:rsidRPr="00DD58F4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146.1</w:t>
            </w:r>
          </w:p>
        </w:tc>
        <w:tc>
          <w:tcPr>
            <w:tcW w:w="1417" w:type="dxa"/>
            <w:vAlign w:val="center"/>
          </w:tcPr>
          <w:p w14:paraId="318DA320" w14:textId="5EDB6331" w:rsidR="00937AEA" w:rsidRPr="009D4C87" w:rsidRDefault="00201DA0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115.4</w:t>
            </w:r>
          </w:p>
        </w:tc>
      </w:tr>
      <w:tr w:rsidR="00937AEA" w:rsidRPr="00D22ECE" w14:paraId="37B7D1B5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5C83072" w14:textId="77777777" w:rsidR="00937AEA" w:rsidRPr="00C52703" w:rsidRDefault="00937AEA" w:rsidP="00D32319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BF75D3C" w14:textId="77777777" w:rsidR="00937AEA" w:rsidRPr="00C52703" w:rsidRDefault="00937AEA" w:rsidP="00D32319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2BC075C7" w14:textId="7EDFF50D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  <w:tc>
          <w:tcPr>
            <w:tcW w:w="1275" w:type="dxa"/>
            <w:vAlign w:val="center"/>
          </w:tcPr>
          <w:p w14:paraId="117328DD" w14:textId="395752FD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137.7</w:t>
            </w:r>
          </w:p>
        </w:tc>
        <w:tc>
          <w:tcPr>
            <w:tcW w:w="1560" w:type="dxa"/>
            <w:vAlign w:val="center"/>
          </w:tcPr>
          <w:p w14:paraId="09F36A66" w14:textId="32722FA4" w:rsidR="00937AEA" w:rsidRPr="00DD58F4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182.1</w:t>
            </w:r>
          </w:p>
        </w:tc>
        <w:tc>
          <w:tcPr>
            <w:tcW w:w="1417" w:type="dxa"/>
            <w:vAlign w:val="center"/>
          </w:tcPr>
          <w:p w14:paraId="5A4582CD" w14:textId="70F6D1D3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136.5</w:t>
            </w:r>
          </w:p>
        </w:tc>
      </w:tr>
      <w:tr w:rsidR="00937AEA" w:rsidRPr="00A20FD5" w14:paraId="1EF94421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1F4E16D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4A78CFD0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7C947C4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FD2DE95" w14:textId="45738AF2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1275" w:type="dxa"/>
            <w:vAlign w:val="center"/>
          </w:tcPr>
          <w:p w14:paraId="77B1AC54" w14:textId="00427376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1560" w:type="dxa"/>
            <w:vAlign w:val="center"/>
          </w:tcPr>
          <w:p w14:paraId="762D072D" w14:textId="47438419" w:rsidR="00937AEA" w:rsidRPr="00DD58F4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138.6</w:t>
            </w:r>
          </w:p>
        </w:tc>
        <w:tc>
          <w:tcPr>
            <w:tcW w:w="1417" w:type="dxa"/>
            <w:vAlign w:val="center"/>
          </w:tcPr>
          <w:p w14:paraId="38794282" w14:textId="20BAF9E3" w:rsidR="00937AEA" w:rsidRPr="009D4C87" w:rsidRDefault="00201DA0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109.3</w:t>
            </w:r>
          </w:p>
        </w:tc>
      </w:tr>
    </w:tbl>
    <w:p w14:paraId="6E3C5957" w14:textId="692EC195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37A1CCE3" w14:textId="09165C3F" w:rsidR="00201DA0" w:rsidRDefault="003627E7" w:rsidP="00201DA0">
      <w:pPr>
        <w:spacing w:before="60" w:after="0"/>
        <w:rPr>
          <w:sz w:val="16"/>
          <w:szCs w:val="16"/>
          <w:lang w:val="en-GB"/>
        </w:rPr>
      </w:pP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="00201DA0">
        <w:rPr>
          <w:sz w:val="16"/>
          <w:szCs w:val="16"/>
          <w:vertAlign w:val="superscript"/>
          <w:lang w:val="en-GB"/>
        </w:rPr>
        <w:t>a</w:t>
      </w:r>
      <w:r w:rsidR="00201DA0" w:rsidRPr="006107B6">
        <w:rPr>
          <w:sz w:val="16"/>
          <w:szCs w:val="16"/>
          <w:vertAlign w:val="superscript"/>
          <w:lang w:val="en-GB"/>
        </w:rPr>
        <w:t>)</w:t>
      </w:r>
      <w:r w:rsidR="00201DA0">
        <w:rPr>
          <w:sz w:val="16"/>
          <w:szCs w:val="16"/>
          <w:lang w:val="en-GB"/>
        </w:rPr>
        <w:t xml:space="preserve"> </w:t>
      </w:r>
      <w:r w:rsidR="00201DA0" w:rsidRPr="006107B6">
        <w:rPr>
          <w:sz w:val="16"/>
          <w:szCs w:val="16"/>
          <w:lang w:val="en-GB"/>
        </w:rPr>
        <w:t>Data including final information on production and prices in</w:t>
      </w:r>
      <w:r w:rsidR="00201DA0">
        <w:rPr>
          <w:sz w:val="16"/>
          <w:szCs w:val="16"/>
          <w:lang w:val="en-GB"/>
        </w:rPr>
        <w:t xml:space="preserve"> </w:t>
      </w:r>
      <w:r w:rsidR="00AD2C35">
        <w:rPr>
          <w:sz w:val="16"/>
          <w:szCs w:val="16"/>
          <w:lang w:val="en-GB"/>
        </w:rPr>
        <w:t>January</w:t>
      </w:r>
      <w:r w:rsidR="00201DA0">
        <w:rPr>
          <w:sz w:val="16"/>
          <w:szCs w:val="16"/>
          <w:lang w:val="en-GB"/>
        </w:rPr>
        <w:t xml:space="preserve"> and reported data – in</w:t>
      </w:r>
      <w:r w:rsidR="00AD2C35">
        <w:rPr>
          <w:sz w:val="16"/>
          <w:szCs w:val="16"/>
          <w:lang w:val="en-GB"/>
        </w:rPr>
        <w:t xml:space="preserve"> February</w:t>
      </w:r>
      <w:r w:rsidR="00201DA0">
        <w:rPr>
          <w:sz w:val="16"/>
          <w:szCs w:val="16"/>
          <w:lang w:val="en-GB"/>
        </w:rPr>
        <w:t>.</w:t>
      </w:r>
    </w:p>
    <w:p w14:paraId="52E735D6" w14:textId="39DD8AD2" w:rsidR="003627E7" w:rsidRPr="007B4306" w:rsidRDefault="00395366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5CAD1686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February 2021, stood at 94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51B86DFB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D2C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AD2C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February 2021, stood at 94.3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" filled="f" stroked="f">
                <v:textbox>
                  <w:txbxContent>
                    <w:p w14:paraId="5F2B646E" w14:textId="51B86DFB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D2C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AD2C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079A4FE" w14:textId="0524D2D9" w:rsidR="003F5F97" w:rsidRDefault="00BB33B9" w:rsidP="00BD1B7C">
      <w:pPr>
        <w:spacing w:before="0" w:after="0"/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3F5F97">
        <w:rPr>
          <w:noProof/>
          <w:spacing w:val="-2"/>
          <w:szCs w:val="19"/>
          <w:lang w:val="en-GB"/>
        </w:rPr>
        <w:t>Feabruary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3F5F97">
        <w:rPr>
          <w:noProof/>
          <w:spacing w:val="-2"/>
          <w:szCs w:val="19"/>
          <w:lang w:val="en-GB"/>
        </w:rPr>
        <w:t>February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3F5F97">
        <w:rPr>
          <w:noProof/>
          <w:spacing w:val="-2"/>
          <w:szCs w:val="19"/>
          <w:lang w:val="en-GB"/>
        </w:rPr>
        <w:t>29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>
        <w:t xml:space="preserve"> </w:t>
      </w:r>
      <w:r w:rsidR="003F5F97">
        <w:t xml:space="preserve">in </w:t>
      </w:r>
      <w:r w:rsidR="003F5F97">
        <w:rPr>
          <w:noProof/>
          <w:spacing w:val="-2"/>
          <w:szCs w:val="19"/>
          <w:lang w:val="en-GB"/>
        </w:rPr>
        <w:t>r</w:t>
      </w:r>
      <w:r w:rsidR="003F5F97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3F5F97">
        <w:rPr>
          <w:noProof/>
          <w:spacing w:val="-2"/>
          <w:szCs w:val="19"/>
          <w:lang w:val="en-GB"/>
        </w:rPr>
        <w:t xml:space="preserve"> – by 60.0%,</w:t>
      </w:r>
    </w:p>
    <w:p w14:paraId="6B1F6E3B" w14:textId="45546D9F" w:rsidR="003F5F97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  <w:r>
        <w:t xml:space="preserve">in </w:t>
      </w:r>
      <w:proofErr w:type="spellStart"/>
      <w:r>
        <w:t>m</w:t>
      </w:r>
      <w:r w:rsidRPr="00BD1B7C">
        <w:t>ining</w:t>
      </w:r>
      <w:proofErr w:type="spellEnd"/>
      <w:r w:rsidRPr="00BD1B7C">
        <w:t xml:space="preserve"> of </w:t>
      </w:r>
      <w:proofErr w:type="spellStart"/>
      <w:r w:rsidRPr="00BD1B7C">
        <w:t>coal</w:t>
      </w:r>
      <w:proofErr w:type="spellEnd"/>
      <w:r w:rsidRPr="00BD1B7C">
        <w:t xml:space="preserve"> and </w:t>
      </w:r>
      <w:proofErr w:type="spellStart"/>
      <w:r w:rsidRPr="00BD1B7C">
        <w:t>lignite</w:t>
      </w:r>
      <w:proofErr w:type="spellEnd"/>
      <w:r>
        <w:t xml:space="preserve"> – by 34.</w:t>
      </w:r>
      <w:r w:rsidR="003F5F97">
        <w:t>3</w:t>
      </w:r>
      <w:r>
        <w:t>%,</w:t>
      </w:r>
      <w:r w:rsidR="003F5F97">
        <w:t xml:space="preserve"> in</w:t>
      </w:r>
      <w:r w:rsidRPr="00BD1B7C">
        <w:t xml:space="preserve">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8C2E1C">
        <w:rPr>
          <w:noProof/>
          <w:spacing w:val="-2"/>
          <w:szCs w:val="19"/>
          <w:lang w:val="en-GB"/>
        </w:rPr>
        <w:t xml:space="preserve">anufacture of </w:t>
      </w:r>
      <w:r w:rsidR="003F5F97">
        <w:rPr>
          <w:noProof/>
          <w:spacing w:val="-2"/>
          <w:szCs w:val="19"/>
          <w:lang w:val="en-GB"/>
        </w:rPr>
        <w:t xml:space="preserve">basic </w:t>
      </w:r>
      <w:r w:rsidR="003F5F97" w:rsidRPr="008C2E1C">
        <w:rPr>
          <w:noProof/>
          <w:spacing w:val="-2"/>
          <w:szCs w:val="19"/>
          <w:lang w:val="en-GB"/>
        </w:rPr>
        <w:t>metal</w:t>
      </w:r>
      <w:r w:rsidR="003F5F97">
        <w:rPr>
          <w:noProof/>
          <w:spacing w:val="-2"/>
          <w:szCs w:val="19"/>
          <w:lang w:val="en-GB"/>
        </w:rPr>
        <w:t>s</w:t>
      </w:r>
      <w:r w:rsidR="003F5F97" w:rsidRPr="004E532C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zCs w:val="19"/>
          <w:lang w:val="en-GB"/>
        </w:rPr>
        <w:t>– by 33.5%</w:t>
      </w:r>
      <w:r w:rsidR="003F5F97">
        <w:t>,</w:t>
      </w:r>
      <w:r w:rsidR="003F5F97" w:rsidRPr="003F5F97">
        <w:t xml:space="preserve"> </w:t>
      </w:r>
      <w:proofErr w:type="spellStart"/>
      <w:r w:rsidR="003F5F97">
        <w:t>m</w:t>
      </w:r>
      <w:r w:rsidR="003F5F97" w:rsidRPr="00BD1B7C">
        <w:t>anufacture</w:t>
      </w:r>
      <w:proofErr w:type="spellEnd"/>
      <w:r w:rsidR="003F5F97" w:rsidRPr="00BD1B7C">
        <w:t xml:space="preserve"> of </w:t>
      </w:r>
      <w:proofErr w:type="spellStart"/>
      <w:r w:rsidR="003F5F97" w:rsidRPr="00BD1B7C">
        <w:t>computer</w:t>
      </w:r>
      <w:proofErr w:type="spellEnd"/>
      <w:r w:rsidR="003F5F97" w:rsidRPr="00BD1B7C">
        <w:t xml:space="preserve">, </w:t>
      </w:r>
      <w:proofErr w:type="spellStart"/>
      <w:r w:rsidR="003F5F97" w:rsidRPr="00BD1B7C">
        <w:t>electronic</w:t>
      </w:r>
      <w:proofErr w:type="spellEnd"/>
      <w:r w:rsidR="003F5F97" w:rsidRPr="00BD1B7C">
        <w:t xml:space="preserve"> and </w:t>
      </w:r>
      <w:proofErr w:type="spellStart"/>
      <w:r w:rsidR="003F5F97" w:rsidRPr="00BD1B7C">
        <w:t>optical</w:t>
      </w:r>
      <w:proofErr w:type="spellEnd"/>
      <w:r w:rsidR="003F5F97" w:rsidRPr="00BD1B7C">
        <w:t xml:space="preserve"> products</w:t>
      </w:r>
      <w:r w:rsidR="003F5F97">
        <w:t xml:space="preserve"> – by 32.9%,</w:t>
      </w:r>
      <w:r w:rsidR="003F5F97" w:rsidRPr="003F5F97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3F5F97">
        <w:t xml:space="preserve">– by 27.3%, </w:t>
      </w: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 xml:space="preserve">anufacture of </w:t>
      </w:r>
      <w:r>
        <w:rPr>
          <w:noProof/>
          <w:spacing w:val="-2"/>
          <w:szCs w:val="19"/>
          <w:lang w:val="en-GB"/>
        </w:rPr>
        <w:t>c</w:t>
      </w:r>
      <w:r w:rsidRPr="00B067A6">
        <w:rPr>
          <w:noProof/>
          <w:spacing w:val="-2"/>
          <w:szCs w:val="19"/>
          <w:lang w:val="en-GB"/>
        </w:rPr>
        <w:t>hemicals and chemical products</w:t>
      </w:r>
      <w:r w:rsidRPr="00615DB7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– by </w:t>
      </w:r>
      <w:r w:rsidR="003F5F97">
        <w:rPr>
          <w:noProof/>
          <w:spacing w:val="-2"/>
          <w:szCs w:val="19"/>
          <w:lang w:val="en-GB"/>
        </w:rPr>
        <w:t>26.4</w:t>
      </w:r>
      <w:r>
        <w:rPr>
          <w:noProof/>
          <w:spacing w:val="-2"/>
          <w:szCs w:val="19"/>
          <w:lang w:val="en-GB"/>
        </w:rPr>
        <w:t xml:space="preserve">%, </w:t>
      </w:r>
      <w:r w:rsidR="003F5F97">
        <w:rPr>
          <w:noProof/>
          <w:szCs w:val="19"/>
          <w:lang w:val="en-GB"/>
        </w:rPr>
        <w:t>m</w:t>
      </w:r>
      <w:r w:rsidR="003F5F97" w:rsidRPr="00D649F4">
        <w:rPr>
          <w:noProof/>
          <w:szCs w:val="19"/>
          <w:lang w:val="en-GB"/>
        </w:rPr>
        <w:t>anufacture of coke and refined petroleum products</w:t>
      </w:r>
      <w:r w:rsidR="003F5F97">
        <w:rPr>
          <w:noProof/>
          <w:szCs w:val="19"/>
          <w:lang w:val="en-GB"/>
        </w:rPr>
        <w:t xml:space="preserve"> – by 24.6%,</w:t>
      </w:r>
      <w:r w:rsidR="003F5F97" w:rsidRPr="003F5F97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3F5F97">
        <w:rPr>
          <w:noProof/>
          <w:spacing w:val="-2"/>
          <w:szCs w:val="19"/>
          <w:lang w:val="en-GB"/>
        </w:rPr>
        <w:t xml:space="preserve"> – by 24.2%,</w:t>
      </w:r>
      <w:r w:rsidR="003F5F97" w:rsidRPr="003F5F97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8C2E1C">
        <w:rPr>
          <w:noProof/>
          <w:spacing w:val="-2"/>
          <w:szCs w:val="19"/>
          <w:lang w:val="en-GB"/>
        </w:rPr>
        <w:t>anufacture of metal products</w:t>
      </w:r>
      <w:r w:rsidR="003F5F97" w:rsidRPr="004E532C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zCs w:val="19"/>
          <w:lang w:val="en-GB"/>
        </w:rPr>
        <w:t>– by 21.6%.</w:t>
      </w:r>
    </w:p>
    <w:p w14:paraId="7FE1C60A" w14:textId="529D37DE" w:rsidR="003F5F97" w:rsidRDefault="00AD2C35" w:rsidP="003F5F97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3F5F97">
        <w:rPr>
          <w:noProof/>
          <w:szCs w:val="19"/>
          <w:lang w:val="en-GB"/>
        </w:rPr>
        <w:t>February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3F5F97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 including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3F5F97" w:rsidRPr="009D61BA">
        <w:rPr>
          <w:noProof/>
          <w:szCs w:val="19"/>
          <w:lang w:val="en-GB"/>
        </w:rPr>
        <w:t>manufacture of electrical equipment</w:t>
      </w:r>
      <w:r w:rsidR="003F5F97">
        <w:rPr>
          <w:noProof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– by 4.0%.</w:t>
      </w:r>
      <w:r w:rsidR="003F5F97" w:rsidRPr="00F70B19">
        <w:rPr>
          <w:noProof/>
          <w:spacing w:val="-2"/>
          <w:szCs w:val="19"/>
          <w:lang w:val="en-GB"/>
        </w:rPr>
        <w:t xml:space="preserve"> </w:t>
      </w:r>
    </w:p>
    <w:p w14:paraId="5855A0A2" w14:textId="44A6A202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2B0CBC0C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4B3A71B1" w14:textId="0AEE6B66" w:rsidR="00721027" w:rsidRPr="00395366" w:rsidRDefault="00395366" w:rsidP="006C4724">
      <w:pPr>
        <w:spacing w:before="0" w:after="0"/>
        <w:rPr>
          <w:noProof/>
          <w:lang w:eastAsia="pl-PL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894784" behindDoc="0" locked="0" layoutInCell="1" allowOverlap="1" wp14:anchorId="584D0FD1" wp14:editId="22378FC1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5017135" cy="3855720"/>
            <wp:effectExtent l="0" t="0" r="0" b="0"/>
            <wp:wrapSquare wrapText="bothSides"/>
            <wp:docPr id="9" name="Obraz 9" descr="Index numbers of sold production of industry by selected NACE divisions (constant prices; previous year =100) - February 2021, Febru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8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26BE9A17" w14:textId="08F1A5FD" w:rsidR="00A01803" w:rsidRPr="00A01803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01803">
        <w:rPr>
          <w:szCs w:val="19"/>
          <w:lang w:val="en-GB"/>
        </w:rPr>
        <w:t>January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A01803">
        <w:rPr>
          <w:szCs w:val="19"/>
          <w:lang w:val="en-GB"/>
        </w:rPr>
        <w:t>n</w:t>
      </w:r>
      <w:r w:rsidR="00234F38">
        <w:rPr>
          <w:szCs w:val="19"/>
          <w:lang w:val="en-GB"/>
        </w:rPr>
        <w:t xml:space="preserve"> </w:t>
      </w:r>
      <w:r w:rsidR="00A01803">
        <w:rPr>
          <w:szCs w:val="19"/>
          <w:lang w:val="en-GB"/>
        </w:rPr>
        <w:t>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01803">
        <w:rPr>
          <w:szCs w:val="19"/>
          <w:lang w:val="en-GB"/>
        </w:rPr>
        <w:t>February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AA6DFC">
        <w:rPr>
          <w:szCs w:val="19"/>
          <w:lang w:val="en-GB"/>
        </w:rPr>
        <w:t>2</w:t>
      </w:r>
      <w:r w:rsidR="00A01803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A01803">
        <w:t xml:space="preserve"> </w:t>
      </w:r>
      <w:r w:rsidR="00A01803">
        <w:t xml:space="preserve">in </w:t>
      </w:r>
      <w:r w:rsidR="00A01803">
        <w:rPr>
          <w:noProof/>
          <w:spacing w:val="-2"/>
          <w:szCs w:val="19"/>
          <w:lang w:val="en-GB"/>
        </w:rPr>
        <w:t>r</w:t>
      </w:r>
      <w:r w:rsidR="00A01803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01803">
        <w:rPr>
          <w:noProof/>
          <w:spacing w:val="-2"/>
          <w:szCs w:val="19"/>
          <w:lang w:val="en-GB"/>
        </w:rPr>
        <w:t xml:space="preserve"> – by 25.9%,</w:t>
      </w:r>
      <w:r w:rsidR="008B1F26" w:rsidRPr="008B1F26">
        <w:rPr>
          <w:noProof/>
          <w:szCs w:val="19"/>
          <w:lang w:val="en-GB"/>
        </w:rPr>
        <w:t xml:space="preserve"> </w:t>
      </w:r>
      <w:bookmarkEnd w:id="1"/>
      <w:r w:rsidR="00A01803">
        <w:rPr>
          <w:noProof/>
          <w:szCs w:val="19"/>
          <w:lang w:val="en-GB"/>
        </w:rPr>
        <w:t xml:space="preserve">in </w:t>
      </w:r>
      <w:r w:rsidR="00A01803" w:rsidRPr="009D61BA">
        <w:rPr>
          <w:noProof/>
          <w:szCs w:val="19"/>
          <w:lang w:val="en-GB"/>
        </w:rPr>
        <w:t xml:space="preserve">manufacture of </w:t>
      </w:r>
      <w:r w:rsidR="00A01803" w:rsidRPr="00082002">
        <w:rPr>
          <w:noProof/>
          <w:spacing w:val="-2"/>
          <w:szCs w:val="19"/>
          <w:lang w:val="en-GB"/>
        </w:rPr>
        <w:t>machinery and equipment</w:t>
      </w:r>
      <w:r w:rsidR="00A01803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>– by 10.3%,</w:t>
      </w:r>
      <w:r w:rsidR="00A01803" w:rsidRPr="00A01803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pacing w:val="-2"/>
          <w:szCs w:val="19"/>
          <w:lang w:val="en-GB"/>
        </w:rPr>
        <w:t>m</w:t>
      </w:r>
      <w:r w:rsidR="00A01803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A01803">
        <w:rPr>
          <w:noProof/>
          <w:spacing w:val="-2"/>
          <w:szCs w:val="19"/>
          <w:lang w:val="en-GB"/>
        </w:rPr>
        <w:t xml:space="preserve"> </w:t>
      </w:r>
      <w:r w:rsidR="00A01803">
        <w:t>– by 9.5%,</w:t>
      </w:r>
      <w:r w:rsidR="00A01803" w:rsidRPr="00A01803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pacing w:val="-2"/>
          <w:szCs w:val="19"/>
          <w:lang w:val="en-GB"/>
        </w:rPr>
        <w:t>m</w:t>
      </w:r>
      <w:r w:rsidR="00A01803" w:rsidRPr="008C2E1C">
        <w:rPr>
          <w:noProof/>
          <w:spacing w:val="-2"/>
          <w:szCs w:val="19"/>
          <w:lang w:val="en-GB"/>
        </w:rPr>
        <w:t>anufacture of metal products</w:t>
      </w:r>
      <w:r w:rsidR="00A01803" w:rsidRPr="004E532C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 xml:space="preserve">– by </w:t>
      </w:r>
      <w:r w:rsidR="00AD0BB5">
        <w:rPr>
          <w:noProof/>
          <w:szCs w:val="19"/>
          <w:lang w:val="en-GB"/>
        </w:rPr>
        <w:t>9.0</w:t>
      </w:r>
      <w:r w:rsidR="00A01803">
        <w:rPr>
          <w:noProof/>
          <w:szCs w:val="19"/>
          <w:lang w:val="en-GB"/>
        </w:rPr>
        <w:t>%,</w:t>
      </w:r>
      <w:r w:rsidR="00A01803" w:rsidRPr="00A01803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pacing w:val="-2"/>
          <w:szCs w:val="19"/>
          <w:lang w:val="en-GB"/>
        </w:rPr>
        <w:t>m</w:t>
      </w:r>
      <w:r w:rsidR="00A01803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01803">
        <w:rPr>
          <w:noProof/>
          <w:spacing w:val="-2"/>
          <w:szCs w:val="19"/>
          <w:lang w:val="en-GB"/>
        </w:rPr>
        <w:t xml:space="preserve"> – by 8.8%,</w:t>
      </w:r>
      <w:r w:rsidR="00A01803" w:rsidRPr="00A01803">
        <w:rPr>
          <w:noProof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>m</w:t>
      </w:r>
      <w:r w:rsidR="00A01803" w:rsidRPr="00D649F4">
        <w:rPr>
          <w:noProof/>
          <w:szCs w:val="19"/>
          <w:lang w:val="en-GB"/>
        </w:rPr>
        <w:t>anufacture of electrical equipment</w:t>
      </w:r>
      <w:r w:rsidR="00A01803">
        <w:rPr>
          <w:noProof/>
          <w:szCs w:val="19"/>
          <w:lang w:val="en-GB"/>
        </w:rPr>
        <w:t xml:space="preserve"> – by 6.5%,</w:t>
      </w:r>
      <w:r w:rsidR="00A01803" w:rsidRPr="00A01803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pacing w:val="-2"/>
          <w:szCs w:val="19"/>
          <w:lang w:val="en-GB"/>
        </w:rPr>
        <w:t>m</w:t>
      </w:r>
      <w:r w:rsidR="00A01803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01803">
        <w:rPr>
          <w:noProof/>
          <w:spacing w:val="-2"/>
          <w:szCs w:val="19"/>
          <w:lang w:val="en-GB"/>
        </w:rPr>
        <w:t xml:space="preserve"> – by 6.1%.</w:t>
      </w:r>
    </w:p>
    <w:p w14:paraId="75016C34" w14:textId="71F18E7E" w:rsidR="00D649F4" w:rsidRPr="00A01803" w:rsidRDefault="00256334" w:rsidP="00D649F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234F38">
        <w:rPr>
          <w:noProof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>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A01803">
        <w:rPr>
          <w:noProof/>
          <w:szCs w:val="19"/>
          <w:lang w:val="en-GB"/>
        </w:rPr>
        <w:t>January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8B1F26">
        <w:rPr>
          <w:noProof/>
          <w:szCs w:val="19"/>
          <w:lang w:val="en-GB"/>
        </w:rPr>
        <w:t>1</w:t>
      </w:r>
      <w:r w:rsidR="00A01803">
        <w:rPr>
          <w:noProof/>
          <w:szCs w:val="19"/>
          <w:lang w:val="en-GB"/>
        </w:rPr>
        <w:t>0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bookmarkStart w:id="2" w:name="_Hlk95901314"/>
      <w:r w:rsidR="00A01803">
        <w:rPr>
          <w:noProof/>
          <w:spacing w:val="-2"/>
          <w:szCs w:val="19"/>
          <w:lang w:val="en-GB"/>
        </w:rPr>
        <w:t>in e</w:t>
      </w:r>
      <w:r w:rsidR="00A01803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A01803">
        <w:rPr>
          <w:noProof/>
          <w:spacing w:val="-2"/>
          <w:szCs w:val="19"/>
          <w:lang w:val="en-GB"/>
        </w:rPr>
        <w:t xml:space="preserve"> – by 5.1%,</w:t>
      </w:r>
      <w:r w:rsidR="00A01803" w:rsidRPr="00F70B19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pacing w:val="-2"/>
          <w:szCs w:val="19"/>
          <w:lang w:val="en-GB"/>
        </w:rPr>
        <w:t>in m</w:t>
      </w:r>
      <w:r w:rsidR="00A01803" w:rsidRPr="005A074C">
        <w:rPr>
          <w:noProof/>
          <w:spacing w:val="-2"/>
          <w:szCs w:val="19"/>
          <w:lang w:val="en-GB"/>
        </w:rPr>
        <w:t>anufacture of paper and paper products</w:t>
      </w:r>
      <w:r w:rsidR="00A01803">
        <w:rPr>
          <w:noProof/>
          <w:spacing w:val="-2"/>
          <w:szCs w:val="19"/>
          <w:lang w:val="en-GB"/>
        </w:rPr>
        <w:t xml:space="preserve"> – by 2.8%,</w:t>
      </w:r>
      <w:r w:rsidR="00A01803" w:rsidRPr="00A01803">
        <w:t xml:space="preserve"> </w:t>
      </w:r>
      <w:proofErr w:type="spellStart"/>
      <w:r w:rsidR="00A01803">
        <w:t>m</w:t>
      </w:r>
      <w:r w:rsidR="00A01803" w:rsidRPr="00BD1B7C">
        <w:t>anufacture</w:t>
      </w:r>
      <w:proofErr w:type="spellEnd"/>
      <w:r w:rsidR="00A01803" w:rsidRPr="00BD1B7C">
        <w:t xml:space="preserve"> of </w:t>
      </w:r>
      <w:proofErr w:type="spellStart"/>
      <w:r w:rsidR="00A01803" w:rsidRPr="00BD1B7C">
        <w:t>other</w:t>
      </w:r>
      <w:proofErr w:type="spellEnd"/>
      <w:r w:rsidR="00A01803" w:rsidRPr="00BD1B7C">
        <w:t xml:space="preserve"> transport </w:t>
      </w:r>
      <w:proofErr w:type="spellStart"/>
      <w:r w:rsidR="00A01803" w:rsidRPr="00BD1B7C">
        <w:t>equipment</w:t>
      </w:r>
      <w:proofErr w:type="spellEnd"/>
      <w:r w:rsidR="00A01803">
        <w:t xml:space="preserve"> – by 2.6%.</w:t>
      </w:r>
      <w:bookmarkEnd w:id="2"/>
    </w:p>
    <w:p w14:paraId="64053EB8" w14:textId="7DAC223F" w:rsidR="00BD1B7C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409F97A2" w:rsidR="00E44A8F" w:rsidRPr="00680622" w:rsidRDefault="00A90216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895808" behindDoc="0" locked="0" layoutInCell="1" allowOverlap="1" wp14:anchorId="325336EC" wp14:editId="7B387619">
            <wp:simplePos x="0" y="0"/>
            <wp:positionH relativeFrom="column">
              <wp:posOffset>-76200</wp:posOffset>
            </wp:positionH>
            <wp:positionV relativeFrom="paragraph">
              <wp:posOffset>152400</wp:posOffset>
            </wp:positionV>
            <wp:extent cx="5219700" cy="3886200"/>
            <wp:effectExtent l="0" t="0" r="0" b="0"/>
            <wp:wrapSquare wrapText="bothSides"/>
            <wp:docPr id="12" name="Obraz 12" descr="Index numbers of sold production of industry by selected NACE divisions (constant prices; previous month =100) - January and February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69641C5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3320FEEE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4A1D19" w:rsidRDefault="00322975" w:rsidP="00D902C2">
            <w:pPr>
              <w:spacing w:before="0" w:after="0" w:line="276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lastRenderedPageBreak/>
              <w:t>Prepared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</w:p>
          <w:p w14:paraId="13D52173" w14:textId="48032792" w:rsidR="00322975" w:rsidRPr="008925F0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Enterprises </w:t>
            </w:r>
            <w:proofErr w:type="spellStart"/>
            <w:r w:rsidRPr="008925F0">
              <w:rPr>
                <w:rFonts w:cs="Arial"/>
                <w:b/>
                <w:color w:val="000000" w:themeColor="text1"/>
                <w:sz w:val="20"/>
              </w:rPr>
              <w:t>Department</w:t>
            </w:r>
            <w:proofErr w:type="spellEnd"/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4A1D19" w:rsidRDefault="00322975" w:rsidP="00D902C2">
            <w:pPr>
              <w:spacing w:before="0" w:line="276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Issued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The </w:t>
            </w:r>
            <w:proofErr w:type="spellStart"/>
            <w:r w:rsidRPr="006C197A">
              <w:rPr>
                <w:rFonts w:cs="Arial"/>
                <w:b/>
                <w:sz w:val="20"/>
              </w:rPr>
              <w:t>Spokesperson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for the </w:t>
            </w:r>
            <w:proofErr w:type="spellStart"/>
            <w:r w:rsidRPr="006C197A">
              <w:rPr>
                <w:rFonts w:cs="Arial"/>
                <w:b/>
                <w:sz w:val="20"/>
              </w:rPr>
              <w:t>President</w:t>
            </w:r>
            <w:proofErr w:type="spellEnd"/>
            <w:r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of </w:t>
            </w:r>
            <w:proofErr w:type="spellStart"/>
            <w:r w:rsidRPr="006C197A">
              <w:rPr>
                <w:rFonts w:cs="Arial"/>
                <w:b/>
                <w:sz w:val="20"/>
              </w:rPr>
              <w:t>Statistics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C91687" w:rsidRDefault="00322975" w:rsidP="00D902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Pr="00C91687">
              <w:rPr>
                <w:b/>
                <w:sz w:val="20"/>
              </w:rPr>
              <w:t xml:space="preserve"> </w:t>
            </w:r>
          </w:p>
          <w:p w14:paraId="62B8915A" w14:textId="77777777" w:rsidR="00322975" w:rsidRPr="00C91687" w:rsidRDefault="00322975" w:rsidP="00D902C2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(+48 22) 608 38 04</w:t>
            </w:r>
            <w:r w:rsidRPr="00C91687">
              <w:rPr>
                <w:sz w:val="20"/>
              </w:rPr>
              <w:t xml:space="preserve">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AC73E4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460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"https://stat.gov.pl/en/topics/other-studies/informations-on-socio-economic-situation/statistical-bulletin-no-12022,4,135.html"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6D90E98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460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"https://stat.gov.pl/en/topics/other-studies/informations-on-socio-economic-situation/socio-economic-situation-of-the-country-in-january-2022,1,130.html"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FE7C9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30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FE7C9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FE7C9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AC73E4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4605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"https://stat.gov.pl/en/topics/other-studies/informations-on-socio-economic-situation/statistical-bulletin-no-12022,4,135.html"</w:instrText>
                      </w:r>
                      <w:r w:rsidR="00C4605D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6D90E98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4605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"https://stat.gov.pl/en/topics/other-studies/informations-on-socio-economic-situation/socio-economic-situation-of-the-country-in-january-2022,1,130.html"</w:instrText>
                      </w:r>
                      <w:r w:rsidR="00C4605D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3" w:name="_GoBack"/>
                      <w:bookmarkEnd w:id="3"/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C13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C13B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C13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C13B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41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C13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C13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C13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C13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C13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C13B0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E462B" w14:textId="77777777" w:rsidR="00FE7C93" w:rsidRDefault="00FE7C93" w:rsidP="000662E2">
      <w:pPr>
        <w:spacing w:after="0" w:line="240" w:lineRule="auto"/>
      </w:pPr>
      <w:r>
        <w:separator/>
      </w:r>
    </w:p>
  </w:endnote>
  <w:endnote w:type="continuationSeparator" w:id="0">
    <w:p w14:paraId="24BB64BB" w14:textId="77777777" w:rsidR="00FE7C93" w:rsidRDefault="00FE7C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32BA" w14:textId="77777777" w:rsidR="0053271A" w:rsidRDefault="00532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6DD3" w14:textId="77777777" w:rsidR="00FE7C93" w:rsidRDefault="00FE7C93" w:rsidP="000662E2">
      <w:pPr>
        <w:spacing w:after="0" w:line="240" w:lineRule="auto"/>
      </w:pPr>
      <w:r>
        <w:separator/>
      </w:r>
    </w:p>
  </w:footnote>
  <w:footnote w:type="continuationSeparator" w:id="0">
    <w:p w14:paraId="2548A79E" w14:textId="77777777" w:rsidR="00FE7C93" w:rsidRDefault="00FE7C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C988" w14:textId="77777777" w:rsidR="0053271A" w:rsidRDefault="00532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44E080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F9DF19B" w:rsidR="00637ED3" w:rsidRPr="00E66F2C" w:rsidRDefault="00E66F2C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D9246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3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Ur35s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2F9DF19B" w:rsidR="00637ED3" w:rsidRPr="00E66F2C" w:rsidRDefault="00E66F2C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bookmarkStart w:id="3" w:name="_GoBack"/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D9246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0C59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256D3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6CC3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6A1"/>
    <w:rsid w:val="00F81BB6"/>
    <w:rsid w:val="00F81C4E"/>
    <w:rsid w:val="00F8292A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E7C93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swaid.stat.gov.pl/EN/SitePagesDBW/ProdukcjaPrzemyslowa.aspx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1314,term.html" TargetMode="External"/><Relationship Id="rId42" Type="http://schemas.openxmlformats.org/officeDocument/2006/relationships/hyperlink" Target="https://stat.gov.pl/en/metainformation/glossary/terms-used-in-official-statistics/707,term.html" TargetMode="External"/><Relationship Id="rId47" Type="http://schemas.openxmlformats.org/officeDocument/2006/relationships/hyperlink" Target="https://stat.gov.pl/en/metainformation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en/metainformation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://stat.gov.pl/en/poland-macroeconomic-indicators/" TargetMode="External"/><Relationship Id="rId36" Type="http://schemas.openxmlformats.org/officeDocument/2006/relationships/hyperlink" Target="https://stat.gov.pl/en/metainformation/glossary/terms-used-in-official-statistics/1313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707,term.html" TargetMode="External"/><Relationship Id="rId44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metainformation/glossary/terms-used-in-official-statistics/700,term.html" TargetMode="External"/><Relationship Id="rId35" Type="http://schemas.openxmlformats.org/officeDocument/2006/relationships/hyperlink" Target="https://stat.gov.pl/en/metainformation/glossary/terms-used-in-official-statistics/357,term.html" TargetMode="External"/><Relationship Id="rId43" Type="http://schemas.openxmlformats.org/officeDocument/2006/relationships/hyperlink" Target="https://stat.gov.pl/en/metainformation/glossary/terms-used-in-official-statistics/356,term.html" TargetMode="External"/><Relationship Id="rId48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s://stat.gov.pl/en/metainformation/glossary/terms-used-in-official-statistics/357,term.html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s://stat.gov.pl/en/metainformation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February 2022. News release.docx</NazwaPliku>
  </documentManagement>
</p:properties>
</file>

<file path=customXml/itemProps1.xml><?xml version="1.0" encoding="utf-8"?>
<ds:datastoreItem xmlns:ds="http://schemas.openxmlformats.org/officeDocument/2006/customXml" ds:itemID="{C4047851-FC1F-422A-9ADA-D5D3191F9639}"/>
</file>

<file path=customXml/itemProps2.xml><?xml version="1.0" encoding="utf-8"?>
<ds:datastoreItem xmlns:ds="http://schemas.openxmlformats.org/officeDocument/2006/customXml" ds:itemID="{5C230584-BF28-4838-B7BE-0CF7CB24621A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February 2022</dc:title>
  <dc:subject>Index numbers of sold production of industry</dc:subject>
  <dc:creator>Statistics Poland</dc:creator>
  <cp:lastPrinted>2020-06-19T06:38:00Z</cp:lastPrinted>
  <dcterms:created xsi:type="dcterms:W3CDTF">2022-03-16T13:21:00Z</dcterms:created>
  <dcterms:modified xsi:type="dcterms:W3CDTF">2022-03-16T13:21:00Z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