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D6DF4BC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73FAAD27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B15CAD">
        <w:rPr>
          <w:shd w:val="clear" w:color="auto" w:fill="FFFFFF"/>
          <w:lang w:val="en-GB"/>
        </w:rPr>
        <w:t>August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00904AD6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FD30660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10.9%&#10;Increase in sold production of industry as compared to August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28E09C07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B15CAD">
                              <w:rPr>
                                <w:rStyle w:val="WartowskanikaZnak"/>
                                <w:lang w:val="en-GB"/>
                              </w:rPr>
                              <w:t>10.9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79106B44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B15CAD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0.9%&#10;Increase in sold production of industry as compared to August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" fillcolor="#001d77" stroked="f">
                <v:stroke joinstyle="miter"/>
                <v:textbox>
                  <w:txbxContent>
                    <w:p w14:paraId="56629F65" w14:textId="28E09C07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B15CAD">
                        <w:rPr>
                          <w:rStyle w:val="WartowskanikaZnak"/>
                          <w:lang w:val="en-GB"/>
                        </w:rPr>
                        <w:t>10.9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79106B44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B15CAD">
                        <w:rPr>
                          <w:sz w:val="20"/>
                          <w:lang w:val="en-US"/>
                        </w:rPr>
                        <w:t>August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B15CAD">
        <w:rPr>
          <w:lang w:val="en-GB"/>
        </w:rPr>
        <w:t>August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B15CAD">
        <w:rPr>
          <w:lang w:val="en-GB"/>
        </w:rPr>
        <w:t>10.9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B15CAD">
        <w:rPr>
          <w:lang w:val="en-GB"/>
        </w:rPr>
        <w:t>August</w:t>
      </w:r>
      <w:r w:rsidR="00D12C32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B15CAD">
        <w:rPr>
          <w:spacing w:val="-2"/>
          <w:lang w:val="en-GB"/>
        </w:rPr>
        <w:t>13.0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546B3F">
        <w:rPr>
          <w:spacing w:val="-2"/>
          <w:lang w:val="en-GB"/>
        </w:rPr>
        <w:t>Ju</w:t>
      </w:r>
      <w:r w:rsidR="00B15CAD">
        <w:rPr>
          <w:spacing w:val="-2"/>
          <w:lang w:val="en-GB"/>
        </w:rPr>
        <w:t>ly</w:t>
      </w:r>
      <w:r w:rsidR="00EB3C92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B15CAD">
        <w:rPr>
          <w:spacing w:val="-2"/>
          <w:lang w:val="en-GB"/>
        </w:rPr>
        <w:t>in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B15CAD">
        <w:rPr>
          <w:spacing w:val="-2"/>
          <w:lang w:val="en-GB"/>
        </w:rPr>
        <w:t>0.7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B15CAD">
        <w:rPr>
          <w:lang w:val="en-GB"/>
        </w:rPr>
        <w:t>August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546B3F">
        <w:rPr>
          <w:lang w:val="en-GB"/>
        </w:rPr>
        <w:t>12.9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B15CAD">
        <w:rPr>
          <w:lang w:val="en-GB"/>
        </w:rPr>
        <w:t>16.4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3CDF5876" w14:textId="4B507DC0" w:rsidR="00AC1E5F" w:rsidRDefault="00AC1E5F" w:rsidP="00BB33B9">
      <w:pPr>
        <w:pStyle w:val="LID"/>
        <w:jc w:val="both"/>
        <w:rPr>
          <w:spacing w:val="-2"/>
          <w:lang w:val="en-GB"/>
        </w:rPr>
      </w:pPr>
    </w:p>
    <w:p w14:paraId="73D91776" w14:textId="1A9CEB02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0EB7AC6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August 2022 amounted to 11.2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1BD45A20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B15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6755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B15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EB3C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41D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August 2022 amounted to 11.2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NPxVLxfAgAAdg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1BD45A20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B15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6755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B15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EB3C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41D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6C082E85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B15CAD">
        <w:rPr>
          <w:noProof/>
          <w:spacing w:val="-2"/>
          <w:szCs w:val="19"/>
          <w:lang w:val="en-GB"/>
        </w:rPr>
        <w:t>August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EB3C92">
        <w:rPr>
          <w:noProof/>
          <w:spacing w:val="-2"/>
          <w:szCs w:val="19"/>
          <w:lang w:val="en-GB"/>
        </w:rPr>
        <w:t>1</w:t>
      </w:r>
      <w:r w:rsidR="00B15CAD">
        <w:rPr>
          <w:noProof/>
          <w:spacing w:val="-2"/>
          <w:szCs w:val="19"/>
          <w:lang w:val="en-GB"/>
        </w:rPr>
        <w:t>1</w:t>
      </w:r>
      <w:r w:rsidR="00EB3C92">
        <w:rPr>
          <w:noProof/>
          <w:spacing w:val="-2"/>
          <w:szCs w:val="19"/>
          <w:lang w:val="en-GB"/>
        </w:rPr>
        <w:t>.</w:t>
      </w:r>
      <w:r w:rsidR="00546B3F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EB3C92">
        <w:rPr>
          <w:noProof/>
          <w:spacing w:val="-2"/>
          <w:szCs w:val="19"/>
          <w:lang w:val="en-GB"/>
        </w:rPr>
        <w:t>0.</w:t>
      </w:r>
      <w:r w:rsidR="00B15CAD">
        <w:rPr>
          <w:noProof/>
          <w:spacing w:val="-2"/>
          <w:szCs w:val="19"/>
          <w:lang w:val="en-GB"/>
        </w:rPr>
        <w:t>7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546B3F">
        <w:rPr>
          <w:noProof/>
          <w:spacing w:val="-2"/>
          <w:szCs w:val="19"/>
          <w:lang w:val="en-GB"/>
        </w:rPr>
        <w:t>highe</w:t>
      </w:r>
      <w:r w:rsidR="00D12C32">
        <w:rPr>
          <w:noProof/>
          <w:spacing w:val="-2"/>
          <w:szCs w:val="19"/>
          <w:lang w:val="en-GB"/>
        </w:rPr>
        <w:t>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546B3F">
        <w:rPr>
          <w:noProof/>
          <w:spacing w:val="-2"/>
          <w:szCs w:val="19"/>
          <w:lang w:val="en-GB"/>
        </w:rPr>
        <w:t>Ju</w:t>
      </w:r>
      <w:r w:rsidR="00B15CAD">
        <w:rPr>
          <w:noProof/>
          <w:spacing w:val="-2"/>
          <w:szCs w:val="19"/>
          <w:lang w:val="en-GB"/>
        </w:rPr>
        <w:t>ly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10ED9503" w:rsidR="003627E7" w:rsidRDefault="00B15CAD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13216" behindDoc="0" locked="0" layoutInCell="1" allowOverlap="1" wp14:anchorId="391E38C8" wp14:editId="1CD93F65">
            <wp:simplePos x="0" y="0"/>
            <wp:positionH relativeFrom="column">
              <wp:posOffset>-62230</wp:posOffset>
            </wp:positionH>
            <wp:positionV relativeFrom="paragraph">
              <wp:posOffset>342900</wp:posOffset>
            </wp:positionV>
            <wp:extent cx="5224780" cy="3017520"/>
            <wp:effectExtent l="0" t="0" r="0" b="0"/>
            <wp:wrapSquare wrapText="bothSides"/>
            <wp:docPr id="5" name="Obraz 5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2F9F367B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287A1E15" w14:textId="77777777" w:rsidR="00434F73" w:rsidRDefault="00434F7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791A69A3" w:rsidR="000C2AC9" w:rsidRDefault="00434F73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August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2022,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 increase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most of 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  <w:r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C5475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2C547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C5475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22.6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 11.9%, </w:t>
      </w:r>
      <w:r w:rsidR="00B15CA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8.6% and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6.6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1.4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6E1D3C9E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741DF3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741DF3" w:rsidRPr="003627E7" w:rsidRDefault="00741DF3" w:rsidP="00741DF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717E2C1E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15CAD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1C5FEDD3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15CAD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7A70C4DB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15CAD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04528635" w14:textId="6601C7CC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15CAD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</w:tcPr>
          <w:p w14:paraId="6CF352CD" w14:textId="4D45ED25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 w:rsidR="00B15CAD">
              <w:rPr>
                <w:noProof/>
                <w:sz w:val="16"/>
                <w:szCs w:val="16"/>
                <w:lang w:eastAsia="pl-PL"/>
              </w:rPr>
              <w:t>8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4CAF8A4A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B15CAD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53BFFAAA" w14:textId="47B3F7E9" w:rsidR="00741DF3" w:rsidRPr="003627E7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B15CAD">
              <w:rPr>
                <w:noProof/>
                <w:sz w:val="16"/>
                <w:szCs w:val="16"/>
                <w:lang w:eastAsia="pl-PL"/>
              </w:rPr>
              <w:t>8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659D2B60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2015=100</w:t>
            </w:r>
          </w:p>
        </w:tc>
      </w:tr>
      <w:tr w:rsidR="00B15CAD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B15CAD" w:rsidRPr="003627E7" w:rsidRDefault="00B15CAD" w:rsidP="00B15CA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3BF44530" w:rsidR="00B15CAD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756B4CF9" w:rsidR="00B15CAD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001CCB64" w:rsidR="00B15CAD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13F4F023" w:rsidR="00B15CAD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187584A3" w:rsidR="00B15CAD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7AF7553B" w:rsidR="00B15CAD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141.2*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22E064FD" w:rsidR="00B15CAD" w:rsidRPr="003627E7" w:rsidRDefault="00B15CAD" w:rsidP="00B15C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142.2</w:t>
            </w:r>
          </w:p>
        </w:tc>
      </w:tr>
      <w:tr w:rsidR="00B15CAD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B15CAD" w:rsidRPr="003627E7" w:rsidRDefault="00B15CAD" w:rsidP="00B15CA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4C612822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93.1*</w:t>
            </w:r>
          </w:p>
        </w:tc>
        <w:tc>
          <w:tcPr>
            <w:tcW w:w="794" w:type="dxa"/>
          </w:tcPr>
          <w:p w14:paraId="07F7573F" w14:textId="11D89370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794" w:type="dxa"/>
          </w:tcPr>
          <w:p w14:paraId="36DABAB8" w14:textId="5D9A876A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122.1*</w:t>
            </w:r>
          </w:p>
        </w:tc>
        <w:tc>
          <w:tcPr>
            <w:tcW w:w="794" w:type="dxa"/>
          </w:tcPr>
          <w:p w14:paraId="0039EC7B" w14:textId="2BC61ACF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122.5</w:t>
            </w:r>
          </w:p>
        </w:tc>
        <w:tc>
          <w:tcPr>
            <w:tcW w:w="794" w:type="dxa"/>
          </w:tcPr>
          <w:p w14:paraId="4931D0AC" w14:textId="6DF71224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124.1</w:t>
            </w:r>
          </w:p>
        </w:tc>
        <w:tc>
          <w:tcPr>
            <w:tcW w:w="794" w:type="dxa"/>
          </w:tcPr>
          <w:p w14:paraId="171F33D9" w14:textId="3F9266BD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98.8*</w:t>
            </w:r>
          </w:p>
        </w:tc>
        <w:tc>
          <w:tcPr>
            <w:tcW w:w="794" w:type="dxa"/>
            <w:vAlign w:val="center"/>
          </w:tcPr>
          <w:p w14:paraId="2314DA22" w14:textId="2AEE50B0" w:rsidR="00B15CAD" w:rsidRPr="003627E7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</w:t>
            </w:r>
          </w:p>
        </w:tc>
      </w:tr>
      <w:tr w:rsidR="00B15CAD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B15CAD" w:rsidRPr="003627E7" w:rsidRDefault="00B15CAD" w:rsidP="00B15CA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25F3945D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92.7*</w:t>
            </w:r>
          </w:p>
        </w:tc>
        <w:tc>
          <w:tcPr>
            <w:tcW w:w="794" w:type="dxa"/>
          </w:tcPr>
          <w:p w14:paraId="5B8D552A" w14:textId="68848248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794" w:type="dxa"/>
          </w:tcPr>
          <w:p w14:paraId="58090F89" w14:textId="061DEB40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107.0*</w:t>
            </w:r>
          </w:p>
        </w:tc>
        <w:tc>
          <w:tcPr>
            <w:tcW w:w="794" w:type="dxa"/>
          </w:tcPr>
          <w:p w14:paraId="6EA5EE75" w14:textId="01A12C26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111.1</w:t>
            </w:r>
          </w:p>
        </w:tc>
        <w:tc>
          <w:tcPr>
            <w:tcW w:w="794" w:type="dxa"/>
          </w:tcPr>
          <w:p w14:paraId="6EB9E9B9" w14:textId="580E7A48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111.9</w:t>
            </w:r>
          </w:p>
        </w:tc>
        <w:tc>
          <w:tcPr>
            <w:tcW w:w="794" w:type="dxa"/>
          </w:tcPr>
          <w:p w14:paraId="6D485BB6" w14:textId="30753FCF" w:rsidR="00B15CAD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145.4*</w:t>
            </w:r>
          </w:p>
        </w:tc>
        <w:tc>
          <w:tcPr>
            <w:tcW w:w="794" w:type="dxa"/>
            <w:vAlign w:val="center"/>
          </w:tcPr>
          <w:p w14:paraId="0BF3388D" w14:textId="1C0562E8" w:rsidR="00B15CAD" w:rsidRPr="003627E7" w:rsidRDefault="00B15CAD" w:rsidP="00B15C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146.7</w:t>
            </w:r>
          </w:p>
        </w:tc>
      </w:tr>
      <w:tr w:rsidR="00B15CAD" w:rsidRPr="003627E7" w14:paraId="1F85D1A5" w14:textId="77777777" w:rsidTr="00D4736F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B15CAD" w:rsidRPr="00BD5BE7" w:rsidRDefault="00B15CAD" w:rsidP="00B15CAD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0BA0489D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9A3726" w14:textId="74EF21B5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96.4*</w:t>
            </w:r>
          </w:p>
        </w:tc>
        <w:tc>
          <w:tcPr>
            <w:tcW w:w="794" w:type="dxa"/>
          </w:tcPr>
          <w:p w14:paraId="3419856C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5C3DB4E9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794" w:type="dxa"/>
          </w:tcPr>
          <w:p w14:paraId="7DFBF32E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77997480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105.0*</w:t>
            </w:r>
          </w:p>
        </w:tc>
        <w:tc>
          <w:tcPr>
            <w:tcW w:w="794" w:type="dxa"/>
          </w:tcPr>
          <w:p w14:paraId="0890CC62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F46996" w14:textId="41D21B1A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105.1</w:t>
            </w:r>
          </w:p>
        </w:tc>
        <w:tc>
          <w:tcPr>
            <w:tcW w:w="794" w:type="dxa"/>
          </w:tcPr>
          <w:p w14:paraId="2898E913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5200000E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122.7</w:t>
            </w:r>
          </w:p>
        </w:tc>
        <w:tc>
          <w:tcPr>
            <w:tcW w:w="794" w:type="dxa"/>
          </w:tcPr>
          <w:p w14:paraId="360B797E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1822DCE5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112.6*</w:t>
            </w:r>
          </w:p>
        </w:tc>
        <w:tc>
          <w:tcPr>
            <w:tcW w:w="794" w:type="dxa"/>
            <w:vAlign w:val="center"/>
          </w:tcPr>
          <w:p w14:paraId="73986380" w14:textId="77777777" w:rsidR="004C20F0" w:rsidRDefault="004C20F0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188FE05" w14:textId="623DB011" w:rsidR="00B15CAD" w:rsidRPr="003627E7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110.6</w:t>
            </w:r>
          </w:p>
        </w:tc>
      </w:tr>
      <w:tr w:rsidR="00B15CAD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B15CAD" w:rsidRPr="00BD5BE7" w:rsidRDefault="00B15CAD" w:rsidP="00B15CA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6104C50E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3F441D" w14:textId="6518705F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95.2*</w:t>
            </w:r>
          </w:p>
        </w:tc>
        <w:tc>
          <w:tcPr>
            <w:tcW w:w="794" w:type="dxa"/>
          </w:tcPr>
          <w:p w14:paraId="24879C0C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5DA21845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794" w:type="dxa"/>
          </w:tcPr>
          <w:p w14:paraId="0172CE42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7B848CDB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103.7*</w:t>
            </w:r>
          </w:p>
        </w:tc>
        <w:tc>
          <w:tcPr>
            <w:tcW w:w="794" w:type="dxa"/>
          </w:tcPr>
          <w:p w14:paraId="2F6A3A65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5C049862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794" w:type="dxa"/>
          </w:tcPr>
          <w:p w14:paraId="5512D0DB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07EF3244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108.1</w:t>
            </w:r>
          </w:p>
        </w:tc>
        <w:tc>
          <w:tcPr>
            <w:tcW w:w="794" w:type="dxa"/>
          </w:tcPr>
          <w:p w14:paraId="264368F1" w14:textId="77777777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4D0D3A38" w:rsidR="00B15CAD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152.5*</w:t>
            </w:r>
          </w:p>
        </w:tc>
        <w:tc>
          <w:tcPr>
            <w:tcW w:w="794" w:type="dxa"/>
            <w:vAlign w:val="center"/>
          </w:tcPr>
          <w:p w14:paraId="77691AF7" w14:textId="70D6245B" w:rsidR="00B15CAD" w:rsidRPr="003627E7" w:rsidRDefault="00B15CAD" w:rsidP="00B15C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</w:t>
            </w:r>
            <w:r w:rsidR="004C20F0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</w:tbl>
    <w:p w14:paraId="64C94093" w14:textId="03C0431D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20AE2097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741DF3">
        <w:rPr>
          <w:sz w:val="16"/>
          <w:szCs w:val="16"/>
          <w:lang w:val="en-GB"/>
        </w:rPr>
        <w:t>Ju</w:t>
      </w:r>
      <w:r w:rsidR="004C20F0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 xml:space="preserve"> 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4C20F0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4EE88A22" w14:textId="52D4E03F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0420184A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5BFAD0A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August 2021, stood at 94.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EF8BC72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4C20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4C20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94.6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August 2021, stood at 94.6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ofaicGQCAAB8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2EF8BC72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4C20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4C20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94.6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9FE83D1" w14:textId="1F41BFB9" w:rsidR="004C20F0" w:rsidRDefault="00BB33B9" w:rsidP="00BD1B7C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4C20F0">
        <w:rPr>
          <w:noProof/>
          <w:spacing w:val="-2"/>
          <w:szCs w:val="19"/>
          <w:lang w:val="en-GB"/>
        </w:rPr>
        <w:t>August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4C20F0">
        <w:rPr>
          <w:noProof/>
          <w:spacing w:val="-2"/>
          <w:szCs w:val="19"/>
          <w:lang w:val="en-GB"/>
        </w:rPr>
        <w:t>August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4C20F0">
        <w:rPr>
          <w:noProof/>
          <w:spacing w:val="-2"/>
          <w:szCs w:val="19"/>
          <w:lang w:val="en-GB"/>
        </w:rPr>
        <w:t>30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A316E3" w:rsidRPr="00DD4DC4">
        <w:rPr>
          <w:lang w:val="en-GB"/>
        </w:rPr>
        <w:t xml:space="preserve">in mining of coal and lignite – by </w:t>
      </w:r>
      <w:r w:rsidR="007F0F7C">
        <w:rPr>
          <w:lang w:val="en-GB"/>
        </w:rPr>
        <w:t>4</w:t>
      </w:r>
      <w:r w:rsidR="004C20F0">
        <w:rPr>
          <w:lang w:val="en-GB"/>
        </w:rPr>
        <w:t>3.3</w:t>
      </w:r>
      <w:r w:rsidR="00AC1E5F" w:rsidRPr="00DD4DC4">
        <w:rPr>
          <w:lang w:val="en-GB"/>
        </w:rPr>
        <w:t>%</w:t>
      </w:r>
      <w:r w:rsidR="00A316E3" w:rsidRPr="00DD4DC4">
        <w:rPr>
          <w:lang w:val="en-GB"/>
        </w:rPr>
        <w:t>,</w:t>
      </w:r>
      <w:r w:rsidR="00A316E3" w:rsidRPr="00A316E3">
        <w:rPr>
          <w:noProof/>
          <w:szCs w:val="19"/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0F0EEC">
        <w:rPr>
          <w:noProof/>
          <w:spacing w:val="-2"/>
          <w:szCs w:val="19"/>
          <w:lang w:val="en-GB"/>
        </w:rPr>
        <w:t>m</w:t>
      </w:r>
      <w:r w:rsidR="000F0EE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0F0EEC">
        <w:rPr>
          <w:noProof/>
          <w:spacing w:val="-2"/>
          <w:szCs w:val="19"/>
          <w:lang w:val="en-GB"/>
        </w:rPr>
        <w:t xml:space="preserve"> – by </w:t>
      </w:r>
      <w:r w:rsidR="004C20F0">
        <w:rPr>
          <w:noProof/>
          <w:spacing w:val="-2"/>
          <w:szCs w:val="19"/>
          <w:lang w:val="en-GB"/>
        </w:rPr>
        <w:t>40.0</w:t>
      </w:r>
      <w:r w:rsidR="000F0EEC">
        <w:rPr>
          <w:noProof/>
          <w:spacing w:val="-2"/>
          <w:szCs w:val="19"/>
          <w:lang w:val="en-GB"/>
        </w:rPr>
        <w:t>%,</w:t>
      </w:r>
      <w:r w:rsidR="000F0EEC" w:rsidRPr="000F0EEC">
        <w:rPr>
          <w:noProof/>
          <w:szCs w:val="19"/>
          <w:lang w:val="en-GB"/>
        </w:rPr>
        <w:t xml:space="preserve"> </w:t>
      </w:r>
      <w:r w:rsidR="004C20F0" w:rsidRPr="009D61BA">
        <w:rPr>
          <w:noProof/>
          <w:szCs w:val="19"/>
          <w:lang w:val="en-GB"/>
        </w:rPr>
        <w:t>manufacture of electrical equipment</w:t>
      </w:r>
      <w:r w:rsidR="004C20F0">
        <w:rPr>
          <w:noProof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 xml:space="preserve">– by 23.9%, </w:t>
      </w:r>
      <w:r w:rsidR="000F0EEC" w:rsidRPr="009D61BA">
        <w:rPr>
          <w:noProof/>
          <w:szCs w:val="19"/>
          <w:lang w:val="en-GB"/>
        </w:rPr>
        <w:t xml:space="preserve">manufacture of </w:t>
      </w:r>
      <w:r w:rsidR="000F0EEC" w:rsidRPr="00082002">
        <w:rPr>
          <w:noProof/>
          <w:spacing w:val="-2"/>
          <w:szCs w:val="19"/>
          <w:lang w:val="en-GB"/>
        </w:rPr>
        <w:t>machinery and equipment</w:t>
      </w:r>
      <w:r w:rsidR="000F0EEC">
        <w:rPr>
          <w:noProof/>
          <w:spacing w:val="-2"/>
          <w:szCs w:val="19"/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– by </w:t>
      </w:r>
      <w:r w:rsidR="004C20F0">
        <w:rPr>
          <w:noProof/>
          <w:szCs w:val="19"/>
          <w:lang w:val="en-GB"/>
        </w:rPr>
        <w:t>16.8</w:t>
      </w:r>
      <w:r w:rsidR="000F0EEC">
        <w:rPr>
          <w:noProof/>
          <w:szCs w:val="19"/>
          <w:lang w:val="en-GB"/>
        </w:rPr>
        <w:t>%,</w:t>
      </w:r>
      <w:r w:rsidR="000F0EEC" w:rsidRPr="000F0EEC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m</w:t>
      </w:r>
      <w:r w:rsidR="004C20F0" w:rsidRPr="004C20F0">
        <w:rPr>
          <w:noProof/>
          <w:spacing w:val="-2"/>
          <w:szCs w:val="19"/>
          <w:lang w:val="en-GB"/>
        </w:rPr>
        <w:t>anufacture of beverages</w:t>
      </w:r>
      <w:r w:rsidR="004C20F0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zCs w:val="19"/>
          <w:lang w:val="en-GB"/>
        </w:rPr>
        <w:t>– by 13.8%,</w:t>
      </w:r>
      <w:r w:rsidR="004C20F0" w:rsidRPr="004C20F0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m</w:t>
      </w:r>
      <w:r w:rsidR="004C20F0" w:rsidRPr="00E15228">
        <w:rPr>
          <w:noProof/>
          <w:spacing w:val="-2"/>
          <w:szCs w:val="19"/>
          <w:lang w:val="en-GB"/>
        </w:rPr>
        <w:t>anufacture of metal products</w:t>
      </w:r>
      <w:r w:rsidR="004C20F0">
        <w:rPr>
          <w:noProof/>
          <w:spacing w:val="-2"/>
          <w:szCs w:val="19"/>
          <w:lang w:val="en-GB"/>
        </w:rPr>
        <w:t xml:space="preserve"> – by 11.4%,</w:t>
      </w:r>
      <w:r w:rsidR="004C20F0" w:rsidRPr="004C20F0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m</w:t>
      </w:r>
      <w:r w:rsidR="004C20F0" w:rsidRPr="000F0EEC">
        <w:rPr>
          <w:noProof/>
          <w:spacing w:val="-2"/>
          <w:szCs w:val="19"/>
          <w:lang w:val="en-GB"/>
        </w:rPr>
        <w:t>anufacture of food products</w:t>
      </w:r>
      <w:r w:rsidR="004C20F0">
        <w:rPr>
          <w:noProof/>
          <w:spacing w:val="-2"/>
          <w:szCs w:val="19"/>
          <w:lang w:val="en-GB"/>
        </w:rPr>
        <w:t xml:space="preserve"> – by </w:t>
      </w:r>
      <w:r w:rsidR="00AF2485">
        <w:rPr>
          <w:noProof/>
          <w:spacing w:val="-2"/>
          <w:szCs w:val="19"/>
          <w:lang w:val="en-GB"/>
        </w:rPr>
        <w:t>11,3%.</w:t>
      </w:r>
    </w:p>
    <w:p w14:paraId="468B1CFB" w14:textId="6135ECDF" w:rsidR="004C20F0" w:rsidRDefault="00AD2C35" w:rsidP="004C20F0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4C20F0">
        <w:rPr>
          <w:noProof/>
          <w:szCs w:val="19"/>
          <w:lang w:val="en-GB"/>
        </w:rPr>
        <w:t>August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4C20F0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in m</w:t>
      </w:r>
      <w:r w:rsidR="004C20F0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4C20F0">
        <w:rPr>
          <w:noProof/>
          <w:spacing w:val="-2"/>
          <w:szCs w:val="19"/>
          <w:lang w:val="en-GB"/>
        </w:rPr>
        <w:t xml:space="preserve"> – by 5.8%,</w:t>
      </w:r>
      <w:r w:rsidR="004C20F0" w:rsidRPr="004C20F0">
        <w:rPr>
          <w:lang w:val="en-GB"/>
        </w:rPr>
        <w:t xml:space="preserve"> </w:t>
      </w:r>
      <w:r w:rsidR="004C20F0">
        <w:rPr>
          <w:lang w:val="en-GB"/>
        </w:rPr>
        <w:t>m</w:t>
      </w:r>
      <w:r w:rsidR="004C20F0" w:rsidRPr="007F0F7C">
        <w:rPr>
          <w:lang w:val="en-GB"/>
        </w:rPr>
        <w:t>anufacture of furniture</w:t>
      </w:r>
      <w:r w:rsidR="004C20F0" w:rsidRPr="007F0F7C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zCs w:val="19"/>
          <w:lang w:val="en-GB"/>
        </w:rPr>
        <w:t>– by 2.4%.</w:t>
      </w:r>
    </w:p>
    <w:p w14:paraId="11B13192" w14:textId="01711D52" w:rsidR="004C20F0" w:rsidRDefault="004C20F0" w:rsidP="004C20F0">
      <w:pPr>
        <w:spacing w:before="0" w:after="0"/>
        <w:rPr>
          <w:noProof/>
          <w:spacing w:val="-2"/>
          <w:szCs w:val="19"/>
          <w:lang w:val="en-GB"/>
        </w:rPr>
      </w:pPr>
    </w:p>
    <w:p w14:paraId="5855A0A2" w14:textId="76CF5797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47A314F8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4B5BEE95" w14:textId="6FB630CA" w:rsidR="004C20F0" w:rsidRPr="00DD4DC4" w:rsidRDefault="004C20F0" w:rsidP="006C4724">
      <w:pPr>
        <w:spacing w:before="0" w:after="0"/>
        <w:rPr>
          <w:noProof/>
          <w:lang w:val="en-GB" w:eastAsia="pl-PL"/>
        </w:rPr>
      </w:pPr>
      <w:r>
        <w:rPr>
          <w:noProof/>
        </w:rPr>
        <w:drawing>
          <wp:anchor distT="0" distB="0" distL="114300" distR="114300" simplePos="0" relativeHeight="251914240" behindDoc="0" locked="0" layoutInCell="1" allowOverlap="1" wp14:anchorId="5F695A98" wp14:editId="321FFFA6">
            <wp:simplePos x="0" y="0"/>
            <wp:positionH relativeFrom="column">
              <wp:posOffset>-76200</wp:posOffset>
            </wp:positionH>
            <wp:positionV relativeFrom="paragraph">
              <wp:posOffset>202565</wp:posOffset>
            </wp:positionV>
            <wp:extent cx="5200650" cy="3923665"/>
            <wp:effectExtent l="0" t="0" r="0" b="635"/>
            <wp:wrapSquare wrapText="bothSides"/>
            <wp:docPr id="1" name="Wykres 1" descr="Index numbers of sold production of industry by selected NACE divisions (constant prices; previous year =100) - August 2021, August 20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4BD295AC" w14:textId="37700E76" w:rsidR="00590672" w:rsidRPr="00590672" w:rsidRDefault="005F27B3" w:rsidP="00AC1E5F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590672">
        <w:rPr>
          <w:szCs w:val="19"/>
          <w:lang w:val="en-GB"/>
        </w:rPr>
        <w:t>July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590672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590672">
        <w:rPr>
          <w:szCs w:val="19"/>
          <w:lang w:val="en-GB"/>
        </w:rPr>
        <w:t>August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B426E6">
        <w:rPr>
          <w:szCs w:val="19"/>
          <w:lang w:val="en-GB"/>
        </w:rPr>
        <w:t>2</w:t>
      </w:r>
      <w:r w:rsidR="00590672">
        <w:rPr>
          <w:szCs w:val="19"/>
          <w:lang w:val="en-GB"/>
        </w:rPr>
        <w:t>5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0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590672">
        <w:rPr>
          <w:lang w:val="en-GB"/>
        </w:rPr>
        <w:t>in m</w:t>
      </w:r>
      <w:r w:rsidR="00590672" w:rsidRPr="007F0F7C">
        <w:rPr>
          <w:lang w:val="en-GB"/>
        </w:rPr>
        <w:t>anufacture of furniture</w:t>
      </w:r>
      <w:r w:rsidR="00590672" w:rsidRPr="007F0F7C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zCs w:val="19"/>
          <w:lang w:val="en-GB"/>
        </w:rPr>
        <w:t>– by 14.1%,</w:t>
      </w:r>
      <w:r w:rsidR="00590672" w:rsidRP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pacing w:val="-2"/>
          <w:szCs w:val="19"/>
          <w:lang w:val="en-GB"/>
        </w:rPr>
        <w:t>m</w:t>
      </w:r>
      <w:r w:rsidR="00590672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590672">
        <w:rPr>
          <w:noProof/>
          <w:spacing w:val="-2"/>
          <w:szCs w:val="19"/>
          <w:lang w:val="en-GB"/>
        </w:rPr>
        <w:t xml:space="preserve"> – by 12.0%,</w:t>
      </w:r>
      <w:r w:rsidR="00590672" w:rsidRP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pacing w:val="-2"/>
          <w:szCs w:val="19"/>
          <w:lang w:val="en-GB"/>
        </w:rPr>
        <w:t>m</w:t>
      </w:r>
      <w:r w:rsidR="00590672" w:rsidRPr="000F0EEC">
        <w:rPr>
          <w:noProof/>
          <w:spacing w:val="-2"/>
          <w:szCs w:val="19"/>
          <w:lang w:val="en-GB"/>
        </w:rPr>
        <w:t>anufacture of food products</w:t>
      </w:r>
      <w:r w:rsidR="00590672">
        <w:rPr>
          <w:noProof/>
          <w:spacing w:val="-2"/>
          <w:szCs w:val="19"/>
          <w:lang w:val="en-GB"/>
        </w:rPr>
        <w:t>, m</w:t>
      </w:r>
      <w:r w:rsidR="00590672" w:rsidRPr="00590672">
        <w:rPr>
          <w:noProof/>
          <w:spacing w:val="-2"/>
          <w:szCs w:val="19"/>
          <w:lang w:val="en-GB"/>
        </w:rPr>
        <w:t>anufacture of paper and paper products</w:t>
      </w:r>
      <w:r w:rsidR="00590672">
        <w:rPr>
          <w:noProof/>
          <w:spacing w:val="-2"/>
          <w:szCs w:val="19"/>
          <w:lang w:val="en-GB"/>
        </w:rPr>
        <w:t xml:space="preserve"> and m</w:t>
      </w:r>
      <w:r w:rsidR="00590672" w:rsidRPr="008C2E1C">
        <w:rPr>
          <w:noProof/>
          <w:spacing w:val="-2"/>
          <w:szCs w:val="19"/>
          <w:lang w:val="en-GB"/>
        </w:rPr>
        <w:t xml:space="preserve">anufacture of </w:t>
      </w:r>
      <w:r w:rsidR="00590672">
        <w:rPr>
          <w:noProof/>
          <w:spacing w:val="-2"/>
          <w:szCs w:val="19"/>
          <w:lang w:val="en-GB"/>
        </w:rPr>
        <w:t xml:space="preserve">basic </w:t>
      </w:r>
      <w:r w:rsidR="00590672" w:rsidRPr="008C2E1C">
        <w:rPr>
          <w:noProof/>
          <w:spacing w:val="-2"/>
          <w:szCs w:val="19"/>
          <w:lang w:val="en-GB"/>
        </w:rPr>
        <w:t>metal</w:t>
      </w:r>
      <w:r w:rsidR="00590672">
        <w:rPr>
          <w:noProof/>
          <w:spacing w:val="-2"/>
          <w:szCs w:val="19"/>
          <w:lang w:val="en-GB"/>
        </w:rPr>
        <w:t>s</w:t>
      </w:r>
      <w:r w:rsidR="00590672" w:rsidRPr="004E532C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pacing w:val="-2"/>
          <w:szCs w:val="19"/>
          <w:lang w:val="en-GB"/>
        </w:rPr>
        <w:t>– by 5.6% each, m</w:t>
      </w:r>
      <w:r w:rsidR="00590672" w:rsidRPr="00B426E6">
        <w:rPr>
          <w:noProof/>
          <w:spacing w:val="-2"/>
          <w:szCs w:val="19"/>
          <w:lang w:val="en-GB"/>
        </w:rPr>
        <w:t>anufacture of other non-metallic mineral products</w:t>
      </w:r>
      <w:r w:rsid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zCs w:val="19"/>
          <w:lang w:val="en-GB"/>
        </w:rPr>
        <w:t>– by 4.6%</w:t>
      </w:r>
      <w:r w:rsidR="00590672">
        <w:rPr>
          <w:lang w:val="en-GB"/>
        </w:rPr>
        <w:t>,</w:t>
      </w:r>
      <w:r w:rsidR="00590672" w:rsidRP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pacing w:val="-2"/>
          <w:szCs w:val="19"/>
          <w:lang w:val="en-GB"/>
        </w:rPr>
        <w:t>m</w:t>
      </w:r>
      <w:r w:rsidR="00590672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590672">
        <w:rPr>
          <w:noProof/>
          <w:spacing w:val="-2"/>
          <w:szCs w:val="19"/>
          <w:lang w:val="en-GB"/>
        </w:rPr>
        <w:t xml:space="preserve"> – by </w:t>
      </w:r>
      <w:r w:rsidR="00AF2485">
        <w:rPr>
          <w:noProof/>
          <w:spacing w:val="-2"/>
          <w:szCs w:val="19"/>
          <w:lang w:val="en-GB"/>
        </w:rPr>
        <w:t>2</w:t>
      </w:r>
      <w:r w:rsidR="00590672">
        <w:rPr>
          <w:noProof/>
          <w:spacing w:val="-2"/>
          <w:szCs w:val="19"/>
          <w:lang w:val="en-GB"/>
        </w:rPr>
        <w:t>.</w:t>
      </w:r>
      <w:r w:rsidR="00AF2485">
        <w:rPr>
          <w:noProof/>
          <w:spacing w:val="-2"/>
          <w:szCs w:val="19"/>
          <w:lang w:val="en-GB"/>
        </w:rPr>
        <w:t>4</w:t>
      </w:r>
      <w:r w:rsidR="00590672">
        <w:rPr>
          <w:noProof/>
          <w:spacing w:val="-2"/>
          <w:szCs w:val="19"/>
          <w:lang w:val="en-GB"/>
        </w:rPr>
        <w:t>%.</w:t>
      </w:r>
    </w:p>
    <w:bookmarkEnd w:id="0"/>
    <w:p w14:paraId="572B3FE3" w14:textId="307EE36E" w:rsidR="00590672" w:rsidRDefault="00AC1E5F" w:rsidP="00590672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90672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B426E6">
        <w:rPr>
          <w:noProof/>
          <w:szCs w:val="19"/>
          <w:lang w:val="en-GB"/>
        </w:rPr>
        <w:t>Ju</w:t>
      </w:r>
      <w:r w:rsidR="00590672">
        <w:rPr>
          <w:noProof/>
          <w:szCs w:val="19"/>
          <w:lang w:val="en-GB"/>
        </w:rPr>
        <w:t>ly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590672">
        <w:rPr>
          <w:noProof/>
          <w:szCs w:val="19"/>
          <w:lang w:val="en-GB"/>
        </w:rPr>
        <w:t>8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1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pacing w:val="-2"/>
          <w:szCs w:val="19"/>
          <w:lang w:val="en-GB"/>
        </w:rPr>
        <w:t>in m</w:t>
      </w:r>
      <w:r w:rsidR="00590672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90672">
        <w:rPr>
          <w:noProof/>
          <w:spacing w:val="-2"/>
          <w:szCs w:val="19"/>
          <w:lang w:val="en-GB"/>
        </w:rPr>
        <w:t xml:space="preserve"> – by 13.3%,</w:t>
      </w:r>
      <w:r w:rsidR="00590672" w:rsidRPr="00590672">
        <w:rPr>
          <w:noProof/>
          <w:szCs w:val="19"/>
          <w:lang w:val="en-GB"/>
        </w:rPr>
        <w:t xml:space="preserve"> </w:t>
      </w:r>
      <w:r w:rsidR="00590672" w:rsidRPr="009D61BA">
        <w:rPr>
          <w:noProof/>
          <w:szCs w:val="19"/>
          <w:lang w:val="en-GB"/>
        </w:rPr>
        <w:t xml:space="preserve">manufacture of </w:t>
      </w:r>
      <w:r w:rsidR="00590672" w:rsidRPr="00082002">
        <w:rPr>
          <w:noProof/>
          <w:spacing w:val="-2"/>
          <w:szCs w:val="19"/>
          <w:lang w:val="en-GB"/>
        </w:rPr>
        <w:t>machinery and equipment</w:t>
      </w:r>
      <w:r w:rsid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zCs w:val="19"/>
          <w:lang w:val="en-GB"/>
        </w:rPr>
        <w:t>– by 5.8%</w:t>
      </w:r>
      <w:r w:rsidR="00590672">
        <w:rPr>
          <w:noProof/>
          <w:spacing w:val="-2"/>
          <w:szCs w:val="19"/>
          <w:lang w:val="en-GB"/>
        </w:rPr>
        <w:t>,</w:t>
      </w:r>
      <w:r w:rsidR="00590672" w:rsidRP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pacing w:val="-2"/>
          <w:szCs w:val="19"/>
          <w:lang w:val="en-GB"/>
        </w:rPr>
        <w:t>m</w:t>
      </w:r>
      <w:r w:rsidR="00590672" w:rsidRPr="0065283F">
        <w:rPr>
          <w:noProof/>
          <w:spacing w:val="-2"/>
          <w:szCs w:val="19"/>
          <w:lang w:val="en-GB"/>
        </w:rPr>
        <w:t xml:space="preserve">anufacture of </w:t>
      </w:r>
      <w:r w:rsidR="00590672">
        <w:rPr>
          <w:noProof/>
          <w:spacing w:val="-2"/>
          <w:szCs w:val="19"/>
          <w:lang w:val="en-GB"/>
        </w:rPr>
        <w:t>c</w:t>
      </w:r>
      <w:r w:rsidR="00590672" w:rsidRPr="00B067A6">
        <w:rPr>
          <w:noProof/>
          <w:spacing w:val="-2"/>
          <w:szCs w:val="19"/>
          <w:lang w:val="en-GB"/>
        </w:rPr>
        <w:t>hemicals and chemical products</w:t>
      </w:r>
      <w:r w:rsidR="00590672">
        <w:rPr>
          <w:noProof/>
          <w:spacing w:val="-2"/>
          <w:szCs w:val="19"/>
          <w:lang w:val="en-GB"/>
        </w:rPr>
        <w:t xml:space="preserve"> </w:t>
      </w:r>
      <w:r w:rsidR="00590672">
        <w:rPr>
          <w:noProof/>
          <w:szCs w:val="19"/>
          <w:lang w:val="en-GB"/>
        </w:rPr>
        <w:t>– by 4.8%,</w:t>
      </w:r>
      <w:r w:rsidR="00590672" w:rsidRPr="00590672">
        <w:rPr>
          <w:noProof/>
          <w:szCs w:val="19"/>
          <w:lang w:val="en-GB"/>
        </w:rPr>
        <w:t xml:space="preserve"> </w:t>
      </w:r>
      <w:r w:rsidR="00590672">
        <w:rPr>
          <w:noProof/>
          <w:szCs w:val="19"/>
          <w:lang w:val="en-GB"/>
        </w:rPr>
        <w:t>m</w:t>
      </w:r>
      <w:r w:rsidR="00590672" w:rsidRPr="00D649F4">
        <w:rPr>
          <w:noProof/>
          <w:szCs w:val="19"/>
          <w:lang w:val="en-GB"/>
        </w:rPr>
        <w:t>anufacture of coke and refined petroleum products</w:t>
      </w:r>
      <w:r w:rsidR="00590672">
        <w:rPr>
          <w:noProof/>
          <w:spacing w:val="-2"/>
          <w:szCs w:val="19"/>
          <w:lang w:val="en-GB"/>
        </w:rPr>
        <w:t xml:space="preserve"> – by 3.5%.</w:t>
      </w:r>
    </w:p>
    <w:p w14:paraId="020D00D5" w14:textId="3A0CCCF7" w:rsidR="00B426E6" w:rsidRDefault="00B426E6" w:rsidP="00F82A29">
      <w:pPr>
        <w:spacing w:before="0" w:after="0"/>
        <w:rPr>
          <w:noProof/>
          <w:spacing w:val="-2"/>
          <w:szCs w:val="19"/>
          <w:lang w:val="en-GB"/>
        </w:rPr>
      </w:pPr>
    </w:p>
    <w:p w14:paraId="182AC0C8" w14:textId="13710FF4" w:rsidR="00E15228" w:rsidRDefault="00E15228" w:rsidP="00F82A29">
      <w:pPr>
        <w:spacing w:before="0" w:after="0"/>
        <w:rPr>
          <w:noProof/>
          <w:szCs w:val="19"/>
          <w:lang w:val="en-GB"/>
        </w:rPr>
      </w:pPr>
    </w:p>
    <w:bookmarkEnd w:id="1"/>
    <w:p w14:paraId="1F5B1DF6" w14:textId="0D4A010F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D6C8561" w:rsidR="00E44A8F" w:rsidRPr="00680622" w:rsidRDefault="003B4A12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15264" behindDoc="0" locked="0" layoutInCell="1" allowOverlap="1" wp14:anchorId="0763691C" wp14:editId="56B260EF">
            <wp:simplePos x="0" y="0"/>
            <wp:positionH relativeFrom="column">
              <wp:posOffset>-82550</wp:posOffset>
            </wp:positionH>
            <wp:positionV relativeFrom="paragraph">
              <wp:posOffset>215900</wp:posOffset>
            </wp:positionV>
            <wp:extent cx="5243195" cy="3657600"/>
            <wp:effectExtent l="0" t="0" r="0" b="0"/>
            <wp:wrapSquare wrapText="bothSides"/>
            <wp:docPr id="20" name="Obraz 20" descr="Index numbers of sold production of industry by selected NACE divisions (constant prices; previous month =100) -  April, May, June, July and August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  <w:bookmarkStart w:id="2" w:name="_GoBack"/>
      <w:bookmarkEnd w:id="2"/>
    </w:p>
    <w:p w14:paraId="676345E0" w14:textId="0ECFD75E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670B8C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DD4DC4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DCEED52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F40D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"https://stat.gov.pl/en/topics/other-studies/informations-on-socio-economic-situation/statistical-bulletin-no-72022,4,141.html"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01F27F76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F40D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"https://stat.gov.pl/en/topics/other-studies/informations-on-socio-economic-situation/socio-economic-situation-of-the-country-in-july-of-2022,1,136.html"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05081E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5081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5081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DCEED52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F40D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"https://stat.gov.pl/en/topics/other-studies/informations-on-socio-economic-situation/statistical-bulletin-no-72022,4,141.html"</w:instrText>
                      </w:r>
                      <w:r w:rsidR="00EF40D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01F27F76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F40D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"https://stat.gov.pl/en/topics/other-studies/informations-on-socio-economic-situation/socio-economic-situation-of-the-country-in-july-of-2022,1,136.html"</w:instrText>
                      </w:r>
                      <w:r w:rsidR="00EF40D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5661F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5661F8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5661F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5661F8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5661F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5661F8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5661F8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5661F8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5661F8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5661F8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33F26" w14:textId="77777777" w:rsidR="0005081E" w:rsidRDefault="0005081E" w:rsidP="000662E2">
      <w:pPr>
        <w:spacing w:after="0" w:line="240" w:lineRule="auto"/>
      </w:pPr>
      <w:r>
        <w:separator/>
      </w:r>
    </w:p>
  </w:endnote>
  <w:endnote w:type="continuationSeparator" w:id="0">
    <w:p w14:paraId="39015409" w14:textId="77777777" w:rsidR="0005081E" w:rsidRDefault="000508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C4A01" w14:textId="77777777" w:rsidR="0005081E" w:rsidRDefault="0005081E" w:rsidP="000662E2">
      <w:pPr>
        <w:spacing w:after="0" w:line="240" w:lineRule="auto"/>
      </w:pPr>
      <w:r>
        <w:separator/>
      </w:r>
    </w:p>
  </w:footnote>
  <w:footnote w:type="continuationSeparator" w:id="0">
    <w:p w14:paraId="1FE2772C" w14:textId="77777777" w:rsidR="0005081E" w:rsidRDefault="0005081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0CDCD93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01CD927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9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C2b5qK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001CD927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081E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4204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2485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2961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51891752494097E-2"/>
          <c:y val="4.4186774148591193E-4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'VIII 2022 ang'!$B$1</c:f>
              <c:strCache>
                <c:ptCount val="1"/>
                <c:pt idx="0">
                  <c:v>08 2021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'VIII 2022 ang'!$A$2:$A$13</c:f>
              <c:strCache>
                <c:ptCount val="12"/>
                <c:pt idx="0">
                  <c:v>Mining of coal and lignite </c:v>
                </c:pt>
                <c:pt idx="1">
                  <c:v>Manufacture of motor vehicles, trailers and semi-
-trailers</c:v>
                </c:pt>
                <c:pt idx="2">
                  <c:v>Manufacture of electrical equipment</c:v>
                </c:pt>
                <c:pt idx="3">
                  <c:v>Printing and reproduction of recorded media</c:v>
                </c:pt>
                <c:pt idx="4">
                  <c:v>Manufacture of machinery and equipment </c:v>
                </c:pt>
                <c:pt idx="5">
                  <c:v>Manufacture of pharmaceutical products</c:v>
                </c:pt>
                <c:pt idx="6">
                  <c:v>Manufacture of beverages</c:v>
                </c:pt>
                <c:pt idx="7">
                  <c:v>Manufacture of textiles</c:v>
                </c:pt>
                <c:pt idx="8">
                  <c:v>Other manufacturing  </c:v>
                </c:pt>
                <c:pt idx="9">
                  <c:v>Manufacture of metal products</c:v>
                </c:pt>
                <c:pt idx="10">
                  <c:v>Manufacture of furniture</c:v>
                </c:pt>
                <c:pt idx="11">
                  <c:v>Manufacture of products of wood, cork, straw and wicker</c:v>
                </c:pt>
              </c:strCache>
            </c:strRef>
          </c:cat>
          <c:val>
            <c:numRef>
              <c:f>'VIII 2022 ang'!$B$2:$B$13</c:f>
              <c:numCache>
                <c:formatCode>0.0_ ;[Red]\-0.0\ </c:formatCode>
                <c:ptCount val="12"/>
                <c:pt idx="0">
                  <c:v>105.6</c:v>
                </c:pt>
                <c:pt idx="1">
                  <c:v>87</c:v>
                </c:pt>
                <c:pt idx="2">
                  <c:v>114.4</c:v>
                </c:pt>
                <c:pt idx="3">
                  <c:v>118.4</c:v>
                </c:pt>
                <c:pt idx="4">
                  <c:v>125.7</c:v>
                </c:pt>
                <c:pt idx="5">
                  <c:v>109.4</c:v>
                </c:pt>
                <c:pt idx="6">
                  <c:v>103.5</c:v>
                </c:pt>
                <c:pt idx="7">
                  <c:v>105.2</c:v>
                </c:pt>
                <c:pt idx="8">
                  <c:v>127.5</c:v>
                </c:pt>
                <c:pt idx="9">
                  <c:v>127.7</c:v>
                </c:pt>
                <c:pt idx="10">
                  <c:v>111.2</c:v>
                </c:pt>
                <c:pt idx="11">
                  <c:v>118.2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21-43FC-ABD6-D7D2FAECF894}"/>
            </c:ext>
          </c:extLst>
        </c:ser>
        <c:ser>
          <c:idx val="2"/>
          <c:order val="1"/>
          <c:tx>
            <c:strRef>
              <c:f>'VIII 2022 ang'!$C$1</c:f>
              <c:strCache>
                <c:ptCount val="1"/>
                <c:pt idx="0">
                  <c:v>08 2022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'VIII 2022 ang'!$A$2:$A$13</c:f>
              <c:strCache>
                <c:ptCount val="12"/>
                <c:pt idx="0">
                  <c:v>Mining of coal and lignite </c:v>
                </c:pt>
                <c:pt idx="1">
                  <c:v>Manufacture of motor vehicles, trailers and semi-
-trailers</c:v>
                </c:pt>
                <c:pt idx="2">
                  <c:v>Manufacture of electrical equipment</c:v>
                </c:pt>
                <c:pt idx="3">
                  <c:v>Printing and reproduction of recorded media</c:v>
                </c:pt>
                <c:pt idx="4">
                  <c:v>Manufacture of machinery and equipment </c:v>
                </c:pt>
                <c:pt idx="5">
                  <c:v>Manufacture of pharmaceutical products</c:v>
                </c:pt>
                <c:pt idx="6">
                  <c:v>Manufacture of beverages</c:v>
                </c:pt>
                <c:pt idx="7">
                  <c:v>Manufacture of textiles</c:v>
                </c:pt>
                <c:pt idx="8">
                  <c:v>Other manufacturing  </c:v>
                </c:pt>
                <c:pt idx="9">
                  <c:v>Manufacture of metal products</c:v>
                </c:pt>
                <c:pt idx="10">
                  <c:v>Manufacture of furniture</c:v>
                </c:pt>
                <c:pt idx="11">
                  <c:v>Manufacture of products of wood, cork, straw and wicker</c:v>
                </c:pt>
              </c:strCache>
            </c:strRef>
          </c:cat>
          <c:val>
            <c:numRef>
              <c:f>'VIII 2022 ang'!$C$2:$C$13</c:f>
              <c:numCache>
                <c:formatCode>0.0_ ;[Red]\-0.0\ </c:formatCode>
                <c:ptCount val="12"/>
                <c:pt idx="0">
                  <c:v>143.30000000000001</c:v>
                </c:pt>
                <c:pt idx="1">
                  <c:v>140</c:v>
                </c:pt>
                <c:pt idx="2">
                  <c:v>123.9</c:v>
                </c:pt>
                <c:pt idx="3">
                  <c:v>117.1</c:v>
                </c:pt>
                <c:pt idx="4">
                  <c:v>116.8</c:v>
                </c:pt>
                <c:pt idx="5">
                  <c:v>115.2</c:v>
                </c:pt>
                <c:pt idx="6">
                  <c:v>113.8</c:v>
                </c:pt>
                <c:pt idx="7">
                  <c:v>112.1</c:v>
                </c:pt>
                <c:pt idx="8">
                  <c:v>111.9</c:v>
                </c:pt>
                <c:pt idx="9">
                  <c:v>111.4</c:v>
                </c:pt>
                <c:pt idx="10">
                  <c:v>97.6</c:v>
                </c:pt>
                <c:pt idx="11">
                  <c:v>94.2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21-43FC-ABD6-D7D2FAECF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30272"/>
        <c:axId val="-428338432"/>
      </c:barChart>
      <c:catAx>
        <c:axId val="-428330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8432"/>
        <c:crossesAt val="100"/>
        <c:auto val="1"/>
        <c:lblAlgn val="ctr"/>
        <c:lblOffset val="20"/>
        <c:noMultiLvlLbl val="0"/>
      </c:catAx>
      <c:valAx>
        <c:axId val="-428338432"/>
        <c:scaling>
          <c:orientation val="minMax"/>
          <c:max val="145"/>
          <c:min val="8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3027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August 2022.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059B6-5B6B-4ED9-A9E8-C74DBA7F1BB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1A8004B-DE82-42DD-8473-ABD1C5D91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2022-09-16T06:29:00Z</dcterms:created>
  <dcterms:modified xsi:type="dcterms:W3CDTF">2022-09-16T12:05:00Z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