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77777777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847CC3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57299C">
        <w:rPr>
          <w:color w:val="auto"/>
          <w:shd w:val="clear" w:color="auto" w:fill="FFFFFF"/>
          <w:lang w:val="en-GB"/>
        </w:rPr>
        <w:t>1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77777777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850F8B9" wp14:editId="756285BB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0.9&#10;Increase in producer prices for business services compared to the third quarter of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77777777" w:rsidR="00490EC0" w:rsidRPr="007D605C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F169DD">
                              <w:rPr>
                                <w:rStyle w:val="WartowskanikaZnak"/>
                              </w:rPr>
                              <w:t>0</w:t>
                            </w:r>
                            <w:r w:rsidRPr="00F049AB">
                              <w:rPr>
                                <w:rStyle w:val="WartowskanikaZnak"/>
                              </w:rPr>
                              <w:t>,</w:t>
                            </w:r>
                            <w:r w:rsidR="00F169DD">
                              <w:rPr>
                                <w:rStyle w:val="WartowskanikaZnak"/>
                              </w:rPr>
                              <w:t>9</w:t>
                            </w:r>
                          </w:p>
                          <w:p w14:paraId="49BFBEEF" w14:textId="77777777" w:rsidR="00490EC0" w:rsidRPr="007D605C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third quarter of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0.9&#10;Increase in producer prices for business services compared to the third quarter of 2021" style="position:absolute;left:0;text-align:left;margin-left:0;margin-top:4.4pt;width:184.8pt;height:9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" fillcolor="#001d77" stroked="f">
                <v:stroke joinstyle="miter"/>
                <v:textbox>
                  <w:txbxContent>
                    <w:p w14:paraId="78395005" w14:textId="77777777" w:rsidR="00490EC0" w:rsidRPr="007D605C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F169DD">
                        <w:rPr>
                          <w:rStyle w:val="WartowskanikaZnak"/>
                        </w:rPr>
                        <w:t>0</w:t>
                      </w:r>
                      <w:r w:rsidRPr="00F049AB">
                        <w:rPr>
                          <w:rStyle w:val="WartowskanikaZnak"/>
                        </w:rPr>
                        <w:t>,</w:t>
                      </w:r>
                      <w:r w:rsidR="00F169DD">
                        <w:rPr>
                          <w:rStyle w:val="WartowskanikaZnak"/>
                        </w:rPr>
                        <w:t>9</w:t>
                      </w:r>
                    </w:p>
                    <w:p w14:paraId="49BFBEEF" w14:textId="77777777" w:rsidR="00490EC0" w:rsidRPr="007D605C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third quarter of 2021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In the fourth quarter of 202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F9660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0.</w:t>
      </w:r>
      <w:r w:rsidR="00D25CE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9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 compared to the previous quarter. Compared to the fourth 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D25CE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the prices increased by </w:t>
      </w:r>
      <w:r w:rsidR="00D25CE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3.4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0E11E45C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3F73DAC7" w14:textId="77777777" w:rsidR="001457E5" w:rsidRPr="00490EC0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fourth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D25CE7" w:rsidRPr="00490EC0">
        <w:rPr>
          <w:b/>
          <w:szCs w:val="19"/>
          <w:shd w:val="clear" w:color="auto" w:fill="FFFFFF"/>
          <w:lang w:val="en-GB"/>
        </w:rPr>
        <w:t>1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ourth quarter of 2021"/>
      </w:tblPr>
      <w:tblGrid>
        <w:gridCol w:w="4200"/>
        <w:gridCol w:w="1260"/>
        <w:gridCol w:w="1260"/>
        <w:gridCol w:w="1260"/>
      </w:tblGrid>
      <w:tr w:rsidR="00490EC0" w:rsidRPr="00490EC0" w14:paraId="2B229F0F" w14:textId="77777777" w:rsidTr="00F169DD">
        <w:trPr>
          <w:trHeight w:val="732"/>
          <w:tblHeader/>
        </w:trPr>
        <w:tc>
          <w:tcPr>
            <w:tcW w:w="420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9CE8C5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pecification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09ABDA9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quarter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4 2021</w:t>
            </w:r>
          </w:p>
        </w:tc>
        <w:tc>
          <w:tcPr>
            <w:tcW w:w="126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B6ACC0B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sz w:val="18"/>
                <w:szCs w:val="18"/>
                <w:lang w:eastAsia="pl-PL"/>
              </w:rPr>
              <w:t>quarter</w:t>
            </w:r>
            <w:proofErr w:type="spellEnd"/>
            <w:r w:rsidRPr="00490EC0">
              <w:rPr>
                <w:rFonts w:eastAsia="Times New Roman" w:cs="Calibri"/>
                <w:sz w:val="18"/>
                <w:szCs w:val="18"/>
                <w:lang w:eastAsia="pl-PL"/>
              </w:rPr>
              <w:t xml:space="preserve"> 1-4 2021</w:t>
            </w:r>
          </w:p>
        </w:tc>
      </w:tr>
      <w:tr w:rsidR="00490EC0" w:rsidRPr="00490EC0" w14:paraId="21789F1A" w14:textId="77777777" w:rsidTr="00F169DD">
        <w:trPr>
          <w:trHeight w:val="696"/>
          <w:tblHeader/>
        </w:trPr>
        <w:tc>
          <w:tcPr>
            <w:tcW w:w="420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A3CCCDA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98BAF32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quarter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3 2021=100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ECCEF80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quarter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4 2020=100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70CCF46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sz w:val="18"/>
                <w:szCs w:val="18"/>
                <w:lang w:eastAsia="pl-PL"/>
              </w:rPr>
              <w:t>quarter</w:t>
            </w:r>
            <w:proofErr w:type="spellEnd"/>
            <w:r w:rsidRPr="00490EC0">
              <w:rPr>
                <w:rFonts w:eastAsia="Times New Roman" w:cs="Calibri"/>
                <w:sz w:val="18"/>
                <w:szCs w:val="18"/>
                <w:lang w:eastAsia="pl-PL"/>
              </w:rPr>
              <w:t xml:space="preserve"> 1-4  2020=100</w:t>
            </w:r>
          </w:p>
        </w:tc>
      </w:tr>
      <w:tr w:rsidR="00490EC0" w:rsidRPr="00490EC0" w14:paraId="7E714AF2" w14:textId="77777777" w:rsidTr="00F9660B">
        <w:trPr>
          <w:trHeight w:val="491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7C66CA" w14:textId="77777777" w:rsidR="00490EC0" w:rsidRPr="00490EC0" w:rsidRDefault="00490EC0" w:rsidP="00490EC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</w:t>
            </w:r>
            <w:r w:rsidR="0007183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800BA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4BEF50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928D49D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102,3</w:t>
            </w:r>
          </w:p>
        </w:tc>
      </w:tr>
      <w:tr w:rsidR="00490EC0" w:rsidRPr="00490EC0" w14:paraId="487A2A7E" w14:textId="77777777" w:rsidTr="00490EC0">
        <w:trPr>
          <w:trHeight w:val="46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B5523CB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Publishing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4B0294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4AECDD2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11AB40E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102,1</w:t>
            </w:r>
          </w:p>
        </w:tc>
      </w:tr>
      <w:tr w:rsidR="00490EC0" w:rsidRPr="00490EC0" w14:paraId="5BA97F0B" w14:textId="77777777" w:rsidTr="00490EC0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1BD0076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Motion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picture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video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television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programme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production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sound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recording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music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publishing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C77CCC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20B4DFC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6BBBF5F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98,1</w:t>
            </w:r>
          </w:p>
        </w:tc>
      </w:tr>
      <w:tr w:rsidR="00490EC0" w:rsidRPr="00490EC0" w14:paraId="01E74238" w14:textId="77777777" w:rsidTr="00490EC0">
        <w:trPr>
          <w:trHeight w:val="64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07BB98B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Programming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broadcasting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89B63A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F20B9C5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583873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94,9</w:t>
            </w:r>
          </w:p>
        </w:tc>
      </w:tr>
      <w:tr w:rsidR="00490EC0" w:rsidRPr="00490EC0" w14:paraId="1875E7A7" w14:textId="77777777" w:rsidTr="00490EC0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FE40DC7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Computer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programming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consultancy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related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F13DF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3E255A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CFD320C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103,4</w:t>
            </w:r>
          </w:p>
        </w:tc>
      </w:tr>
      <w:tr w:rsidR="00490EC0" w:rsidRPr="00490EC0" w14:paraId="5E91C9B7" w14:textId="77777777" w:rsidTr="00490EC0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E44BDB7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Information service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E2F23B2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793436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1D4DF9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100,9</w:t>
            </w:r>
          </w:p>
        </w:tc>
      </w:tr>
      <w:tr w:rsidR="00490EC0" w:rsidRPr="00490EC0" w14:paraId="454973C6" w14:textId="77777777" w:rsidTr="00490EC0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9F45DFB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Real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estate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EC6314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45CB155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30BC321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102,2</w:t>
            </w:r>
          </w:p>
        </w:tc>
      </w:tr>
      <w:tr w:rsidR="00490EC0" w:rsidRPr="00490EC0" w14:paraId="7B574206" w14:textId="77777777" w:rsidTr="00490EC0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DEB41E8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accounting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; management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consultancy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54C25FE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55A4A6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3E5360C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101,9</w:t>
            </w:r>
          </w:p>
        </w:tc>
      </w:tr>
      <w:tr w:rsidR="00490EC0" w:rsidRPr="00490EC0" w14:paraId="409C4823" w14:textId="77777777" w:rsidTr="00490EC0">
        <w:trPr>
          <w:trHeight w:val="62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D8CCDF3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Architectural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engineering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;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technical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testing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analysis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DC5C12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690329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4F1858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102,7</w:t>
            </w:r>
          </w:p>
        </w:tc>
      </w:tr>
      <w:tr w:rsidR="00490EC0" w:rsidRPr="00490EC0" w14:paraId="64015D3E" w14:textId="77777777" w:rsidTr="00490EC0">
        <w:trPr>
          <w:trHeight w:val="56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688341E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Advertising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market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2442EB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CC16884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2D36CCA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101,8</w:t>
            </w:r>
          </w:p>
        </w:tc>
      </w:tr>
      <w:tr w:rsidR="00490EC0" w:rsidRPr="00490EC0" w14:paraId="0E225340" w14:textId="77777777" w:rsidTr="00490EC0">
        <w:trPr>
          <w:trHeight w:val="64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6307E4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Other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professional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scientific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technical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9326CAD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E800131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FBA6E32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101,2</w:t>
            </w:r>
          </w:p>
        </w:tc>
      </w:tr>
      <w:tr w:rsidR="00490EC0" w:rsidRPr="00490EC0" w14:paraId="360B3362" w14:textId="77777777" w:rsidTr="00490EC0">
        <w:trPr>
          <w:trHeight w:val="52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5E084FB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Rental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leasing 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15A7D02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77A77D1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053485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105,1</w:t>
            </w:r>
          </w:p>
        </w:tc>
      </w:tr>
      <w:tr w:rsidR="00490EC0" w:rsidRPr="00490EC0" w14:paraId="786292AC" w14:textId="77777777" w:rsidTr="00490EC0">
        <w:trPr>
          <w:trHeight w:val="52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BF0127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Employment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89C2B1B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A2E80E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513EC71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105,2</w:t>
            </w:r>
          </w:p>
        </w:tc>
      </w:tr>
      <w:tr w:rsidR="00490EC0" w:rsidRPr="00490EC0" w14:paraId="5F826D08" w14:textId="77777777" w:rsidTr="00490EC0">
        <w:trPr>
          <w:trHeight w:val="816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8A1D8B3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Travel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agency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tour operator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reservation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service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related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40353EB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EB7592E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AE50877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98,8</w:t>
            </w:r>
          </w:p>
        </w:tc>
      </w:tr>
      <w:tr w:rsidR="00490EC0" w:rsidRPr="00490EC0" w14:paraId="48566A28" w14:textId="77777777" w:rsidTr="00490EC0">
        <w:trPr>
          <w:trHeight w:val="588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99DC7C4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Security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investigation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505675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B5A7D3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981EC6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107,9</w:t>
            </w:r>
          </w:p>
        </w:tc>
      </w:tr>
      <w:tr w:rsidR="00490EC0" w:rsidRPr="00490EC0" w14:paraId="27C34ADA" w14:textId="77777777" w:rsidTr="00490EC0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633525B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Services to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buildings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landscape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9EB2E05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E516229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32FB1C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104,7</w:t>
            </w:r>
          </w:p>
        </w:tc>
      </w:tr>
      <w:tr w:rsidR="00490EC0" w:rsidRPr="00490EC0" w14:paraId="3EB6A91A" w14:textId="77777777" w:rsidTr="00490EC0">
        <w:trPr>
          <w:trHeight w:val="744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1B4BD7" w14:textId="77777777" w:rsidR="00490EC0" w:rsidRPr="00490EC0" w:rsidRDefault="00490EC0" w:rsidP="00490EC0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Office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administrative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office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support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 and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other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business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support</w:t>
            </w:r>
            <w:proofErr w:type="spellEnd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43924E3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F48F1A1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C6A8D2D" w14:textId="77777777" w:rsidR="00490EC0" w:rsidRPr="00490EC0" w:rsidRDefault="00490EC0" w:rsidP="00490EC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EC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102,0</w:t>
            </w:r>
          </w:p>
        </w:tc>
      </w:tr>
    </w:tbl>
    <w:p w14:paraId="0082154E" w14:textId="77777777" w:rsidR="009F0D84" w:rsidRDefault="001A1C63" w:rsidP="001E332F">
      <w:pPr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</w:pPr>
      <w:r w:rsidRPr="00C523A5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FB13D6F" wp14:editId="2D8EB7BF">
                <wp:simplePos x="0" y="0"/>
                <wp:positionH relativeFrom="column">
                  <wp:posOffset>5257800</wp:posOffset>
                </wp:positionH>
                <wp:positionV relativeFrom="paragraph">
                  <wp:posOffset>278130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4th quarter of 2021, the highest increase of prices was recorded in the rental and leasing activitie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77777777" w:rsidR="00D25CE7" w:rsidRPr="00FD1924" w:rsidRDefault="00D25CE7" w:rsidP="00D25CE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4th quarter of 2021, </w:t>
                            </w:r>
                            <w:r w:rsidR="00FD1924" w:rsidRPr="00FD1924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D1924">
                              <w:rPr>
                                <w:lang w:val="en-US"/>
                              </w:rPr>
                              <w:t xml:space="preserve"> was </w:t>
                            </w:r>
                            <w:r w:rsidR="008E5250">
                              <w:rPr>
                                <w:lang w:val="en-US"/>
                              </w:rPr>
                              <w:t xml:space="preserve">recorded </w:t>
                            </w:r>
                            <w:r w:rsid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FD1924" w:rsidRPr="00FD1924">
                              <w:rPr>
                                <w:rFonts w:cs="Calibri"/>
                              </w:rPr>
                              <w:t>rental</w:t>
                            </w:r>
                            <w:proofErr w:type="spellEnd"/>
                            <w:r w:rsidR="00FD1924" w:rsidRPr="00FD1924">
                              <w:rPr>
                                <w:rFonts w:cs="Calibri"/>
                              </w:rPr>
                              <w:t xml:space="preserve"> and leasing </w:t>
                            </w:r>
                            <w:proofErr w:type="spellStart"/>
                            <w:r w:rsidR="00FD1924" w:rsidRPr="00FD1924">
                              <w:rPr>
                                <w:rFonts w:cs="Calibri"/>
                              </w:rPr>
                              <w:t>activities</w:t>
                            </w:r>
                            <w:proofErr w:type="spellEnd"/>
                            <w:r w:rsidR="00FD1924" w:rsidRPr="00FD192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4th quarter of 2021, the highest increase of prices was recorded in the rental and leasing activities " style="position:absolute;margin-left:414pt;margin-top:21.9pt;width:136.6pt;height:130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" filled="f" stroked="f">
                <v:textbox inset="2.5mm,1mm,2.5mm,1mm">
                  <w:txbxContent>
                    <w:p w14:paraId="700A2299" w14:textId="77777777" w:rsidR="00D25CE7" w:rsidRPr="00FD1924" w:rsidRDefault="00D25CE7" w:rsidP="00D25CE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4th quarter of 2021, </w:t>
                      </w:r>
                      <w:r w:rsidR="00FD1924" w:rsidRPr="00FD1924">
                        <w:rPr>
                          <w:lang w:val="en-US"/>
                        </w:rPr>
                        <w:t>the highest increase of prices</w:t>
                      </w:r>
                      <w:r w:rsidR="00FD1924">
                        <w:rPr>
                          <w:lang w:val="en-US"/>
                        </w:rPr>
                        <w:t xml:space="preserve"> was </w:t>
                      </w:r>
                      <w:r w:rsidR="008E5250">
                        <w:rPr>
                          <w:lang w:val="en-US"/>
                        </w:rPr>
                        <w:t xml:space="preserve">recorded </w:t>
                      </w:r>
                      <w:r w:rsidR="00FD1924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FD1924" w:rsidRPr="00FD1924">
                        <w:rPr>
                          <w:rFonts w:cs="Calibri"/>
                        </w:rPr>
                        <w:t>rental</w:t>
                      </w:r>
                      <w:proofErr w:type="spellEnd"/>
                      <w:r w:rsidR="00FD1924" w:rsidRPr="00FD1924">
                        <w:rPr>
                          <w:rFonts w:cs="Calibri"/>
                        </w:rPr>
                        <w:t xml:space="preserve"> and leasing </w:t>
                      </w:r>
                      <w:proofErr w:type="spellStart"/>
                      <w:r w:rsidR="00FD1924" w:rsidRPr="00FD1924">
                        <w:rPr>
                          <w:rFonts w:cs="Calibri"/>
                        </w:rPr>
                        <w:t>activities</w:t>
                      </w:r>
                      <w:proofErr w:type="spellEnd"/>
                      <w:r w:rsidR="00FD1924" w:rsidRPr="00FD192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77F00F" w14:textId="77777777" w:rsidR="009A4482" w:rsidRPr="00E73A79" w:rsidRDefault="001E332F" w:rsidP="001E332F">
      <w:pPr>
        <w:rPr>
          <w:rFonts w:eastAsia="Fira Sans Light" w:cs="Times New Roman"/>
          <w:szCs w:val="19"/>
          <w:shd w:val="clear" w:color="auto" w:fill="FFFFFF"/>
          <w:lang w:val="en"/>
        </w:rPr>
      </w:pPr>
      <w:r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In</w:t>
      </w:r>
      <w:r w:rsidR="00B6269B"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the fourth quarter of 202</w:t>
      </w:r>
      <w:r w:rsidR="00A720DA"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1</w:t>
      </w:r>
      <w:r w:rsidR="00B6269B"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, </w:t>
      </w:r>
      <w:r w:rsidR="00B6269B" w:rsidRPr="009A4482">
        <w:rPr>
          <w:color w:val="000000" w:themeColor="text1"/>
          <w:szCs w:val="19"/>
          <w:lang w:val="en-US"/>
        </w:rPr>
        <w:t>the highest increase of prices</w:t>
      </w:r>
      <w:r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was </w:t>
      </w:r>
      <w:r w:rsidR="00E73A79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recorded</w:t>
      </w:r>
      <w:r w:rsidR="00190A56" w:rsidRPr="009A4482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in the </w:t>
      </w:r>
      <w:proofErr w:type="spellStart"/>
      <w:r w:rsidR="00A423A7" w:rsidRPr="009A4482">
        <w:rPr>
          <w:rFonts w:eastAsia="Times New Roman" w:cs="Calibri"/>
          <w:color w:val="000000"/>
          <w:szCs w:val="19"/>
          <w:lang w:eastAsia="pl-PL"/>
        </w:rPr>
        <w:t>rental</w:t>
      </w:r>
      <w:proofErr w:type="spellEnd"/>
      <w:r w:rsidR="00A423A7" w:rsidRPr="009A4482">
        <w:rPr>
          <w:rFonts w:eastAsia="Times New Roman" w:cs="Calibri"/>
          <w:color w:val="000000"/>
          <w:szCs w:val="19"/>
          <w:lang w:eastAsia="pl-PL"/>
        </w:rPr>
        <w:t xml:space="preserve"> and </w:t>
      </w:r>
      <w:r w:rsidR="00A423A7" w:rsidRPr="00E73A79">
        <w:rPr>
          <w:rFonts w:eastAsia="Times New Roman" w:cs="Calibri"/>
          <w:szCs w:val="19"/>
          <w:lang w:eastAsia="pl-PL"/>
        </w:rPr>
        <w:t xml:space="preserve">leasing </w:t>
      </w:r>
      <w:proofErr w:type="spellStart"/>
      <w:r w:rsidR="00A423A7" w:rsidRPr="00E73A79">
        <w:rPr>
          <w:rFonts w:eastAsia="Times New Roman" w:cs="Calibri"/>
          <w:szCs w:val="19"/>
          <w:lang w:eastAsia="pl-PL"/>
        </w:rPr>
        <w:t>activities</w:t>
      </w:r>
      <w:proofErr w:type="spellEnd"/>
      <w:r w:rsidR="00A423A7"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>–</w:t>
      </w:r>
      <w:r w:rsidR="00B6269B" w:rsidRPr="00E73A79">
        <w:rPr>
          <w:rFonts w:eastAsia="Fira Sans Light" w:cs="Times New Roman"/>
          <w:szCs w:val="19"/>
          <w:shd w:val="clear" w:color="auto" w:fill="FFFFFF"/>
          <w:lang w:val="en-US"/>
        </w:rPr>
        <w:t xml:space="preserve"> i.e. by </w:t>
      </w:r>
      <w:r w:rsidR="00A423A7" w:rsidRPr="00E73A79">
        <w:rPr>
          <w:rFonts w:eastAsia="Fira Sans Light" w:cs="Times New Roman"/>
          <w:szCs w:val="19"/>
          <w:shd w:val="clear" w:color="auto" w:fill="FFFFFF"/>
          <w:lang w:val="en"/>
        </w:rPr>
        <w:t>5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>.5% compared to the previous quarter. The increa</w:t>
      </w:r>
      <w:r w:rsidR="000079E4"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se in prices of </w:t>
      </w:r>
      <w:proofErr w:type="spellStart"/>
      <w:r w:rsidR="007850AA" w:rsidRPr="00E73A79">
        <w:rPr>
          <w:rFonts w:eastAsia="Times New Roman" w:cs="Calibri"/>
          <w:szCs w:val="19"/>
          <w:lang w:eastAsia="pl-PL"/>
        </w:rPr>
        <w:t>rental</w:t>
      </w:r>
      <w:proofErr w:type="spellEnd"/>
      <w:r w:rsidR="007850AA" w:rsidRPr="00E73A79">
        <w:rPr>
          <w:rFonts w:eastAsia="Times New Roman" w:cs="Calibri"/>
          <w:szCs w:val="19"/>
          <w:lang w:eastAsia="pl-PL"/>
        </w:rPr>
        <w:t xml:space="preserve"> and leasing </w:t>
      </w:r>
      <w:proofErr w:type="spellStart"/>
      <w:r w:rsidR="007850AA" w:rsidRPr="00E73A79">
        <w:rPr>
          <w:rFonts w:eastAsia="Times New Roman" w:cs="Calibri"/>
          <w:szCs w:val="19"/>
          <w:lang w:eastAsia="pl-PL"/>
        </w:rPr>
        <w:t>activities</w:t>
      </w:r>
      <w:proofErr w:type="spellEnd"/>
      <w:r w:rsidR="007850AA"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in the fourth quarter was mainly caused by higher prices of </w:t>
      </w:r>
      <w:r w:rsidR="009A4482"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renting and leasing of motor vehicles. 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The prices of </w:t>
      </w:r>
      <w:r w:rsidR="003F47BC" w:rsidRPr="00E73A79">
        <w:rPr>
          <w:rFonts w:eastAsia="Fira Sans Light" w:cs="Times New Roman"/>
          <w:szCs w:val="19"/>
          <w:shd w:val="clear" w:color="auto" w:fill="FFFFFF"/>
          <w:lang w:val="en"/>
        </w:rPr>
        <w:t>p</w:t>
      </w:r>
      <w:proofErr w:type="spellStart"/>
      <w:r w:rsidR="003F47BC" w:rsidRPr="00E73A79">
        <w:rPr>
          <w:rFonts w:eastAsia="Times New Roman" w:cs="Calibri"/>
          <w:szCs w:val="19"/>
          <w:lang w:val="en-US" w:eastAsia="pl-PL"/>
        </w:rPr>
        <w:t>ublishing</w:t>
      </w:r>
      <w:proofErr w:type="spellEnd"/>
      <w:r w:rsidR="003F47BC" w:rsidRPr="00E73A79">
        <w:rPr>
          <w:rFonts w:eastAsia="Times New Roman" w:cs="Calibri"/>
          <w:szCs w:val="19"/>
          <w:lang w:val="en-US" w:eastAsia="pl-PL"/>
        </w:rPr>
        <w:t xml:space="preserve"> activities</w:t>
      </w:r>
      <w:r w:rsidR="009A4482" w:rsidRPr="00E73A79">
        <w:rPr>
          <w:rFonts w:eastAsia="Times New Roman" w:cs="Calibri"/>
          <w:szCs w:val="19"/>
          <w:lang w:val="en-US" w:eastAsia="pl-PL"/>
        </w:rPr>
        <w:t xml:space="preserve"> </w:t>
      </w:r>
      <w:r w:rsidR="009A4482" w:rsidRPr="00E73A79">
        <w:rPr>
          <w:rFonts w:eastAsia="Fira Sans Light" w:cs="Times New Roman"/>
          <w:szCs w:val="19"/>
          <w:shd w:val="clear" w:color="auto" w:fill="FFFFFF"/>
          <w:lang w:val="en-US"/>
        </w:rPr>
        <w:t xml:space="preserve">(by 2.5%) and </w:t>
      </w:r>
      <w:r w:rsidR="009A4482" w:rsidRPr="00E73A79">
        <w:rPr>
          <w:rFonts w:eastAsia="Times New Roman" w:cs="Calibri"/>
          <w:szCs w:val="19"/>
          <w:lang w:val="en-US" w:eastAsia="pl-PL"/>
        </w:rPr>
        <w:t xml:space="preserve">other professional, scientific and technical activities (by 2.1%) 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increased more than </w:t>
      </w:r>
      <w:r w:rsidR="009A4482" w:rsidRPr="00E73A79">
        <w:rPr>
          <w:rFonts w:eastAsia="Fira Sans Light" w:cs="Times New Roman"/>
          <w:szCs w:val="19"/>
          <w:shd w:val="clear" w:color="auto" w:fill="FFFFFF"/>
          <w:lang w:val="en"/>
        </w:rPr>
        <w:t>2.0</w:t>
      </w:r>
      <w:r w:rsidRPr="00E73A79">
        <w:rPr>
          <w:rFonts w:eastAsia="Fira Sans Light" w:cs="Times New Roman"/>
          <w:szCs w:val="19"/>
          <w:shd w:val="clear" w:color="auto" w:fill="FFFFFF"/>
          <w:lang w:val="en"/>
        </w:rPr>
        <w:t>%.</w:t>
      </w:r>
      <w:r w:rsidR="00713DD1" w:rsidRPr="00E73A79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</w:p>
    <w:p w14:paraId="2941350F" w14:textId="77777777" w:rsidR="00CE3F09" w:rsidRPr="00E73A79" w:rsidRDefault="00CE3F09" w:rsidP="00CE3F09">
      <w:pPr>
        <w:rPr>
          <w:rFonts w:eastAsia="Fira Sans Light" w:cs="Times New Roman"/>
          <w:shd w:val="clear" w:color="auto" w:fill="FFFFFF"/>
          <w:lang w:val="en-US"/>
        </w:rPr>
      </w:pPr>
      <w:r w:rsidRPr="00E73A79">
        <w:rPr>
          <w:rFonts w:eastAsia="Fira Sans Light" w:cs="Times New Roman"/>
          <w:shd w:val="clear" w:color="auto" w:fill="FFFFFF"/>
          <w:lang w:val="en-US"/>
        </w:rPr>
        <w:t xml:space="preserve">In terms of publishing activities there was </w:t>
      </w:r>
      <w:r w:rsidR="00E73A79" w:rsidRPr="00E73A79">
        <w:rPr>
          <w:rFonts w:eastAsia="Fira Sans Light" w:cs="Times New Roman"/>
          <w:shd w:val="clear" w:color="auto" w:fill="FFFFFF"/>
          <w:lang w:val="en-US"/>
        </w:rPr>
        <w:t xml:space="preserve">observed </w:t>
      </w:r>
      <w:r w:rsidRPr="00E73A79">
        <w:rPr>
          <w:rFonts w:eastAsia="Fira Sans Light" w:cs="Times New Roman"/>
          <w:shd w:val="clear" w:color="auto" w:fill="FFFFFF"/>
          <w:lang w:val="en-US"/>
        </w:rPr>
        <w:t xml:space="preserve">a </w:t>
      </w:r>
      <w:r w:rsidR="002062D6" w:rsidRPr="002062D6">
        <w:rPr>
          <w:rFonts w:eastAsia="Fira Sans Light" w:cs="Times New Roman"/>
          <w:shd w:val="clear" w:color="auto" w:fill="FFFFFF"/>
          <w:lang w:val="en-US"/>
        </w:rPr>
        <w:t>significant</w:t>
      </w:r>
      <w:r w:rsidR="002062D6" w:rsidRPr="00E73A79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Pr="00E73A79">
        <w:rPr>
          <w:rFonts w:eastAsia="Fira Sans Light" w:cs="Times New Roman"/>
          <w:shd w:val="clear" w:color="auto" w:fill="FFFFFF"/>
          <w:lang w:val="en-US"/>
        </w:rPr>
        <w:t>increase in price</w:t>
      </w:r>
      <w:r w:rsidR="002062D6">
        <w:rPr>
          <w:rFonts w:eastAsia="Fira Sans Light" w:cs="Times New Roman"/>
          <w:shd w:val="clear" w:color="auto" w:fill="FFFFFF"/>
          <w:lang w:val="en-US"/>
        </w:rPr>
        <w:t>s</w:t>
      </w:r>
      <w:r w:rsidRPr="00E73A79">
        <w:rPr>
          <w:rFonts w:eastAsia="Fira Sans Light" w:cs="Times New Roman"/>
          <w:shd w:val="clear" w:color="auto" w:fill="FFFFFF"/>
          <w:lang w:val="en-US"/>
        </w:rPr>
        <w:t xml:space="preserve"> of publishing of newspapers and software publishing. In terms of the other professional, scientific and technical activities increase in price</w:t>
      </w:r>
      <w:r w:rsidR="002062D6">
        <w:rPr>
          <w:rFonts w:eastAsia="Fira Sans Light" w:cs="Times New Roman"/>
          <w:shd w:val="clear" w:color="auto" w:fill="FFFFFF"/>
          <w:lang w:val="en-US"/>
        </w:rPr>
        <w:t>s</w:t>
      </w:r>
      <w:r w:rsidRPr="00E73A79">
        <w:rPr>
          <w:rFonts w:eastAsia="Fira Sans Light" w:cs="Times New Roman"/>
          <w:shd w:val="clear" w:color="auto" w:fill="FFFFFF"/>
          <w:lang w:val="en-US"/>
        </w:rPr>
        <w:t xml:space="preserve"> of services was noticed in, among others, </w:t>
      </w:r>
      <w:r w:rsidR="002062D6">
        <w:rPr>
          <w:rFonts w:eastAsia="Fira Sans Light" w:cs="Times New Roman"/>
          <w:shd w:val="clear" w:color="auto" w:fill="FFFFFF"/>
          <w:lang w:val="en-US"/>
        </w:rPr>
        <w:t xml:space="preserve">in </w:t>
      </w:r>
      <w:r w:rsidRPr="00E73A79">
        <w:rPr>
          <w:rFonts w:eastAsia="Fira Sans Light" w:cs="Times New Roman"/>
          <w:shd w:val="clear" w:color="auto" w:fill="FFFFFF"/>
          <w:lang w:val="en-US"/>
        </w:rPr>
        <w:t xml:space="preserve">translation and interpretation activities, </w:t>
      </w:r>
      <w:proofErr w:type="spellStart"/>
      <w:r w:rsidRPr="00E73A79">
        <w:rPr>
          <w:rFonts w:eastAsia="Fira Sans Light" w:cs="Times New Roman"/>
          <w:shd w:val="clear" w:color="auto" w:fill="FFFFFF"/>
          <w:lang w:val="en-US"/>
        </w:rPr>
        <w:t>speciali</w:t>
      </w:r>
      <w:r w:rsidR="00FD1924" w:rsidRPr="00E73A79">
        <w:rPr>
          <w:rFonts w:eastAsia="Fira Sans Light" w:cs="Times New Roman"/>
          <w:shd w:val="clear" w:color="auto" w:fill="FFFFFF"/>
          <w:lang w:val="en-US"/>
        </w:rPr>
        <w:t>s</w:t>
      </w:r>
      <w:r w:rsidRPr="00E73A79">
        <w:rPr>
          <w:rFonts w:eastAsia="Fira Sans Light" w:cs="Times New Roman"/>
          <w:shd w:val="clear" w:color="auto" w:fill="FFFFFF"/>
          <w:lang w:val="en-US"/>
        </w:rPr>
        <w:t>ed</w:t>
      </w:r>
      <w:proofErr w:type="spellEnd"/>
      <w:r w:rsidRPr="00E73A79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FD1924" w:rsidRPr="00E73A79">
        <w:rPr>
          <w:rFonts w:eastAsia="Fira Sans Light" w:cs="Times New Roman"/>
          <w:shd w:val="clear" w:color="auto" w:fill="FFFFFF"/>
          <w:lang w:val="en-US"/>
        </w:rPr>
        <w:t>design activities and photographic activities</w:t>
      </w:r>
      <w:r w:rsidRPr="00E73A79">
        <w:rPr>
          <w:rFonts w:eastAsia="Fira Sans Light" w:cs="Times New Roman"/>
          <w:shd w:val="clear" w:color="auto" w:fill="FFFFFF"/>
          <w:lang w:val="en-US"/>
        </w:rPr>
        <w:t>.</w:t>
      </w:r>
    </w:p>
    <w:p w14:paraId="459D5BF9" w14:textId="77777777" w:rsidR="00E73A79" w:rsidRPr="00522EC7" w:rsidRDefault="00301F43" w:rsidP="00D25CE7">
      <w:pPr>
        <w:rPr>
          <w:rFonts w:eastAsia="Times New Roman" w:cs="Calibri"/>
          <w:szCs w:val="19"/>
          <w:lang w:val="en-US" w:eastAsia="pl-PL"/>
        </w:rPr>
      </w:pPr>
      <w:r>
        <w:rPr>
          <w:szCs w:val="19"/>
          <w:lang w:val="en"/>
        </w:rPr>
        <w:t>P</w:t>
      </w:r>
      <w:r w:rsidRPr="00D01B86">
        <w:rPr>
          <w:szCs w:val="19"/>
          <w:lang w:val="en"/>
        </w:rPr>
        <w:t>rice decreas</w:t>
      </w:r>
      <w:r w:rsidRPr="00301F43">
        <w:rPr>
          <w:szCs w:val="19"/>
          <w:lang w:val="en"/>
        </w:rPr>
        <w:t xml:space="preserve">e compared to the previous quarter was recorded in </w:t>
      </w:r>
      <w:r w:rsidR="0075006B">
        <w:rPr>
          <w:szCs w:val="19"/>
          <w:lang w:val="en"/>
        </w:rPr>
        <w:t xml:space="preserve">the </w:t>
      </w:r>
      <w:r w:rsidRPr="00301F43">
        <w:rPr>
          <w:szCs w:val="19"/>
          <w:lang w:val="en"/>
        </w:rPr>
        <w:t xml:space="preserve">case of </w:t>
      </w:r>
      <w:proofErr w:type="spellStart"/>
      <w:r w:rsidRPr="00301F43">
        <w:rPr>
          <w:rFonts w:eastAsia="Times New Roman" w:cs="Calibri"/>
          <w:color w:val="000000"/>
          <w:szCs w:val="19"/>
          <w:lang w:eastAsia="pl-PL"/>
        </w:rPr>
        <w:t>programming</w:t>
      </w:r>
      <w:proofErr w:type="spellEnd"/>
      <w:r w:rsidRPr="00301F43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522EC7">
        <w:rPr>
          <w:rFonts w:eastAsia="Times New Roman" w:cs="Calibri"/>
          <w:szCs w:val="19"/>
          <w:lang w:eastAsia="pl-PL"/>
        </w:rPr>
        <w:t xml:space="preserve">and </w:t>
      </w:r>
      <w:proofErr w:type="spellStart"/>
      <w:r w:rsidRPr="00522EC7">
        <w:rPr>
          <w:rFonts w:eastAsia="Times New Roman" w:cs="Calibri"/>
          <w:szCs w:val="19"/>
          <w:lang w:eastAsia="pl-PL"/>
        </w:rPr>
        <w:t>broadcasting</w:t>
      </w:r>
      <w:proofErr w:type="spellEnd"/>
      <w:r w:rsidRPr="00522EC7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Pr="00522EC7">
        <w:rPr>
          <w:rFonts w:eastAsia="Times New Roman" w:cs="Calibri"/>
          <w:szCs w:val="19"/>
          <w:lang w:eastAsia="pl-PL"/>
        </w:rPr>
        <w:t>activities</w:t>
      </w:r>
      <w:proofErr w:type="spellEnd"/>
      <w:r w:rsidRPr="00522EC7">
        <w:rPr>
          <w:rFonts w:eastAsia="Times New Roman" w:cs="Calibri"/>
          <w:szCs w:val="19"/>
          <w:lang w:eastAsia="pl-PL"/>
        </w:rPr>
        <w:t xml:space="preserve"> (by 2.1%), </w:t>
      </w:r>
      <w:r w:rsidRPr="00522EC7">
        <w:rPr>
          <w:rFonts w:eastAsia="Times New Roman" w:cs="Calibri"/>
          <w:szCs w:val="19"/>
          <w:lang w:val="en-US" w:eastAsia="pl-PL"/>
        </w:rPr>
        <w:t xml:space="preserve">travel agency, tour operator reservation service and related activities (by 0.9%), </w:t>
      </w:r>
      <w:r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as well as </w:t>
      </w:r>
      <w:r w:rsidRPr="00522EC7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Pr="00522EC7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Pr="00522EC7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 (by 0.8%).</w:t>
      </w:r>
    </w:p>
    <w:p w14:paraId="40DE47A5" w14:textId="77777777" w:rsidR="008B593C" w:rsidRPr="00522EC7" w:rsidRDefault="00D25CE7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  <w:r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Compared to the </w:t>
      </w:r>
      <w:r w:rsidR="00301F43" w:rsidRPr="00522EC7">
        <w:rPr>
          <w:szCs w:val="19"/>
          <w:lang w:val="en"/>
        </w:rPr>
        <w:t xml:space="preserve">fourth quarter </w:t>
      </w:r>
      <w:r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of 2020 </w:t>
      </w:r>
      <w:r w:rsidR="00301F43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was related to </w:t>
      </w:r>
      <w:proofErr w:type="spellStart"/>
      <w:r w:rsidR="0075006B" w:rsidRPr="00522EC7">
        <w:rPr>
          <w:rFonts w:eastAsia="Times New Roman" w:cs="Calibri"/>
          <w:szCs w:val="19"/>
          <w:lang w:eastAsia="pl-PL"/>
        </w:rPr>
        <w:t>rental</w:t>
      </w:r>
      <w:proofErr w:type="spellEnd"/>
      <w:r w:rsidR="0075006B" w:rsidRPr="00522EC7">
        <w:rPr>
          <w:rFonts w:eastAsia="Times New Roman" w:cs="Calibri"/>
          <w:szCs w:val="19"/>
          <w:lang w:eastAsia="pl-PL"/>
        </w:rPr>
        <w:t xml:space="preserve"> and leasing </w:t>
      </w:r>
      <w:proofErr w:type="spellStart"/>
      <w:r w:rsidR="0075006B" w:rsidRPr="00522EC7">
        <w:rPr>
          <w:rFonts w:eastAsia="Times New Roman" w:cs="Calibri"/>
          <w:szCs w:val="19"/>
          <w:lang w:eastAsia="pl-PL"/>
        </w:rPr>
        <w:t>activities</w:t>
      </w:r>
      <w:proofErr w:type="spellEnd"/>
      <w:r w:rsidR="0075006B" w:rsidRPr="00522EC7">
        <w:rPr>
          <w:rFonts w:eastAsia="Times New Roman" w:cs="Calibri"/>
          <w:szCs w:val="19"/>
          <w:lang w:eastAsia="pl-PL"/>
        </w:rPr>
        <w:t xml:space="preserve"> (by 10.8%), </w:t>
      </w:r>
      <w:r w:rsidR="0075006B" w:rsidRPr="00522EC7">
        <w:rPr>
          <w:rFonts w:eastAsia="Times New Roman" w:cs="Calibri"/>
          <w:szCs w:val="19"/>
          <w:lang w:val="en-US" w:eastAsia="pl-PL"/>
        </w:rPr>
        <w:t xml:space="preserve">travel agency, tour operator reservation service and related activities (by 9.8%) as well as </w:t>
      </w:r>
      <w:proofErr w:type="spellStart"/>
      <w:r w:rsidR="0075006B" w:rsidRPr="00522EC7">
        <w:rPr>
          <w:rFonts w:eastAsia="Times New Roman" w:cs="Calibri"/>
          <w:szCs w:val="19"/>
          <w:lang w:eastAsia="pl-PL"/>
        </w:rPr>
        <w:t>security</w:t>
      </w:r>
      <w:proofErr w:type="spellEnd"/>
      <w:r w:rsidR="0075006B" w:rsidRPr="00522EC7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="0075006B" w:rsidRPr="00522EC7">
        <w:rPr>
          <w:rFonts w:eastAsia="Times New Roman" w:cs="Calibri"/>
          <w:szCs w:val="19"/>
          <w:lang w:eastAsia="pl-PL"/>
        </w:rPr>
        <w:t>investigation</w:t>
      </w:r>
      <w:proofErr w:type="spellEnd"/>
      <w:r w:rsidR="0075006B" w:rsidRPr="00522EC7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75006B" w:rsidRPr="00522EC7">
        <w:rPr>
          <w:rFonts w:eastAsia="Times New Roman" w:cs="Calibri"/>
          <w:szCs w:val="19"/>
          <w:lang w:eastAsia="pl-PL"/>
        </w:rPr>
        <w:t>activities</w:t>
      </w:r>
      <w:proofErr w:type="spellEnd"/>
      <w:r w:rsidR="0075006B" w:rsidRPr="00522EC7">
        <w:rPr>
          <w:rFonts w:eastAsia="Times New Roman" w:cs="Calibri"/>
          <w:szCs w:val="19"/>
          <w:lang w:eastAsia="pl-PL"/>
        </w:rPr>
        <w:t xml:space="preserve"> (by 8.2%).</w:t>
      </w:r>
    </w:p>
    <w:p w14:paraId="2A6F618E" w14:textId="77777777" w:rsidR="00522EC7" w:rsidRDefault="008E5250" w:rsidP="00D25CE7">
      <w:pPr>
        <w:rPr>
          <w:rFonts w:eastAsia="Times New Roman" w:cs="Calibri"/>
          <w:szCs w:val="19"/>
          <w:lang w:val="en-US" w:eastAsia="pl-PL"/>
        </w:rPr>
      </w:pPr>
      <w:r>
        <w:rPr>
          <w:rFonts w:eastAsia="Fira Sans Light" w:cs="Times New Roman"/>
          <w:szCs w:val="19"/>
          <w:shd w:val="clear" w:color="auto" w:fill="FFFFFF"/>
          <w:lang w:val="en-US"/>
        </w:rPr>
        <w:t>On the other hand</w:t>
      </w:r>
      <w:r w:rsid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 t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>he d</w:t>
      </w:r>
      <w:r w:rsidR="0075006B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ecrease 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>in prices co</w:t>
      </w:r>
      <w:r w:rsidR="00D25CE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mpared to the 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>four</w:t>
      </w:r>
      <w:r w:rsidR="00D25CE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th quarter of 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>202</w:t>
      </w:r>
      <w:r>
        <w:rPr>
          <w:rFonts w:eastAsia="Fira Sans Light" w:cs="Times New Roman"/>
          <w:szCs w:val="19"/>
          <w:shd w:val="clear" w:color="auto" w:fill="FFFFFF"/>
          <w:lang w:val="en-US"/>
        </w:rPr>
        <w:t>0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 </w:t>
      </w:r>
      <w:r w:rsidR="00D25CE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was recorded in </w:t>
      </w:r>
      <w:r w:rsidR="00522EC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the </w:t>
      </w:r>
      <w:r w:rsidR="00D25CE7" w:rsidRPr="00522EC7">
        <w:rPr>
          <w:rFonts w:eastAsia="Fira Sans Light" w:cs="Times New Roman"/>
          <w:szCs w:val="19"/>
          <w:shd w:val="clear" w:color="auto" w:fill="FFFFFF"/>
          <w:lang w:val="en-US"/>
        </w:rPr>
        <w:t xml:space="preserve">case of </w:t>
      </w:r>
      <w:proofErr w:type="spellStart"/>
      <w:r w:rsidR="00522EC7" w:rsidRPr="00522EC7">
        <w:rPr>
          <w:rFonts w:eastAsia="Times New Roman" w:cs="Calibri"/>
          <w:szCs w:val="19"/>
          <w:lang w:eastAsia="pl-PL"/>
        </w:rPr>
        <w:t>programming</w:t>
      </w:r>
      <w:proofErr w:type="spellEnd"/>
      <w:r w:rsidR="00522EC7" w:rsidRPr="00522EC7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="00522EC7" w:rsidRPr="00522EC7">
        <w:rPr>
          <w:rFonts w:eastAsia="Times New Roman" w:cs="Calibri"/>
          <w:szCs w:val="19"/>
          <w:lang w:eastAsia="pl-PL"/>
        </w:rPr>
        <w:t>broadcasting</w:t>
      </w:r>
      <w:proofErr w:type="spellEnd"/>
      <w:r w:rsidR="00522EC7" w:rsidRPr="00522EC7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522EC7" w:rsidRPr="00522EC7">
        <w:rPr>
          <w:rFonts w:eastAsia="Times New Roman" w:cs="Calibri"/>
          <w:szCs w:val="19"/>
          <w:lang w:eastAsia="pl-PL"/>
        </w:rPr>
        <w:t>activities</w:t>
      </w:r>
      <w:proofErr w:type="spellEnd"/>
      <w:r w:rsidR="00522EC7" w:rsidRPr="00522EC7">
        <w:rPr>
          <w:rFonts w:eastAsia="Times New Roman" w:cs="Calibri"/>
          <w:szCs w:val="19"/>
          <w:lang w:eastAsia="pl-PL"/>
        </w:rPr>
        <w:t xml:space="preserve"> (by 8.5%) as </w:t>
      </w:r>
      <w:proofErr w:type="spellStart"/>
      <w:r w:rsidR="00522EC7" w:rsidRPr="00522EC7">
        <w:rPr>
          <w:rFonts w:eastAsia="Times New Roman" w:cs="Calibri"/>
          <w:szCs w:val="19"/>
          <w:lang w:eastAsia="pl-PL"/>
        </w:rPr>
        <w:t>well</w:t>
      </w:r>
      <w:proofErr w:type="spellEnd"/>
      <w:r w:rsidR="00522EC7" w:rsidRPr="00522EC7">
        <w:rPr>
          <w:rFonts w:eastAsia="Times New Roman" w:cs="Calibri"/>
          <w:szCs w:val="19"/>
          <w:lang w:eastAsia="pl-PL"/>
        </w:rPr>
        <w:t xml:space="preserve"> as </w:t>
      </w:r>
      <w:r w:rsidR="00522EC7" w:rsidRPr="00522EC7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="00522EC7" w:rsidRPr="00522EC7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522EC7" w:rsidRPr="00522EC7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 (by 1.3%).</w:t>
      </w:r>
    </w:p>
    <w:p w14:paraId="0DFE4B8C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6FA4EDDB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545ED03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06A248B6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1ACC1F93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3E3F962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7BE2FA2B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4DA42E18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E892CE8" w14:textId="77777777" w:rsidR="00E52A00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5F8C801E" w14:textId="77777777" w:rsidR="00E52A00" w:rsidRPr="00522EC7" w:rsidRDefault="00E52A00" w:rsidP="00D25CE7">
      <w:pPr>
        <w:rPr>
          <w:rFonts w:eastAsia="Fira Sans Light" w:cs="Times New Roman"/>
          <w:szCs w:val="19"/>
          <w:shd w:val="clear" w:color="auto" w:fill="FFFFFF"/>
          <w:lang w:val="en-US"/>
        </w:rPr>
      </w:pPr>
    </w:p>
    <w:p w14:paraId="2C1BF5D0" w14:textId="77777777" w:rsidR="00DD1C35" w:rsidRPr="00F169DD" w:rsidRDefault="00E52A00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 w:val="1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72BEDDB" wp14:editId="4B50D1BC">
            <wp:simplePos x="0" y="0"/>
            <wp:positionH relativeFrom="column">
              <wp:posOffset>0</wp:posOffset>
            </wp:positionH>
            <wp:positionV relativeFrom="paragraph">
              <wp:posOffset>574040</wp:posOffset>
            </wp:positionV>
            <wp:extent cx="5145405" cy="2486025"/>
            <wp:effectExtent l="0" t="0" r="0" b="9525"/>
            <wp:wrapTopAndBottom/>
            <wp:docPr id="15" name="Obraz 15" descr="Chart 1. Producer price changes of business services in 2018-2021 (the previous quarter = 100)&#10;&#10;The chart presents producer price changes of business services by quarters for 2018-2021, the previous quarter = 1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7"/>
                    <a:stretch/>
                  </pic:blipFill>
                  <pic:spPr bwMode="auto">
                    <a:xfrm>
                      <a:off x="0" y="0"/>
                      <a:ext cx="514540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A720DA" w:rsidRPr="00F169DD">
        <w:rPr>
          <w:b/>
          <w:spacing w:val="-2"/>
          <w:szCs w:val="19"/>
          <w:lang w:val="en-US"/>
        </w:rPr>
        <w:t>8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A720DA" w:rsidRPr="00F169DD">
        <w:rPr>
          <w:b/>
          <w:spacing w:val="-2"/>
          <w:szCs w:val="19"/>
          <w:lang w:val="en-US"/>
        </w:rPr>
        <w:t>1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47B1EA27" w14:textId="77777777" w:rsidR="00E52A00" w:rsidRDefault="00E52A00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14:paraId="0F70BFD9" w14:textId="77777777" w:rsidR="00DE4071" w:rsidRDefault="00DE4071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14:paraId="737CADF6" w14:textId="77777777"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14:paraId="112AB72C" w14:textId="77777777" w:rsidR="00CA1085" w:rsidRPr="004B6319" w:rsidRDefault="00CA1085" w:rsidP="00CA1085">
      <w:pPr>
        <w:ind w:left="851" w:hanging="851"/>
        <w:jc w:val="both"/>
        <w:rPr>
          <w:b/>
          <w:noProof/>
          <w:spacing w:val="-2"/>
          <w:szCs w:val="19"/>
          <w:shd w:val="clear" w:color="auto" w:fill="FFFFFF"/>
          <w:lang w:val="en-GB" w:eastAsia="pl-PL"/>
        </w:rPr>
      </w:pPr>
      <w:r w:rsidRPr="00F169DD">
        <w:rPr>
          <w:b/>
          <w:spacing w:val="-2"/>
          <w:szCs w:val="19"/>
          <w:lang w:val="en-US"/>
        </w:rPr>
        <w:t>Chart 2</w:t>
      </w:r>
      <w:r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 in 201</w:t>
      </w:r>
      <w:r w:rsidR="00A720DA" w:rsidRPr="00F169DD">
        <w:rPr>
          <w:b/>
          <w:spacing w:val="-2"/>
          <w:szCs w:val="19"/>
          <w:lang w:val="en-US"/>
        </w:rPr>
        <w:t>8</w:t>
      </w:r>
      <w:r w:rsidRPr="00F169DD">
        <w:rPr>
          <w:b/>
          <w:spacing w:val="-2"/>
          <w:szCs w:val="19"/>
          <w:lang w:val="en-US"/>
        </w:rPr>
        <w:t>-202</w:t>
      </w:r>
      <w:r w:rsidR="00A720DA" w:rsidRPr="00F169DD">
        <w:rPr>
          <w:b/>
          <w:spacing w:val="-2"/>
          <w:szCs w:val="19"/>
          <w:lang w:val="en-US"/>
        </w:rPr>
        <w:t>1</w:t>
      </w:r>
      <w:r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  <w:r w:rsidRPr="004B6319">
        <w:rPr>
          <w:b/>
          <w:spacing w:val="-2"/>
          <w:szCs w:val="19"/>
          <w:lang w:val="en-US"/>
        </w:rPr>
        <w:t xml:space="preserve"> </w:t>
      </w:r>
    </w:p>
    <w:p w14:paraId="2EC1CFC1" w14:textId="77777777" w:rsidR="006F6A29" w:rsidRPr="00A31FBE" w:rsidRDefault="00E52A00" w:rsidP="00A274DF">
      <w:pPr>
        <w:pStyle w:val="tytuwykresu"/>
        <w:rPr>
          <w:noProof/>
          <w:lang w:val="en-US" w:eastAsia="pl-PL"/>
        </w:rPr>
      </w:pPr>
      <w:r>
        <w:rPr>
          <w:noProof/>
          <w:lang w:val="en-US" w:eastAsia="pl-PL"/>
        </w:rPr>
        <w:drawing>
          <wp:anchor distT="0" distB="0" distL="114300" distR="114300" simplePos="0" relativeHeight="251663360" behindDoc="0" locked="0" layoutInCell="1" allowOverlap="1" wp14:anchorId="768AF7B4" wp14:editId="4C4DAF7F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5166360" cy="2700655"/>
            <wp:effectExtent l="0" t="0" r="0" b="4445"/>
            <wp:wrapTopAndBottom/>
            <wp:docPr id="18" name="Obraz 18" descr="Chart 2. Producer price changes of business services in 2018-2021 (corresponding period of the previous year = 100) &#10;&#10;The chart presents producer price changes of business services by quarters for 2018-2021, with corresponding period of previous year = 1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6"/>
                    <a:stretch/>
                  </pic:blipFill>
                  <pic:spPr bwMode="auto">
                    <a:xfrm>
                      <a:off x="0" y="0"/>
                      <a:ext cx="516636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BDE80" w14:textId="77777777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65A3C7F6" w14:textId="77777777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73B250C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130920CB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03BC0A5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77777777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78ABA18C" w14:textId="77777777"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6B617390" w14:textId="77777777"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4A1D19" w:rsidRDefault="00E645DA" w:rsidP="00150FC1">
            <w:pPr>
              <w:spacing w:before="0" w:after="0" w:line="276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lastRenderedPageBreak/>
              <w:t>Prepared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</w:p>
          <w:p w14:paraId="72779181" w14:textId="77777777" w:rsidR="00E645DA" w:rsidRPr="008925F0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E645DA" w:rsidRPr="008925F0">
              <w:rPr>
                <w:rFonts w:cs="Arial"/>
                <w:b/>
                <w:color w:val="000000" w:themeColor="text1"/>
                <w:sz w:val="20"/>
              </w:rPr>
              <w:t>Department</w:t>
            </w:r>
            <w:proofErr w:type="spellEnd"/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4A1D19" w:rsidRDefault="00E645DA" w:rsidP="00150FC1">
            <w:pPr>
              <w:spacing w:before="0" w:line="276" w:lineRule="auto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Issued</w:t>
            </w:r>
            <w:proofErr w:type="spellEnd"/>
            <w:r>
              <w:rPr>
                <w:rFonts w:cs="Arial"/>
                <w:sz w:val="20"/>
              </w:rPr>
              <w:t xml:space="preserve"> by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The </w:t>
            </w:r>
            <w:proofErr w:type="spellStart"/>
            <w:r w:rsidRPr="006C197A">
              <w:rPr>
                <w:rFonts w:cs="Arial"/>
                <w:b/>
                <w:sz w:val="20"/>
              </w:rPr>
              <w:t>Spokesperson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for the </w:t>
            </w:r>
            <w:proofErr w:type="spellStart"/>
            <w:r w:rsidRPr="006C197A">
              <w:rPr>
                <w:rFonts w:cs="Arial"/>
                <w:b/>
                <w:sz w:val="20"/>
              </w:rPr>
              <w:t>President</w:t>
            </w:r>
            <w:proofErr w:type="spellEnd"/>
            <w:r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 xml:space="preserve">of </w:t>
            </w:r>
            <w:proofErr w:type="spellStart"/>
            <w:r w:rsidRPr="006C197A">
              <w:rPr>
                <w:rFonts w:cs="Arial"/>
                <w:b/>
                <w:sz w:val="20"/>
              </w:rPr>
              <w:t>Statistics</w:t>
            </w:r>
            <w:proofErr w:type="spellEnd"/>
            <w:r w:rsidRPr="006C197A">
              <w:rPr>
                <w:rFonts w:cs="Arial"/>
                <w:b/>
                <w:sz w:val="20"/>
              </w:rPr>
              <w:t xml:space="preserve">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C91687" w:rsidRDefault="00E645DA" w:rsidP="00150F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Pr="00C91687">
              <w:rPr>
                <w:b/>
                <w:sz w:val="20"/>
              </w:rPr>
              <w:t xml:space="preserve"> </w:t>
            </w:r>
          </w:p>
          <w:p w14:paraId="25F5E5F4" w14:textId="77777777" w:rsidR="00E645DA" w:rsidRPr="00C91687" w:rsidRDefault="00E645DA" w:rsidP="00150FC1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(+48 22) 608 38 04</w:t>
            </w:r>
            <w:r w:rsidRPr="00C91687">
              <w:rPr>
                <w:sz w:val="20"/>
              </w:rPr>
              <w:t xml:space="preserve">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5B5285C2" wp14:editId="07E24F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0119EAD" wp14:editId="0F0101E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4B2D775" wp14:editId="4C0063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45F5B742" wp14:editId="7E843AA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31CC585E" wp14:editId="0766CD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0DDF54A0" wp14:editId="4BBE3A7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876479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876479" w:rsidRDefault="00F34E7D" w:rsidP="00150FC1">
            <w:pPr>
              <w:shd w:val="clear" w:color="auto" w:fill="D9D9D9" w:themeFill="background1" w:themeFillShade="D9"/>
              <w:rPr>
                <w:b/>
              </w:rPr>
            </w:pPr>
            <w:proofErr w:type="spellStart"/>
            <w:r>
              <w:rPr>
                <w:b/>
              </w:rPr>
              <w:t>Related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</w:t>
            </w:r>
            <w:proofErr w:type="spellEnd"/>
          </w:p>
          <w:p w14:paraId="51C590CF" w14:textId="77777777" w:rsidR="00F34E7D" w:rsidRPr="00F34E7D" w:rsidRDefault="0051332F" w:rsidP="00150FC1">
            <w:pPr>
              <w:rPr>
                <w:rFonts w:cs="Times New Roman"/>
              </w:rPr>
            </w:pPr>
            <w:hyperlink r:id="rId24" w:tooltip="Website address at news release Producer price indices for business services in the fourth quarter of 2021" w:history="1">
              <w:r w:rsidR="00F34E7D" w:rsidRPr="006561C7">
                <w:rPr>
                  <w:rStyle w:val="Hipercze"/>
                </w:rPr>
                <w:t>N</w:t>
              </w:r>
              <w:r w:rsidR="00F34E7D" w:rsidRPr="006561C7">
                <w:rPr>
                  <w:rStyle w:val="Hipercze"/>
                  <w:rFonts w:cstheme="minorBidi"/>
                </w:rPr>
                <w:t xml:space="preserve">ews </w:t>
              </w:r>
              <w:proofErr w:type="spellStart"/>
              <w:r w:rsidR="00F34E7D" w:rsidRPr="006561C7">
                <w:rPr>
                  <w:rStyle w:val="Hipercze"/>
                  <w:rFonts w:cstheme="minorBidi"/>
                </w:rPr>
                <w:t>releases</w:t>
              </w:r>
              <w:proofErr w:type="spellEnd"/>
            </w:hyperlink>
          </w:p>
          <w:p w14:paraId="235136FC" w14:textId="77777777" w:rsidR="00F34E7D" w:rsidRPr="006561C7" w:rsidRDefault="0051332F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0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694D63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 xml:space="preserve">Data </w:t>
            </w:r>
            <w:proofErr w:type="spellStart"/>
            <w:r>
              <w:rPr>
                <w:b/>
                <w:color w:val="000000" w:themeColor="text1"/>
                <w:szCs w:val="24"/>
              </w:rPr>
              <w:t>available</w:t>
            </w:r>
            <w:proofErr w:type="spellEnd"/>
            <w:r>
              <w:rPr>
                <w:b/>
                <w:color w:val="000000" w:themeColor="text1"/>
                <w:szCs w:val="24"/>
              </w:rPr>
              <w:t xml:space="preserve"> in </w:t>
            </w:r>
            <w:proofErr w:type="spellStart"/>
            <w:r>
              <w:rPr>
                <w:b/>
                <w:color w:val="000000" w:themeColor="text1"/>
                <w:szCs w:val="24"/>
              </w:rPr>
              <w:t>databases</w:t>
            </w:r>
            <w:proofErr w:type="spellEnd"/>
          </w:p>
          <w:p w14:paraId="0E5A2C5E" w14:textId="77777777" w:rsidR="005272DF" w:rsidRPr="005272DF" w:rsidRDefault="0051332F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77777777" w:rsidR="005272DF" w:rsidRPr="005272DF" w:rsidRDefault="0051332F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Prices, Trade)</w:t>
              </w:r>
            </w:hyperlink>
          </w:p>
          <w:p w14:paraId="197CD71C" w14:textId="77777777" w:rsidR="005272DF" w:rsidRPr="005272DF" w:rsidRDefault="005272DF" w:rsidP="005272DF">
            <w:pPr>
              <w:rPr>
                <w:color w:val="000000" w:themeColor="text1"/>
                <w:szCs w:val="24"/>
              </w:rPr>
            </w:pPr>
          </w:p>
          <w:p w14:paraId="65550AB0" w14:textId="77777777" w:rsidR="00F34E7D" w:rsidRPr="00694D63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proofErr w:type="spellStart"/>
            <w:r>
              <w:rPr>
                <w:b/>
                <w:color w:val="000000" w:themeColor="text1"/>
                <w:szCs w:val="24"/>
              </w:rPr>
              <w:t>Terms</w:t>
            </w:r>
            <w:proofErr w:type="spellEnd"/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Cs w:val="24"/>
              </w:rPr>
              <w:t>used</w:t>
            </w:r>
            <w:proofErr w:type="spellEnd"/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Cs w:val="24"/>
              </w:rPr>
              <w:t>inn</w:t>
            </w:r>
            <w:proofErr w:type="spellEnd"/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Cs w:val="24"/>
              </w:rPr>
              <w:t>official</w:t>
            </w:r>
            <w:proofErr w:type="spellEnd"/>
            <w:r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Cs w:val="24"/>
              </w:rPr>
              <w:t>statistics</w:t>
            </w:r>
            <w:proofErr w:type="spellEnd"/>
          </w:p>
          <w:p w14:paraId="0A87E0A7" w14:textId="77777777" w:rsidR="00F34E7D" w:rsidRDefault="0051332F" w:rsidP="00150FC1">
            <w:pPr>
              <w:rPr>
                <w:rFonts w:cs="Times New Roman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5272DF">
                <w:rPr>
                  <w:rStyle w:val="Hipercze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5E27C26" w14:textId="77777777"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  <w:bookmarkStart w:id="0" w:name="_GoBack"/>
      <w:bookmarkEnd w:id="0"/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22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2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CDD34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79BAE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77777777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163AEE4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0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77777777"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299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0.03.202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FaqmZQ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77777777"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299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7BC"/>
    <w:rsid w:val="003F4942"/>
    <w:rsid w:val="003F4C97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DD1"/>
    <w:rsid w:val="007146B8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199"/>
    <w:rsid w:val="00727FDF"/>
    <w:rsid w:val="00730A13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0DF3"/>
    <w:rsid w:val="007A1453"/>
    <w:rsid w:val="007A1B2C"/>
    <w:rsid w:val="007A2DC1"/>
    <w:rsid w:val="007A2FC3"/>
    <w:rsid w:val="007A4CA3"/>
    <w:rsid w:val="007A5C42"/>
    <w:rsid w:val="007B099F"/>
    <w:rsid w:val="007B0EB1"/>
    <w:rsid w:val="007B1231"/>
    <w:rsid w:val="007B249E"/>
    <w:rsid w:val="007B2FB4"/>
    <w:rsid w:val="007B36FC"/>
    <w:rsid w:val="007B39AB"/>
    <w:rsid w:val="007B41C0"/>
    <w:rsid w:val="007B4243"/>
    <w:rsid w:val="007B68C0"/>
    <w:rsid w:val="007B7184"/>
    <w:rsid w:val="007C031F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4482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844"/>
    <w:rsid w:val="00A65DA4"/>
    <w:rsid w:val="00A66FC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5DB"/>
    <w:rsid w:val="00BE4727"/>
    <w:rsid w:val="00BE6C16"/>
    <w:rsid w:val="00BF0329"/>
    <w:rsid w:val="00BF1A84"/>
    <w:rsid w:val="00BF1BFB"/>
    <w:rsid w:val="00BF2ECA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B40"/>
    <w:rsid w:val="00DC5A13"/>
    <w:rsid w:val="00DC6460"/>
    <w:rsid w:val="00DC6708"/>
    <w:rsid w:val="00DC6731"/>
    <w:rsid w:val="00DD15E4"/>
    <w:rsid w:val="00DD1C35"/>
    <w:rsid w:val="00DD2846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4869"/>
    <w:rsid w:val="00E453DC"/>
    <w:rsid w:val="00E4569E"/>
    <w:rsid w:val="00E46D59"/>
    <w:rsid w:val="00E4714C"/>
    <w:rsid w:val="00E5089A"/>
    <w:rsid w:val="00E511E4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8B3"/>
    <w:rsid w:val="00E620BA"/>
    <w:rsid w:val="00E63C1B"/>
    <w:rsid w:val="00E645DA"/>
    <w:rsid w:val="00E64FFD"/>
    <w:rsid w:val="00E658E6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0,2,1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2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082E1-97F9-471F-9079-BC473C90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2021-03-08T11:57:00Z</dcterms:created>
  <dcterms:modified xsi:type="dcterms:W3CDTF">2022-03-09T10:39:00Z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