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5D9" w14:textId="234AF6E4" w:rsidR="00393761" w:rsidRPr="00A32B2E" w:rsidRDefault="00535A5A" w:rsidP="00F049AB">
      <w:pPr>
        <w:pStyle w:val="Tytuinfomacjisygnalnej"/>
        <w:rPr>
          <w:lang w:val="en-GB"/>
        </w:rPr>
      </w:pPr>
      <w:r w:rsidRPr="003028BF">
        <w:rPr>
          <w:noProof/>
          <w:color w:val="001D77"/>
          <w:spacing w:val="-2"/>
          <w:lang w:eastAsia="pl-PL"/>
        </w:rPr>
        <mc:AlternateContent>
          <mc:Choice Requires="wps">
            <w:drawing>
              <wp:anchor distT="45720" distB="45720" distL="114300" distR="114300" simplePos="0" relativeHeight="251738112" behindDoc="0" locked="0" layoutInCell="1" allowOverlap="1" wp14:anchorId="4BD95B26" wp14:editId="07877544">
                <wp:simplePos x="0" y="0"/>
                <wp:positionH relativeFrom="margin">
                  <wp:posOffset>0</wp:posOffset>
                </wp:positionH>
                <wp:positionV relativeFrom="paragraph">
                  <wp:posOffset>719925</wp:posOffset>
                </wp:positionV>
                <wp:extent cx="2057400" cy="1390650"/>
                <wp:effectExtent l="0" t="0" r="0" b="0"/>
                <wp:wrapSquare wrapText="bothSides"/>
                <wp:docPr id="6" name="Pole tekstowe 2" descr="Spadek liczby wolnych miejsc pracy w stosunku do końca trzeciego kwartału 2021 r. o 10,5%" title="Lea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90650"/>
                        </a:xfrm>
                        <a:prstGeom prst="roundRect">
                          <a:avLst/>
                        </a:prstGeom>
                        <a:solidFill>
                          <a:srgbClr val="001D77"/>
                        </a:solidFill>
                        <a:ln w="9525">
                          <a:noFill/>
                          <a:miter lim="800000"/>
                          <a:headEnd/>
                          <a:tailEnd/>
                        </a:ln>
                      </wps:spPr>
                      <wps:txbx>
                        <w:txbxContent>
                          <w:p w14:paraId="59EA20B8" w14:textId="5F907785" w:rsidR="00B70B77" w:rsidRPr="007D605C" w:rsidRDefault="00B70B77"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A32B2E">
                              <w:rPr>
                                <w:rStyle w:val="IkonawskanikaZnak"/>
                                <w:sz w:val="72"/>
                                <w:szCs w:val="72"/>
                              </w:rPr>
                              <w:sym w:font="Wingdings" w:char="F0F2"/>
                            </w:r>
                            <w:r w:rsidRPr="00A32B2E">
                              <w:rPr>
                                <w:rFonts w:ascii="Fira Sans SemiBold" w:hAnsi="Fira Sans SemiBold"/>
                                <w:color w:val="FFFFFF" w:themeColor="background1"/>
                                <w:sz w:val="72"/>
                                <w:szCs w:val="72"/>
                              </w:rPr>
                              <w:t xml:space="preserve"> </w:t>
                            </w:r>
                            <w:r w:rsidRPr="00A32B2E">
                              <w:rPr>
                                <w:rStyle w:val="WartowskanikaZnak"/>
                                <w:sz w:val="72"/>
                                <w:szCs w:val="72"/>
                              </w:rPr>
                              <w:t>10</w:t>
                            </w:r>
                            <w:r w:rsidR="00136F00">
                              <w:rPr>
                                <w:rStyle w:val="WartowskanikaZnak"/>
                                <w:sz w:val="72"/>
                                <w:szCs w:val="72"/>
                              </w:rPr>
                              <w:t>.</w:t>
                            </w:r>
                            <w:r w:rsidRPr="00A32B2E">
                              <w:rPr>
                                <w:rStyle w:val="WartowskanikaZnak"/>
                                <w:sz w:val="72"/>
                                <w:szCs w:val="72"/>
                              </w:rPr>
                              <w:t>5%</w:t>
                            </w:r>
                          </w:p>
                          <w:p w14:paraId="43C5835F" w14:textId="77777777" w:rsidR="004F5F74" w:rsidRPr="004F5F74" w:rsidRDefault="004F5F74" w:rsidP="004F5F74">
                            <w:pPr>
                              <w:pStyle w:val="Opiswskanika"/>
                              <w:rPr>
                                <w:lang w:val="en-GB"/>
                              </w:rPr>
                            </w:pPr>
                            <w:r w:rsidRPr="004F5F74">
                              <w:rPr>
                                <w:lang w:val="en-GB"/>
                              </w:rPr>
                              <w:t xml:space="preserve">Decrease in the number of job vacancies compared to the end of the third quarter </w:t>
                            </w:r>
                          </w:p>
                          <w:p w14:paraId="05F6068B" w14:textId="0B4DB419" w:rsidR="00B70B77" w:rsidRPr="00A32B2E" w:rsidRDefault="004F5F74" w:rsidP="004F5F74">
                            <w:pPr>
                              <w:pStyle w:val="Opiswskanika"/>
                              <w:rPr>
                                <w:sz w:val="18"/>
                                <w:szCs w:val="20"/>
                                <w:lang w:val="en-GB"/>
                              </w:rPr>
                            </w:pPr>
                            <w:r w:rsidRPr="004F5F74">
                              <w:rPr>
                                <w:lang w:val="en-GB"/>
                              </w:rPr>
                              <w:t>of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BD95B26" id="Pole tekstowe 2" o:spid="_x0000_s1026" alt="Tytuł: Lead  — opis: Spadek liczby wolnych miejsc pracy w stosunku do końca trzeciego kwartału 2021 r. o 10,5%" style="position:absolute;margin-left:0;margin-top:56.7pt;width:162pt;height:109.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" fillcolor="#001d77" stroked="f">
                <v:stroke joinstyle="miter"/>
                <v:textbox>
                  <w:txbxContent>
                    <w:p w14:paraId="59EA20B8" w14:textId="5F907785" w:rsidR="00B70B77" w:rsidRPr="007D605C" w:rsidRDefault="00B70B77"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A32B2E">
                        <w:rPr>
                          <w:rStyle w:val="IkonawskanikaZnak"/>
                          <w:sz w:val="72"/>
                          <w:szCs w:val="72"/>
                        </w:rPr>
                        <w:sym w:font="Wingdings" w:char="F0F2"/>
                      </w:r>
                      <w:r w:rsidRPr="00A32B2E">
                        <w:rPr>
                          <w:rFonts w:ascii="Fira Sans SemiBold" w:hAnsi="Fira Sans SemiBold"/>
                          <w:color w:val="FFFFFF" w:themeColor="background1"/>
                          <w:sz w:val="72"/>
                          <w:szCs w:val="72"/>
                        </w:rPr>
                        <w:t xml:space="preserve"> </w:t>
                      </w:r>
                      <w:r w:rsidRPr="00A32B2E">
                        <w:rPr>
                          <w:rStyle w:val="WartowskanikaZnak"/>
                          <w:sz w:val="72"/>
                          <w:szCs w:val="72"/>
                        </w:rPr>
                        <w:t>10</w:t>
                      </w:r>
                      <w:r w:rsidR="00136F00">
                        <w:rPr>
                          <w:rStyle w:val="WartowskanikaZnak"/>
                          <w:sz w:val="72"/>
                          <w:szCs w:val="72"/>
                        </w:rPr>
                        <w:t>.</w:t>
                      </w:r>
                      <w:r w:rsidRPr="00A32B2E">
                        <w:rPr>
                          <w:rStyle w:val="WartowskanikaZnak"/>
                          <w:sz w:val="72"/>
                          <w:szCs w:val="72"/>
                        </w:rPr>
                        <w:t>5%</w:t>
                      </w:r>
                    </w:p>
                    <w:p w14:paraId="43C5835F" w14:textId="77777777" w:rsidR="004F5F74" w:rsidRPr="004F5F74" w:rsidRDefault="004F5F74" w:rsidP="004F5F74">
                      <w:pPr>
                        <w:pStyle w:val="Opiswskanika"/>
                        <w:rPr>
                          <w:lang w:val="en-GB"/>
                        </w:rPr>
                      </w:pPr>
                      <w:r w:rsidRPr="004F5F74">
                        <w:rPr>
                          <w:lang w:val="en-GB"/>
                        </w:rPr>
                        <w:t xml:space="preserve">Decrease in the number of job vacancies compared to the end of the third quarter </w:t>
                      </w:r>
                    </w:p>
                    <w:p w14:paraId="05F6068B" w14:textId="0B4DB419" w:rsidR="00B70B77" w:rsidRPr="00A32B2E" w:rsidRDefault="004F5F74" w:rsidP="004F5F74">
                      <w:pPr>
                        <w:pStyle w:val="Opiswskanika"/>
                        <w:rPr>
                          <w:sz w:val="18"/>
                          <w:szCs w:val="20"/>
                          <w:lang w:val="en-GB"/>
                        </w:rPr>
                      </w:pPr>
                      <w:r w:rsidRPr="004F5F74">
                        <w:rPr>
                          <w:lang w:val="en-GB"/>
                        </w:rPr>
                        <w:t>of 2021</w:t>
                      </w:r>
                    </w:p>
                  </w:txbxContent>
                </v:textbox>
                <w10:wrap type="square" anchorx="margin"/>
              </v:roundrect>
            </w:pict>
          </mc:Fallback>
        </mc:AlternateContent>
      </w:r>
      <w:r w:rsidR="00A32B2E" w:rsidRPr="00A32B2E">
        <w:rPr>
          <w:lang w:val="en-GB"/>
        </w:rPr>
        <w:t xml:space="preserve">The demand for labour in the </w:t>
      </w:r>
      <w:r w:rsidR="00B70B77">
        <w:rPr>
          <w:lang w:val="en-GB"/>
        </w:rPr>
        <w:t xml:space="preserve">fourth </w:t>
      </w:r>
      <w:r w:rsidR="00A32B2E" w:rsidRPr="00A32B2E">
        <w:rPr>
          <w:lang w:val="en-GB"/>
        </w:rPr>
        <w:t>quarter of 2021</w:t>
      </w:r>
    </w:p>
    <w:p w14:paraId="1EF9D939" w14:textId="71F44BF3" w:rsidR="00DE58F1" w:rsidRPr="00695261" w:rsidRDefault="00695261" w:rsidP="00695261">
      <w:pPr>
        <w:pStyle w:val="Lead"/>
        <w:rPr>
          <w:spacing w:val="-2"/>
        </w:rPr>
      </w:pPr>
      <w:r>
        <w:rPr>
          <w:spacing w:val="-2"/>
        </w:rPr>
        <w:t xml:space="preserve">At </w:t>
      </w:r>
      <w:r w:rsidRPr="00695261">
        <w:rPr>
          <w:spacing w:val="-2"/>
        </w:rPr>
        <w:t>the end of the fourth quarter of 2021, there were 137.4 thousand job vacancies in Poland, 62.8% more than in the</w:t>
      </w:r>
      <w:r>
        <w:rPr>
          <w:spacing w:val="-2"/>
        </w:rPr>
        <w:t xml:space="preserve"> corresponding period of 2020. </w:t>
      </w:r>
      <w:r w:rsidRPr="00695261">
        <w:rPr>
          <w:spacing w:val="-2"/>
        </w:rPr>
        <w:t>During the fourth quarter, an annual increase (over 20%) in both the number of newly created jobs and liquidate</w:t>
      </w:r>
      <w:r>
        <w:rPr>
          <w:spacing w:val="-2"/>
        </w:rPr>
        <w:t xml:space="preserve">d jobs also occurred. </w:t>
      </w:r>
      <w:r w:rsidRPr="00695261">
        <w:rPr>
          <w:spacing w:val="-2"/>
        </w:rPr>
        <w:t>In the fourth quarter of 2021, there were 1.7 newly created jobs per liquidated job.</w:t>
      </w:r>
    </w:p>
    <w:p w14:paraId="365E249B" w14:textId="77777777" w:rsidR="005A6B50" w:rsidRDefault="005A6B50" w:rsidP="003028BF">
      <w:pPr>
        <w:rPr>
          <w:szCs w:val="19"/>
        </w:rPr>
      </w:pPr>
    </w:p>
    <w:p w14:paraId="72AA5A89" w14:textId="77777777" w:rsidR="00535A5A" w:rsidRPr="000D1A42" w:rsidRDefault="00535A5A" w:rsidP="003028BF">
      <w:pPr>
        <w:rPr>
          <w:szCs w:val="19"/>
        </w:rPr>
      </w:pPr>
    </w:p>
    <w:p w14:paraId="7001BDBD" w14:textId="0499DF63" w:rsidR="005A6B50" w:rsidRPr="005A6B50" w:rsidRDefault="00A8293D" w:rsidP="005A6B50">
      <w:pPr>
        <w:pStyle w:val="LID"/>
        <w:rPr>
          <w:b w:val="0"/>
          <w:color w:val="000000"/>
          <w:lang w:val="en-GB"/>
        </w:rPr>
      </w:pPr>
      <w:r>
        <w:rPr>
          <w:b w:val="0"/>
          <w:color w:val="000000"/>
          <w:lang w:val="en-GB"/>
        </w:rPr>
        <w:t xml:space="preserve">The </w:t>
      </w:r>
      <w:r w:rsidRPr="00A8293D">
        <w:rPr>
          <w:b w:val="0"/>
          <w:color w:val="000000"/>
          <w:lang w:val="en-GB"/>
        </w:rPr>
        <w:t xml:space="preserve">Labour Demand Survey is conducted using the representative method on a quarterly basis, on the Z–05 reporting form. It covers national economy entities employing at least one person. In the fourth quarter of 2021, private sector entities accounted for 91.0% of the covered population. In terms of size expressed by the number of employed persons, the most numerous were entities with up to 9 employed persons (68.6% of the total number), but in these entities, there were less than one fifth of all occupied jobs. Most of employed persons </w:t>
      </w:r>
      <w:r w:rsidR="00535A5A">
        <w:rPr>
          <w:b w:val="0"/>
          <w:color w:val="000000"/>
          <w:lang w:val="en-GB"/>
        </w:rPr>
        <w:t>–</w:t>
      </w:r>
      <w:r w:rsidRPr="00A8293D">
        <w:rPr>
          <w:b w:val="0"/>
          <w:color w:val="000000"/>
          <w:lang w:val="en-GB"/>
        </w:rPr>
        <w:t xml:space="preserve"> 59.6% </w:t>
      </w:r>
      <w:r w:rsidR="00535A5A">
        <w:rPr>
          <w:b w:val="0"/>
          <w:color w:val="000000"/>
          <w:lang w:val="en-GB"/>
        </w:rPr>
        <w:t>–</w:t>
      </w:r>
      <w:r w:rsidRPr="00A8293D">
        <w:rPr>
          <w:b w:val="0"/>
          <w:color w:val="000000"/>
          <w:lang w:val="en-GB"/>
        </w:rPr>
        <w:t xml:space="preserve"> were related to entities with 50 or more employed persons. As in the previous quarters, in the fourth quarter of 2021 around three quarters of employed persons worked in entities belonging to the private sector.</w:t>
      </w:r>
    </w:p>
    <w:p w14:paraId="752300D7" w14:textId="77777777" w:rsidR="00A66DB6" w:rsidRPr="00535A5A" w:rsidRDefault="00A66DB6" w:rsidP="00A66DB6">
      <w:pPr>
        <w:rPr>
          <w:color w:val="000000"/>
          <w:lang w:val="en-GB"/>
        </w:rPr>
      </w:pPr>
      <w:r w:rsidRPr="00535A5A">
        <w:rPr>
          <w:color w:val="000000"/>
          <w:lang w:val="en-GB"/>
        </w:rPr>
        <w:t>At the end of the fourth quarter of 2021, 5.8% out of 626.0 thousand economic entities had job vacancies (1.6 percentage points more than in the corresponding period of 2020). Among entities that had job vacancies, 85.1% were private sector entities, and 53.0% were the smallest entities (up to 9 employed persons).</w:t>
      </w:r>
    </w:p>
    <w:p w14:paraId="1AC64459" w14:textId="2BAEF4DB" w:rsidR="00832607" w:rsidRPr="00832607" w:rsidRDefault="005A6B50" w:rsidP="00832607">
      <w:pPr>
        <w:pStyle w:val="LID"/>
        <w:rPr>
          <w:b w:val="0"/>
          <w:color w:val="000000"/>
          <w:lang w:val="en-GB"/>
        </w:rPr>
      </w:pPr>
      <w:r w:rsidRPr="00136F00">
        <w:rPr>
          <w:b w:val="0"/>
        </w:rPr>
        <mc:AlternateContent>
          <mc:Choice Requires="wps">
            <w:drawing>
              <wp:anchor distT="0" distB="0" distL="114300" distR="114300" simplePos="0" relativeHeight="251771904" behindDoc="0" locked="0" layoutInCell="1" allowOverlap="1" wp14:anchorId="1D52B27E" wp14:editId="5A8F864F">
                <wp:simplePos x="0" y="0"/>
                <wp:positionH relativeFrom="page">
                  <wp:posOffset>5674995</wp:posOffset>
                </wp:positionH>
                <wp:positionV relativeFrom="paragraph">
                  <wp:posOffset>652780</wp:posOffset>
                </wp:positionV>
                <wp:extent cx="1807210" cy="1246094"/>
                <wp:effectExtent l="0" t="0" r="0" b="0"/>
                <wp:wrapNone/>
                <wp:docPr id="7" name="Text Box 23" descr="In Poland, in the fourth quar-ter of 2021, the job vacancy rate was 1.12% and was higher than a year ago but lower than in the previous quarter of 2021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246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CA3E" w14:textId="2CEECEB6" w:rsidR="00B70B77" w:rsidRPr="00556C60" w:rsidRDefault="00455067" w:rsidP="000C70C5">
                            <w:pPr>
                              <w:spacing w:before="0"/>
                              <w:rPr>
                                <w:bCs/>
                                <w:color w:val="001D77"/>
                                <w:sz w:val="18"/>
                                <w:szCs w:val="18"/>
                                <w:lang w:val="en-GB"/>
                              </w:rPr>
                            </w:pPr>
                            <w:r w:rsidRPr="00455067">
                              <w:rPr>
                                <w:bCs/>
                                <w:color w:val="001D77"/>
                                <w:sz w:val="18"/>
                                <w:szCs w:val="18"/>
                                <w:lang w:val="en-GB"/>
                              </w:rPr>
                              <w:t xml:space="preserve">In Poland, in the fourth </w:t>
                            </w:r>
                            <w:proofErr w:type="spellStart"/>
                            <w:r w:rsidRPr="00455067">
                              <w:rPr>
                                <w:bCs/>
                                <w:color w:val="001D77"/>
                                <w:sz w:val="18"/>
                                <w:szCs w:val="18"/>
                                <w:lang w:val="en-GB"/>
                              </w:rPr>
                              <w:t>quar-ter</w:t>
                            </w:r>
                            <w:proofErr w:type="spellEnd"/>
                            <w:r w:rsidRPr="00455067">
                              <w:rPr>
                                <w:bCs/>
                                <w:color w:val="001D77"/>
                                <w:sz w:val="18"/>
                                <w:szCs w:val="18"/>
                                <w:lang w:val="en-GB"/>
                              </w:rPr>
                              <w:t xml:space="preserve"> of 2021, the job vacancy rate was 1.12% and was higher than a year ago but lower than in the previous quarter of 2021</w:t>
                            </w:r>
                            <w:r w:rsidR="00B70B77" w:rsidRPr="00556C60">
                              <w:rPr>
                                <w:bCs/>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B27E" id="_x0000_t202" coordsize="21600,21600" o:spt="202" path="m,l,21600r21600,l21600,xe">
                <v:stroke joinstyle="miter"/>
                <v:path gradientshapeok="t" o:connecttype="rect"/>
              </v:shapetype>
              <v:shape id="Text Box 23" o:spid="_x0000_s1027" type="#_x0000_t202" alt="In Poland, in the fourth quar-ter of 2021, the job vacancy rate was 1.12% and was higher than a year ago but lower than in the previous quarter of 2021 " style="position:absolute;margin-left:446.85pt;margin-top:51.4pt;width:142.3pt;height:98.1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" filled="f" stroked="f">
                <v:textbox>
                  <w:txbxContent>
                    <w:p w14:paraId="3A64CA3E" w14:textId="2CEECEB6" w:rsidR="00B70B77" w:rsidRPr="00556C60" w:rsidRDefault="00455067" w:rsidP="000C70C5">
                      <w:pPr>
                        <w:spacing w:before="0"/>
                        <w:rPr>
                          <w:bCs/>
                          <w:color w:val="001D77"/>
                          <w:sz w:val="18"/>
                          <w:szCs w:val="18"/>
                          <w:lang w:val="en-GB"/>
                        </w:rPr>
                      </w:pPr>
                      <w:r w:rsidRPr="00455067">
                        <w:rPr>
                          <w:bCs/>
                          <w:color w:val="001D77"/>
                          <w:sz w:val="18"/>
                          <w:szCs w:val="18"/>
                          <w:lang w:val="en-GB"/>
                        </w:rPr>
                        <w:t xml:space="preserve">In Poland, in the fourth </w:t>
                      </w:r>
                      <w:proofErr w:type="spellStart"/>
                      <w:r w:rsidRPr="00455067">
                        <w:rPr>
                          <w:bCs/>
                          <w:color w:val="001D77"/>
                          <w:sz w:val="18"/>
                          <w:szCs w:val="18"/>
                          <w:lang w:val="en-GB"/>
                        </w:rPr>
                        <w:t>quar-ter</w:t>
                      </w:r>
                      <w:proofErr w:type="spellEnd"/>
                      <w:r w:rsidRPr="00455067">
                        <w:rPr>
                          <w:bCs/>
                          <w:color w:val="001D77"/>
                          <w:sz w:val="18"/>
                          <w:szCs w:val="18"/>
                          <w:lang w:val="en-GB"/>
                        </w:rPr>
                        <w:t xml:space="preserve"> of 2021, the job vacancy rate was 1.12% and was higher than a year ago but lower than in the previous quarter of 2021</w:t>
                      </w:r>
                      <w:r w:rsidR="00B70B77" w:rsidRPr="00556C60">
                        <w:rPr>
                          <w:bCs/>
                          <w:color w:val="001D77"/>
                          <w:sz w:val="18"/>
                          <w:szCs w:val="18"/>
                          <w:lang w:val="en-GB"/>
                        </w:rPr>
                        <w:t xml:space="preserve"> </w:t>
                      </w:r>
                    </w:p>
                  </w:txbxContent>
                </v:textbox>
                <w10:wrap anchorx="page"/>
              </v:shape>
            </w:pict>
          </mc:Fallback>
        </mc:AlternateContent>
      </w:r>
      <w:r w:rsidR="00832607">
        <w:rPr>
          <w:b w:val="0"/>
          <w:color w:val="000000"/>
          <w:lang w:val="en-GB"/>
        </w:rPr>
        <w:t xml:space="preserve">Compared </w:t>
      </w:r>
      <w:r w:rsidR="00832607" w:rsidRPr="00832607">
        <w:rPr>
          <w:b w:val="0"/>
          <w:color w:val="000000"/>
          <w:lang w:val="en-GB"/>
        </w:rPr>
        <w:t>to the corresponding period of 2020, there was an increase in the number of job vacancies, the number of newly created jobs, but also an increase in the number of liquidated jobs. However, it should be emphasised that in the fourth quarter of 2021 the number of newly created jobs was still higher than the number of liquidated jobs.</w:t>
      </w:r>
    </w:p>
    <w:p w14:paraId="3300AA45" w14:textId="610D9DDF" w:rsidR="00EC537A" w:rsidRDefault="00EC537A" w:rsidP="00832607">
      <w:pPr>
        <w:pStyle w:val="LID"/>
        <w:rPr>
          <w:b w:val="0"/>
          <w:color w:val="000000"/>
          <w:lang w:val="en-GB"/>
        </w:rPr>
      </w:pPr>
    </w:p>
    <w:p w14:paraId="04E14997" w14:textId="77777777" w:rsidR="000B649F" w:rsidRPr="00C865B1" w:rsidRDefault="000B649F" w:rsidP="000B649F">
      <w:pPr>
        <w:pStyle w:val="LID"/>
        <w:spacing w:before="0"/>
      </w:pPr>
      <w:r>
        <w:t>Table</w:t>
      </w:r>
      <w:r w:rsidRPr="00C865B1">
        <w:t xml:space="preserve"> 1.</w:t>
      </w:r>
      <w:r>
        <w:rPr>
          <w:shd w:val="clear" w:color="auto" w:fill="FFFFFF"/>
        </w:rPr>
        <w:t xml:space="preserve"> </w:t>
      </w:r>
      <w:r w:rsidRPr="009401F6">
        <w:rPr>
          <w:shd w:val="clear" w:color="auto" w:fill="FFFFFF"/>
        </w:rPr>
        <w:t>Basic results of the Labour Deman</w:t>
      </w:r>
      <w:r>
        <w:rPr>
          <w:shd w:val="clear" w:color="auto" w:fill="FFFFFF"/>
        </w:rPr>
        <w:t>d Survey</w:t>
      </w:r>
    </w:p>
    <w:tbl>
      <w:tblPr>
        <w:tblStyle w:val="Firasans"/>
        <w:tblpPr w:leftFromText="141" w:rightFromText="141" w:vertAnchor="text" w:horzAnchor="margin" w:tblpY="-11"/>
        <w:tblW w:w="0" w:type="auto"/>
        <w:tblBorders>
          <w:top w:val="single" w:sz="4" w:space="0" w:color="001D77"/>
        </w:tblBorders>
        <w:tblLayout w:type="fixed"/>
        <w:tblLook w:val="04A0" w:firstRow="1" w:lastRow="0" w:firstColumn="1" w:lastColumn="0" w:noHBand="0" w:noVBand="1"/>
        <w:tblCaption w:val="Tablica 1. Podstawowe wyniki badania Popytu na pracę "/>
        <w:tblDescription w:val="Period:since quarter 4 2020 to 4 quarter 2021"/>
      </w:tblPr>
      <w:tblGrid>
        <w:gridCol w:w="1701"/>
        <w:gridCol w:w="1060"/>
        <w:gridCol w:w="1060"/>
        <w:gridCol w:w="1060"/>
        <w:gridCol w:w="1060"/>
        <w:gridCol w:w="1060"/>
        <w:gridCol w:w="1061"/>
      </w:tblGrid>
      <w:tr w:rsidR="000B649F" w:rsidRPr="00535A5A" w14:paraId="4D7BD2BA" w14:textId="77777777" w:rsidTr="00747AA0">
        <w:trPr>
          <w:trHeight w:val="66"/>
        </w:trPr>
        <w:tc>
          <w:tcPr>
            <w:tcW w:w="1701" w:type="dxa"/>
            <w:vMerge w:val="restart"/>
            <w:vAlign w:val="center"/>
          </w:tcPr>
          <w:p w14:paraId="51D0D522" w14:textId="77777777" w:rsidR="000B649F" w:rsidRPr="00535A5A" w:rsidRDefault="000B649F" w:rsidP="00747AA0">
            <w:pPr>
              <w:spacing w:before="20" w:after="20"/>
              <w:jc w:val="center"/>
              <w:rPr>
                <w:rFonts w:eastAsia="Times New Roman"/>
                <w:szCs w:val="19"/>
                <w:lang w:val="en-GB"/>
              </w:rPr>
            </w:pPr>
            <w:r w:rsidRPr="00535A5A">
              <w:rPr>
                <w:rFonts w:eastAsia="Times New Roman"/>
                <w:szCs w:val="19"/>
                <w:lang w:val="en-GB"/>
              </w:rPr>
              <w:t>QUARTERS</w:t>
            </w:r>
          </w:p>
          <w:p w14:paraId="538D6ACB" w14:textId="24625790" w:rsidR="000B649F" w:rsidRPr="00535A5A" w:rsidRDefault="000B649F" w:rsidP="00535A5A">
            <w:pPr>
              <w:spacing w:before="20" w:after="20" w:line="220" w:lineRule="exact"/>
              <w:ind w:left="354" w:hanging="297"/>
              <w:rPr>
                <w:rFonts w:eastAsia="Times New Roman"/>
                <w:szCs w:val="19"/>
                <w:lang w:val="en-GB"/>
              </w:rPr>
            </w:pPr>
            <w:r w:rsidRPr="00535A5A">
              <w:rPr>
                <w:rFonts w:eastAsia="Times New Roman"/>
                <w:szCs w:val="19"/>
                <w:lang w:val="en-GB"/>
              </w:rPr>
              <w:t xml:space="preserve">A – corresponding quarter </w:t>
            </w:r>
            <w:r w:rsidR="00535A5A">
              <w:rPr>
                <w:rFonts w:eastAsia="Times New Roman"/>
                <w:szCs w:val="19"/>
                <w:lang w:val="en-GB"/>
              </w:rPr>
              <w:br/>
            </w:r>
            <w:r w:rsidRPr="00535A5A">
              <w:rPr>
                <w:rFonts w:eastAsia="Times New Roman"/>
                <w:szCs w:val="19"/>
                <w:lang w:val="en-GB"/>
              </w:rPr>
              <w:t>= 100</w:t>
            </w:r>
          </w:p>
          <w:p w14:paraId="7346C7BB" w14:textId="45617F04" w:rsidR="000B649F" w:rsidRPr="00535A5A" w:rsidRDefault="000B649F" w:rsidP="00535A5A">
            <w:pPr>
              <w:spacing w:before="20" w:after="20" w:line="220" w:lineRule="exact"/>
              <w:ind w:left="354" w:hanging="297"/>
              <w:rPr>
                <w:rFonts w:eastAsia="Times New Roman"/>
                <w:szCs w:val="19"/>
                <w:lang w:val="en-GB"/>
              </w:rPr>
            </w:pPr>
            <w:r w:rsidRPr="00535A5A">
              <w:rPr>
                <w:rFonts w:eastAsia="Times New Roman"/>
                <w:szCs w:val="19"/>
                <w:lang w:val="en-GB"/>
              </w:rPr>
              <w:t xml:space="preserve">B – previous quarter </w:t>
            </w:r>
            <w:r w:rsidR="00535A5A">
              <w:rPr>
                <w:rFonts w:eastAsia="Times New Roman"/>
                <w:szCs w:val="19"/>
                <w:lang w:val="en-GB"/>
              </w:rPr>
              <w:br/>
            </w:r>
            <w:r w:rsidRPr="00535A5A">
              <w:rPr>
                <w:rFonts w:eastAsia="Times New Roman"/>
                <w:szCs w:val="19"/>
                <w:lang w:val="en-GB"/>
              </w:rPr>
              <w:t>= 100</w:t>
            </w:r>
          </w:p>
        </w:tc>
        <w:tc>
          <w:tcPr>
            <w:tcW w:w="1060" w:type="dxa"/>
            <w:vMerge w:val="restart"/>
            <w:vAlign w:val="center"/>
          </w:tcPr>
          <w:p w14:paraId="7D6956E7" w14:textId="2E741F4D" w:rsidR="000B649F" w:rsidRPr="00535A5A" w:rsidRDefault="000B649F" w:rsidP="00535A5A">
            <w:pPr>
              <w:spacing w:before="20" w:after="20"/>
              <w:ind w:left="-57" w:right="-57"/>
              <w:jc w:val="center"/>
              <w:rPr>
                <w:rFonts w:eastAsia="Times New Roman"/>
                <w:szCs w:val="19"/>
                <w:lang w:val="en-GB"/>
              </w:rPr>
            </w:pPr>
            <w:r w:rsidRPr="00535A5A">
              <w:rPr>
                <w:rFonts w:eastAsia="Times New Roman"/>
                <w:szCs w:val="19"/>
                <w:lang w:val="en-GB"/>
              </w:rPr>
              <w:t xml:space="preserve">Occupied jobs </w:t>
            </w:r>
            <w:r w:rsidR="00535A5A">
              <w:rPr>
                <w:rFonts w:eastAsia="Times New Roman"/>
                <w:szCs w:val="19"/>
                <w:lang w:val="en-GB"/>
              </w:rPr>
              <w:br/>
              <w:t>(em</w:t>
            </w:r>
            <w:r w:rsidRPr="00535A5A">
              <w:rPr>
                <w:rFonts w:eastAsia="Times New Roman"/>
                <w:szCs w:val="19"/>
                <w:lang w:val="en-GB"/>
              </w:rPr>
              <w:t>ployed persons)</w:t>
            </w:r>
          </w:p>
        </w:tc>
        <w:tc>
          <w:tcPr>
            <w:tcW w:w="3180" w:type="dxa"/>
            <w:gridSpan w:val="3"/>
            <w:vAlign w:val="center"/>
          </w:tcPr>
          <w:p w14:paraId="4D37D36E" w14:textId="77777777" w:rsidR="000B649F" w:rsidRPr="00535A5A" w:rsidRDefault="000B649F" w:rsidP="00747AA0">
            <w:pPr>
              <w:spacing w:before="20" w:after="20"/>
              <w:jc w:val="center"/>
              <w:rPr>
                <w:rFonts w:eastAsia="Times New Roman"/>
                <w:szCs w:val="19"/>
                <w:lang w:val="en-GB"/>
              </w:rPr>
            </w:pPr>
            <w:r w:rsidRPr="00535A5A">
              <w:rPr>
                <w:rFonts w:eastAsia="Times New Roman"/>
                <w:szCs w:val="19"/>
                <w:lang w:val="en-GB"/>
              </w:rPr>
              <w:t>Job vacancies</w:t>
            </w:r>
          </w:p>
        </w:tc>
        <w:tc>
          <w:tcPr>
            <w:tcW w:w="1060" w:type="dxa"/>
            <w:vMerge w:val="restart"/>
            <w:vAlign w:val="center"/>
          </w:tcPr>
          <w:p w14:paraId="71B6F202" w14:textId="46152F91" w:rsidR="000B649F" w:rsidRPr="00535A5A" w:rsidRDefault="000B649F" w:rsidP="00747AA0">
            <w:pPr>
              <w:spacing w:before="20" w:after="20" w:line="220" w:lineRule="exact"/>
              <w:ind w:left="-57" w:right="-57"/>
              <w:jc w:val="center"/>
              <w:rPr>
                <w:rFonts w:eastAsia="Times New Roman"/>
                <w:szCs w:val="19"/>
                <w:lang w:val="en-GB"/>
              </w:rPr>
            </w:pPr>
            <w:r w:rsidRPr="00535A5A">
              <w:rPr>
                <w:rFonts w:eastAsia="Times New Roman" w:cs="Calibri"/>
                <w:color w:val="000000"/>
                <w:szCs w:val="19"/>
                <w:lang w:val="en-GB"/>
              </w:rPr>
              <w:t xml:space="preserve">Newly </w:t>
            </w:r>
            <w:r w:rsidR="00535A5A">
              <w:rPr>
                <w:rFonts w:eastAsia="Times New Roman" w:cs="Calibri"/>
                <w:color w:val="000000"/>
                <w:szCs w:val="19"/>
                <w:lang w:val="en-GB"/>
              </w:rPr>
              <w:br/>
            </w:r>
            <w:r w:rsidRPr="00535A5A">
              <w:rPr>
                <w:rFonts w:eastAsia="Times New Roman" w:cs="Calibri"/>
                <w:color w:val="000000"/>
                <w:szCs w:val="19"/>
                <w:lang w:val="en-GB"/>
              </w:rPr>
              <w:t>created jobs</w:t>
            </w:r>
          </w:p>
        </w:tc>
        <w:tc>
          <w:tcPr>
            <w:tcW w:w="1061" w:type="dxa"/>
            <w:vMerge w:val="restart"/>
            <w:vAlign w:val="center"/>
          </w:tcPr>
          <w:p w14:paraId="126F28C5" w14:textId="77777777" w:rsidR="000B649F" w:rsidRPr="00535A5A" w:rsidRDefault="000B649F" w:rsidP="00747AA0">
            <w:pPr>
              <w:spacing w:before="20" w:after="20"/>
              <w:jc w:val="center"/>
              <w:rPr>
                <w:rFonts w:eastAsia="Times New Roman"/>
                <w:szCs w:val="19"/>
                <w:lang w:val="en-GB"/>
              </w:rPr>
            </w:pPr>
            <w:r w:rsidRPr="00535A5A">
              <w:rPr>
                <w:rFonts w:eastAsia="Times New Roman" w:cs="Calibri"/>
                <w:color w:val="000000"/>
                <w:szCs w:val="19"/>
                <w:lang w:val="en-GB"/>
              </w:rPr>
              <w:t>Liquidated jobs</w:t>
            </w:r>
          </w:p>
        </w:tc>
      </w:tr>
      <w:tr w:rsidR="000B649F" w:rsidRPr="00535A5A" w14:paraId="60A291E6" w14:textId="77777777" w:rsidTr="00747AA0">
        <w:trPr>
          <w:trHeight w:val="56"/>
        </w:trPr>
        <w:tc>
          <w:tcPr>
            <w:tcW w:w="1701" w:type="dxa"/>
            <w:vMerge/>
            <w:vAlign w:val="center"/>
          </w:tcPr>
          <w:p w14:paraId="224FF626" w14:textId="77777777" w:rsidR="000B649F" w:rsidRPr="00535A5A" w:rsidRDefault="000B649F" w:rsidP="00747AA0">
            <w:pPr>
              <w:spacing w:before="20" w:after="20"/>
              <w:jc w:val="center"/>
              <w:rPr>
                <w:rFonts w:eastAsia="Times New Roman"/>
                <w:szCs w:val="19"/>
                <w:lang w:val="en-GB"/>
              </w:rPr>
            </w:pPr>
          </w:p>
        </w:tc>
        <w:tc>
          <w:tcPr>
            <w:tcW w:w="1060" w:type="dxa"/>
            <w:vMerge/>
            <w:vAlign w:val="center"/>
          </w:tcPr>
          <w:p w14:paraId="70A2DBB4" w14:textId="77777777" w:rsidR="000B649F" w:rsidRPr="00535A5A" w:rsidRDefault="000B649F" w:rsidP="00747AA0">
            <w:pPr>
              <w:spacing w:before="20" w:after="20"/>
              <w:jc w:val="center"/>
              <w:rPr>
                <w:rFonts w:eastAsia="Times New Roman" w:cs="Calibri"/>
                <w:szCs w:val="19"/>
                <w:lang w:val="en-GB"/>
              </w:rPr>
            </w:pPr>
          </w:p>
        </w:tc>
        <w:tc>
          <w:tcPr>
            <w:tcW w:w="1060" w:type="dxa"/>
            <w:vMerge w:val="restart"/>
            <w:vAlign w:val="center"/>
          </w:tcPr>
          <w:p w14:paraId="32D388AB" w14:textId="77777777" w:rsidR="000B649F" w:rsidRPr="00535A5A" w:rsidRDefault="000B649F" w:rsidP="00747AA0">
            <w:pPr>
              <w:spacing w:before="20" w:after="20"/>
              <w:jc w:val="center"/>
              <w:rPr>
                <w:rFonts w:eastAsia="Times New Roman" w:cs="Calibri"/>
                <w:szCs w:val="19"/>
                <w:lang w:val="en-GB"/>
              </w:rPr>
            </w:pPr>
            <w:r w:rsidRPr="00535A5A">
              <w:rPr>
                <w:rFonts w:eastAsia="Times New Roman" w:cs="Calibri"/>
                <w:szCs w:val="19"/>
                <w:lang w:val="en-GB"/>
              </w:rPr>
              <w:t>total</w:t>
            </w:r>
          </w:p>
        </w:tc>
        <w:tc>
          <w:tcPr>
            <w:tcW w:w="2120" w:type="dxa"/>
            <w:gridSpan w:val="2"/>
            <w:vAlign w:val="center"/>
          </w:tcPr>
          <w:p w14:paraId="782EE0C2" w14:textId="77777777" w:rsidR="000B649F" w:rsidRPr="00535A5A" w:rsidRDefault="000B649F" w:rsidP="00747AA0">
            <w:pPr>
              <w:spacing w:before="20" w:after="20" w:line="-220" w:lineRule="auto"/>
              <w:jc w:val="center"/>
              <w:rPr>
                <w:rFonts w:eastAsia="Times New Roman" w:cs="Calibri"/>
                <w:szCs w:val="19"/>
                <w:lang w:val="en-GB"/>
              </w:rPr>
            </w:pPr>
            <w:r w:rsidRPr="00535A5A">
              <w:rPr>
                <w:rFonts w:eastAsia="Times New Roman" w:cs="Calibri"/>
                <w:szCs w:val="19"/>
                <w:lang w:val="en-GB"/>
              </w:rPr>
              <w:t>of total</w:t>
            </w:r>
          </w:p>
        </w:tc>
        <w:tc>
          <w:tcPr>
            <w:tcW w:w="1060" w:type="dxa"/>
            <w:vMerge/>
            <w:vAlign w:val="center"/>
          </w:tcPr>
          <w:p w14:paraId="39716E1C" w14:textId="77777777" w:rsidR="000B649F" w:rsidRPr="00535A5A" w:rsidRDefault="000B649F" w:rsidP="00747AA0">
            <w:pPr>
              <w:spacing w:before="20" w:after="20" w:line="-220" w:lineRule="auto"/>
              <w:jc w:val="center"/>
              <w:rPr>
                <w:rFonts w:eastAsia="Times New Roman"/>
                <w:szCs w:val="19"/>
                <w:lang w:val="en-GB"/>
              </w:rPr>
            </w:pPr>
          </w:p>
        </w:tc>
        <w:tc>
          <w:tcPr>
            <w:tcW w:w="1061" w:type="dxa"/>
            <w:vMerge/>
            <w:vAlign w:val="center"/>
          </w:tcPr>
          <w:p w14:paraId="4F99F6EC" w14:textId="77777777" w:rsidR="000B649F" w:rsidRPr="00535A5A" w:rsidRDefault="000B649F" w:rsidP="00747AA0">
            <w:pPr>
              <w:spacing w:before="20" w:after="20"/>
              <w:jc w:val="center"/>
              <w:rPr>
                <w:rFonts w:eastAsia="Times New Roman" w:cs="Calibri"/>
                <w:color w:val="000000"/>
                <w:szCs w:val="19"/>
                <w:lang w:val="en-GB"/>
              </w:rPr>
            </w:pPr>
          </w:p>
        </w:tc>
      </w:tr>
      <w:tr w:rsidR="000B649F" w:rsidRPr="00535A5A" w14:paraId="74184BAB" w14:textId="77777777" w:rsidTr="00535A5A">
        <w:trPr>
          <w:trHeight w:val="138"/>
        </w:trPr>
        <w:tc>
          <w:tcPr>
            <w:tcW w:w="1701" w:type="dxa"/>
            <w:vMerge/>
            <w:vAlign w:val="center"/>
          </w:tcPr>
          <w:p w14:paraId="57C42069" w14:textId="77777777" w:rsidR="000B649F" w:rsidRPr="00535A5A" w:rsidRDefault="000B649F" w:rsidP="00747AA0">
            <w:pPr>
              <w:spacing w:before="20" w:after="20"/>
              <w:jc w:val="center"/>
              <w:rPr>
                <w:rFonts w:eastAsia="Times New Roman"/>
                <w:szCs w:val="19"/>
                <w:lang w:val="en-GB"/>
              </w:rPr>
            </w:pPr>
          </w:p>
        </w:tc>
        <w:tc>
          <w:tcPr>
            <w:tcW w:w="1060" w:type="dxa"/>
            <w:vMerge/>
            <w:vAlign w:val="center"/>
          </w:tcPr>
          <w:p w14:paraId="1A1C3FA7" w14:textId="77777777" w:rsidR="000B649F" w:rsidRPr="00535A5A" w:rsidRDefault="000B649F" w:rsidP="00747AA0">
            <w:pPr>
              <w:spacing w:before="20" w:after="20"/>
              <w:jc w:val="center"/>
              <w:rPr>
                <w:rFonts w:eastAsia="Times New Roman" w:cs="Calibri"/>
                <w:szCs w:val="19"/>
                <w:lang w:val="en-GB"/>
              </w:rPr>
            </w:pPr>
          </w:p>
        </w:tc>
        <w:tc>
          <w:tcPr>
            <w:tcW w:w="1060" w:type="dxa"/>
            <w:vMerge/>
            <w:vAlign w:val="center"/>
          </w:tcPr>
          <w:p w14:paraId="48C2A589" w14:textId="77777777" w:rsidR="000B649F" w:rsidRPr="00535A5A" w:rsidRDefault="000B649F" w:rsidP="00747AA0">
            <w:pPr>
              <w:spacing w:before="20" w:after="20"/>
              <w:jc w:val="center"/>
              <w:rPr>
                <w:rFonts w:eastAsia="Times New Roman" w:cs="Calibri"/>
                <w:szCs w:val="19"/>
                <w:lang w:val="en-GB"/>
              </w:rPr>
            </w:pPr>
          </w:p>
        </w:tc>
        <w:tc>
          <w:tcPr>
            <w:tcW w:w="1060" w:type="dxa"/>
            <w:vAlign w:val="center"/>
          </w:tcPr>
          <w:p w14:paraId="6E5557A0" w14:textId="77777777" w:rsidR="000B649F" w:rsidRPr="00535A5A" w:rsidRDefault="000B649F" w:rsidP="00747AA0">
            <w:pPr>
              <w:spacing w:before="20" w:after="20" w:line="220" w:lineRule="exact"/>
              <w:jc w:val="center"/>
              <w:rPr>
                <w:rFonts w:eastAsia="Times New Roman" w:cs="Calibri"/>
                <w:szCs w:val="19"/>
                <w:lang w:val="en-GB"/>
              </w:rPr>
            </w:pPr>
            <w:r w:rsidRPr="00535A5A">
              <w:rPr>
                <w:rFonts w:eastAsia="Times New Roman" w:cs="Calibri"/>
                <w:szCs w:val="19"/>
                <w:lang w:val="en-GB"/>
              </w:rPr>
              <w:t>newly created</w:t>
            </w:r>
          </w:p>
        </w:tc>
        <w:tc>
          <w:tcPr>
            <w:tcW w:w="1060" w:type="dxa"/>
            <w:vAlign w:val="center"/>
          </w:tcPr>
          <w:p w14:paraId="5B0F93AD" w14:textId="77777777" w:rsidR="000B649F" w:rsidRPr="00535A5A" w:rsidRDefault="000B649F" w:rsidP="00747AA0">
            <w:pPr>
              <w:spacing w:before="20" w:after="20"/>
              <w:jc w:val="center"/>
              <w:rPr>
                <w:rFonts w:eastAsia="Times New Roman" w:cs="Calibri"/>
                <w:color w:val="000000"/>
                <w:szCs w:val="19"/>
                <w:lang w:val="en-GB"/>
              </w:rPr>
            </w:pPr>
            <w:r w:rsidRPr="00535A5A">
              <w:rPr>
                <w:rFonts w:eastAsia="Times New Roman" w:cs="Calibri"/>
                <w:color w:val="000000"/>
                <w:szCs w:val="19"/>
                <w:lang w:val="en-GB"/>
              </w:rPr>
              <w:t>reported to labour offices</w:t>
            </w:r>
          </w:p>
        </w:tc>
        <w:tc>
          <w:tcPr>
            <w:tcW w:w="1060" w:type="dxa"/>
            <w:vMerge/>
            <w:vAlign w:val="center"/>
          </w:tcPr>
          <w:p w14:paraId="7FA14C1B" w14:textId="77777777" w:rsidR="000B649F" w:rsidRPr="00535A5A" w:rsidRDefault="000B649F" w:rsidP="00747AA0">
            <w:pPr>
              <w:spacing w:before="20" w:after="20"/>
              <w:jc w:val="center"/>
              <w:rPr>
                <w:rFonts w:eastAsia="Times New Roman" w:cs="Calibri"/>
                <w:color w:val="000000"/>
                <w:szCs w:val="19"/>
                <w:lang w:val="en-GB"/>
              </w:rPr>
            </w:pPr>
          </w:p>
        </w:tc>
        <w:tc>
          <w:tcPr>
            <w:tcW w:w="1061" w:type="dxa"/>
            <w:vMerge/>
            <w:vAlign w:val="center"/>
          </w:tcPr>
          <w:p w14:paraId="69F1961A" w14:textId="77777777" w:rsidR="000B649F" w:rsidRPr="00535A5A" w:rsidRDefault="000B649F" w:rsidP="00747AA0">
            <w:pPr>
              <w:spacing w:before="20" w:after="20"/>
              <w:jc w:val="center"/>
              <w:rPr>
                <w:rFonts w:eastAsia="Times New Roman" w:cs="Calibri"/>
                <w:color w:val="000000"/>
                <w:szCs w:val="19"/>
                <w:lang w:val="en-GB"/>
              </w:rPr>
            </w:pPr>
          </w:p>
        </w:tc>
      </w:tr>
      <w:tr w:rsidR="000B649F" w:rsidRPr="00535A5A" w14:paraId="239510ED" w14:textId="77777777" w:rsidTr="00747AA0">
        <w:trPr>
          <w:trHeight w:val="60"/>
        </w:trPr>
        <w:tc>
          <w:tcPr>
            <w:tcW w:w="1701" w:type="dxa"/>
            <w:vMerge/>
            <w:vAlign w:val="center"/>
          </w:tcPr>
          <w:p w14:paraId="631BD25C" w14:textId="77777777" w:rsidR="000B649F" w:rsidRPr="00535A5A" w:rsidRDefault="000B649F" w:rsidP="00747AA0">
            <w:pPr>
              <w:spacing w:before="20" w:after="20"/>
              <w:jc w:val="center"/>
              <w:rPr>
                <w:rFonts w:eastAsia="Times New Roman"/>
                <w:szCs w:val="19"/>
                <w:lang w:val="en-GB"/>
              </w:rPr>
            </w:pPr>
          </w:p>
        </w:tc>
        <w:tc>
          <w:tcPr>
            <w:tcW w:w="4240" w:type="dxa"/>
            <w:gridSpan w:val="4"/>
            <w:vAlign w:val="center"/>
          </w:tcPr>
          <w:p w14:paraId="3D61FB59" w14:textId="77777777" w:rsidR="000B649F" w:rsidRPr="00535A5A" w:rsidRDefault="000B649F" w:rsidP="00747AA0">
            <w:pPr>
              <w:spacing w:before="20" w:after="20"/>
              <w:jc w:val="center"/>
              <w:rPr>
                <w:rFonts w:eastAsia="Times New Roman" w:cs="Calibri"/>
                <w:color w:val="000000"/>
                <w:szCs w:val="19"/>
                <w:lang w:val="en-GB"/>
              </w:rPr>
            </w:pPr>
            <w:r w:rsidRPr="00535A5A">
              <w:rPr>
                <w:rFonts w:eastAsia="Times New Roman" w:cs="Calibri"/>
                <w:color w:val="000000"/>
                <w:szCs w:val="19"/>
                <w:lang w:val="en-GB"/>
              </w:rPr>
              <w:t>at the end of the quarter</w:t>
            </w:r>
          </w:p>
        </w:tc>
        <w:tc>
          <w:tcPr>
            <w:tcW w:w="2121" w:type="dxa"/>
            <w:gridSpan w:val="2"/>
            <w:vAlign w:val="center"/>
          </w:tcPr>
          <w:p w14:paraId="72F45CB2" w14:textId="77777777" w:rsidR="000B649F" w:rsidRPr="00535A5A" w:rsidRDefault="000B649F" w:rsidP="00747AA0">
            <w:pPr>
              <w:spacing w:before="20" w:after="20"/>
              <w:jc w:val="center"/>
              <w:rPr>
                <w:rFonts w:eastAsia="Times New Roman" w:cs="Calibri"/>
                <w:color w:val="000000"/>
                <w:szCs w:val="19"/>
                <w:lang w:val="en-GB"/>
              </w:rPr>
            </w:pPr>
            <w:r w:rsidRPr="00535A5A">
              <w:rPr>
                <w:rFonts w:eastAsia="Times New Roman" w:cs="Calibri"/>
                <w:color w:val="000000"/>
                <w:szCs w:val="19"/>
                <w:lang w:val="en-GB"/>
              </w:rPr>
              <w:t>during the quarter</w:t>
            </w:r>
          </w:p>
        </w:tc>
      </w:tr>
      <w:tr w:rsidR="000B649F" w:rsidRPr="00535A5A" w14:paraId="7B2B5C55" w14:textId="77777777" w:rsidTr="00747AA0">
        <w:trPr>
          <w:trHeight w:val="50"/>
        </w:trPr>
        <w:tc>
          <w:tcPr>
            <w:tcW w:w="1701" w:type="dxa"/>
            <w:vMerge/>
            <w:tcBorders>
              <w:bottom w:val="single" w:sz="12" w:space="0" w:color="001D77"/>
            </w:tcBorders>
            <w:vAlign w:val="center"/>
          </w:tcPr>
          <w:p w14:paraId="28B71C1B" w14:textId="77777777" w:rsidR="000B649F" w:rsidRPr="00535A5A" w:rsidRDefault="000B649F" w:rsidP="00747AA0">
            <w:pPr>
              <w:spacing w:before="20" w:after="20"/>
              <w:jc w:val="center"/>
              <w:rPr>
                <w:rFonts w:eastAsia="Times New Roman"/>
                <w:szCs w:val="19"/>
                <w:lang w:val="en-GB"/>
              </w:rPr>
            </w:pPr>
          </w:p>
        </w:tc>
        <w:tc>
          <w:tcPr>
            <w:tcW w:w="6361" w:type="dxa"/>
            <w:gridSpan w:val="6"/>
            <w:tcBorders>
              <w:bottom w:val="single" w:sz="12" w:space="0" w:color="001D77"/>
            </w:tcBorders>
            <w:vAlign w:val="center"/>
          </w:tcPr>
          <w:p w14:paraId="13BE00A4" w14:textId="77777777" w:rsidR="000B649F" w:rsidRPr="00535A5A" w:rsidRDefault="000B649F" w:rsidP="00747AA0">
            <w:pPr>
              <w:spacing w:before="20" w:after="20"/>
              <w:jc w:val="center"/>
              <w:rPr>
                <w:rFonts w:eastAsia="Times New Roman" w:cs="Calibri"/>
                <w:color w:val="000000"/>
                <w:szCs w:val="19"/>
                <w:lang w:val="en-GB"/>
              </w:rPr>
            </w:pPr>
            <w:r w:rsidRPr="00535A5A">
              <w:rPr>
                <w:rFonts w:eastAsia="Times New Roman" w:cs="Calibri"/>
                <w:color w:val="000000"/>
                <w:szCs w:val="19"/>
                <w:lang w:val="en-GB"/>
              </w:rPr>
              <w:t>in thousands</w:t>
            </w:r>
          </w:p>
        </w:tc>
      </w:tr>
      <w:tr w:rsidR="000B649F" w:rsidRPr="00535A5A" w14:paraId="1DD425F7" w14:textId="77777777" w:rsidTr="00747AA0">
        <w:tc>
          <w:tcPr>
            <w:tcW w:w="8062" w:type="dxa"/>
            <w:gridSpan w:val="7"/>
            <w:tcBorders>
              <w:top w:val="single" w:sz="12" w:space="0" w:color="001D77"/>
            </w:tcBorders>
            <w:vAlign w:val="center"/>
          </w:tcPr>
          <w:p w14:paraId="49821107" w14:textId="77777777" w:rsidR="000B649F" w:rsidRPr="00535A5A" w:rsidRDefault="000B649F" w:rsidP="00747AA0">
            <w:pPr>
              <w:spacing w:before="20" w:after="20"/>
              <w:jc w:val="center"/>
              <w:rPr>
                <w:rFonts w:eastAsia="Times New Roman"/>
                <w:szCs w:val="19"/>
                <w:lang w:val="en-GB"/>
              </w:rPr>
            </w:pPr>
            <w:r w:rsidRPr="00535A5A">
              <w:rPr>
                <w:rFonts w:eastAsia="Times New Roman"/>
                <w:szCs w:val="19"/>
                <w:lang w:val="en-GB"/>
              </w:rPr>
              <w:t>2020</w:t>
            </w:r>
          </w:p>
        </w:tc>
      </w:tr>
      <w:tr w:rsidR="000B649F" w:rsidRPr="00535A5A" w14:paraId="1E3C85D4" w14:textId="77777777" w:rsidTr="00747AA0">
        <w:tc>
          <w:tcPr>
            <w:tcW w:w="1701" w:type="dxa"/>
          </w:tcPr>
          <w:p w14:paraId="6EC14833" w14:textId="77777777" w:rsidR="000B649F" w:rsidRPr="00535A5A" w:rsidRDefault="000B649F" w:rsidP="00747AA0">
            <w:pPr>
              <w:spacing w:before="20" w:after="20"/>
              <w:rPr>
                <w:rFonts w:eastAsia="Times New Roman"/>
                <w:szCs w:val="19"/>
                <w:lang w:val="en-GB"/>
              </w:rPr>
            </w:pPr>
            <w:r w:rsidRPr="00535A5A">
              <w:rPr>
                <w:rFonts w:eastAsia="Times New Roman"/>
                <w:szCs w:val="19"/>
                <w:lang w:val="en-GB"/>
              </w:rPr>
              <w:t>Quarter 4</w:t>
            </w:r>
          </w:p>
        </w:tc>
        <w:tc>
          <w:tcPr>
            <w:tcW w:w="1060" w:type="dxa"/>
          </w:tcPr>
          <w:p w14:paraId="07FBB3B5"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12 218.5</w:t>
            </w:r>
          </w:p>
        </w:tc>
        <w:tc>
          <w:tcPr>
            <w:tcW w:w="1060" w:type="dxa"/>
          </w:tcPr>
          <w:p w14:paraId="5E29DEE0"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84.4</w:t>
            </w:r>
          </w:p>
        </w:tc>
        <w:tc>
          <w:tcPr>
            <w:tcW w:w="1060" w:type="dxa"/>
          </w:tcPr>
          <w:p w14:paraId="07581317"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17.5</w:t>
            </w:r>
          </w:p>
        </w:tc>
        <w:tc>
          <w:tcPr>
            <w:tcW w:w="1060" w:type="dxa"/>
          </w:tcPr>
          <w:p w14:paraId="58E1196B"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10.2</w:t>
            </w:r>
          </w:p>
        </w:tc>
        <w:tc>
          <w:tcPr>
            <w:tcW w:w="1060" w:type="dxa"/>
          </w:tcPr>
          <w:p w14:paraId="4E990353"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91.5</w:t>
            </w:r>
          </w:p>
        </w:tc>
        <w:tc>
          <w:tcPr>
            <w:tcW w:w="1061" w:type="dxa"/>
          </w:tcPr>
          <w:p w14:paraId="5F215EBE"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53.9</w:t>
            </w:r>
          </w:p>
        </w:tc>
      </w:tr>
      <w:tr w:rsidR="000B649F" w:rsidRPr="00535A5A" w14:paraId="3C032A7B" w14:textId="77777777" w:rsidTr="00747AA0">
        <w:tc>
          <w:tcPr>
            <w:tcW w:w="8062" w:type="dxa"/>
            <w:gridSpan w:val="7"/>
            <w:vAlign w:val="center"/>
          </w:tcPr>
          <w:p w14:paraId="12E6D196" w14:textId="77777777" w:rsidR="000B649F" w:rsidRPr="00535A5A" w:rsidRDefault="000B649F" w:rsidP="00747AA0">
            <w:pPr>
              <w:spacing w:before="20" w:after="20"/>
              <w:jc w:val="center"/>
              <w:rPr>
                <w:rFonts w:eastAsia="Times New Roman"/>
                <w:szCs w:val="19"/>
                <w:lang w:val="en-GB"/>
              </w:rPr>
            </w:pPr>
            <w:r w:rsidRPr="00535A5A">
              <w:rPr>
                <w:rFonts w:eastAsia="Times New Roman"/>
                <w:szCs w:val="19"/>
                <w:lang w:val="en-GB"/>
              </w:rPr>
              <w:t>2021</w:t>
            </w:r>
          </w:p>
        </w:tc>
      </w:tr>
      <w:tr w:rsidR="000B649F" w:rsidRPr="00535A5A" w14:paraId="6CAE6AF2" w14:textId="77777777" w:rsidTr="00747AA0">
        <w:tc>
          <w:tcPr>
            <w:tcW w:w="1701" w:type="dxa"/>
          </w:tcPr>
          <w:p w14:paraId="608172FE" w14:textId="77777777" w:rsidR="000B649F" w:rsidRPr="00535A5A" w:rsidRDefault="000B649F" w:rsidP="00747AA0">
            <w:pPr>
              <w:spacing w:before="20" w:after="20"/>
              <w:rPr>
                <w:rFonts w:eastAsia="Times New Roman"/>
                <w:szCs w:val="19"/>
                <w:lang w:val="en-GB"/>
              </w:rPr>
            </w:pPr>
            <w:r w:rsidRPr="00535A5A">
              <w:rPr>
                <w:rFonts w:eastAsia="Times New Roman"/>
                <w:szCs w:val="19"/>
                <w:lang w:val="en-GB"/>
              </w:rPr>
              <w:t>Quarter 1</w:t>
            </w:r>
          </w:p>
        </w:tc>
        <w:tc>
          <w:tcPr>
            <w:tcW w:w="1060" w:type="dxa"/>
          </w:tcPr>
          <w:p w14:paraId="612570F5"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12 186.9</w:t>
            </w:r>
          </w:p>
        </w:tc>
        <w:tc>
          <w:tcPr>
            <w:tcW w:w="1060" w:type="dxa"/>
          </w:tcPr>
          <w:p w14:paraId="746B5C6A"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110.2</w:t>
            </w:r>
          </w:p>
        </w:tc>
        <w:tc>
          <w:tcPr>
            <w:tcW w:w="1060" w:type="dxa"/>
          </w:tcPr>
          <w:p w14:paraId="55C5408C"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24.0</w:t>
            </w:r>
          </w:p>
        </w:tc>
        <w:tc>
          <w:tcPr>
            <w:tcW w:w="1060" w:type="dxa"/>
          </w:tcPr>
          <w:p w14:paraId="0B4A2663"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13.7</w:t>
            </w:r>
          </w:p>
        </w:tc>
        <w:tc>
          <w:tcPr>
            <w:tcW w:w="1060" w:type="dxa"/>
          </w:tcPr>
          <w:p w14:paraId="36AF4A2E"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191.7</w:t>
            </w:r>
          </w:p>
        </w:tc>
        <w:tc>
          <w:tcPr>
            <w:tcW w:w="1061" w:type="dxa"/>
          </w:tcPr>
          <w:p w14:paraId="7DBD929C"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70.2</w:t>
            </w:r>
          </w:p>
        </w:tc>
      </w:tr>
      <w:tr w:rsidR="000B649F" w:rsidRPr="00535A5A" w14:paraId="1C41BB88" w14:textId="77777777" w:rsidTr="00747AA0">
        <w:tc>
          <w:tcPr>
            <w:tcW w:w="1701" w:type="dxa"/>
          </w:tcPr>
          <w:p w14:paraId="7A49C4EA" w14:textId="77777777" w:rsidR="000B649F" w:rsidRPr="00535A5A" w:rsidRDefault="000B649F" w:rsidP="00747AA0">
            <w:pPr>
              <w:spacing w:before="20" w:after="20"/>
              <w:rPr>
                <w:rFonts w:eastAsia="Times New Roman"/>
                <w:szCs w:val="19"/>
                <w:lang w:val="en-GB"/>
              </w:rPr>
            </w:pPr>
            <w:r w:rsidRPr="00535A5A">
              <w:rPr>
                <w:rFonts w:eastAsia="Times New Roman"/>
                <w:szCs w:val="19"/>
                <w:lang w:val="en-GB"/>
              </w:rPr>
              <w:t>Quarter 2</w:t>
            </w:r>
          </w:p>
        </w:tc>
        <w:tc>
          <w:tcPr>
            <w:tcW w:w="1060" w:type="dxa"/>
          </w:tcPr>
          <w:p w14:paraId="7B1440B6"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12 189.8</w:t>
            </w:r>
          </w:p>
        </w:tc>
        <w:tc>
          <w:tcPr>
            <w:tcW w:w="1060" w:type="dxa"/>
          </w:tcPr>
          <w:p w14:paraId="5303821F"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142.8</w:t>
            </w:r>
          </w:p>
        </w:tc>
        <w:tc>
          <w:tcPr>
            <w:tcW w:w="1060" w:type="dxa"/>
          </w:tcPr>
          <w:p w14:paraId="48A3D0C7"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35.0</w:t>
            </w:r>
          </w:p>
        </w:tc>
        <w:tc>
          <w:tcPr>
            <w:tcW w:w="1060" w:type="dxa"/>
          </w:tcPr>
          <w:p w14:paraId="4F8D4340"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21.9</w:t>
            </w:r>
          </w:p>
        </w:tc>
        <w:tc>
          <w:tcPr>
            <w:tcW w:w="1060" w:type="dxa"/>
          </w:tcPr>
          <w:p w14:paraId="7959C9BC" w14:textId="77777777" w:rsidR="000B649F" w:rsidRPr="00535A5A" w:rsidRDefault="000B649F" w:rsidP="00747AA0">
            <w:pPr>
              <w:spacing w:before="20" w:after="20"/>
              <w:jc w:val="right"/>
              <w:rPr>
                <w:rFonts w:eastAsia="Times New Roman"/>
                <w:szCs w:val="19"/>
                <w:lang w:val="en-GB"/>
              </w:rPr>
            </w:pPr>
            <w:r w:rsidRPr="00535A5A">
              <w:rPr>
                <w:rFonts w:eastAsia="Times New Roman" w:cs="Calibri"/>
                <w:color w:val="000000"/>
                <w:szCs w:val="19"/>
                <w:lang w:val="en-GB"/>
              </w:rPr>
              <w:t>145.8</w:t>
            </w:r>
          </w:p>
        </w:tc>
        <w:tc>
          <w:tcPr>
            <w:tcW w:w="1061" w:type="dxa"/>
          </w:tcPr>
          <w:p w14:paraId="049D2930" w14:textId="77777777" w:rsidR="000B649F" w:rsidRPr="00535A5A" w:rsidRDefault="000B649F" w:rsidP="00747AA0">
            <w:pPr>
              <w:spacing w:before="20" w:after="20"/>
              <w:jc w:val="right"/>
              <w:rPr>
                <w:rFonts w:eastAsia="Times New Roman" w:cs="Calibri"/>
                <w:color w:val="000000"/>
                <w:szCs w:val="19"/>
                <w:lang w:val="en-GB"/>
              </w:rPr>
            </w:pPr>
            <w:r w:rsidRPr="00535A5A">
              <w:rPr>
                <w:rFonts w:eastAsia="Times New Roman" w:cs="Calibri"/>
                <w:color w:val="000000"/>
                <w:szCs w:val="19"/>
                <w:lang w:val="en-GB"/>
              </w:rPr>
              <w:t>58.5</w:t>
            </w:r>
          </w:p>
        </w:tc>
      </w:tr>
      <w:tr w:rsidR="000B649F" w:rsidRPr="00535A5A" w14:paraId="7875D767" w14:textId="77777777" w:rsidTr="00747AA0">
        <w:tc>
          <w:tcPr>
            <w:tcW w:w="1701" w:type="dxa"/>
          </w:tcPr>
          <w:p w14:paraId="20C40083" w14:textId="77777777" w:rsidR="000B649F" w:rsidRPr="00535A5A" w:rsidRDefault="000B649F" w:rsidP="00747AA0">
            <w:pPr>
              <w:spacing w:before="20" w:after="20"/>
              <w:rPr>
                <w:rFonts w:eastAsia="Times New Roman"/>
                <w:szCs w:val="19"/>
                <w:lang w:val="en-GB"/>
              </w:rPr>
            </w:pPr>
            <w:r w:rsidRPr="00535A5A">
              <w:rPr>
                <w:rFonts w:eastAsia="Times New Roman"/>
                <w:szCs w:val="19"/>
                <w:lang w:val="en-GB"/>
              </w:rPr>
              <w:t>Quarter 3</w:t>
            </w:r>
          </w:p>
        </w:tc>
        <w:tc>
          <w:tcPr>
            <w:tcW w:w="1060" w:type="dxa"/>
          </w:tcPr>
          <w:p w14:paraId="1A546C98"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12 172.4</w:t>
            </w:r>
          </w:p>
        </w:tc>
        <w:tc>
          <w:tcPr>
            <w:tcW w:w="1060" w:type="dxa"/>
          </w:tcPr>
          <w:p w14:paraId="33D6D63E"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153.5</w:t>
            </w:r>
          </w:p>
        </w:tc>
        <w:tc>
          <w:tcPr>
            <w:tcW w:w="1060" w:type="dxa"/>
          </w:tcPr>
          <w:p w14:paraId="53E5C5E4"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35.7</w:t>
            </w:r>
          </w:p>
        </w:tc>
        <w:tc>
          <w:tcPr>
            <w:tcW w:w="1060" w:type="dxa"/>
          </w:tcPr>
          <w:p w14:paraId="30E58C9A"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22.8</w:t>
            </w:r>
          </w:p>
        </w:tc>
        <w:tc>
          <w:tcPr>
            <w:tcW w:w="1060" w:type="dxa"/>
          </w:tcPr>
          <w:p w14:paraId="714FC270"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132.6</w:t>
            </w:r>
          </w:p>
        </w:tc>
        <w:tc>
          <w:tcPr>
            <w:tcW w:w="1061" w:type="dxa"/>
          </w:tcPr>
          <w:p w14:paraId="1BE3425E"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57.8</w:t>
            </w:r>
          </w:p>
        </w:tc>
      </w:tr>
      <w:tr w:rsidR="000B649F" w:rsidRPr="00535A5A" w14:paraId="05C046FD" w14:textId="77777777" w:rsidTr="00747AA0">
        <w:tc>
          <w:tcPr>
            <w:tcW w:w="1701" w:type="dxa"/>
          </w:tcPr>
          <w:p w14:paraId="5BD580A7" w14:textId="77777777" w:rsidR="000B649F" w:rsidRPr="00535A5A" w:rsidRDefault="000B649F" w:rsidP="00747AA0">
            <w:pPr>
              <w:spacing w:before="20" w:after="20"/>
              <w:rPr>
                <w:rFonts w:eastAsia="Times New Roman"/>
                <w:b/>
                <w:szCs w:val="19"/>
                <w:lang w:val="en-GB"/>
              </w:rPr>
            </w:pPr>
            <w:r w:rsidRPr="00535A5A">
              <w:rPr>
                <w:rFonts w:eastAsia="Times New Roman"/>
                <w:b/>
                <w:szCs w:val="19"/>
                <w:lang w:val="en-GB"/>
              </w:rPr>
              <w:t>Quarter 4</w:t>
            </w:r>
          </w:p>
        </w:tc>
        <w:tc>
          <w:tcPr>
            <w:tcW w:w="1060" w:type="dxa"/>
            <w:vAlign w:val="bottom"/>
          </w:tcPr>
          <w:p w14:paraId="28B578C9"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12 149.4</w:t>
            </w:r>
          </w:p>
        </w:tc>
        <w:tc>
          <w:tcPr>
            <w:tcW w:w="1060" w:type="dxa"/>
            <w:vAlign w:val="bottom"/>
          </w:tcPr>
          <w:p w14:paraId="54E782FF"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137.4</w:t>
            </w:r>
          </w:p>
        </w:tc>
        <w:tc>
          <w:tcPr>
            <w:tcW w:w="1060" w:type="dxa"/>
            <w:vAlign w:val="bottom"/>
          </w:tcPr>
          <w:p w14:paraId="50995185"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32.3</w:t>
            </w:r>
          </w:p>
        </w:tc>
        <w:tc>
          <w:tcPr>
            <w:tcW w:w="1060" w:type="dxa"/>
            <w:vAlign w:val="bottom"/>
          </w:tcPr>
          <w:p w14:paraId="24D92FD6"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16.8</w:t>
            </w:r>
          </w:p>
        </w:tc>
        <w:tc>
          <w:tcPr>
            <w:tcW w:w="1060" w:type="dxa"/>
            <w:vAlign w:val="bottom"/>
          </w:tcPr>
          <w:p w14:paraId="3B0CFA63"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112.5</w:t>
            </w:r>
          </w:p>
        </w:tc>
        <w:tc>
          <w:tcPr>
            <w:tcW w:w="1061" w:type="dxa"/>
            <w:vAlign w:val="bottom"/>
          </w:tcPr>
          <w:p w14:paraId="7BEE730A" w14:textId="77777777" w:rsidR="000B649F" w:rsidRPr="00535A5A" w:rsidRDefault="000B649F" w:rsidP="00747AA0">
            <w:pPr>
              <w:spacing w:before="20" w:after="20"/>
              <w:jc w:val="right"/>
              <w:rPr>
                <w:rFonts w:eastAsia="Times New Roman"/>
                <w:b/>
                <w:szCs w:val="19"/>
                <w:lang w:val="en-GB"/>
              </w:rPr>
            </w:pPr>
            <w:r w:rsidRPr="00535A5A">
              <w:rPr>
                <w:rFonts w:cs="Calibri"/>
                <w:b/>
                <w:color w:val="000000"/>
                <w:szCs w:val="19"/>
                <w:lang w:val="en-GB"/>
              </w:rPr>
              <w:t>64.9</w:t>
            </w:r>
          </w:p>
        </w:tc>
      </w:tr>
      <w:tr w:rsidR="000B649F" w:rsidRPr="00535A5A" w14:paraId="4DEB5987" w14:textId="77777777" w:rsidTr="00747AA0">
        <w:tc>
          <w:tcPr>
            <w:tcW w:w="1701" w:type="dxa"/>
          </w:tcPr>
          <w:p w14:paraId="3C70113B"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A</w:t>
            </w:r>
          </w:p>
        </w:tc>
        <w:tc>
          <w:tcPr>
            <w:tcW w:w="1060" w:type="dxa"/>
            <w:vAlign w:val="bottom"/>
          </w:tcPr>
          <w:p w14:paraId="3251DC8D"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99.4</w:t>
            </w:r>
          </w:p>
        </w:tc>
        <w:tc>
          <w:tcPr>
            <w:tcW w:w="1060" w:type="dxa"/>
            <w:vAlign w:val="bottom"/>
          </w:tcPr>
          <w:p w14:paraId="0986D814"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162.8</w:t>
            </w:r>
          </w:p>
        </w:tc>
        <w:tc>
          <w:tcPr>
            <w:tcW w:w="1060" w:type="dxa"/>
            <w:vAlign w:val="bottom"/>
          </w:tcPr>
          <w:p w14:paraId="151C3C5A"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184.1</w:t>
            </w:r>
          </w:p>
        </w:tc>
        <w:tc>
          <w:tcPr>
            <w:tcW w:w="1060" w:type="dxa"/>
            <w:vAlign w:val="bottom"/>
          </w:tcPr>
          <w:p w14:paraId="77440E4D"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165.5</w:t>
            </w:r>
          </w:p>
        </w:tc>
        <w:tc>
          <w:tcPr>
            <w:tcW w:w="1060" w:type="dxa"/>
            <w:vAlign w:val="bottom"/>
          </w:tcPr>
          <w:p w14:paraId="08E5965D"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123.1</w:t>
            </w:r>
          </w:p>
        </w:tc>
        <w:tc>
          <w:tcPr>
            <w:tcW w:w="1061" w:type="dxa"/>
            <w:vAlign w:val="bottom"/>
          </w:tcPr>
          <w:p w14:paraId="6AC620F5"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120.3</w:t>
            </w:r>
          </w:p>
        </w:tc>
      </w:tr>
      <w:tr w:rsidR="000B649F" w:rsidRPr="00535A5A" w14:paraId="466D8256" w14:textId="77777777" w:rsidTr="00747AA0">
        <w:tc>
          <w:tcPr>
            <w:tcW w:w="1701" w:type="dxa"/>
          </w:tcPr>
          <w:p w14:paraId="58D67A11" w14:textId="77777777" w:rsidR="000B649F" w:rsidRPr="00535A5A" w:rsidRDefault="000B649F" w:rsidP="00747AA0">
            <w:pPr>
              <w:spacing w:before="20" w:after="20"/>
              <w:jc w:val="right"/>
              <w:rPr>
                <w:rFonts w:eastAsia="Times New Roman"/>
                <w:szCs w:val="19"/>
                <w:lang w:val="en-GB"/>
              </w:rPr>
            </w:pPr>
            <w:r w:rsidRPr="00535A5A">
              <w:rPr>
                <w:rFonts w:eastAsia="Times New Roman"/>
                <w:szCs w:val="19"/>
                <w:lang w:val="en-GB"/>
              </w:rPr>
              <w:t>B</w:t>
            </w:r>
          </w:p>
        </w:tc>
        <w:tc>
          <w:tcPr>
            <w:tcW w:w="1060" w:type="dxa"/>
            <w:vAlign w:val="bottom"/>
          </w:tcPr>
          <w:p w14:paraId="3715B8D7"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99.8</w:t>
            </w:r>
          </w:p>
        </w:tc>
        <w:tc>
          <w:tcPr>
            <w:tcW w:w="1060" w:type="dxa"/>
            <w:vAlign w:val="bottom"/>
          </w:tcPr>
          <w:p w14:paraId="5760E1B4"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89.5</w:t>
            </w:r>
          </w:p>
        </w:tc>
        <w:tc>
          <w:tcPr>
            <w:tcW w:w="1060" w:type="dxa"/>
            <w:vAlign w:val="bottom"/>
          </w:tcPr>
          <w:p w14:paraId="3ABF88D0"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90.5</w:t>
            </w:r>
          </w:p>
        </w:tc>
        <w:tc>
          <w:tcPr>
            <w:tcW w:w="1060" w:type="dxa"/>
            <w:vAlign w:val="bottom"/>
          </w:tcPr>
          <w:p w14:paraId="60F065E8"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73.8</w:t>
            </w:r>
          </w:p>
        </w:tc>
        <w:tc>
          <w:tcPr>
            <w:tcW w:w="1060" w:type="dxa"/>
            <w:vAlign w:val="bottom"/>
          </w:tcPr>
          <w:p w14:paraId="01826707"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84.8</w:t>
            </w:r>
          </w:p>
        </w:tc>
        <w:tc>
          <w:tcPr>
            <w:tcW w:w="1061" w:type="dxa"/>
            <w:vAlign w:val="bottom"/>
          </w:tcPr>
          <w:p w14:paraId="02B720AF" w14:textId="77777777" w:rsidR="000B649F" w:rsidRPr="00535A5A" w:rsidRDefault="000B649F" w:rsidP="00747AA0">
            <w:pPr>
              <w:spacing w:before="20" w:after="20"/>
              <w:jc w:val="right"/>
              <w:rPr>
                <w:rFonts w:eastAsia="Times New Roman"/>
                <w:szCs w:val="19"/>
                <w:lang w:val="en-GB"/>
              </w:rPr>
            </w:pPr>
            <w:r w:rsidRPr="00535A5A">
              <w:rPr>
                <w:rFonts w:cs="Calibri"/>
                <w:color w:val="000000"/>
                <w:szCs w:val="19"/>
                <w:lang w:val="en-GB"/>
              </w:rPr>
              <w:t>112.2</w:t>
            </w:r>
          </w:p>
        </w:tc>
      </w:tr>
    </w:tbl>
    <w:p w14:paraId="1854B646" w14:textId="77777777" w:rsidR="000B649F" w:rsidRDefault="000B649F" w:rsidP="00832607">
      <w:pPr>
        <w:pStyle w:val="LID"/>
        <w:rPr>
          <w:b w:val="0"/>
        </w:rPr>
      </w:pPr>
    </w:p>
    <w:p w14:paraId="293DC0EA" w14:textId="35EF49B4" w:rsidR="0046174B" w:rsidRDefault="00BB64DC" w:rsidP="002F47F3">
      <w:pPr>
        <w:spacing w:after="0"/>
        <w:rPr>
          <w:rFonts w:eastAsia="Times New Roman"/>
          <w:szCs w:val="19"/>
          <w:lang w:val="en-GB" w:eastAsia="pl-PL"/>
        </w:rPr>
      </w:pPr>
      <w:r w:rsidRPr="00BB64DC">
        <w:rPr>
          <w:rFonts w:eastAsia="Times New Roman"/>
          <w:szCs w:val="19"/>
          <w:lang w:val="en-GB" w:eastAsia="pl-PL"/>
        </w:rPr>
        <w:lastRenderedPageBreak/>
        <w:t>The labour demand statistics presented in this study looked slightly different in relation to the third quarter of 2021: the number of job vacancies and the number of newly created jobs decreased, but the number of liquidated jobs increased.</w:t>
      </w:r>
    </w:p>
    <w:p w14:paraId="40E3D8D0" w14:textId="77777777" w:rsidR="00E153C5" w:rsidRPr="00535A5A" w:rsidRDefault="00E153C5" w:rsidP="00E153C5">
      <w:pPr>
        <w:spacing w:before="360"/>
        <w:ind w:left="851" w:hanging="851"/>
        <w:rPr>
          <w:b/>
          <w:szCs w:val="19"/>
          <w:shd w:val="clear" w:color="auto" w:fill="FFFFFF"/>
          <w:lang w:val="en-GB"/>
        </w:rPr>
      </w:pPr>
      <w:r w:rsidRPr="00535A5A">
        <w:rPr>
          <w:b/>
          <w:szCs w:val="19"/>
          <w:lang w:val="en-GB"/>
        </w:rPr>
        <w:t>Table 2.</w:t>
      </w:r>
      <w:r w:rsidRPr="00535A5A">
        <w:rPr>
          <w:b/>
          <w:szCs w:val="19"/>
          <w:shd w:val="clear" w:color="auto" w:fill="FFFFFF"/>
          <w:lang w:val="en-GB"/>
        </w:rPr>
        <w:t xml:space="preserve"> Selected indicators in the scope of the demand for labour</w:t>
      </w:r>
    </w:p>
    <w:tbl>
      <w:tblPr>
        <w:tblStyle w:val="Firasans"/>
        <w:tblpPr w:leftFromText="141" w:rightFromText="141" w:vertAnchor="text" w:horzAnchor="margin" w:tblpY="25"/>
        <w:tblW w:w="0" w:type="auto"/>
        <w:tblBorders>
          <w:top w:val="single" w:sz="4" w:space="0" w:color="001D77"/>
        </w:tblBorders>
        <w:tblLook w:val="04A0" w:firstRow="1" w:lastRow="0" w:firstColumn="1" w:lastColumn="0" w:noHBand="0" w:noVBand="1"/>
        <w:tblCaption w:val="Tablica 2.  Wybrane wskaźniki z zakresu popytu na pracę"/>
        <w:tblDescription w:val="Period:since quarter 4 2020 to 4 quarter 2021"/>
      </w:tblPr>
      <w:tblGrid>
        <w:gridCol w:w="1701"/>
        <w:gridCol w:w="2122"/>
        <w:gridCol w:w="2122"/>
        <w:gridCol w:w="2122"/>
      </w:tblGrid>
      <w:tr w:rsidR="00E153C5" w:rsidRPr="00535A5A" w14:paraId="625420C8" w14:textId="77777777" w:rsidTr="00747AA0">
        <w:trPr>
          <w:trHeight w:val="851"/>
        </w:trPr>
        <w:tc>
          <w:tcPr>
            <w:tcW w:w="1701" w:type="dxa"/>
            <w:tcBorders>
              <w:bottom w:val="single" w:sz="12" w:space="0" w:color="001D77"/>
            </w:tcBorders>
            <w:vAlign w:val="center"/>
          </w:tcPr>
          <w:p w14:paraId="0001697A" w14:textId="77777777"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QUARTERS</w:t>
            </w:r>
          </w:p>
        </w:tc>
        <w:tc>
          <w:tcPr>
            <w:tcW w:w="2122" w:type="dxa"/>
            <w:tcBorders>
              <w:bottom w:val="single" w:sz="12" w:space="0" w:color="001D77"/>
            </w:tcBorders>
            <w:vAlign w:val="center"/>
          </w:tcPr>
          <w:p w14:paraId="51380C7D" w14:textId="1E65F037"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 xml:space="preserve">Share of economic entities with job </w:t>
            </w:r>
            <w:r w:rsidR="00535A5A">
              <w:rPr>
                <w:rFonts w:eastAsia="Times New Roman"/>
                <w:szCs w:val="19"/>
                <w:lang w:val="en-GB"/>
              </w:rPr>
              <w:br/>
            </w:r>
            <w:r w:rsidRPr="00535A5A">
              <w:rPr>
                <w:rFonts w:eastAsia="Times New Roman"/>
                <w:szCs w:val="19"/>
                <w:lang w:val="en-GB"/>
              </w:rPr>
              <w:t xml:space="preserve">vacancies in % </w:t>
            </w:r>
            <w:r w:rsidR="00535A5A">
              <w:rPr>
                <w:rFonts w:eastAsia="Times New Roman"/>
                <w:szCs w:val="19"/>
                <w:lang w:val="en-GB"/>
              </w:rPr>
              <w:br/>
            </w:r>
            <w:r w:rsidRPr="00535A5A">
              <w:rPr>
                <w:rFonts w:eastAsia="Times New Roman"/>
                <w:szCs w:val="19"/>
                <w:lang w:val="en-GB"/>
              </w:rPr>
              <w:t xml:space="preserve">(as at the end of </w:t>
            </w:r>
            <w:r w:rsidR="00535A5A">
              <w:rPr>
                <w:rFonts w:eastAsia="Times New Roman"/>
                <w:szCs w:val="19"/>
                <w:lang w:val="en-GB"/>
              </w:rPr>
              <w:br/>
            </w:r>
            <w:r w:rsidRPr="00535A5A">
              <w:rPr>
                <w:rFonts w:eastAsia="Times New Roman"/>
                <w:szCs w:val="19"/>
                <w:lang w:val="en-GB"/>
              </w:rPr>
              <w:t>the quarter)</w:t>
            </w:r>
          </w:p>
        </w:tc>
        <w:tc>
          <w:tcPr>
            <w:tcW w:w="2122" w:type="dxa"/>
            <w:tcBorders>
              <w:bottom w:val="single" w:sz="12" w:space="0" w:color="001D77"/>
            </w:tcBorders>
            <w:vAlign w:val="center"/>
          </w:tcPr>
          <w:p w14:paraId="6E4406D4" w14:textId="5A3F9C7F"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Job vacancy rate in %</w:t>
            </w:r>
            <w:r w:rsidRPr="00535A5A">
              <w:rPr>
                <w:rFonts w:eastAsia="Times New Roman"/>
                <w:szCs w:val="19"/>
                <w:lang w:val="en-GB"/>
              </w:rPr>
              <w:br/>
              <w:t xml:space="preserve">(as at the end of </w:t>
            </w:r>
            <w:r w:rsidR="00535A5A">
              <w:rPr>
                <w:rFonts w:eastAsia="Times New Roman"/>
                <w:szCs w:val="19"/>
                <w:lang w:val="en-GB"/>
              </w:rPr>
              <w:br/>
            </w:r>
            <w:r w:rsidRPr="00535A5A">
              <w:rPr>
                <w:rFonts w:eastAsia="Times New Roman"/>
                <w:szCs w:val="19"/>
                <w:lang w:val="en-GB"/>
              </w:rPr>
              <w:t>the quarter)</w:t>
            </w:r>
          </w:p>
        </w:tc>
        <w:tc>
          <w:tcPr>
            <w:tcW w:w="2122" w:type="dxa"/>
            <w:tcBorders>
              <w:bottom w:val="single" w:sz="12" w:space="0" w:color="001D77"/>
            </w:tcBorders>
            <w:vAlign w:val="center"/>
          </w:tcPr>
          <w:p w14:paraId="42C6DE8A" w14:textId="3F693B90"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 xml:space="preserve">The ratio of the number of newly created jobs to the number </w:t>
            </w:r>
            <w:r w:rsidR="00535A5A">
              <w:rPr>
                <w:rFonts w:eastAsia="Times New Roman"/>
                <w:szCs w:val="19"/>
                <w:lang w:val="en-GB"/>
              </w:rPr>
              <w:br/>
            </w:r>
            <w:r w:rsidRPr="00535A5A">
              <w:rPr>
                <w:rFonts w:eastAsia="Times New Roman"/>
                <w:szCs w:val="19"/>
                <w:lang w:val="en-GB"/>
              </w:rPr>
              <w:t>of liquidated jobs (during the quarter)</w:t>
            </w:r>
          </w:p>
        </w:tc>
      </w:tr>
      <w:tr w:rsidR="00E153C5" w:rsidRPr="00535A5A" w14:paraId="093BADA0" w14:textId="77777777" w:rsidTr="00747AA0">
        <w:tc>
          <w:tcPr>
            <w:tcW w:w="8067" w:type="dxa"/>
            <w:gridSpan w:val="4"/>
            <w:tcBorders>
              <w:top w:val="single" w:sz="12" w:space="0" w:color="001D77"/>
            </w:tcBorders>
          </w:tcPr>
          <w:p w14:paraId="507A91E4" w14:textId="77777777"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2020</w:t>
            </w:r>
          </w:p>
        </w:tc>
      </w:tr>
      <w:tr w:rsidR="00E153C5" w:rsidRPr="00535A5A" w14:paraId="27C0E75E" w14:textId="77777777" w:rsidTr="00747AA0">
        <w:tc>
          <w:tcPr>
            <w:tcW w:w="1701" w:type="dxa"/>
          </w:tcPr>
          <w:p w14:paraId="518085C7" w14:textId="77777777" w:rsidR="00E153C5" w:rsidRPr="00535A5A" w:rsidRDefault="00E153C5" w:rsidP="00747AA0">
            <w:pPr>
              <w:spacing w:before="40" w:after="40"/>
              <w:rPr>
                <w:rFonts w:eastAsia="Times New Roman"/>
                <w:szCs w:val="19"/>
                <w:lang w:val="en-GB"/>
              </w:rPr>
            </w:pPr>
            <w:r w:rsidRPr="00535A5A">
              <w:rPr>
                <w:rFonts w:eastAsia="Times New Roman"/>
                <w:szCs w:val="19"/>
                <w:lang w:val="en-GB"/>
              </w:rPr>
              <w:t>Quarter 4</w:t>
            </w:r>
          </w:p>
        </w:tc>
        <w:tc>
          <w:tcPr>
            <w:tcW w:w="2122" w:type="dxa"/>
          </w:tcPr>
          <w:p w14:paraId="4A98F50A"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4.2</w:t>
            </w:r>
          </w:p>
        </w:tc>
        <w:tc>
          <w:tcPr>
            <w:tcW w:w="2122" w:type="dxa"/>
          </w:tcPr>
          <w:p w14:paraId="68FD60FD"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0.69</w:t>
            </w:r>
          </w:p>
        </w:tc>
        <w:tc>
          <w:tcPr>
            <w:tcW w:w="2122" w:type="dxa"/>
          </w:tcPr>
          <w:p w14:paraId="5B7EBA60"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1.7</w:t>
            </w:r>
          </w:p>
        </w:tc>
      </w:tr>
      <w:tr w:rsidR="00E153C5" w:rsidRPr="00535A5A" w14:paraId="6ADB0B95" w14:textId="77777777" w:rsidTr="00747AA0">
        <w:tc>
          <w:tcPr>
            <w:tcW w:w="8067" w:type="dxa"/>
            <w:gridSpan w:val="4"/>
          </w:tcPr>
          <w:p w14:paraId="2E78C99B" w14:textId="77777777" w:rsidR="00E153C5" w:rsidRPr="00535A5A" w:rsidRDefault="00E153C5" w:rsidP="00747AA0">
            <w:pPr>
              <w:spacing w:before="40" w:after="40"/>
              <w:jc w:val="center"/>
              <w:rPr>
                <w:rFonts w:eastAsia="Times New Roman"/>
                <w:szCs w:val="19"/>
                <w:lang w:val="en-GB"/>
              </w:rPr>
            </w:pPr>
            <w:r w:rsidRPr="00535A5A">
              <w:rPr>
                <w:rFonts w:eastAsia="Times New Roman"/>
                <w:szCs w:val="19"/>
                <w:lang w:val="en-GB"/>
              </w:rPr>
              <w:t>2021</w:t>
            </w:r>
          </w:p>
        </w:tc>
      </w:tr>
      <w:tr w:rsidR="00E153C5" w:rsidRPr="00535A5A" w14:paraId="2FC39137" w14:textId="77777777" w:rsidTr="00747AA0">
        <w:tc>
          <w:tcPr>
            <w:tcW w:w="1701" w:type="dxa"/>
          </w:tcPr>
          <w:p w14:paraId="70584FE2" w14:textId="77777777" w:rsidR="00E153C5" w:rsidRPr="00535A5A" w:rsidRDefault="00E153C5" w:rsidP="00747AA0">
            <w:pPr>
              <w:spacing w:before="40" w:after="40"/>
              <w:rPr>
                <w:rFonts w:eastAsia="Times New Roman"/>
                <w:szCs w:val="19"/>
                <w:lang w:val="en-GB"/>
              </w:rPr>
            </w:pPr>
            <w:r w:rsidRPr="00535A5A">
              <w:rPr>
                <w:rFonts w:eastAsia="Times New Roman"/>
                <w:szCs w:val="19"/>
                <w:lang w:val="en-GB"/>
              </w:rPr>
              <w:t>Quarter 1</w:t>
            </w:r>
          </w:p>
        </w:tc>
        <w:tc>
          <w:tcPr>
            <w:tcW w:w="2122" w:type="dxa"/>
          </w:tcPr>
          <w:p w14:paraId="06FD7B94"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5.5</w:t>
            </w:r>
          </w:p>
        </w:tc>
        <w:tc>
          <w:tcPr>
            <w:tcW w:w="2122" w:type="dxa"/>
          </w:tcPr>
          <w:p w14:paraId="457A9496"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0.90</w:t>
            </w:r>
          </w:p>
        </w:tc>
        <w:tc>
          <w:tcPr>
            <w:tcW w:w="2122" w:type="dxa"/>
          </w:tcPr>
          <w:p w14:paraId="0AA324B3"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2.7</w:t>
            </w:r>
          </w:p>
        </w:tc>
      </w:tr>
      <w:tr w:rsidR="00E153C5" w:rsidRPr="00535A5A" w14:paraId="5C54BBEC" w14:textId="77777777" w:rsidTr="00747AA0">
        <w:tc>
          <w:tcPr>
            <w:tcW w:w="1701" w:type="dxa"/>
          </w:tcPr>
          <w:p w14:paraId="7CA6A891" w14:textId="77777777" w:rsidR="00E153C5" w:rsidRPr="00535A5A" w:rsidRDefault="00E153C5" w:rsidP="00747AA0">
            <w:pPr>
              <w:spacing w:before="40" w:after="40"/>
              <w:rPr>
                <w:rFonts w:eastAsia="Times New Roman"/>
                <w:szCs w:val="19"/>
                <w:lang w:val="en-GB"/>
              </w:rPr>
            </w:pPr>
            <w:r w:rsidRPr="00535A5A">
              <w:rPr>
                <w:rFonts w:eastAsia="Times New Roman"/>
                <w:szCs w:val="19"/>
                <w:lang w:val="en-GB"/>
              </w:rPr>
              <w:t>Quarter 2</w:t>
            </w:r>
          </w:p>
        </w:tc>
        <w:tc>
          <w:tcPr>
            <w:tcW w:w="2122" w:type="dxa"/>
          </w:tcPr>
          <w:p w14:paraId="209DCEB8"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6.1</w:t>
            </w:r>
          </w:p>
        </w:tc>
        <w:tc>
          <w:tcPr>
            <w:tcW w:w="2122" w:type="dxa"/>
          </w:tcPr>
          <w:p w14:paraId="61102F0D"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1.16</w:t>
            </w:r>
          </w:p>
        </w:tc>
        <w:tc>
          <w:tcPr>
            <w:tcW w:w="2122" w:type="dxa"/>
          </w:tcPr>
          <w:p w14:paraId="44E9E721"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2.5</w:t>
            </w:r>
          </w:p>
        </w:tc>
      </w:tr>
      <w:tr w:rsidR="00E153C5" w:rsidRPr="00535A5A" w14:paraId="614EACE8" w14:textId="77777777" w:rsidTr="00747AA0">
        <w:tc>
          <w:tcPr>
            <w:tcW w:w="1701" w:type="dxa"/>
          </w:tcPr>
          <w:p w14:paraId="39BA2BE5" w14:textId="77777777" w:rsidR="00E153C5" w:rsidRPr="00535A5A" w:rsidRDefault="00E153C5" w:rsidP="00747AA0">
            <w:pPr>
              <w:spacing w:before="40" w:after="40"/>
              <w:rPr>
                <w:rFonts w:eastAsia="Times New Roman"/>
                <w:szCs w:val="19"/>
                <w:lang w:val="en-GB"/>
              </w:rPr>
            </w:pPr>
            <w:r w:rsidRPr="00535A5A">
              <w:rPr>
                <w:rFonts w:eastAsia="Times New Roman"/>
                <w:szCs w:val="19"/>
                <w:lang w:val="en-GB"/>
              </w:rPr>
              <w:t>Quarter 3</w:t>
            </w:r>
          </w:p>
        </w:tc>
        <w:tc>
          <w:tcPr>
            <w:tcW w:w="2122" w:type="dxa"/>
          </w:tcPr>
          <w:p w14:paraId="3632BDE5"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6.7</w:t>
            </w:r>
          </w:p>
        </w:tc>
        <w:tc>
          <w:tcPr>
            <w:tcW w:w="2122" w:type="dxa"/>
          </w:tcPr>
          <w:p w14:paraId="53ABBB87"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1.25</w:t>
            </w:r>
          </w:p>
        </w:tc>
        <w:tc>
          <w:tcPr>
            <w:tcW w:w="2122" w:type="dxa"/>
          </w:tcPr>
          <w:p w14:paraId="7E4612DD" w14:textId="77777777" w:rsidR="00E153C5" w:rsidRPr="00535A5A" w:rsidRDefault="00E153C5" w:rsidP="00747AA0">
            <w:pPr>
              <w:spacing w:before="40" w:after="40"/>
              <w:jc w:val="right"/>
              <w:rPr>
                <w:rFonts w:eastAsia="Times New Roman"/>
                <w:szCs w:val="19"/>
                <w:lang w:val="en-GB"/>
              </w:rPr>
            </w:pPr>
            <w:r w:rsidRPr="00535A5A">
              <w:rPr>
                <w:rFonts w:eastAsia="Times New Roman"/>
                <w:szCs w:val="19"/>
                <w:lang w:val="en-GB"/>
              </w:rPr>
              <w:t>2.3</w:t>
            </w:r>
          </w:p>
        </w:tc>
      </w:tr>
      <w:tr w:rsidR="00E153C5" w:rsidRPr="00535A5A" w14:paraId="35B2D6F2" w14:textId="77777777" w:rsidTr="00747AA0">
        <w:tc>
          <w:tcPr>
            <w:tcW w:w="1701" w:type="dxa"/>
          </w:tcPr>
          <w:p w14:paraId="224C2D9B" w14:textId="77777777" w:rsidR="00E153C5" w:rsidRPr="00535A5A" w:rsidRDefault="00E153C5" w:rsidP="00747AA0">
            <w:pPr>
              <w:spacing w:before="40" w:after="40"/>
              <w:rPr>
                <w:rFonts w:eastAsia="Times New Roman"/>
                <w:b/>
                <w:szCs w:val="19"/>
                <w:lang w:val="en-GB"/>
              </w:rPr>
            </w:pPr>
            <w:r w:rsidRPr="00535A5A">
              <w:rPr>
                <w:rFonts w:eastAsia="Times New Roman"/>
                <w:b/>
                <w:szCs w:val="19"/>
                <w:lang w:val="en-GB"/>
              </w:rPr>
              <w:t>Quarter 4</w:t>
            </w:r>
          </w:p>
        </w:tc>
        <w:tc>
          <w:tcPr>
            <w:tcW w:w="2122" w:type="dxa"/>
          </w:tcPr>
          <w:p w14:paraId="5F7E474F" w14:textId="77777777" w:rsidR="00E153C5" w:rsidRPr="00535A5A" w:rsidRDefault="00E153C5" w:rsidP="00747AA0">
            <w:pPr>
              <w:spacing w:before="40" w:after="40"/>
              <w:jc w:val="right"/>
              <w:rPr>
                <w:rFonts w:eastAsia="Times New Roman"/>
                <w:b/>
                <w:szCs w:val="19"/>
                <w:lang w:val="en-GB"/>
              </w:rPr>
            </w:pPr>
            <w:r w:rsidRPr="00535A5A">
              <w:rPr>
                <w:rFonts w:eastAsia="Times New Roman"/>
                <w:b/>
                <w:szCs w:val="19"/>
                <w:lang w:val="en-GB"/>
              </w:rPr>
              <w:t>5.8</w:t>
            </w:r>
          </w:p>
        </w:tc>
        <w:tc>
          <w:tcPr>
            <w:tcW w:w="2122" w:type="dxa"/>
          </w:tcPr>
          <w:p w14:paraId="0A827DCA" w14:textId="77777777" w:rsidR="00E153C5" w:rsidRPr="00535A5A" w:rsidRDefault="00E153C5" w:rsidP="00747AA0">
            <w:pPr>
              <w:spacing w:before="40" w:after="40"/>
              <w:jc w:val="right"/>
              <w:rPr>
                <w:rFonts w:eastAsia="Times New Roman"/>
                <w:b/>
                <w:szCs w:val="19"/>
                <w:lang w:val="en-GB"/>
              </w:rPr>
            </w:pPr>
            <w:r w:rsidRPr="00535A5A">
              <w:rPr>
                <w:rFonts w:eastAsia="Times New Roman"/>
                <w:b/>
                <w:szCs w:val="19"/>
                <w:lang w:val="en-GB"/>
              </w:rPr>
              <w:t>1.12</w:t>
            </w:r>
          </w:p>
        </w:tc>
        <w:tc>
          <w:tcPr>
            <w:tcW w:w="2122" w:type="dxa"/>
          </w:tcPr>
          <w:p w14:paraId="4B206AED" w14:textId="77777777" w:rsidR="00E153C5" w:rsidRPr="00535A5A" w:rsidRDefault="00E153C5" w:rsidP="00747AA0">
            <w:pPr>
              <w:spacing w:before="40" w:after="40"/>
              <w:jc w:val="right"/>
              <w:rPr>
                <w:rFonts w:eastAsia="Times New Roman"/>
                <w:b/>
                <w:szCs w:val="19"/>
                <w:lang w:val="en-GB"/>
              </w:rPr>
            </w:pPr>
            <w:r w:rsidRPr="00535A5A">
              <w:rPr>
                <w:rFonts w:eastAsia="Times New Roman"/>
                <w:b/>
                <w:szCs w:val="19"/>
                <w:lang w:val="en-GB"/>
              </w:rPr>
              <w:t>1.7</w:t>
            </w:r>
          </w:p>
        </w:tc>
      </w:tr>
    </w:tbl>
    <w:p w14:paraId="180D9B16" w14:textId="77777777" w:rsidR="00E153C5" w:rsidRDefault="00E153C5" w:rsidP="002F47F3">
      <w:pPr>
        <w:spacing w:after="0"/>
        <w:rPr>
          <w:rFonts w:eastAsia="Times New Roman"/>
          <w:szCs w:val="19"/>
          <w:lang w:val="en-GB" w:eastAsia="pl-PL"/>
        </w:rPr>
      </w:pPr>
    </w:p>
    <w:p w14:paraId="4B1D8E9A" w14:textId="78E3D63F" w:rsidR="00EC537A" w:rsidRPr="0046174B" w:rsidRDefault="005042EB" w:rsidP="0074494E">
      <w:pPr>
        <w:pStyle w:val="Nagwek1"/>
        <w:rPr>
          <w:spacing w:val="2"/>
          <w:szCs w:val="19"/>
          <w:lang w:val="en-GB"/>
        </w:rPr>
      </w:pPr>
      <w:r>
        <w:rPr>
          <w:lang w:val="en-GB"/>
        </w:rPr>
        <w:t>J</w:t>
      </w:r>
      <w:r w:rsidRPr="005042EB">
        <w:rPr>
          <w:lang w:val="en-GB"/>
        </w:rPr>
        <w:t xml:space="preserve">ob vacancies at the end of the </w:t>
      </w:r>
      <w:r>
        <w:rPr>
          <w:lang w:val="en-GB"/>
        </w:rPr>
        <w:t>fourth</w:t>
      </w:r>
      <w:r w:rsidRPr="005042EB">
        <w:rPr>
          <w:lang w:val="en-GB"/>
        </w:rPr>
        <w:t xml:space="preserve"> quarter of 2021</w:t>
      </w:r>
    </w:p>
    <w:p w14:paraId="47F47B8B" w14:textId="7E99DCFC" w:rsidR="00EC537A" w:rsidRPr="000C6CBE" w:rsidRDefault="009C1858" w:rsidP="00EC537A">
      <w:pPr>
        <w:rPr>
          <w:noProof/>
          <w:lang w:eastAsia="pl-PL"/>
        </w:rPr>
      </w:pPr>
      <w:r w:rsidRPr="009C1858">
        <w:rPr>
          <w:noProof/>
          <w:lang w:eastAsia="pl-PL"/>
        </w:rPr>
        <w:t>The Labour Demand Survey enables the analysis of data on job vacancies, i.e. positions or jobs unoccupied due to labour turnover or newly created ones that simultaneously meet the following three conditions:</w:t>
      </w:r>
    </w:p>
    <w:p w14:paraId="093455EC" w14:textId="1F7F60D7" w:rsidR="00EC537A" w:rsidRPr="000C6CBE" w:rsidRDefault="009C1858" w:rsidP="009C1858">
      <w:pPr>
        <w:pStyle w:val="Akapitzlist"/>
        <w:numPr>
          <w:ilvl w:val="0"/>
          <w:numId w:val="9"/>
        </w:numPr>
        <w:spacing w:before="0" w:after="0"/>
        <w:rPr>
          <w:noProof/>
          <w:lang w:eastAsia="pl-PL"/>
        </w:rPr>
      </w:pPr>
      <w:r w:rsidRPr="009C1858">
        <w:rPr>
          <w:noProof/>
          <w:lang w:eastAsia="pl-PL"/>
        </w:rPr>
        <w:t>the positions and jobs were actually unoccupied on the survey day,</w:t>
      </w:r>
    </w:p>
    <w:p w14:paraId="37D0EAB8" w14:textId="086C0637" w:rsidR="00EC537A" w:rsidRPr="000C6CBE" w:rsidRDefault="009C1858" w:rsidP="009C1858">
      <w:pPr>
        <w:pStyle w:val="Akapitzlist"/>
        <w:numPr>
          <w:ilvl w:val="0"/>
          <w:numId w:val="9"/>
        </w:numPr>
        <w:spacing w:before="0" w:after="0"/>
        <w:rPr>
          <w:noProof/>
          <w:lang w:eastAsia="pl-PL"/>
        </w:rPr>
      </w:pPr>
      <w:r w:rsidRPr="009C1858">
        <w:rPr>
          <w:noProof/>
          <w:lang w:eastAsia="pl-PL"/>
        </w:rPr>
        <w:t>the employer made efforts to find people willing to take up the job,</w:t>
      </w:r>
    </w:p>
    <w:p w14:paraId="64C96038" w14:textId="30C12D7C" w:rsidR="00EC537A" w:rsidRPr="000C6CBE" w:rsidRDefault="009C1858" w:rsidP="009C1858">
      <w:pPr>
        <w:pStyle w:val="Akapitzlist"/>
        <w:numPr>
          <w:ilvl w:val="0"/>
          <w:numId w:val="9"/>
        </w:numPr>
        <w:spacing w:before="0" w:after="0"/>
        <w:rPr>
          <w:noProof/>
          <w:lang w:eastAsia="pl-PL"/>
        </w:rPr>
      </w:pPr>
      <w:r w:rsidRPr="009C1858">
        <w:rPr>
          <w:noProof/>
          <w:lang w:eastAsia="pl-PL"/>
        </w:rPr>
        <w:t>if adequate candidates were found to occupy the vacancies, the employer would readily take them on.</w:t>
      </w:r>
    </w:p>
    <w:p w14:paraId="1C7D3A35" w14:textId="23FADA93" w:rsidR="00EC537A" w:rsidRPr="00AB21F7" w:rsidRDefault="00EC537A" w:rsidP="001F37DB">
      <w:pPr>
        <w:rPr>
          <w:lang w:val="en-GB"/>
        </w:rPr>
      </w:pPr>
      <w:r w:rsidRPr="000A3FCC">
        <w:rPr>
          <w:noProof/>
          <w:lang w:eastAsia="pl-PL"/>
        </w:rPr>
        <mc:AlternateContent>
          <mc:Choice Requires="wps">
            <w:drawing>
              <wp:anchor distT="0" distB="0" distL="114300" distR="114300" simplePos="0" relativeHeight="251774976" behindDoc="0" locked="0" layoutInCell="1" allowOverlap="1" wp14:anchorId="6AC87233" wp14:editId="501A50CA">
                <wp:simplePos x="0" y="0"/>
                <wp:positionH relativeFrom="column">
                  <wp:posOffset>5237018</wp:posOffset>
                </wp:positionH>
                <wp:positionV relativeFrom="paragraph">
                  <wp:posOffset>39164</wp:posOffset>
                </wp:positionV>
                <wp:extent cx="1828800" cy="2171700"/>
                <wp:effectExtent l="0" t="0" r="0" b="0"/>
                <wp:wrapNone/>
                <wp:docPr id="33" name="Text Box 23" descr="At the end of the fourth quar-ter of 2021, there was recorded a significant increase in the number of vacant newly creat-ed jobs in comparison with the corresponding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A1650" w14:textId="49AE3C09" w:rsidR="00B70B77" w:rsidRPr="00721168" w:rsidRDefault="00927D58" w:rsidP="002F47F3">
                            <w:pPr>
                              <w:spacing w:before="0"/>
                              <w:rPr>
                                <w:bCs/>
                                <w:color w:val="001D77"/>
                                <w:sz w:val="18"/>
                                <w:szCs w:val="18"/>
                                <w:lang w:val="en-GB"/>
                              </w:rPr>
                            </w:pPr>
                            <w:r w:rsidRPr="00927D58">
                              <w:rPr>
                                <w:bCs/>
                                <w:color w:val="001D77"/>
                                <w:sz w:val="18"/>
                                <w:szCs w:val="18"/>
                                <w:lang w:val="en-GB"/>
                              </w:rPr>
                              <w:t xml:space="preserve">At the end of the fourth </w:t>
                            </w:r>
                            <w:proofErr w:type="spellStart"/>
                            <w:r w:rsidRPr="00927D58">
                              <w:rPr>
                                <w:bCs/>
                                <w:color w:val="001D77"/>
                                <w:sz w:val="18"/>
                                <w:szCs w:val="18"/>
                                <w:lang w:val="en-GB"/>
                              </w:rPr>
                              <w:t>qu</w:t>
                            </w:r>
                            <w:r w:rsidR="000A3FCC">
                              <w:rPr>
                                <w:bCs/>
                                <w:color w:val="001D77"/>
                                <w:sz w:val="18"/>
                                <w:szCs w:val="18"/>
                                <w:lang w:val="en-GB"/>
                              </w:rPr>
                              <w:t>ar-ter</w:t>
                            </w:r>
                            <w:proofErr w:type="spellEnd"/>
                            <w:r w:rsidR="000A3FCC">
                              <w:rPr>
                                <w:bCs/>
                                <w:color w:val="001D77"/>
                                <w:sz w:val="18"/>
                                <w:szCs w:val="18"/>
                                <w:lang w:val="en-GB"/>
                              </w:rPr>
                              <w:t xml:space="preserve"> of 2021, there was recor</w:t>
                            </w:r>
                            <w:r w:rsidRPr="00927D58">
                              <w:rPr>
                                <w:bCs/>
                                <w:color w:val="001D77"/>
                                <w:sz w:val="18"/>
                                <w:szCs w:val="18"/>
                                <w:lang w:val="en-GB"/>
                              </w:rPr>
                              <w:t>ded a significant increase in the number of vacant newly created jobs in comparison with the corresponding period of the previous year</w:t>
                            </w:r>
                          </w:p>
                          <w:p w14:paraId="70A6C8B0" w14:textId="77777777" w:rsidR="00B70B77" w:rsidRDefault="00B70B77" w:rsidP="00EC537A">
                            <w:pPr>
                              <w:spacing w:before="0"/>
                              <w:rPr>
                                <w:bCs/>
                                <w:color w:val="001D77"/>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7233" id="_x0000_s1028" type="#_x0000_t202" alt="At the end of the fourth quar-ter of 2021, there was recorded a significant increase in the number of vacant newly creat-ed jobs in comparison with the corresponding period of the previous year" style="position:absolute;margin-left:412.35pt;margin-top:3.1pt;width:2in;height:17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" filled="f" stroked="f">
                <v:textbox>
                  <w:txbxContent>
                    <w:p w14:paraId="332A1650" w14:textId="49AE3C09" w:rsidR="00B70B77" w:rsidRPr="00721168" w:rsidRDefault="00927D58" w:rsidP="002F47F3">
                      <w:pPr>
                        <w:spacing w:before="0"/>
                        <w:rPr>
                          <w:bCs/>
                          <w:color w:val="001D77"/>
                          <w:sz w:val="18"/>
                          <w:szCs w:val="18"/>
                          <w:lang w:val="en-GB"/>
                        </w:rPr>
                      </w:pPr>
                      <w:r w:rsidRPr="00927D58">
                        <w:rPr>
                          <w:bCs/>
                          <w:color w:val="001D77"/>
                          <w:sz w:val="18"/>
                          <w:szCs w:val="18"/>
                          <w:lang w:val="en-GB"/>
                        </w:rPr>
                        <w:t xml:space="preserve">At the end of the fourth </w:t>
                      </w:r>
                      <w:proofErr w:type="spellStart"/>
                      <w:r w:rsidRPr="00927D58">
                        <w:rPr>
                          <w:bCs/>
                          <w:color w:val="001D77"/>
                          <w:sz w:val="18"/>
                          <w:szCs w:val="18"/>
                          <w:lang w:val="en-GB"/>
                        </w:rPr>
                        <w:t>qu</w:t>
                      </w:r>
                      <w:r w:rsidR="000A3FCC">
                        <w:rPr>
                          <w:bCs/>
                          <w:color w:val="001D77"/>
                          <w:sz w:val="18"/>
                          <w:szCs w:val="18"/>
                          <w:lang w:val="en-GB"/>
                        </w:rPr>
                        <w:t>ar-ter</w:t>
                      </w:r>
                      <w:proofErr w:type="spellEnd"/>
                      <w:r w:rsidR="000A3FCC">
                        <w:rPr>
                          <w:bCs/>
                          <w:color w:val="001D77"/>
                          <w:sz w:val="18"/>
                          <w:szCs w:val="18"/>
                          <w:lang w:val="en-GB"/>
                        </w:rPr>
                        <w:t xml:space="preserve"> of 2021, there was recor</w:t>
                      </w:r>
                      <w:r w:rsidRPr="00927D58">
                        <w:rPr>
                          <w:bCs/>
                          <w:color w:val="001D77"/>
                          <w:sz w:val="18"/>
                          <w:szCs w:val="18"/>
                          <w:lang w:val="en-GB"/>
                        </w:rPr>
                        <w:t>ded a significant increase in the number of vacant newly created jobs in comparison with the corresponding period of the previous year</w:t>
                      </w:r>
                    </w:p>
                    <w:p w14:paraId="70A6C8B0" w14:textId="77777777" w:rsidR="00B70B77" w:rsidRDefault="00B70B77" w:rsidP="00EC537A">
                      <w:pPr>
                        <w:spacing w:before="0"/>
                        <w:rPr>
                          <w:bCs/>
                          <w:color w:val="001D77"/>
                          <w:sz w:val="18"/>
                          <w:szCs w:val="18"/>
                        </w:rPr>
                      </w:pPr>
                    </w:p>
                  </w:txbxContent>
                </v:textbox>
              </v:shape>
            </w:pict>
          </mc:Fallback>
        </mc:AlternateContent>
      </w:r>
      <w:r w:rsidR="00E153C5" w:rsidRPr="000A3FCC">
        <w:rPr>
          <w:lang w:val="en-GB"/>
        </w:rPr>
        <w:t xml:space="preserve">The total number of </w:t>
      </w:r>
      <w:r w:rsidR="00E153C5" w:rsidRPr="000A3FCC">
        <w:rPr>
          <w:b/>
          <w:lang w:val="en-GB"/>
        </w:rPr>
        <w:t>job vacancies</w:t>
      </w:r>
      <w:r w:rsidR="00E153C5" w:rsidRPr="000A3FCC">
        <w:rPr>
          <w:lang w:val="en-GB"/>
        </w:rPr>
        <w:t xml:space="preserve"> in Poland recorded at the end of the fourth quarter of 2021 amounted to 137.4 thousand. This number compared to the third quarter of 2020 increased by 62.8%. Almost a quarter of these jobs </w:t>
      </w:r>
      <w:r w:rsidR="00E153C5" w:rsidRPr="000A3FCC">
        <w:rPr>
          <w:rFonts w:eastAsia="Times New Roman"/>
          <w:szCs w:val="19"/>
          <w:lang w:val="en-GB" w:eastAsia="pl-PL"/>
        </w:rPr>
        <w:t>were newly created ones. At that time, the number of newly created jobs also increased, to an even greater degree, by 84.1%. Economic entities were looking for employees for instance through labour offices, to which 16.8 thousand job vacancies (12.2% of the total number of job vacancies) were reported</w:t>
      </w:r>
      <w:r w:rsidR="00E153C5">
        <w:rPr>
          <w:rFonts w:eastAsia="Times New Roman"/>
          <w:szCs w:val="19"/>
          <w:lang w:eastAsia="pl-PL"/>
        </w:rPr>
        <w:t>.</w:t>
      </w:r>
    </w:p>
    <w:p w14:paraId="0B2ED262" w14:textId="568D11E5" w:rsidR="0067108B" w:rsidRDefault="00296F54" w:rsidP="002F47F3">
      <w:pPr>
        <w:spacing w:before="240" w:after="0"/>
        <w:ind w:left="851" w:hanging="851"/>
        <w:rPr>
          <w:b/>
          <w:noProof/>
          <w:color w:val="000000"/>
          <w:szCs w:val="19"/>
          <w:lang w:eastAsia="pl-PL"/>
        </w:rPr>
      </w:pPr>
      <w:r>
        <w:rPr>
          <w:b/>
          <w:noProof/>
          <w:spacing w:val="-2"/>
          <w:szCs w:val="19"/>
          <w:lang w:eastAsia="pl-PL"/>
        </w:rPr>
        <w:t>Chart</w:t>
      </w:r>
      <w:r w:rsidR="00EC537A" w:rsidRPr="000964F8">
        <w:rPr>
          <w:b/>
          <w:noProof/>
          <w:spacing w:val="-2"/>
          <w:szCs w:val="19"/>
          <w:lang w:eastAsia="pl-PL"/>
        </w:rPr>
        <w:t xml:space="preserve"> 1. </w:t>
      </w:r>
      <w:r w:rsidRPr="00296F54">
        <w:rPr>
          <w:b/>
          <w:noProof/>
          <w:color w:val="000000"/>
          <w:szCs w:val="19"/>
          <w:lang w:eastAsia="pl-PL"/>
        </w:rPr>
        <w:t>Job vacancy rate</w:t>
      </w:r>
      <w:r w:rsidR="00EC537A" w:rsidRPr="000964F8">
        <w:rPr>
          <w:b/>
          <w:noProof/>
          <w:color w:val="000000"/>
          <w:szCs w:val="19"/>
          <w:lang w:eastAsia="pl-PL"/>
        </w:rPr>
        <w:t xml:space="preserve"> </w:t>
      </w:r>
    </w:p>
    <w:p w14:paraId="1E49A5E3" w14:textId="111EB702" w:rsidR="00EC537A" w:rsidRPr="000964F8" w:rsidRDefault="00296F54" w:rsidP="00296F54">
      <w:pPr>
        <w:spacing w:before="0"/>
        <w:ind w:left="686"/>
        <w:rPr>
          <w:noProof/>
          <w:szCs w:val="19"/>
          <w:lang w:eastAsia="pl-PL"/>
        </w:rPr>
      </w:pPr>
      <w:r w:rsidRPr="00296F54">
        <w:rPr>
          <w:noProof/>
          <w:szCs w:val="19"/>
          <w:lang w:eastAsia="pl-PL"/>
        </w:rPr>
        <w:t>As at the end of the quarter</w:t>
      </w:r>
    </w:p>
    <w:p w14:paraId="0A6DB65B" w14:textId="55613E8F" w:rsidR="00A454C1" w:rsidRDefault="00721168" w:rsidP="00A454C1">
      <w:pPr>
        <w:spacing w:before="360" w:line="240" w:lineRule="auto"/>
        <w:rPr>
          <w:rFonts w:eastAsia="Times New Roman"/>
          <w:szCs w:val="19"/>
          <w:lang w:eastAsia="pl-PL"/>
        </w:rPr>
      </w:pPr>
      <w:r>
        <w:rPr>
          <w:rFonts w:eastAsia="Times New Roman"/>
          <w:noProof/>
          <w:szCs w:val="19"/>
          <w:lang w:eastAsia="pl-PL"/>
        </w:rPr>
        <w:drawing>
          <wp:inline distT="0" distB="0" distL="0" distR="0" wp14:anchorId="5F640A1D" wp14:editId="017FBD6E">
            <wp:extent cx="5050669" cy="2861953"/>
            <wp:effectExtent l="0" t="0" r="0" b="0"/>
            <wp:docPr id="4" name="Obraz 4" descr="As at the end of the quarter&#10;Period: since 1 quarter 2015 to 4 quarter 2021" title="Chart 1. Job vacancy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554" t="2605" r="97" b="-2605"/>
                    <a:stretch/>
                  </pic:blipFill>
                  <pic:spPr bwMode="auto">
                    <a:xfrm>
                      <a:off x="0" y="0"/>
                      <a:ext cx="5079111" cy="2878070"/>
                    </a:xfrm>
                    <a:prstGeom prst="rect">
                      <a:avLst/>
                    </a:prstGeom>
                    <a:noFill/>
                    <a:ln>
                      <a:noFill/>
                    </a:ln>
                    <a:extLst>
                      <a:ext uri="{53640926-AAD7-44D8-BBD7-CCE9431645EC}">
                        <a14:shadowObscured xmlns:a14="http://schemas.microsoft.com/office/drawing/2010/main"/>
                      </a:ext>
                    </a:extLst>
                  </pic:spPr>
                </pic:pic>
              </a:graphicData>
            </a:graphic>
          </wp:inline>
        </w:drawing>
      </w:r>
    </w:p>
    <w:p w14:paraId="4C255ABA" w14:textId="50167E5E" w:rsidR="00D81614" w:rsidRPr="000A3FCC" w:rsidRDefault="00D81614" w:rsidP="00D81614">
      <w:pPr>
        <w:spacing w:before="360"/>
        <w:rPr>
          <w:rFonts w:eastAsia="Times New Roman"/>
          <w:szCs w:val="19"/>
          <w:lang w:val="en-GB" w:eastAsia="pl-PL"/>
        </w:rPr>
      </w:pPr>
      <w:r w:rsidRPr="000A3FCC">
        <w:rPr>
          <w:rFonts w:eastAsia="Times New Roman"/>
          <w:szCs w:val="19"/>
          <w:lang w:val="en-GB" w:eastAsia="pl-PL"/>
        </w:rPr>
        <w:lastRenderedPageBreak/>
        <w:t xml:space="preserve">One of the measures for assessing the situation on the labour market is </w:t>
      </w:r>
      <w:r w:rsidRPr="000A3FCC">
        <w:rPr>
          <w:rFonts w:eastAsia="Times New Roman"/>
          <w:b/>
          <w:szCs w:val="19"/>
          <w:lang w:val="en-GB" w:eastAsia="pl-PL"/>
        </w:rPr>
        <w:t>the job vacancy rate</w:t>
      </w:r>
      <w:r w:rsidRPr="000A3FCC">
        <w:rPr>
          <w:rFonts w:eastAsia="Times New Roman"/>
          <w:szCs w:val="19"/>
          <w:lang w:val="en-GB" w:eastAsia="pl-PL"/>
        </w:rPr>
        <w:t>, which is the share of job vacancies in the sum of the number of occupied posts and the number of job vacancies in a given period. At the end of the fourth quarter of 2021 this rate amounted to 1.12% and was 0.43 percentage points higher than in the corresponding period of 2020, but 0.13 percentage points lower than in the third quarter of 2021.</w:t>
      </w:r>
    </w:p>
    <w:p w14:paraId="475AF48A" w14:textId="220E08C2" w:rsidR="00386C99" w:rsidRPr="000A3FCC" w:rsidRDefault="001F37DB" w:rsidP="00386C99">
      <w:pPr>
        <w:rPr>
          <w:bCs/>
          <w:lang w:val="en-GB"/>
        </w:rPr>
      </w:pPr>
      <w:r w:rsidRPr="000A3FCC">
        <w:rPr>
          <w:noProof/>
          <w:lang w:eastAsia="pl-PL"/>
        </w:rPr>
        <mc:AlternateContent>
          <mc:Choice Requires="wps">
            <w:drawing>
              <wp:anchor distT="0" distB="0" distL="114300" distR="114300" simplePos="0" relativeHeight="251768832" behindDoc="0" locked="0" layoutInCell="1" allowOverlap="1" wp14:anchorId="7DCBDF66" wp14:editId="608E60D6">
                <wp:simplePos x="0" y="0"/>
                <wp:positionH relativeFrom="rightMargin">
                  <wp:posOffset>135890</wp:posOffset>
                </wp:positionH>
                <wp:positionV relativeFrom="paragraph">
                  <wp:posOffset>974090</wp:posOffset>
                </wp:positionV>
                <wp:extent cx="1762125" cy="1282700"/>
                <wp:effectExtent l="0" t="0" r="0" b="0"/>
                <wp:wrapNone/>
                <wp:docPr id="27" name="Text Box 23" descr="In the fourth quarter, the highest job vacancy rate, as &#10;a year ago, was recorded in the Information and commu-nication secti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D525" w14:textId="0F72D152" w:rsidR="00B70B77" w:rsidRPr="00716F34" w:rsidRDefault="001F37DB" w:rsidP="00EC537A">
                            <w:pPr>
                              <w:spacing w:before="0"/>
                              <w:rPr>
                                <w:bCs/>
                                <w:color w:val="001D77"/>
                                <w:sz w:val="18"/>
                                <w:szCs w:val="18"/>
                                <w:lang w:val="en-GB"/>
                              </w:rPr>
                            </w:pPr>
                            <w:r w:rsidRPr="001F37DB">
                              <w:rPr>
                                <w:bCs/>
                                <w:color w:val="001D77"/>
                                <w:sz w:val="18"/>
                                <w:szCs w:val="18"/>
                                <w:lang w:val="en-GB"/>
                              </w:rPr>
                              <w:t xml:space="preserve">In the fourth quarter, the highest job vacancy rate, as </w:t>
                            </w:r>
                            <w:r w:rsidR="007B2A12">
                              <w:rPr>
                                <w:bCs/>
                                <w:color w:val="001D77"/>
                                <w:sz w:val="18"/>
                                <w:szCs w:val="18"/>
                                <w:lang w:val="en-GB"/>
                              </w:rPr>
                              <w:br/>
                            </w:r>
                            <w:r w:rsidRPr="001F37DB">
                              <w:rPr>
                                <w:bCs/>
                                <w:color w:val="001D77"/>
                                <w:sz w:val="18"/>
                                <w:szCs w:val="18"/>
                                <w:lang w:val="en-GB"/>
                              </w:rPr>
                              <w:t>a year ago, was recorded in the Information and communication section</w:t>
                            </w:r>
                            <w:r w:rsidR="00716F34" w:rsidRPr="00716F34">
                              <w:rPr>
                                <w:bCs/>
                                <w:color w:val="001D77"/>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BDF66" id="_x0000_s1029" type="#_x0000_t202" alt="In the fourth quarter, the highest job vacancy rate, as &#10;a year ago, was recorded in the Information and commu-nication section &#10;" style="position:absolute;margin-left:10.7pt;margin-top:76.7pt;width:138.75pt;height:101pt;z-index:251768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" filled="f" stroked="f">
                <v:textbox>
                  <w:txbxContent>
                    <w:p w14:paraId="1883D525" w14:textId="0F72D152" w:rsidR="00B70B77" w:rsidRPr="00716F34" w:rsidRDefault="001F37DB" w:rsidP="00EC537A">
                      <w:pPr>
                        <w:spacing w:before="0"/>
                        <w:rPr>
                          <w:bCs/>
                          <w:color w:val="001D77"/>
                          <w:sz w:val="18"/>
                          <w:szCs w:val="18"/>
                          <w:lang w:val="en-GB"/>
                        </w:rPr>
                      </w:pPr>
                      <w:r w:rsidRPr="001F37DB">
                        <w:rPr>
                          <w:bCs/>
                          <w:color w:val="001D77"/>
                          <w:sz w:val="18"/>
                          <w:szCs w:val="18"/>
                          <w:lang w:val="en-GB"/>
                        </w:rPr>
                        <w:t xml:space="preserve">In the fourth quarter, the highest job vacancy rate, as </w:t>
                      </w:r>
                      <w:r w:rsidR="007B2A12">
                        <w:rPr>
                          <w:bCs/>
                          <w:color w:val="001D77"/>
                          <w:sz w:val="18"/>
                          <w:szCs w:val="18"/>
                          <w:lang w:val="en-GB"/>
                        </w:rPr>
                        <w:br/>
                      </w:r>
                      <w:r w:rsidRPr="001F37DB">
                        <w:rPr>
                          <w:bCs/>
                          <w:color w:val="001D77"/>
                          <w:sz w:val="18"/>
                          <w:szCs w:val="18"/>
                          <w:lang w:val="en-GB"/>
                        </w:rPr>
                        <w:t>a year ago, was recorded in the Information and communication section</w:t>
                      </w:r>
                      <w:r w:rsidR="00716F34" w:rsidRPr="00716F34">
                        <w:rPr>
                          <w:bCs/>
                          <w:color w:val="001D77"/>
                          <w:sz w:val="18"/>
                          <w:szCs w:val="18"/>
                          <w:lang w:val="en-GB"/>
                        </w:rPr>
                        <w:t xml:space="preserve"> </w:t>
                      </w:r>
                    </w:p>
                  </w:txbxContent>
                </v:textbox>
                <w10:wrap anchorx="margin"/>
              </v:shape>
            </w:pict>
          </mc:Fallback>
        </mc:AlternateContent>
      </w:r>
      <w:r w:rsidR="00386C99" w:rsidRPr="000A3FCC">
        <w:rPr>
          <w:lang w:val="en-GB"/>
        </w:rPr>
        <w:t xml:space="preserve">When analysing data by </w:t>
      </w:r>
      <w:r w:rsidR="00386C99" w:rsidRPr="000A3FCC">
        <w:rPr>
          <w:b/>
          <w:lang w:val="en-GB"/>
        </w:rPr>
        <w:t>kind of conducted activity</w:t>
      </w:r>
      <w:r w:rsidR="00386C99" w:rsidRPr="000A3FCC">
        <w:rPr>
          <w:lang w:val="en-GB"/>
        </w:rPr>
        <w:t xml:space="preserve"> it was noticed that at the end of the fourth quarter of 2021, the most, i.e. 23.7% of job vacancies were in entities conducting economic activities in the scope of Manufacturing (32.6 thousand). </w:t>
      </w:r>
      <w:r w:rsidR="00386C99" w:rsidRPr="000A3FCC">
        <w:rPr>
          <w:bCs/>
          <w:lang w:val="en-GB"/>
        </w:rPr>
        <w:t>In this section, there were 8.4 thousand vacant newly created jobs (25.9% of all job vacancies). Compared to the corresponding quarter of 2020, in this section, the total number of job vacancies, as well as vacant newly created jobs, increased by more than a half.</w:t>
      </w:r>
    </w:p>
    <w:p w14:paraId="1BA1DD3F" w14:textId="2BB17229" w:rsidR="00905B32" w:rsidRPr="000A3FCC" w:rsidRDefault="00905B32" w:rsidP="00905B32">
      <w:pPr>
        <w:rPr>
          <w:bCs/>
          <w:lang w:val="en-GB"/>
        </w:rPr>
      </w:pPr>
      <w:r w:rsidRPr="000A3FCC">
        <w:rPr>
          <w:bCs/>
          <w:lang w:val="en-GB"/>
        </w:rPr>
        <w:t>Many job vacancies at the end of the fourth quarter of 2021 were also recorded in the Construction section (21.9 thousand jobs, including 17.7% newly created jobs). This section had the second highest job vacancy rate (2.76%). Large numbers of job vacancies were also recorded in sections: Trade; repair of motor vehicles</w:t>
      </w:r>
      <w:r w:rsidRPr="000A3FCC">
        <w:rPr>
          <w:bCs/>
          <w:vertAlign w:val="superscript"/>
          <w:lang w:val="en-GB"/>
        </w:rPr>
        <w:t>∆</w:t>
      </w:r>
      <w:r w:rsidRPr="000A3FCC">
        <w:rPr>
          <w:bCs/>
          <w:lang w:val="en-GB"/>
        </w:rPr>
        <w:t xml:space="preserve"> (15.2 thousand), Transportation and storage (12.9 thousand) and Information and communication (12.8 thousand job vacancies). In the latter section the highest job vacancy rate (3.65%) among all NACE sections occurred.</w:t>
      </w:r>
    </w:p>
    <w:p w14:paraId="15B8EC87" w14:textId="6D77EDD6" w:rsidR="00D74615" w:rsidRDefault="00D74615" w:rsidP="00D74615">
      <w:pPr>
        <w:rPr>
          <w:bCs/>
        </w:rPr>
      </w:pPr>
      <w:r w:rsidRPr="000A3FCC">
        <w:rPr>
          <w:bCs/>
          <w:lang w:val="en-GB"/>
        </w:rPr>
        <w:t>In the fourth quarter of 2021, the largest increase per year in the number of job vacancies was recorded in the Accommodation and catering</w:t>
      </w:r>
      <w:r w:rsidRPr="000A3FCC">
        <w:rPr>
          <w:bCs/>
          <w:vertAlign w:val="superscript"/>
          <w:lang w:val="en-GB"/>
        </w:rPr>
        <w:t>∆</w:t>
      </w:r>
      <w:r w:rsidRPr="000A3FCC">
        <w:rPr>
          <w:bCs/>
          <w:lang w:val="en-GB"/>
        </w:rPr>
        <w:t xml:space="preserve"> section (2.6-fold incre</w:t>
      </w:r>
      <w:r w:rsidR="000A3FCC">
        <w:rPr>
          <w:bCs/>
          <w:lang w:val="en-GB"/>
        </w:rPr>
        <w:t xml:space="preserve">ase, with an almost </w:t>
      </w:r>
      <w:r w:rsidRPr="000A3FCC">
        <w:rPr>
          <w:bCs/>
          <w:lang w:val="en-GB"/>
        </w:rPr>
        <w:t>sevenfold increase in the number of newly created jobs). The sections with a significant increase in the number of jobs compared to the fourth quarter of 2020 also included Construction and Information and communication (increases of almost 150%).</w:t>
      </w:r>
    </w:p>
    <w:p w14:paraId="13EAC981" w14:textId="485C3DBA" w:rsidR="00EC537A" w:rsidRPr="00D857EC" w:rsidRDefault="00EC537A" w:rsidP="001F37DB">
      <w:pPr>
        <w:rPr>
          <w:bCs/>
          <w:lang w:val="en-GB"/>
        </w:rPr>
      </w:pPr>
    </w:p>
    <w:p w14:paraId="60E41BDC" w14:textId="169B2B44" w:rsidR="00B95DE9" w:rsidRDefault="00B95DE9" w:rsidP="00B52FD5">
      <w:pPr>
        <w:spacing w:before="240" w:after="0"/>
        <w:ind w:left="709" w:hanging="709"/>
        <w:rPr>
          <w:b/>
          <w:spacing w:val="-2"/>
          <w:szCs w:val="19"/>
          <w:lang w:val="en-GB"/>
        </w:rPr>
      </w:pPr>
      <w:r w:rsidRPr="003F41DD">
        <w:rPr>
          <w:b/>
          <w:spacing w:val="-2"/>
          <w:szCs w:val="19"/>
        </w:rPr>
        <w:t>Chart 2</w:t>
      </w:r>
      <w:r w:rsidRPr="003F41DD">
        <w:rPr>
          <w:b/>
          <w:spacing w:val="-2"/>
          <w:szCs w:val="19"/>
          <w:lang w:val="en-GB"/>
        </w:rPr>
        <w:t>.</w:t>
      </w:r>
      <w:r w:rsidRPr="00B95DE9">
        <w:rPr>
          <w:b/>
          <w:spacing w:val="-2"/>
          <w:szCs w:val="19"/>
          <w:lang w:val="en-GB"/>
        </w:rPr>
        <w:t xml:space="preserve"> Job vacancies and the job vacancy rate by PKD/NACE sections in the </w:t>
      </w:r>
      <w:r>
        <w:rPr>
          <w:b/>
          <w:spacing w:val="-2"/>
          <w:szCs w:val="19"/>
          <w:lang w:val="en-GB"/>
        </w:rPr>
        <w:t>fourth</w:t>
      </w:r>
      <w:r w:rsidRPr="00B95DE9">
        <w:rPr>
          <w:b/>
          <w:spacing w:val="-2"/>
          <w:szCs w:val="19"/>
          <w:lang w:val="en-GB"/>
        </w:rPr>
        <w:t xml:space="preserve"> quarter of 2021</w:t>
      </w:r>
      <w:r>
        <w:rPr>
          <w:b/>
          <w:spacing w:val="-2"/>
          <w:szCs w:val="19"/>
          <w:lang w:val="en-GB"/>
        </w:rPr>
        <w:t xml:space="preserve"> </w:t>
      </w:r>
    </w:p>
    <w:p w14:paraId="2A83B36E" w14:textId="228CDF16" w:rsidR="00EC537A" w:rsidRDefault="00716F34" w:rsidP="00716F34">
      <w:pPr>
        <w:spacing w:before="0"/>
        <w:ind w:left="709"/>
        <w:rPr>
          <w:szCs w:val="18"/>
          <w:lang w:val="en-GB"/>
        </w:rPr>
      </w:pPr>
      <w:r w:rsidRPr="0079649E">
        <w:rPr>
          <w:szCs w:val="18"/>
          <w:lang w:val="en-GB"/>
        </w:rPr>
        <w:t>As at the end of the quart</w:t>
      </w:r>
      <w:r>
        <w:rPr>
          <w:szCs w:val="18"/>
          <w:lang w:val="en-GB"/>
        </w:rPr>
        <w:t>er</w:t>
      </w:r>
    </w:p>
    <w:p w14:paraId="1157176A" w14:textId="7FFDB70F" w:rsidR="008F2F09" w:rsidRPr="00B95DE9" w:rsidRDefault="000902AB" w:rsidP="000902AB">
      <w:pPr>
        <w:spacing w:before="0" w:line="240" w:lineRule="auto"/>
        <w:jc w:val="center"/>
        <w:rPr>
          <w:color w:val="000000"/>
          <w:szCs w:val="19"/>
          <w:lang w:val="en-GB"/>
        </w:rPr>
      </w:pPr>
      <w:r>
        <w:rPr>
          <w:noProof/>
          <w:color w:val="000000"/>
          <w:szCs w:val="19"/>
          <w:lang w:eastAsia="pl-PL"/>
        </w:rPr>
        <w:drawing>
          <wp:inline distT="0" distB="0" distL="0" distR="0" wp14:anchorId="4364BCC0" wp14:editId="1EEF2272">
            <wp:extent cx="4856834" cy="4679145"/>
            <wp:effectExtent l="0" t="0" r="1270" b="7620"/>
            <wp:docPr id="3" name="Obraz 3" descr="As at the end of the quarter&#10;PKD sections" title="Chart 2. Job vacancies and the job vacancy rate by PKD/NACE sections in the fourth quar-ter of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ykresy_4kw_2021_w2_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6834" cy="4679145"/>
                    </a:xfrm>
                    <a:prstGeom prst="rect">
                      <a:avLst/>
                    </a:prstGeom>
                  </pic:spPr>
                </pic:pic>
              </a:graphicData>
            </a:graphic>
          </wp:inline>
        </w:drawing>
      </w:r>
    </w:p>
    <w:p w14:paraId="4F58303A" w14:textId="2B2C4EDC" w:rsidR="001F37DB" w:rsidRPr="007B2A12" w:rsidRDefault="007B2A12" w:rsidP="001F37DB">
      <w:pPr>
        <w:rPr>
          <w:lang w:val="en-GB"/>
        </w:rPr>
      </w:pPr>
      <w:r w:rsidRPr="007B2A12">
        <w:rPr>
          <w:noProof/>
          <w:lang w:eastAsia="pl-PL"/>
        </w:rPr>
        <w:lastRenderedPageBreak/>
        <mc:AlternateContent>
          <mc:Choice Requires="wps">
            <w:drawing>
              <wp:anchor distT="0" distB="0" distL="114300" distR="114300" simplePos="0" relativeHeight="251769856" behindDoc="0" locked="0" layoutInCell="1" allowOverlap="1" wp14:anchorId="29A998A3" wp14:editId="76984067">
                <wp:simplePos x="0" y="0"/>
                <wp:positionH relativeFrom="page">
                  <wp:posOffset>5676900</wp:posOffset>
                </wp:positionH>
                <wp:positionV relativeFrom="paragraph">
                  <wp:posOffset>-76035</wp:posOffset>
                </wp:positionV>
                <wp:extent cx="1798320" cy="1282700"/>
                <wp:effectExtent l="0" t="0" r="0" b="0"/>
                <wp:wrapNone/>
                <wp:docPr id="32" name="Text Box 23" descr="In the fourth quarter of 2021, job vacancies were offered primarily in occupations belonging to major occupa-tional groups of Professionals and Craft and related trades work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A694F" w14:textId="0E6C54FD" w:rsidR="00B70B77" w:rsidRPr="007B2A12" w:rsidRDefault="006F0C97" w:rsidP="00EC537A">
                            <w:pPr>
                              <w:spacing w:before="0"/>
                              <w:rPr>
                                <w:bCs/>
                                <w:color w:val="001D77"/>
                                <w:sz w:val="18"/>
                                <w:szCs w:val="18"/>
                                <w:lang w:val="en-GB"/>
                              </w:rPr>
                            </w:pPr>
                            <w:r w:rsidRPr="007B2A12">
                              <w:rPr>
                                <w:bCs/>
                                <w:color w:val="001D77"/>
                                <w:sz w:val="18"/>
                                <w:szCs w:val="18"/>
                                <w:lang w:val="en-GB"/>
                              </w:rPr>
                              <w:t xml:space="preserve">In the fourth quarter of 2021, job vacancies were offered primarily in occupations </w:t>
                            </w:r>
                            <w:r w:rsidR="007B2A12">
                              <w:rPr>
                                <w:bCs/>
                                <w:color w:val="001D77"/>
                                <w:sz w:val="18"/>
                                <w:szCs w:val="18"/>
                                <w:lang w:val="en-GB"/>
                              </w:rPr>
                              <w:br/>
                            </w:r>
                            <w:r w:rsidRPr="007B2A12">
                              <w:rPr>
                                <w:bCs/>
                                <w:color w:val="001D77"/>
                                <w:sz w:val="18"/>
                                <w:szCs w:val="18"/>
                                <w:lang w:val="en-GB"/>
                              </w:rPr>
                              <w:t>belonging to major occupational groups of Professionals and Craft and related trades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998A3" id="_x0000_s1030" type="#_x0000_t202" alt="In the fourth quarter of 2021, job vacancies were offered primarily in occupations belonging to major occupa-tional groups of Professionals and Craft and related trades workers" style="position:absolute;margin-left:447pt;margin-top:-6pt;width:141.6pt;height:101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" filled="f" stroked="f">
                <v:textbox>
                  <w:txbxContent>
                    <w:p w14:paraId="725A694F" w14:textId="0E6C54FD" w:rsidR="00B70B77" w:rsidRPr="007B2A12" w:rsidRDefault="006F0C97" w:rsidP="00EC537A">
                      <w:pPr>
                        <w:spacing w:before="0"/>
                        <w:rPr>
                          <w:bCs/>
                          <w:color w:val="001D77"/>
                          <w:sz w:val="18"/>
                          <w:szCs w:val="18"/>
                          <w:lang w:val="en-GB"/>
                        </w:rPr>
                      </w:pPr>
                      <w:r w:rsidRPr="007B2A12">
                        <w:rPr>
                          <w:bCs/>
                          <w:color w:val="001D77"/>
                          <w:sz w:val="18"/>
                          <w:szCs w:val="18"/>
                          <w:lang w:val="en-GB"/>
                        </w:rPr>
                        <w:t xml:space="preserve">In the fourth quarter of 2021, job vacancies were offered primarily in occupations </w:t>
                      </w:r>
                      <w:r w:rsidR="007B2A12">
                        <w:rPr>
                          <w:bCs/>
                          <w:color w:val="001D77"/>
                          <w:sz w:val="18"/>
                          <w:szCs w:val="18"/>
                          <w:lang w:val="en-GB"/>
                        </w:rPr>
                        <w:br/>
                      </w:r>
                      <w:r w:rsidRPr="007B2A12">
                        <w:rPr>
                          <w:bCs/>
                          <w:color w:val="001D77"/>
                          <w:sz w:val="18"/>
                          <w:szCs w:val="18"/>
                          <w:lang w:val="en-GB"/>
                        </w:rPr>
                        <w:t>belonging to major occupational groups of Professionals and Craft and related trades workers</w:t>
                      </w:r>
                    </w:p>
                  </w:txbxContent>
                </v:textbox>
                <w10:wrap anchorx="page"/>
              </v:shape>
            </w:pict>
          </mc:Fallback>
        </mc:AlternateContent>
      </w:r>
      <w:r w:rsidR="0048227B" w:rsidRPr="007B2A12">
        <w:rPr>
          <w:lang w:val="en-GB"/>
        </w:rPr>
        <w:t>Th</w:t>
      </w:r>
      <w:r w:rsidR="0048227B" w:rsidRPr="007B2A12">
        <w:rPr>
          <w:rFonts w:eastAsia="Times New Roman"/>
          <w:szCs w:val="19"/>
          <w:lang w:val="en-GB" w:eastAsia="pl-PL"/>
        </w:rPr>
        <w:t xml:space="preserve">e analysis of the results of the Labour Demand Survey for the fourth quarter of 2021 broken down by </w:t>
      </w:r>
      <w:r w:rsidR="0048227B" w:rsidRPr="007B2A12">
        <w:rPr>
          <w:rFonts w:eastAsia="Times New Roman"/>
          <w:b/>
          <w:szCs w:val="19"/>
          <w:lang w:val="en-GB" w:eastAsia="pl-PL"/>
        </w:rPr>
        <w:t>major occupational group</w:t>
      </w:r>
      <w:r w:rsidR="0048227B" w:rsidRPr="007B2A12">
        <w:rPr>
          <w:rStyle w:val="Odwoanieprzypisudolnego"/>
          <w:rFonts w:eastAsia="Times New Roman"/>
          <w:szCs w:val="19"/>
          <w:lang w:val="en-GB" w:eastAsia="pl-PL"/>
        </w:rPr>
        <w:footnoteReference w:id="1"/>
      </w:r>
      <w:r w:rsidR="0048227B" w:rsidRPr="007B2A12">
        <w:rPr>
          <w:rFonts w:eastAsia="Times New Roman"/>
          <w:szCs w:val="19"/>
          <w:lang w:val="en-GB" w:eastAsia="pl-PL"/>
        </w:rPr>
        <w:t xml:space="preserve"> shows that the number of job vacancies in all occupational groups increased over a year's time. Entities with job vacancies were most often seeking Professionals (33.8 thousand job vacancies, of which 32.2% were newly created jobs). The number of job vacancies in this occupational group increased by 58.9% over a year's time.</w:t>
      </w:r>
    </w:p>
    <w:p w14:paraId="774B09CD" w14:textId="5C75BB0C" w:rsidR="00EC537A" w:rsidRPr="007B2A12" w:rsidRDefault="00843E51" w:rsidP="001F37DB">
      <w:pPr>
        <w:rPr>
          <w:lang w:val="en-GB"/>
        </w:rPr>
      </w:pPr>
      <w:r w:rsidRPr="007B2A12">
        <w:rPr>
          <w:lang w:val="en-GB"/>
        </w:rPr>
        <w:t>In the analysed quarter, many job vacancies (31.8 thousand jobs) were recorded in the major occupational group of Craft and related trades workers (23.1% of all job vacancies), and their number increased by 87.8% per year. In the occupational group: Craft and related trades workers, vacant newly created jobs accounted for 18.1% of their total number.</w:t>
      </w:r>
      <w:r w:rsidR="00BF27EA" w:rsidRPr="007B2A12">
        <w:rPr>
          <w:b/>
          <w:noProof/>
          <w:color w:val="FF0000"/>
          <w:lang w:eastAsia="pl-PL"/>
        </w:rPr>
        <mc:AlternateContent>
          <mc:Choice Requires="wps">
            <w:drawing>
              <wp:anchor distT="0" distB="0" distL="114300" distR="114300" simplePos="0" relativeHeight="251773952" behindDoc="0" locked="0" layoutInCell="1" allowOverlap="1" wp14:anchorId="4F202053" wp14:editId="7BB4204E">
                <wp:simplePos x="0" y="0"/>
                <wp:positionH relativeFrom="column">
                  <wp:posOffset>5188585</wp:posOffset>
                </wp:positionH>
                <wp:positionV relativeFrom="paragraph">
                  <wp:posOffset>626745</wp:posOffset>
                </wp:positionV>
                <wp:extent cx="1791970" cy="1016813"/>
                <wp:effectExtent l="0" t="0" r="0" b="0"/>
                <wp:wrapNone/>
                <wp:docPr id="26" name="Text Box 23" descr="The highest job vacancy rate at the end of the fourth quarter of 2021 was recorded in the Opolskie reg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16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9F340" w14:textId="51FD25C8" w:rsidR="00C757B4" w:rsidRPr="007B2A12" w:rsidRDefault="00C757B4" w:rsidP="00C757B4">
                            <w:pPr>
                              <w:spacing w:before="0"/>
                              <w:rPr>
                                <w:bCs/>
                                <w:color w:val="001D77"/>
                                <w:sz w:val="18"/>
                                <w:szCs w:val="18"/>
                                <w:lang w:val="en-GB"/>
                              </w:rPr>
                            </w:pPr>
                            <w:r w:rsidRPr="007B2A12">
                              <w:rPr>
                                <w:bCs/>
                                <w:color w:val="001D77"/>
                                <w:sz w:val="18"/>
                                <w:szCs w:val="18"/>
                                <w:lang w:val="en-GB"/>
                              </w:rPr>
                              <w:t xml:space="preserve">The highest job vacancy rate at the end of the fourth quarter of 2021 was recorded in the </w:t>
                            </w:r>
                            <w:proofErr w:type="spellStart"/>
                            <w:r w:rsidRPr="007B2A12">
                              <w:rPr>
                                <w:bCs/>
                                <w:color w:val="001D77"/>
                                <w:sz w:val="18"/>
                                <w:szCs w:val="18"/>
                                <w:lang w:val="en-GB"/>
                              </w:rPr>
                              <w:t>Opolskie</w:t>
                            </w:r>
                            <w:proofErr w:type="spellEnd"/>
                            <w:r w:rsidRPr="007B2A12">
                              <w:rPr>
                                <w:bCs/>
                                <w:color w:val="001D77"/>
                                <w:sz w:val="18"/>
                                <w:szCs w:val="18"/>
                                <w:lang w:val="en-GB"/>
                              </w:rPr>
                              <w:t xml:space="preserve"> region</w:t>
                            </w:r>
                          </w:p>
                          <w:p w14:paraId="033E15E0" w14:textId="38839D65" w:rsidR="00B70B77" w:rsidRPr="00BF27EA" w:rsidRDefault="00B70B77" w:rsidP="00EC537A">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02053" id="_x0000_s1031" type="#_x0000_t202" alt="The highest job vacancy rate at the end of the fourth quarter of 2021 was recorded in the Opolskie region&#10;" style="position:absolute;margin-left:408.55pt;margin-top:49.35pt;width:141.1pt;height:80.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" filled="f" stroked="f">
                <v:textbox>
                  <w:txbxContent>
                    <w:p w14:paraId="2C39F340" w14:textId="51FD25C8" w:rsidR="00C757B4" w:rsidRPr="007B2A12" w:rsidRDefault="00C757B4" w:rsidP="00C757B4">
                      <w:pPr>
                        <w:spacing w:before="0"/>
                        <w:rPr>
                          <w:bCs/>
                          <w:color w:val="001D77"/>
                          <w:sz w:val="18"/>
                          <w:szCs w:val="18"/>
                          <w:lang w:val="en-GB"/>
                        </w:rPr>
                      </w:pPr>
                      <w:r w:rsidRPr="007B2A12">
                        <w:rPr>
                          <w:bCs/>
                          <w:color w:val="001D77"/>
                          <w:sz w:val="18"/>
                          <w:szCs w:val="18"/>
                          <w:lang w:val="en-GB"/>
                        </w:rPr>
                        <w:t xml:space="preserve">The highest job vacancy rate at the end of the fourth quarter of 2021 was recorded in the </w:t>
                      </w:r>
                      <w:proofErr w:type="spellStart"/>
                      <w:r w:rsidRPr="007B2A12">
                        <w:rPr>
                          <w:bCs/>
                          <w:color w:val="001D77"/>
                          <w:sz w:val="18"/>
                          <w:szCs w:val="18"/>
                          <w:lang w:val="en-GB"/>
                        </w:rPr>
                        <w:t>Opolskie</w:t>
                      </w:r>
                      <w:proofErr w:type="spellEnd"/>
                      <w:r w:rsidRPr="007B2A12">
                        <w:rPr>
                          <w:bCs/>
                          <w:color w:val="001D77"/>
                          <w:sz w:val="18"/>
                          <w:szCs w:val="18"/>
                          <w:lang w:val="en-GB"/>
                        </w:rPr>
                        <w:t xml:space="preserve"> region</w:t>
                      </w:r>
                    </w:p>
                    <w:p w14:paraId="033E15E0" w14:textId="38839D65" w:rsidR="00B70B77" w:rsidRPr="00BF27EA" w:rsidRDefault="00B70B77" w:rsidP="00EC537A">
                      <w:pPr>
                        <w:spacing w:before="0"/>
                        <w:rPr>
                          <w:bCs/>
                          <w:color w:val="001D77"/>
                          <w:sz w:val="18"/>
                          <w:szCs w:val="18"/>
                          <w:lang w:val="en-GB"/>
                        </w:rPr>
                      </w:pPr>
                    </w:p>
                  </w:txbxContent>
                </v:textbox>
              </v:shape>
            </w:pict>
          </mc:Fallback>
        </mc:AlternateContent>
      </w:r>
    </w:p>
    <w:p w14:paraId="0705F81C" w14:textId="0B0C043F" w:rsidR="006E750B" w:rsidRPr="007B2A12" w:rsidRDefault="00F35DB7" w:rsidP="006E750B">
      <w:pPr>
        <w:spacing w:line="240" w:lineRule="auto"/>
        <w:rPr>
          <w:rFonts w:eastAsia="Times New Roman"/>
          <w:szCs w:val="19"/>
          <w:lang w:val="en-GB" w:eastAsia="pl-PL"/>
        </w:rPr>
      </w:pPr>
      <w:r w:rsidRPr="007B2A12">
        <w:rPr>
          <w:rFonts w:eastAsia="Times New Roman"/>
          <w:szCs w:val="19"/>
          <w:lang w:val="en-GB" w:eastAsia="pl-PL"/>
        </w:rPr>
        <w:t xml:space="preserve">When </w:t>
      </w:r>
      <w:r w:rsidR="006E750B" w:rsidRPr="007B2A12">
        <w:rPr>
          <w:rFonts w:eastAsia="Times New Roman"/>
          <w:szCs w:val="19"/>
          <w:lang w:val="en-GB" w:eastAsia="pl-PL"/>
        </w:rPr>
        <w:t xml:space="preserve">looking at the job vacancy rate in the fourth quarter of 2021 in </w:t>
      </w:r>
      <w:r w:rsidR="006E750B" w:rsidRPr="007B2A12">
        <w:rPr>
          <w:rFonts w:eastAsia="Times New Roman"/>
          <w:b/>
          <w:szCs w:val="19"/>
          <w:lang w:val="en-GB" w:eastAsia="pl-PL"/>
        </w:rPr>
        <w:t>a territorial breakdown by region</w:t>
      </w:r>
      <w:r w:rsidR="006E750B" w:rsidRPr="007B2A12">
        <w:rPr>
          <w:rFonts w:eastAsia="Times New Roman"/>
          <w:szCs w:val="19"/>
          <w:lang w:val="en-GB" w:eastAsia="pl-PL"/>
        </w:rPr>
        <w:t xml:space="preserve">, it can be seen that its highest value was recorded in the </w:t>
      </w:r>
      <w:proofErr w:type="spellStart"/>
      <w:r w:rsidR="006E750B" w:rsidRPr="007B2A12">
        <w:rPr>
          <w:rFonts w:eastAsia="Times New Roman"/>
          <w:szCs w:val="19"/>
          <w:lang w:val="en-GB" w:eastAsia="pl-PL"/>
        </w:rPr>
        <w:t>Opolskie</w:t>
      </w:r>
      <w:proofErr w:type="spellEnd"/>
      <w:r w:rsidR="006E750B" w:rsidRPr="007B2A12">
        <w:rPr>
          <w:rFonts w:eastAsia="Times New Roman"/>
          <w:szCs w:val="19"/>
          <w:lang w:val="en-GB" w:eastAsia="pl-PL"/>
        </w:rPr>
        <w:t xml:space="preserve"> region (2.02%). This value of the indicator was more than four times higher than in the </w:t>
      </w:r>
      <w:proofErr w:type="spellStart"/>
      <w:r w:rsidR="006E750B" w:rsidRPr="007B2A12">
        <w:rPr>
          <w:rFonts w:eastAsia="Times New Roman"/>
          <w:szCs w:val="19"/>
          <w:lang w:val="en-GB" w:eastAsia="pl-PL"/>
        </w:rPr>
        <w:t>Podkarpackie</w:t>
      </w:r>
      <w:proofErr w:type="spellEnd"/>
      <w:r w:rsidR="006E750B" w:rsidRPr="007B2A12">
        <w:rPr>
          <w:rFonts w:eastAsia="Times New Roman"/>
          <w:szCs w:val="19"/>
          <w:lang w:val="en-GB" w:eastAsia="pl-PL"/>
        </w:rPr>
        <w:t xml:space="preserve"> region (0.48%). In the </w:t>
      </w:r>
      <w:proofErr w:type="spellStart"/>
      <w:r w:rsidR="006E750B" w:rsidRPr="007B2A12">
        <w:rPr>
          <w:rFonts w:eastAsia="Times New Roman"/>
          <w:szCs w:val="19"/>
          <w:lang w:val="en-GB" w:eastAsia="pl-PL"/>
        </w:rPr>
        <w:t>Opolskie</w:t>
      </w:r>
      <w:proofErr w:type="spellEnd"/>
      <w:r w:rsidR="006E750B" w:rsidRPr="007B2A12">
        <w:rPr>
          <w:rFonts w:eastAsia="Times New Roman"/>
          <w:szCs w:val="19"/>
          <w:lang w:val="en-GB" w:eastAsia="pl-PL"/>
        </w:rPr>
        <w:t xml:space="preserve"> region, the number of job vacancies increased over 3.5 times compared to the fourth quarter of 2020. High values of the indicator were also recorded in the following regions: </w:t>
      </w:r>
      <w:proofErr w:type="spellStart"/>
      <w:r w:rsidR="006E750B" w:rsidRPr="007B2A12">
        <w:rPr>
          <w:rFonts w:eastAsia="Times New Roman"/>
          <w:szCs w:val="19"/>
          <w:lang w:val="en-GB" w:eastAsia="pl-PL"/>
        </w:rPr>
        <w:t>Małopolskie</w:t>
      </w:r>
      <w:proofErr w:type="spellEnd"/>
      <w:r w:rsidR="006E750B" w:rsidRPr="007B2A12">
        <w:rPr>
          <w:rFonts w:eastAsia="Times New Roman"/>
          <w:szCs w:val="19"/>
          <w:lang w:val="en-GB" w:eastAsia="pl-PL"/>
        </w:rPr>
        <w:t xml:space="preserve"> (1.60%), </w:t>
      </w:r>
      <w:proofErr w:type="spellStart"/>
      <w:r w:rsidR="006E750B" w:rsidRPr="007B2A12">
        <w:rPr>
          <w:rFonts w:eastAsia="Times New Roman"/>
          <w:szCs w:val="19"/>
          <w:lang w:val="en-GB" w:eastAsia="pl-PL"/>
        </w:rPr>
        <w:t>Dolnośląskie</w:t>
      </w:r>
      <w:proofErr w:type="spellEnd"/>
      <w:r w:rsidR="006E750B" w:rsidRPr="007B2A12">
        <w:rPr>
          <w:rFonts w:eastAsia="Times New Roman"/>
          <w:szCs w:val="19"/>
          <w:lang w:val="en-GB" w:eastAsia="pl-PL"/>
        </w:rPr>
        <w:t xml:space="preserve"> (1.36%), </w:t>
      </w:r>
      <w:proofErr w:type="spellStart"/>
      <w:r w:rsidR="006E750B" w:rsidRPr="007B2A12">
        <w:rPr>
          <w:rFonts w:eastAsia="Times New Roman"/>
          <w:szCs w:val="19"/>
          <w:lang w:val="en-GB" w:eastAsia="pl-PL"/>
        </w:rPr>
        <w:t>Zachodniopomorskie</w:t>
      </w:r>
      <w:proofErr w:type="spellEnd"/>
      <w:r w:rsidR="006E750B" w:rsidRPr="007B2A12">
        <w:rPr>
          <w:rFonts w:eastAsia="Times New Roman"/>
          <w:szCs w:val="19"/>
          <w:lang w:val="en-GB" w:eastAsia="pl-PL"/>
        </w:rPr>
        <w:t xml:space="preserve"> (1.35%) and </w:t>
      </w:r>
      <w:proofErr w:type="spellStart"/>
      <w:r w:rsidR="006E750B" w:rsidRPr="007B2A12">
        <w:rPr>
          <w:rFonts w:eastAsia="Times New Roman"/>
          <w:szCs w:val="19"/>
          <w:lang w:val="en-GB" w:eastAsia="pl-PL"/>
        </w:rPr>
        <w:t>Warszawski</w:t>
      </w:r>
      <w:proofErr w:type="spellEnd"/>
      <w:r w:rsidR="006E750B" w:rsidRPr="007B2A12">
        <w:rPr>
          <w:rFonts w:eastAsia="Times New Roman"/>
          <w:szCs w:val="19"/>
          <w:lang w:val="en-GB" w:eastAsia="pl-PL"/>
        </w:rPr>
        <w:t xml:space="preserve"> </w:t>
      </w:r>
      <w:proofErr w:type="spellStart"/>
      <w:r w:rsidR="006E750B" w:rsidRPr="007B2A12">
        <w:rPr>
          <w:rFonts w:eastAsia="Times New Roman"/>
          <w:szCs w:val="19"/>
          <w:lang w:val="en-GB" w:eastAsia="pl-PL"/>
        </w:rPr>
        <w:t>stołeczny</w:t>
      </w:r>
      <w:proofErr w:type="spellEnd"/>
      <w:r w:rsidR="006E750B" w:rsidRPr="007B2A12">
        <w:rPr>
          <w:rFonts w:eastAsia="Times New Roman"/>
          <w:szCs w:val="19"/>
          <w:lang w:val="en-GB" w:eastAsia="pl-PL"/>
        </w:rPr>
        <w:t xml:space="preserve"> (1.34%).</w:t>
      </w:r>
    </w:p>
    <w:p w14:paraId="14C3E374" w14:textId="766B220B" w:rsidR="00EC537A" w:rsidRPr="00357459" w:rsidRDefault="00EC537A" w:rsidP="00BF27EA">
      <w:pPr>
        <w:spacing w:line="240" w:lineRule="auto"/>
        <w:rPr>
          <w:rFonts w:eastAsia="Times New Roman"/>
          <w:szCs w:val="19"/>
          <w:lang w:val="en-GB" w:eastAsia="pl-PL"/>
        </w:rPr>
      </w:pPr>
    </w:p>
    <w:p w14:paraId="39F994DC" w14:textId="27ACB515" w:rsidR="00EC537A" w:rsidRPr="00BF27EA" w:rsidRDefault="00BF27EA" w:rsidP="0074494E">
      <w:pPr>
        <w:pStyle w:val="Nagwek1"/>
        <w:rPr>
          <w:lang w:val="en-GB"/>
        </w:rPr>
      </w:pPr>
      <w:r w:rsidRPr="00BF27EA">
        <w:rPr>
          <w:lang w:val="en-GB"/>
        </w:rPr>
        <w:t>Newly created and liquidated jobs during the fourth quarter of 2021</w:t>
      </w:r>
    </w:p>
    <w:p w14:paraId="155B8D4D" w14:textId="7C038BEC" w:rsidR="00932FAD" w:rsidRPr="007B2A12" w:rsidRDefault="00BF27EA" w:rsidP="007B2A12">
      <w:pPr>
        <w:spacing w:line="240" w:lineRule="auto"/>
        <w:rPr>
          <w:szCs w:val="19"/>
          <w:lang w:val="en-GB"/>
        </w:rPr>
      </w:pPr>
      <w:r w:rsidRPr="007B2A12">
        <w:rPr>
          <w:noProof/>
          <w:lang w:eastAsia="pl-PL"/>
        </w:rPr>
        <mc:AlternateContent>
          <mc:Choice Requires="wps">
            <w:drawing>
              <wp:anchor distT="0" distB="0" distL="114300" distR="114300" simplePos="0" relativeHeight="251770880" behindDoc="0" locked="0" layoutInCell="1" allowOverlap="1" wp14:anchorId="6C032797" wp14:editId="6CED1225">
                <wp:simplePos x="0" y="0"/>
                <wp:positionH relativeFrom="page">
                  <wp:posOffset>5673090</wp:posOffset>
                </wp:positionH>
                <wp:positionV relativeFrom="paragraph">
                  <wp:posOffset>601980</wp:posOffset>
                </wp:positionV>
                <wp:extent cx="1762125" cy="1351280"/>
                <wp:effectExtent l="0" t="0" r="0" b="1270"/>
                <wp:wrapNone/>
                <wp:docPr id="43" name="Text Box 23" descr="In the fourth quarter of 2021, there was an annual increase in the number of newly created jobs as well as liquidated job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D56CB" w14:textId="6029FD07" w:rsidR="00B70B77" w:rsidRPr="007B2A12" w:rsidRDefault="000859BC" w:rsidP="00EC537A">
                            <w:pPr>
                              <w:spacing w:before="0"/>
                              <w:rPr>
                                <w:bCs/>
                                <w:color w:val="001D77"/>
                                <w:sz w:val="18"/>
                                <w:szCs w:val="18"/>
                                <w:lang w:val="en-GB"/>
                              </w:rPr>
                            </w:pPr>
                            <w:r w:rsidRPr="007B2A12">
                              <w:rPr>
                                <w:bCs/>
                                <w:color w:val="001D77"/>
                                <w:sz w:val="18"/>
                                <w:szCs w:val="18"/>
                                <w:lang w:val="en-GB"/>
                              </w:rPr>
                              <w:t>In the fourth quarter of 2021, there was an annual increase in the number of newly created jobs as well as liquidated jobs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32797" id="_x0000_s1032" type="#_x0000_t202" alt="In the fourth quarter of 2021, there was an annual increase in the number of newly created jobs as well as liquidated jobs" style="position:absolute;margin-left:446.7pt;margin-top:47.4pt;width:138.75pt;height:106.4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" filled="f" stroked="f">
                <v:textbox>
                  <w:txbxContent>
                    <w:p w14:paraId="648D56CB" w14:textId="6029FD07" w:rsidR="00B70B77" w:rsidRPr="007B2A12" w:rsidRDefault="000859BC" w:rsidP="00EC537A">
                      <w:pPr>
                        <w:spacing w:before="0"/>
                        <w:rPr>
                          <w:bCs/>
                          <w:color w:val="001D77"/>
                          <w:sz w:val="18"/>
                          <w:szCs w:val="18"/>
                          <w:lang w:val="en-GB"/>
                        </w:rPr>
                      </w:pPr>
                      <w:r w:rsidRPr="007B2A12">
                        <w:rPr>
                          <w:bCs/>
                          <w:color w:val="001D77"/>
                          <w:sz w:val="18"/>
                          <w:szCs w:val="18"/>
                          <w:lang w:val="en-GB"/>
                        </w:rPr>
                        <w:t>In the fourth quarter of 2021, there was an annual increase in the number of newly created jobs as well as liquidated jobs</w:t>
                      </w:r>
                    </w:p>
                  </w:txbxContent>
                </v:textbox>
                <w10:wrap anchorx="page"/>
              </v:shape>
            </w:pict>
          </mc:Fallback>
        </mc:AlternateContent>
      </w:r>
      <w:r w:rsidRPr="007B2A12">
        <w:rPr>
          <w:szCs w:val="19"/>
          <w:lang w:val="en-GB"/>
        </w:rPr>
        <w:t xml:space="preserve">The </w:t>
      </w:r>
      <w:r w:rsidR="00A53B3F" w:rsidRPr="007B2A12">
        <w:rPr>
          <w:szCs w:val="19"/>
          <w:lang w:val="en-GB"/>
        </w:rPr>
        <w:t xml:space="preserve">Labour Demand Survey also enables to analyse the situation on the labour market in terms of the number of </w:t>
      </w:r>
      <w:r w:rsidR="00A53B3F" w:rsidRPr="007B2A12">
        <w:rPr>
          <w:b/>
          <w:szCs w:val="19"/>
          <w:lang w:val="en-GB"/>
        </w:rPr>
        <w:t xml:space="preserve">newly created jobs </w:t>
      </w:r>
      <w:r w:rsidR="00A53B3F" w:rsidRPr="007B2A12">
        <w:rPr>
          <w:szCs w:val="19"/>
          <w:lang w:val="en-GB"/>
        </w:rPr>
        <w:t xml:space="preserve">(resulting from organisational changes, expansion or change in the business profile and all jobs in newly created units) and </w:t>
      </w:r>
      <w:r w:rsidR="00A53B3F" w:rsidRPr="007B2A12">
        <w:rPr>
          <w:b/>
          <w:szCs w:val="19"/>
          <w:lang w:val="en-GB"/>
        </w:rPr>
        <w:t>liquidated jobs</w:t>
      </w:r>
      <w:r w:rsidR="00A53B3F" w:rsidRPr="007B2A12">
        <w:rPr>
          <w:szCs w:val="19"/>
          <w:lang w:val="en-GB"/>
        </w:rPr>
        <w:t xml:space="preserve"> (lost as a result of organisational changes, limiting or changing the business profile).</w:t>
      </w:r>
      <w:r w:rsidR="007B2A12">
        <w:rPr>
          <w:szCs w:val="19"/>
          <w:lang w:val="en-GB"/>
        </w:rPr>
        <w:t xml:space="preserve"> </w:t>
      </w:r>
      <w:r w:rsidR="00932FAD" w:rsidRPr="007B2A12">
        <w:rPr>
          <w:szCs w:val="19"/>
          <w:lang w:val="en-GB"/>
        </w:rPr>
        <w:t>During the fourth quarter of 2021, 112.5 thousand new jobs were created in Poland and 64.9 thousand jobs were liquidated. Compared to the corresponding period of the previous year, there was an increase of 23.1% in the number of newly created jobs and an increase of 20.3% in the number of liquidated jobs.</w:t>
      </w:r>
    </w:p>
    <w:p w14:paraId="25CBB070" w14:textId="123C7023" w:rsidR="002C4A12" w:rsidRPr="007B2A12" w:rsidRDefault="002C4A12" w:rsidP="002C4A12">
      <w:pPr>
        <w:spacing w:before="0" w:after="0" w:line="240" w:lineRule="auto"/>
        <w:rPr>
          <w:szCs w:val="19"/>
          <w:lang w:val="en-GB"/>
        </w:rPr>
      </w:pPr>
      <w:r w:rsidRPr="007B2A12">
        <w:rPr>
          <w:szCs w:val="19"/>
          <w:lang w:val="en-GB"/>
        </w:rPr>
        <w:t>Comparing the results of the current survey with the results for the third quarter of 2021, there is a noticeable decrease in the number of newly created jobs (by 15.2%), with an increase in the number of liquidated jobs (by 12.2%).</w:t>
      </w:r>
    </w:p>
    <w:p w14:paraId="6880386D" w14:textId="607F45AD" w:rsidR="00EC537A" w:rsidRPr="00BF27EA" w:rsidRDefault="00BF27EA" w:rsidP="00C55F89">
      <w:pPr>
        <w:spacing w:before="240" w:after="0"/>
        <w:ind w:left="851" w:hanging="851"/>
        <w:rPr>
          <w:b/>
          <w:szCs w:val="19"/>
          <w:lang w:val="en-GB"/>
        </w:rPr>
      </w:pPr>
      <w:r w:rsidRPr="00BF27EA">
        <w:rPr>
          <w:b/>
          <w:szCs w:val="19"/>
          <w:lang w:val="en-GB"/>
        </w:rPr>
        <w:t>Chart 3. Newly created and liquidated jobs</w:t>
      </w:r>
      <w:r w:rsidR="00EC537A" w:rsidRPr="00BF27EA">
        <w:rPr>
          <w:b/>
          <w:szCs w:val="19"/>
          <w:lang w:val="en-GB"/>
        </w:rPr>
        <w:t xml:space="preserve"> </w:t>
      </w:r>
    </w:p>
    <w:p w14:paraId="1A01AABB" w14:textId="0FFDBC53" w:rsidR="00EC537A" w:rsidRDefault="00B70B77" w:rsidP="00BF27EA">
      <w:pPr>
        <w:spacing w:before="0" w:after="0" w:line="240" w:lineRule="auto"/>
        <w:ind w:left="709"/>
        <w:rPr>
          <w:noProof/>
          <w:spacing w:val="-2"/>
          <w:szCs w:val="19"/>
          <w:lang w:eastAsia="pl-PL"/>
        </w:rPr>
      </w:pPr>
      <w:r>
        <w:rPr>
          <w:noProof/>
          <w:spacing w:val="-2"/>
          <w:szCs w:val="19"/>
          <w:lang w:eastAsia="pl-PL"/>
        </w:rPr>
        <w:t xml:space="preserve">During </w:t>
      </w:r>
      <w:r w:rsidR="00BF27EA">
        <w:rPr>
          <w:noProof/>
          <w:spacing w:val="-2"/>
          <w:szCs w:val="19"/>
          <w:lang w:eastAsia="pl-PL"/>
        </w:rPr>
        <w:t>the quarter</w:t>
      </w:r>
    </w:p>
    <w:p w14:paraId="4CFF8872" w14:textId="08221277" w:rsidR="00C55F89" w:rsidRPr="00312E3C" w:rsidRDefault="00B12CC3" w:rsidP="00A13A75">
      <w:pPr>
        <w:spacing w:before="0" w:after="0" w:line="240" w:lineRule="auto"/>
        <w:jc w:val="center"/>
        <w:rPr>
          <w:noProof/>
          <w:spacing w:val="-2"/>
          <w:szCs w:val="19"/>
          <w:lang w:eastAsia="pl-PL"/>
        </w:rPr>
      </w:pPr>
      <w:r>
        <w:rPr>
          <w:noProof/>
          <w:spacing w:val="-2"/>
          <w:szCs w:val="19"/>
          <w:lang w:eastAsia="pl-PL"/>
        </w:rPr>
        <w:drawing>
          <wp:inline distT="0" distB="0" distL="0" distR="0" wp14:anchorId="2AD1E24F" wp14:editId="05F75F8B">
            <wp:extent cx="4718050" cy="3127865"/>
            <wp:effectExtent l="0" t="0" r="6350" b="0"/>
            <wp:docPr id="5" name="Obraz 5" descr="During the quarter&#10;Period: since 1 quarter 2015 to 4 quarter 2021" title="Chart 3. Newly created and liquidated jo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929" b="6927"/>
                    <a:stretch/>
                  </pic:blipFill>
                  <pic:spPr bwMode="auto">
                    <a:xfrm>
                      <a:off x="0" y="0"/>
                      <a:ext cx="4733292" cy="3137970"/>
                    </a:xfrm>
                    <a:prstGeom prst="rect">
                      <a:avLst/>
                    </a:prstGeom>
                    <a:noFill/>
                    <a:ln>
                      <a:noFill/>
                    </a:ln>
                    <a:extLst>
                      <a:ext uri="{53640926-AAD7-44D8-BBD7-CCE9431645EC}">
                        <a14:shadowObscured xmlns:a14="http://schemas.microsoft.com/office/drawing/2010/main"/>
                      </a:ext>
                    </a:extLst>
                  </pic:spPr>
                </pic:pic>
              </a:graphicData>
            </a:graphic>
          </wp:inline>
        </w:drawing>
      </w:r>
    </w:p>
    <w:p w14:paraId="6476171D" w14:textId="2161AB6C" w:rsidR="00040269" w:rsidRPr="007B2A12" w:rsidRDefault="00040269" w:rsidP="00040269">
      <w:pPr>
        <w:rPr>
          <w:szCs w:val="19"/>
          <w:shd w:val="clear" w:color="auto" w:fill="FFFFFF"/>
          <w:lang w:val="en-GB"/>
        </w:rPr>
      </w:pPr>
      <w:r w:rsidRPr="007B2A12">
        <w:rPr>
          <w:szCs w:val="19"/>
          <w:shd w:val="clear" w:color="auto" w:fill="FFFFFF"/>
          <w:lang w:val="en-GB"/>
        </w:rPr>
        <w:lastRenderedPageBreak/>
        <w:t xml:space="preserve">One of the measures for assessing the labour market's adjustment to the labour demand is the ratio of </w:t>
      </w:r>
      <w:r w:rsidRPr="007B2A12">
        <w:rPr>
          <w:b/>
          <w:szCs w:val="19"/>
          <w:shd w:val="clear" w:color="auto" w:fill="FFFFFF"/>
          <w:lang w:val="en-GB"/>
        </w:rPr>
        <w:t>the number of newly created jobs to the number of jobs liquidated</w:t>
      </w:r>
      <w:r w:rsidRPr="007B2A12">
        <w:rPr>
          <w:szCs w:val="19"/>
          <w:shd w:val="clear" w:color="auto" w:fill="FFFFFF"/>
          <w:lang w:val="en-GB"/>
        </w:rPr>
        <w:t xml:space="preserve"> in a given period. In the fourth quarter of 2021, as in the corresponding period of 2020, 1.7 new jobs were created per job liquidated, which was the same as a year ago. In the third quarter of 2021, the indicator was higher, amounting to 2.3 jobs.</w:t>
      </w:r>
    </w:p>
    <w:p w14:paraId="02226651" w14:textId="35B10E15" w:rsidR="00EC537A" w:rsidRPr="00447637" w:rsidRDefault="00EC537A" w:rsidP="00EC537A">
      <w:pPr>
        <w:rPr>
          <w:szCs w:val="19"/>
          <w:shd w:val="clear" w:color="auto" w:fill="FFFFFF"/>
          <w:lang w:val="en-GB"/>
        </w:rPr>
      </w:pPr>
    </w:p>
    <w:p w14:paraId="7CBBF04A" w14:textId="1369CAEF" w:rsidR="00EC537A" w:rsidRPr="00447637" w:rsidRDefault="00447637" w:rsidP="007C5801">
      <w:pPr>
        <w:spacing w:before="240" w:after="0"/>
        <w:ind w:left="851" w:hanging="851"/>
        <w:rPr>
          <w:b/>
          <w:szCs w:val="19"/>
          <w:lang w:val="en-GB"/>
        </w:rPr>
      </w:pPr>
      <w:r w:rsidRPr="00447637">
        <w:rPr>
          <w:b/>
          <w:szCs w:val="19"/>
        </w:rPr>
        <w:t>Chart 4</w:t>
      </w:r>
      <w:r w:rsidRPr="00447637">
        <w:rPr>
          <w:b/>
          <w:szCs w:val="19"/>
          <w:lang w:val="en-GB"/>
        </w:rPr>
        <w:t>. The ratio of the number of newly created jobs to the number of liquidated jobs</w:t>
      </w:r>
      <w:r w:rsidR="00B70B77" w:rsidRPr="00447637">
        <w:rPr>
          <w:b/>
          <w:szCs w:val="19"/>
          <w:lang w:val="en-GB"/>
        </w:rPr>
        <w:t xml:space="preserve"> </w:t>
      </w:r>
    </w:p>
    <w:p w14:paraId="50FE2FEF" w14:textId="5A4EFF78" w:rsidR="00EC537A" w:rsidRPr="00447637" w:rsidRDefault="00447637" w:rsidP="00447637">
      <w:pPr>
        <w:spacing w:before="0" w:after="0" w:line="240" w:lineRule="auto"/>
        <w:ind w:left="709"/>
        <w:rPr>
          <w:noProof/>
          <w:spacing w:val="-2"/>
          <w:szCs w:val="19"/>
          <w:lang w:val="en-GB" w:eastAsia="pl-PL"/>
        </w:rPr>
      </w:pPr>
      <w:r w:rsidRPr="00447637">
        <w:rPr>
          <w:noProof/>
          <w:spacing w:val="-2"/>
          <w:szCs w:val="19"/>
          <w:lang w:val="en-GB" w:eastAsia="pl-PL"/>
        </w:rPr>
        <w:t>During the quarter</w:t>
      </w:r>
    </w:p>
    <w:p w14:paraId="4281C7B4" w14:textId="124B710D" w:rsidR="00C55F89" w:rsidRPr="00312E3C" w:rsidRDefault="00880337" w:rsidP="00C55F89">
      <w:pPr>
        <w:spacing w:before="0" w:after="0" w:line="240" w:lineRule="auto"/>
        <w:rPr>
          <w:noProof/>
          <w:spacing w:val="-2"/>
          <w:szCs w:val="19"/>
          <w:lang w:eastAsia="pl-PL"/>
        </w:rPr>
      </w:pPr>
      <w:r w:rsidRPr="002D11BA">
        <w:rPr>
          <w:noProof/>
          <w:lang w:eastAsia="pl-PL"/>
        </w:rPr>
        <mc:AlternateContent>
          <mc:Choice Requires="wps">
            <w:drawing>
              <wp:anchor distT="0" distB="0" distL="114300" distR="114300" simplePos="0" relativeHeight="251772928" behindDoc="0" locked="0" layoutInCell="1" allowOverlap="1" wp14:anchorId="608584AB" wp14:editId="77AC86A6">
                <wp:simplePos x="0" y="0"/>
                <wp:positionH relativeFrom="rightMargin">
                  <wp:posOffset>48260</wp:posOffset>
                </wp:positionH>
                <wp:positionV relativeFrom="paragraph">
                  <wp:posOffset>2486025</wp:posOffset>
                </wp:positionV>
                <wp:extent cx="1762125" cy="1499616"/>
                <wp:effectExtent l="0" t="0" r="0" b="5715"/>
                <wp:wrapNone/>
                <wp:docPr id="16" name="Text Box 23" descr="In the analysed quarter of 2021, the most jobs were cre-ated in the Manufacturing section, while the most jobs were liquidated in the Trade; repair of motor vehicles∆ s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99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0D404" w14:textId="2AE2F8D9" w:rsidR="00D24596" w:rsidRPr="007B2A12" w:rsidRDefault="00D24596" w:rsidP="00D24596">
                            <w:pPr>
                              <w:spacing w:before="0"/>
                              <w:rPr>
                                <w:bCs/>
                                <w:color w:val="001D77"/>
                                <w:sz w:val="18"/>
                                <w:szCs w:val="18"/>
                                <w:lang w:val="en-GB"/>
                              </w:rPr>
                            </w:pPr>
                            <w:r w:rsidRPr="007B2A12">
                              <w:rPr>
                                <w:bCs/>
                                <w:color w:val="001D77"/>
                                <w:sz w:val="18"/>
                                <w:szCs w:val="18"/>
                                <w:lang w:val="en-GB"/>
                              </w:rPr>
                              <w:t>In the analysed quarter of 2021, the most jobs were created in the Manufacturing section, while the most jobs were liquidated in the Trade; repair of motor vehicles</w:t>
                            </w:r>
                            <w:r w:rsidRPr="007B2A12">
                              <w:rPr>
                                <w:bCs/>
                                <w:color w:val="001D77"/>
                                <w:sz w:val="18"/>
                                <w:szCs w:val="18"/>
                                <w:vertAlign w:val="superscript"/>
                                <w:lang w:val="en-GB"/>
                              </w:rPr>
                              <w:t>∆</w:t>
                            </w:r>
                            <w:r w:rsidRPr="007B2A12">
                              <w:rPr>
                                <w:bCs/>
                                <w:color w:val="001D77"/>
                                <w:sz w:val="18"/>
                                <w:szCs w:val="18"/>
                                <w:lang w:val="en-GB"/>
                              </w:rPr>
                              <w:t xml:space="preserve"> </w:t>
                            </w:r>
                            <w:r w:rsidR="00A13A75">
                              <w:rPr>
                                <w:bCs/>
                                <w:color w:val="001D77"/>
                                <w:sz w:val="18"/>
                                <w:szCs w:val="18"/>
                                <w:lang w:val="en-GB"/>
                              </w:rPr>
                              <w:t>section</w:t>
                            </w:r>
                          </w:p>
                          <w:p w14:paraId="5B8FE32A" w14:textId="6EC49AFA" w:rsidR="00B70B77" w:rsidRPr="00880337" w:rsidRDefault="00B70B77" w:rsidP="00E83234">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584AB" id="_x0000_s1033" type="#_x0000_t202" alt="In the analysed quarter of 2021, the most jobs were cre-ated in the Manufacturing section, while the most jobs were liquidated in the Trade; repair of motor vehicles∆ section" style="position:absolute;margin-left:3.8pt;margin-top:195.75pt;width:138.75pt;height:118.1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" filled="f" stroked="f">
                <v:textbox>
                  <w:txbxContent>
                    <w:p w14:paraId="3B00D404" w14:textId="2AE2F8D9" w:rsidR="00D24596" w:rsidRPr="007B2A12" w:rsidRDefault="00D24596" w:rsidP="00D24596">
                      <w:pPr>
                        <w:spacing w:before="0"/>
                        <w:rPr>
                          <w:bCs/>
                          <w:color w:val="001D77"/>
                          <w:sz w:val="18"/>
                          <w:szCs w:val="18"/>
                          <w:lang w:val="en-GB"/>
                        </w:rPr>
                      </w:pPr>
                      <w:r w:rsidRPr="007B2A12">
                        <w:rPr>
                          <w:bCs/>
                          <w:color w:val="001D77"/>
                          <w:sz w:val="18"/>
                          <w:szCs w:val="18"/>
                          <w:lang w:val="en-GB"/>
                        </w:rPr>
                        <w:t>In the analysed quarter of 2021, the most jobs were created in the Manufacturing section, while the most jobs were liquidated in the Trade; repair of motor vehicles</w:t>
                      </w:r>
                      <w:r w:rsidRPr="007B2A12">
                        <w:rPr>
                          <w:bCs/>
                          <w:color w:val="001D77"/>
                          <w:sz w:val="18"/>
                          <w:szCs w:val="18"/>
                          <w:vertAlign w:val="superscript"/>
                          <w:lang w:val="en-GB"/>
                        </w:rPr>
                        <w:t>∆</w:t>
                      </w:r>
                      <w:r w:rsidRPr="007B2A12">
                        <w:rPr>
                          <w:bCs/>
                          <w:color w:val="001D77"/>
                          <w:sz w:val="18"/>
                          <w:szCs w:val="18"/>
                          <w:lang w:val="en-GB"/>
                        </w:rPr>
                        <w:t xml:space="preserve"> </w:t>
                      </w:r>
                      <w:r w:rsidR="00A13A75">
                        <w:rPr>
                          <w:bCs/>
                          <w:color w:val="001D77"/>
                          <w:sz w:val="18"/>
                          <w:szCs w:val="18"/>
                          <w:lang w:val="en-GB"/>
                        </w:rPr>
                        <w:t>section</w:t>
                      </w:r>
                    </w:p>
                    <w:p w14:paraId="5B8FE32A" w14:textId="6EC49AFA" w:rsidR="00B70B77" w:rsidRPr="00880337" w:rsidRDefault="00B70B77" w:rsidP="00E83234">
                      <w:pPr>
                        <w:spacing w:before="0"/>
                        <w:rPr>
                          <w:bCs/>
                          <w:color w:val="001D77"/>
                          <w:sz w:val="18"/>
                          <w:szCs w:val="18"/>
                          <w:lang w:val="en-GB"/>
                        </w:rPr>
                      </w:pPr>
                    </w:p>
                  </w:txbxContent>
                </v:textbox>
                <w10:wrap anchorx="margin"/>
              </v:shape>
            </w:pict>
          </mc:Fallback>
        </mc:AlternateContent>
      </w:r>
      <w:r w:rsidR="00447637">
        <w:rPr>
          <w:noProof/>
          <w:spacing w:val="-2"/>
          <w:szCs w:val="19"/>
          <w:lang w:eastAsia="pl-PL"/>
        </w:rPr>
        <w:drawing>
          <wp:inline distT="0" distB="0" distL="0" distR="0" wp14:anchorId="2CD2609C" wp14:editId="03433053">
            <wp:extent cx="4941444" cy="2484000"/>
            <wp:effectExtent l="0" t="0" r="0" b="0"/>
            <wp:docPr id="13" name="Obraz 13" descr="During the quarter&#10;Period: since 1 quarter 2015 to 4 quarter 2021" title="Chart 4. The ratio of the number of newly created jobs to the number of liquidated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665" t="5215" r="2157" b="4290"/>
                    <a:stretch/>
                  </pic:blipFill>
                  <pic:spPr bwMode="auto">
                    <a:xfrm>
                      <a:off x="0" y="0"/>
                      <a:ext cx="4969743" cy="2498226"/>
                    </a:xfrm>
                    <a:prstGeom prst="rect">
                      <a:avLst/>
                    </a:prstGeom>
                    <a:noFill/>
                    <a:ln>
                      <a:noFill/>
                    </a:ln>
                    <a:extLst>
                      <a:ext uri="{53640926-AAD7-44D8-BBD7-CCE9431645EC}">
                        <a14:shadowObscured xmlns:a14="http://schemas.microsoft.com/office/drawing/2010/main"/>
                      </a:ext>
                    </a:extLst>
                  </pic:spPr>
                </pic:pic>
              </a:graphicData>
            </a:graphic>
          </wp:inline>
        </w:drawing>
      </w:r>
    </w:p>
    <w:p w14:paraId="43B4C939" w14:textId="284BF5AE" w:rsidR="00880337" w:rsidRPr="007B2A12" w:rsidRDefault="00880337" w:rsidP="00880337">
      <w:pPr>
        <w:rPr>
          <w:szCs w:val="19"/>
          <w:shd w:val="clear" w:color="auto" w:fill="FFFFFF"/>
          <w:lang w:val="en-GB"/>
        </w:rPr>
      </w:pPr>
      <w:r w:rsidRPr="007B2A12">
        <w:rPr>
          <w:szCs w:val="19"/>
          <w:shd w:val="clear" w:color="auto" w:fill="FFFFFF"/>
          <w:lang w:val="en-GB"/>
        </w:rPr>
        <w:t xml:space="preserve">When </w:t>
      </w:r>
      <w:r w:rsidR="0013196E" w:rsidRPr="007B2A12">
        <w:rPr>
          <w:szCs w:val="19"/>
          <w:shd w:val="clear" w:color="auto" w:fill="FFFFFF"/>
          <w:lang w:val="en-GB"/>
        </w:rPr>
        <w:t xml:space="preserve">analysing data broken down by </w:t>
      </w:r>
      <w:r w:rsidR="0013196E" w:rsidRPr="007B2A12">
        <w:rPr>
          <w:b/>
          <w:szCs w:val="19"/>
          <w:shd w:val="clear" w:color="auto" w:fill="FFFFFF"/>
          <w:lang w:val="en-GB"/>
        </w:rPr>
        <w:t>PKD/NACE section</w:t>
      </w:r>
      <w:r w:rsidR="0013196E" w:rsidRPr="007B2A12">
        <w:rPr>
          <w:szCs w:val="19"/>
          <w:shd w:val="clear" w:color="auto" w:fill="FFFFFF"/>
          <w:lang w:val="en-GB"/>
        </w:rPr>
        <w:t xml:space="preserve"> it can be noted that, in the fourth quarter of 2021, the largest number of jobs were created in entities operating in Manufacturing (21.6 thousand jobs, i.e. 73.6% more compared to the fourth quarter of 2020). In the same period, 10.6 thousand jobs were liquidated (a decrease of 16.3% annually). There were 2.0 newly created jobs per liquidated job.</w:t>
      </w:r>
    </w:p>
    <w:p w14:paraId="2AEED478" w14:textId="2759C2BB" w:rsidR="00585F82" w:rsidRPr="007B2A12" w:rsidRDefault="00585F82" w:rsidP="00585F82">
      <w:pPr>
        <w:rPr>
          <w:szCs w:val="19"/>
          <w:shd w:val="clear" w:color="auto" w:fill="FFFFFF"/>
          <w:lang w:val="en-GB"/>
        </w:rPr>
      </w:pPr>
      <w:r w:rsidRPr="007B2A12">
        <w:rPr>
          <w:szCs w:val="19"/>
          <w:shd w:val="clear" w:color="auto" w:fill="FFFFFF"/>
          <w:lang w:val="en-GB"/>
        </w:rPr>
        <w:t>In the fourth quarter of 2021, the most jobs were liquidated in the Trade; repair of motor vehicles</w:t>
      </w:r>
      <w:r w:rsidRPr="007B2A12">
        <w:rPr>
          <w:szCs w:val="19"/>
          <w:shd w:val="clear" w:color="auto" w:fill="FFFFFF"/>
          <w:vertAlign w:val="superscript"/>
          <w:lang w:val="en-GB"/>
        </w:rPr>
        <w:t>∆</w:t>
      </w:r>
      <w:r w:rsidRPr="007B2A12">
        <w:rPr>
          <w:szCs w:val="19"/>
          <w:shd w:val="clear" w:color="auto" w:fill="FFFFFF"/>
          <w:lang w:val="en-GB"/>
        </w:rPr>
        <w:t xml:space="preserve"> section (13.9 thousand jobs), in which section, in the same period 19.3 thousand new jobs were created. As a result of these movements in the analysed quarter, 1.4 new jobs were created per job liquidated.</w:t>
      </w:r>
    </w:p>
    <w:p w14:paraId="566E986C" w14:textId="341D8505" w:rsidR="00E4182B" w:rsidRPr="007B2A12" w:rsidRDefault="00D575DF" w:rsidP="00585F82">
      <w:pPr>
        <w:rPr>
          <w:szCs w:val="19"/>
          <w:shd w:val="clear" w:color="auto" w:fill="FFFFFF"/>
          <w:lang w:val="en-GB"/>
        </w:rPr>
      </w:pPr>
      <w:r w:rsidRPr="0090758C">
        <w:rPr>
          <w:noProof/>
          <w:lang w:eastAsia="pl-PL"/>
        </w:rPr>
        <mc:AlternateContent>
          <mc:Choice Requires="wps">
            <w:drawing>
              <wp:anchor distT="0" distB="0" distL="114300" distR="114300" simplePos="0" relativeHeight="251776000" behindDoc="0" locked="0" layoutInCell="1" allowOverlap="1" wp14:anchorId="35D422A2" wp14:editId="68157112">
                <wp:simplePos x="0" y="0"/>
                <wp:positionH relativeFrom="rightMargin">
                  <wp:posOffset>44450</wp:posOffset>
                </wp:positionH>
                <wp:positionV relativeFrom="paragraph">
                  <wp:posOffset>772506</wp:posOffset>
                </wp:positionV>
                <wp:extent cx="1762125" cy="1499235"/>
                <wp:effectExtent l="0" t="0" r="0" b="5715"/>
                <wp:wrapNone/>
                <wp:docPr id="29" name="Text Box 23" descr="In the fourth quarter of 2021, the largest number of newly created jobs per liquidated job were in the Lubelskie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FF27" w14:textId="558447AB" w:rsidR="00FC30F4" w:rsidRPr="00D575DF" w:rsidRDefault="00FC30F4" w:rsidP="00FC30F4">
                            <w:pPr>
                              <w:spacing w:before="0"/>
                              <w:rPr>
                                <w:bCs/>
                                <w:color w:val="001D77"/>
                                <w:sz w:val="18"/>
                                <w:szCs w:val="18"/>
                                <w:lang w:val="en-GB"/>
                              </w:rPr>
                            </w:pPr>
                            <w:r w:rsidRPr="00D575DF">
                              <w:rPr>
                                <w:bCs/>
                                <w:color w:val="001D77"/>
                                <w:sz w:val="18"/>
                                <w:szCs w:val="18"/>
                                <w:lang w:val="en-GB"/>
                              </w:rPr>
                              <w:t xml:space="preserve">In the fourth quarter of 2021, the largest number of newly created jobs per liquidated job were in the </w:t>
                            </w:r>
                            <w:proofErr w:type="spellStart"/>
                            <w:r w:rsidRPr="00D575DF">
                              <w:rPr>
                                <w:bCs/>
                                <w:color w:val="001D77"/>
                                <w:sz w:val="18"/>
                                <w:szCs w:val="18"/>
                                <w:lang w:val="en-GB"/>
                              </w:rPr>
                              <w:t>Lubelskie</w:t>
                            </w:r>
                            <w:proofErr w:type="spellEnd"/>
                            <w:r w:rsidRPr="00D575DF">
                              <w:rPr>
                                <w:bCs/>
                                <w:color w:val="001D77"/>
                                <w:sz w:val="18"/>
                                <w:szCs w:val="18"/>
                                <w:lang w:val="en-GB"/>
                              </w:rPr>
                              <w:t xml:space="preserve"> region</w:t>
                            </w:r>
                          </w:p>
                          <w:p w14:paraId="4401FD88" w14:textId="7398E437" w:rsidR="00B70B77" w:rsidRPr="00B534EB" w:rsidRDefault="00B70B77" w:rsidP="00EC537A">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22A2" id="_x0000_s1034" type="#_x0000_t202" alt="In the fourth quarter of 2021, the largest number of newly created jobs per liquidated job were in the Lubelskie region" style="position:absolute;margin-left:3.5pt;margin-top:60.85pt;width:138.75pt;height:118.0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" filled="f" stroked="f">
                <v:textbox>
                  <w:txbxContent>
                    <w:p w14:paraId="4B77FF27" w14:textId="558447AB" w:rsidR="00FC30F4" w:rsidRPr="00D575DF" w:rsidRDefault="00FC30F4" w:rsidP="00FC30F4">
                      <w:pPr>
                        <w:spacing w:before="0"/>
                        <w:rPr>
                          <w:bCs/>
                          <w:color w:val="001D77"/>
                          <w:sz w:val="18"/>
                          <w:szCs w:val="18"/>
                          <w:lang w:val="en-GB"/>
                        </w:rPr>
                      </w:pPr>
                      <w:r w:rsidRPr="00D575DF">
                        <w:rPr>
                          <w:bCs/>
                          <w:color w:val="001D77"/>
                          <w:sz w:val="18"/>
                          <w:szCs w:val="18"/>
                          <w:lang w:val="en-GB"/>
                        </w:rPr>
                        <w:t xml:space="preserve">In the fourth quarter of 2021, the largest number of newly created jobs per liquidated job were in the </w:t>
                      </w:r>
                      <w:proofErr w:type="spellStart"/>
                      <w:r w:rsidRPr="00D575DF">
                        <w:rPr>
                          <w:bCs/>
                          <w:color w:val="001D77"/>
                          <w:sz w:val="18"/>
                          <w:szCs w:val="18"/>
                          <w:lang w:val="en-GB"/>
                        </w:rPr>
                        <w:t>Lubelskie</w:t>
                      </w:r>
                      <w:proofErr w:type="spellEnd"/>
                      <w:r w:rsidRPr="00D575DF">
                        <w:rPr>
                          <w:bCs/>
                          <w:color w:val="001D77"/>
                          <w:sz w:val="18"/>
                          <w:szCs w:val="18"/>
                          <w:lang w:val="en-GB"/>
                        </w:rPr>
                        <w:t xml:space="preserve"> region</w:t>
                      </w:r>
                    </w:p>
                    <w:p w14:paraId="4401FD88" w14:textId="7398E437" w:rsidR="00B70B77" w:rsidRPr="00B534EB" w:rsidRDefault="00B70B77" w:rsidP="00EC537A">
                      <w:pPr>
                        <w:spacing w:before="0"/>
                        <w:rPr>
                          <w:bCs/>
                          <w:color w:val="001D77"/>
                          <w:sz w:val="18"/>
                          <w:szCs w:val="18"/>
                          <w:lang w:val="en-GB"/>
                        </w:rPr>
                      </w:pPr>
                    </w:p>
                  </w:txbxContent>
                </v:textbox>
                <w10:wrap anchorx="margin"/>
              </v:shape>
            </w:pict>
          </mc:Fallback>
        </mc:AlternateContent>
      </w:r>
      <w:r w:rsidR="00E4182B" w:rsidRPr="007B2A12">
        <w:rPr>
          <w:szCs w:val="19"/>
          <w:shd w:val="clear" w:color="auto" w:fill="FFFFFF"/>
          <w:lang w:val="en-GB"/>
        </w:rPr>
        <w:t>Among sections with a significant scale of job losses in the fourth quarter of 2021 was also Construction (16.4% of liquidated jobs). In this section 1.1 new jobs were created per job liquidated (10.9 thousand jobs were liquidated and 12.1 thousand jobs were created). This indicator was also high in the sections: Education and Professional, scientific and technical activities, in which there were more than 3.5 newly created jobs per liquidated job.</w:t>
      </w:r>
    </w:p>
    <w:p w14:paraId="59CDE09F" w14:textId="72229791" w:rsidR="001234D6" w:rsidRDefault="001234D6" w:rsidP="001234D6">
      <w:pPr>
        <w:rPr>
          <w:rFonts w:eastAsia="Times New Roman"/>
          <w:szCs w:val="19"/>
          <w:lang w:eastAsia="pl-PL"/>
        </w:rPr>
      </w:pPr>
      <w:r w:rsidRPr="007B2A12">
        <w:rPr>
          <w:rFonts w:eastAsia="Times New Roman"/>
          <w:szCs w:val="19"/>
          <w:lang w:val="en-GB" w:eastAsia="pl-PL"/>
        </w:rPr>
        <w:t xml:space="preserve">The distribution of jobs in the fourth quarter of 2021 in </w:t>
      </w:r>
      <w:r w:rsidRPr="007B2A12">
        <w:rPr>
          <w:rFonts w:eastAsia="Times New Roman"/>
          <w:b/>
          <w:szCs w:val="19"/>
          <w:lang w:val="en-GB" w:eastAsia="pl-PL"/>
        </w:rPr>
        <w:t>a territorial breakdown</w:t>
      </w:r>
      <w:r w:rsidRPr="007B2A12">
        <w:rPr>
          <w:rFonts w:eastAsia="Times New Roman"/>
          <w:szCs w:val="19"/>
          <w:lang w:val="en-GB" w:eastAsia="pl-PL"/>
        </w:rPr>
        <w:t xml:space="preserve"> shows that the largest number of new jobs per liquidated job were created in the </w:t>
      </w:r>
      <w:proofErr w:type="spellStart"/>
      <w:r w:rsidRPr="007B2A12">
        <w:rPr>
          <w:rFonts w:eastAsia="Times New Roman"/>
          <w:szCs w:val="19"/>
          <w:lang w:val="en-GB" w:eastAsia="pl-PL"/>
        </w:rPr>
        <w:t>Lubelskie</w:t>
      </w:r>
      <w:proofErr w:type="spellEnd"/>
      <w:r w:rsidRPr="007B2A12">
        <w:rPr>
          <w:rFonts w:eastAsia="Times New Roman"/>
          <w:szCs w:val="19"/>
          <w:lang w:val="en-GB" w:eastAsia="pl-PL"/>
        </w:rPr>
        <w:t xml:space="preserve"> region (2.9 newly created jobs). Moreover, more than 2 newly created jobs per liquidated job were recorded in the following regions: </w:t>
      </w:r>
      <w:proofErr w:type="spellStart"/>
      <w:r w:rsidRPr="007B2A12">
        <w:rPr>
          <w:rFonts w:eastAsia="Times New Roman"/>
          <w:szCs w:val="19"/>
          <w:lang w:val="en-GB" w:eastAsia="pl-PL"/>
        </w:rPr>
        <w:t>Warszawski</w:t>
      </w:r>
      <w:proofErr w:type="spellEnd"/>
      <w:r w:rsidRPr="007B2A12">
        <w:rPr>
          <w:rFonts w:eastAsia="Times New Roman"/>
          <w:szCs w:val="19"/>
          <w:lang w:val="en-GB" w:eastAsia="pl-PL"/>
        </w:rPr>
        <w:t xml:space="preserve"> </w:t>
      </w:r>
      <w:proofErr w:type="spellStart"/>
      <w:r w:rsidRPr="007B2A12">
        <w:rPr>
          <w:rFonts w:eastAsia="Times New Roman"/>
          <w:szCs w:val="19"/>
          <w:lang w:val="en-GB" w:eastAsia="pl-PL"/>
        </w:rPr>
        <w:t>stołeczny</w:t>
      </w:r>
      <w:proofErr w:type="spellEnd"/>
      <w:r w:rsidRPr="007B2A12">
        <w:rPr>
          <w:rFonts w:eastAsia="Times New Roman"/>
          <w:szCs w:val="19"/>
          <w:lang w:val="en-GB" w:eastAsia="pl-PL"/>
        </w:rPr>
        <w:t xml:space="preserve">, </w:t>
      </w:r>
      <w:proofErr w:type="spellStart"/>
      <w:r w:rsidRPr="007B2A12">
        <w:rPr>
          <w:rFonts w:eastAsia="Times New Roman"/>
          <w:szCs w:val="19"/>
          <w:lang w:val="en-GB" w:eastAsia="pl-PL"/>
        </w:rPr>
        <w:t>Wielkopolskie</w:t>
      </w:r>
      <w:proofErr w:type="spellEnd"/>
      <w:r w:rsidRPr="007B2A12">
        <w:rPr>
          <w:rFonts w:eastAsia="Times New Roman"/>
          <w:szCs w:val="19"/>
          <w:lang w:val="en-GB" w:eastAsia="pl-PL"/>
        </w:rPr>
        <w:t xml:space="preserve"> and </w:t>
      </w:r>
      <w:proofErr w:type="spellStart"/>
      <w:r w:rsidRPr="007B2A12">
        <w:rPr>
          <w:rFonts w:eastAsia="Times New Roman"/>
          <w:szCs w:val="19"/>
          <w:lang w:val="en-GB" w:eastAsia="pl-PL"/>
        </w:rPr>
        <w:t>Śląskie</w:t>
      </w:r>
      <w:proofErr w:type="spellEnd"/>
      <w:r w:rsidRPr="007B2A12">
        <w:rPr>
          <w:rFonts w:eastAsia="Times New Roman"/>
          <w:szCs w:val="19"/>
          <w:lang w:val="en-GB" w:eastAsia="pl-PL"/>
        </w:rPr>
        <w:t xml:space="preserve">. The lowest ratio (0.9 new jobs per liquidated job) occurred in the Mazowiecki </w:t>
      </w:r>
      <w:proofErr w:type="spellStart"/>
      <w:r w:rsidRPr="007B2A12">
        <w:rPr>
          <w:rFonts w:eastAsia="Times New Roman"/>
          <w:szCs w:val="19"/>
          <w:lang w:val="en-GB" w:eastAsia="pl-PL"/>
        </w:rPr>
        <w:t>regionalny</w:t>
      </w:r>
      <w:proofErr w:type="spellEnd"/>
      <w:r w:rsidRPr="007B2A12">
        <w:rPr>
          <w:rFonts w:eastAsia="Times New Roman"/>
          <w:szCs w:val="19"/>
          <w:lang w:val="en-GB" w:eastAsia="pl-PL"/>
        </w:rPr>
        <w:t xml:space="preserve"> region.</w:t>
      </w:r>
    </w:p>
    <w:p w14:paraId="02C7428C" w14:textId="47F4BED5" w:rsidR="00EC537A" w:rsidRPr="001234D6" w:rsidRDefault="00EC537A" w:rsidP="00880337">
      <w:pPr>
        <w:rPr>
          <w:szCs w:val="19"/>
          <w:shd w:val="clear" w:color="auto" w:fill="FFFFFF"/>
          <w:lang w:val="en-GB"/>
        </w:rPr>
      </w:pPr>
    </w:p>
    <w:p w14:paraId="3150B60C" w14:textId="7AD105A7" w:rsidR="00EC537A" w:rsidRPr="000C6CBE" w:rsidRDefault="00EC537A" w:rsidP="00EC537A">
      <w:pPr>
        <w:spacing w:before="0" w:after="0" w:line="240" w:lineRule="auto"/>
        <w:rPr>
          <w:b/>
          <w:sz w:val="18"/>
          <w:szCs w:val="18"/>
        </w:rPr>
      </w:pPr>
    </w:p>
    <w:p w14:paraId="0064C541" w14:textId="2B322375" w:rsidR="007572B7" w:rsidRDefault="007572B7">
      <w:pPr>
        <w:spacing w:before="0" w:after="160" w:line="259" w:lineRule="auto"/>
        <w:rPr>
          <w:b/>
          <w:sz w:val="18"/>
          <w:szCs w:val="18"/>
        </w:rPr>
      </w:pPr>
      <w:r>
        <w:rPr>
          <w:szCs w:val="18"/>
        </w:rPr>
        <w:br w:type="page"/>
      </w:r>
    </w:p>
    <w:p w14:paraId="34EFFF65" w14:textId="68EF07F9" w:rsidR="00EC537A" w:rsidRPr="00B534EB" w:rsidRDefault="00B534EB" w:rsidP="00B534EB">
      <w:pPr>
        <w:pStyle w:val="tytuwykresu"/>
        <w:spacing w:after="0"/>
        <w:ind w:left="709" w:hanging="709"/>
        <w:rPr>
          <w:spacing w:val="0"/>
          <w:sz w:val="19"/>
          <w:szCs w:val="19"/>
          <w:lang w:val="en-GB"/>
        </w:rPr>
      </w:pPr>
      <w:r w:rsidRPr="001E4394">
        <w:rPr>
          <w:spacing w:val="0"/>
          <w:sz w:val="19"/>
          <w:szCs w:val="19"/>
          <w:lang w:val="en-GB"/>
        </w:rPr>
        <w:lastRenderedPageBreak/>
        <w:t>Chart</w:t>
      </w:r>
      <w:r w:rsidRPr="00B534EB">
        <w:rPr>
          <w:spacing w:val="0"/>
          <w:sz w:val="19"/>
          <w:szCs w:val="19"/>
          <w:lang w:val="en-GB"/>
        </w:rPr>
        <w:t xml:space="preserve"> 5. Newly created and liquidated jobs in Poland by PKD/NACE section in the fourth quarter of 2021</w:t>
      </w:r>
    </w:p>
    <w:p w14:paraId="762582AE" w14:textId="675B68A8" w:rsidR="00EC537A" w:rsidRPr="00E83234" w:rsidRDefault="00B70B77" w:rsidP="00B534EB">
      <w:pPr>
        <w:pStyle w:val="tytuwykresu"/>
        <w:spacing w:before="0"/>
        <w:ind w:left="709" w:hanging="6"/>
        <w:rPr>
          <w:b w:val="0"/>
          <w:spacing w:val="0"/>
          <w:sz w:val="19"/>
          <w:szCs w:val="19"/>
        </w:rPr>
      </w:pPr>
      <w:r w:rsidRPr="00B534EB">
        <w:rPr>
          <w:b w:val="0"/>
          <w:spacing w:val="0"/>
          <w:sz w:val="19"/>
          <w:szCs w:val="19"/>
          <w:lang w:val="en-GB"/>
        </w:rPr>
        <w:t xml:space="preserve">During </w:t>
      </w:r>
      <w:r w:rsidR="00B534EB" w:rsidRPr="00B534EB">
        <w:rPr>
          <w:b w:val="0"/>
          <w:spacing w:val="0"/>
          <w:sz w:val="19"/>
          <w:szCs w:val="19"/>
          <w:lang w:val="en-GB"/>
        </w:rPr>
        <w:t>the quarter</w:t>
      </w:r>
    </w:p>
    <w:p w14:paraId="18135642" w14:textId="39DA9CB5" w:rsidR="003028BF" w:rsidRDefault="004C3FFF" w:rsidP="008F2F09">
      <w:pPr>
        <w:spacing w:line="240" w:lineRule="auto"/>
        <w:rPr>
          <w:szCs w:val="19"/>
        </w:rPr>
      </w:pPr>
      <w:r>
        <w:rPr>
          <w:noProof/>
          <w:szCs w:val="19"/>
          <w:lang w:eastAsia="pl-PL"/>
        </w:rPr>
        <w:drawing>
          <wp:inline distT="0" distB="0" distL="0" distR="0" wp14:anchorId="12BA9975" wp14:editId="3B03AE1E">
            <wp:extent cx="4972050" cy="5077581"/>
            <wp:effectExtent l="0" t="0" r="0" b="8890"/>
            <wp:docPr id="18" name="Obraz 18" descr="During the quarter&#10;PKD sections" title="Chart 5. Newly created and liquidated jobs in Poland by PKD/NACE section in the fourth quarter of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ykresy_4kw_2021_w5_EN.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74877" cy="5080468"/>
                    </a:xfrm>
                    <a:prstGeom prst="rect">
                      <a:avLst/>
                    </a:prstGeom>
                  </pic:spPr>
                </pic:pic>
              </a:graphicData>
            </a:graphic>
          </wp:inline>
        </w:drawing>
      </w:r>
    </w:p>
    <w:p w14:paraId="38E0DDFF" w14:textId="77777777" w:rsidR="00C1277F" w:rsidRPr="000D1A42" w:rsidRDefault="00C1277F" w:rsidP="003028BF">
      <w:pPr>
        <w:rPr>
          <w:szCs w:val="19"/>
        </w:rPr>
      </w:pPr>
    </w:p>
    <w:p w14:paraId="25B14612" w14:textId="77777777" w:rsidR="003028BF" w:rsidRPr="000D1A42" w:rsidRDefault="003028BF" w:rsidP="003028BF">
      <w:pPr>
        <w:rPr>
          <w:szCs w:val="19"/>
        </w:rPr>
      </w:pPr>
    </w:p>
    <w:p w14:paraId="1CD9F07D" w14:textId="77777777" w:rsidR="003028BF" w:rsidRDefault="003028BF" w:rsidP="003028BF">
      <w:pPr>
        <w:rPr>
          <w:szCs w:val="19"/>
        </w:rPr>
      </w:pPr>
    </w:p>
    <w:p w14:paraId="6FEBBDFB" w14:textId="77777777" w:rsidR="00C1277F" w:rsidRDefault="00C1277F" w:rsidP="003028BF">
      <w:pPr>
        <w:rPr>
          <w:szCs w:val="19"/>
        </w:rPr>
      </w:pPr>
    </w:p>
    <w:p w14:paraId="68A48CCD" w14:textId="77777777" w:rsidR="00C1277F" w:rsidRPr="000D1A42" w:rsidRDefault="00C1277F" w:rsidP="003028BF">
      <w:pPr>
        <w:rPr>
          <w:szCs w:val="19"/>
        </w:rPr>
      </w:pPr>
    </w:p>
    <w:p w14:paraId="0BBA920E" w14:textId="77777777" w:rsidR="00216634" w:rsidRPr="0074494E" w:rsidRDefault="00216634" w:rsidP="0074494E"/>
    <w:p w14:paraId="1D922085" w14:textId="38F86841" w:rsidR="00B534EB" w:rsidRPr="00B534EB" w:rsidRDefault="00B534EB" w:rsidP="00B534EB">
      <w:pPr>
        <w:rPr>
          <w:szCs w:val="19"/>
          <w:lang w:val="en-GB"/>
        </w:rPr>
      </w:pPr>
      <w:r w:rsidRPr="00B534EB">
        <w:rPr>
          <w:szCs w:val="19"/>
          <w:lang w:val="en-GB"/>
        </w:rPr>
        <w:t>In this news release abbreviated names of NACE, Rev. 2 sections were used. Abbreviations</w:t>
      </w:r>
      <w:r>
        <w:rPr>
          <w:szCs w:val="19"/>
          <w:lang w:val="en-GB"/>
        </w:rPr>
        <w:t xml:space="preserve"> </w:t>
      </w:r>
      <w:r w:rsidRPr="00B534EB">
        <w:rPr>
          <w:szCs w:val="19"/>
          <w:lang w:val="en-GB"/>
        </w:rPr>
        <w:t>are marked with a ‘Δ’ symbol. Full names are available on the Eurostat website at:</w:t>
      </w:r>
      <w:r>
        <w:rPr>
          <w:szCs w:val="19"/>
          <w:lang w:val="en-GB"/>
        </w:rPr>
        <w:br/>
      </w:r>
      <w:hyperlink r:id="rId15" w:history="1">
        <w:r w:rsidR="00843D04" w:rsidRPr="009B4371">
          <w:rPr>
            <w:rStyle w:val="Hipercze"/>
            <w:rFonts w:cstheme="minorBidi"/>
            <w:szCs w:val="19"/>
          </w:rPr>
          <w:t>https://ec.europa.eu/eurostat/data/classifications</w:t>
        </w:r>
      </w:hyperlink>
    </w:p>
    <w:p w14:paraId="4B9C687F" w14:textId="77777777" w:rsidR="00B534EB" w:rsidRPr="00B534EB" w:rsidRDefault="00B534EB" w:rsidP="00B534EB">
      <w:pPr>
        <w:rPr>
          <w:szCs w:val="19"/>
          <w:lang w:val="en-GB"/>
        </w:rPr>
      </w:pPr>
      <w:r w:rsidRPr="00B534EB">
        <w:rPr>
          <w:szCs w:val="19"/>
          <w:lang w:val="en-GB"/>
        </w:rPr>
        <w:t>Relative numbers (rates, percentages) were calculated on the basis of absolute data expressed with greater accuracy than given in the study.</w:t>
      </w:r>
    </w:p>
    <w:p w14:paraId="4A61BE0E" w14:textId="77777777" w:rsidR="00B534EB" w:rsidRPr="00B534EB" w:rsidRDefault="00B534EB" w:rsidP="00B534EB">
      <w:pPr>
        <w:rPr>
          <w:szCs w:val="19"/>
          <w:lang w:val="en-GB"/>
        </w:rPr>
      </w:pPr>
    </w:p>
    <w:p w14:paraId="22C50AD6" w14:textId="77777777" w:rsidR="00B534EB" w:rsidRPr="00B534EB" w:rsidRDefault="00B534EB" w:rsidP="00B534EB">
      <w:pPr>
        <w:rPr>
          <w:szCs w:val="19"/>
          <w:lang w:val="en-GB"/>
        </w:rPr>
      </w:pPr>
    </w:p>
    <w:p w14:paraId="2FE2D7BD" w14:textId="433D4AA2" w:rsidR="00DA331D" w:rsidRPr="00B534EB" w:rsidRDefault="00B534EB" w:rsidP="00B534EB">
      <w:pPr>
        <w:rPr>
          <w:sz w:val="16"/>
          <w:lang w:val="en-GB"/>
        </w:rPr>
      </w:pPr>
      <w:r w:rsidRPr="00B534EB">
        <w:rPr>
          <w:szCs w:val="19"/>
          <w:lang w:val="en-GB"/>
        </w:rPr>
        <w:t xml:space="preserve">In the case of quoting Statistics Poland data, please provide information: ‘Source of data: Statistics Poland’, and in the case of publishing calculations made on data published by </w:t>
      </w:r>
      <w:r w:rsidR="007F1886">
        <w:rPr>
          <w:szCs w:val="19"/>
          <w:lang w:val="en-GB"/>
        </w:rPr>
        <w:br/>
      </w:r>
      <w:r w:rsidRPr="00B534EB">
        <w:rPr>
          <w:szCs w:val="19"/>
          <w:lang w:val="en-GB"/>
        </w:rPr>
        <w:t>Statistics Poland, please provide information: ‘Own elaboration based on Statistics Poland data’.</w:t>
      </w:r>
    </w:p>
    <w:p w14:paraId="2C7B29C1" w14:textId="77777777" w:rsidR="00694AF0" w:rsidRPr="00603F90" w:rsidRDefault="00694AF0" w:rsidP="00E76D26">
      <w:pPr>
        <w:rPr>
          <w:sz w:val="18"/>
        </w:rPr>
      </w:pPr>
    </w:p>
    <w:p w14:paraId="0BFD9E85" w14:textId="77777777" w:rsidR="00DA331D" w:rsidRPr="00603F90" w:rsidRDefault="00DA331D" w:rsidP="00DA331D">
      <w:pPr>
        <w:spacing w:before="360"/>
        <w:rPr>
          <w:sz w:val="18"/>
        </w:rPr>
        <w:sectPr w:rsidR="00DA331D" w:rsidRPr="00603F90" w:rsidSect="003B18B6">
          <w:headerReference w:type="default"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p>
    <w:tbl>
      <w:tblPr>
        <w:tblStyle w:val="Tabela-Siatka1"/>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F1886" w:rsidRPr="007F1886" w14:paraId="1ABE31FC" w14:textId="77777777" w:rsidTr="0088476A">
        <w:trPr>
          <w:trHeight w:val="1626"/>
        </w:trPr>
        <w:tc>
          <w:tcPr>
            <w:tcW w:w="4926" w:type="dxa"/>
          </w:tcPr>
          <w:p w14:paraId="792E14A7" w14:textId="77777777" w:rsidR="007F1886" w:rsidRPr="007F1886" w:rsidRDefault="007F1886" w:rsidP="007F1886">
            <w:pPr>
              <w:spacing w:before="0" w:after="0" w:line="276" w:lineRule="auto"/>
              <w:rPr>
                <w:rFonts w:cs="Arial"/>
                <w:sz w:val="20"/>
                <w:lang w:val="en-GB"/>
              </w:rPr>
            </w:pPr>
            <w:r w:rsidRPr="007F1886">
              <w:rPr>
                <w:rFonts w:cs="Arial"/>
                <w:sz w:val="20"/>
                <w:lang w:val="en-GB"/>
              </w:rPr>
              <w:lastRenderedPageBreak/>
              <w:t>Prepared by:</w:t>
            </w:r>
          </w:p>
          <w:p w14:paraId="77DB5356" w14:textId="77777777" w:rsidR="007F1886" w:rsidRPr="007F1886" w:rsidRDefault="007F1886" w:rsidP="007F1886">
            <w:pPr>
              <w:spacing w:before="0" w:line="276" w:lineRule="auto"/>
              <w:rPr>
                <w:rFonts w:cs="Arial"/>
                <w:b/>
                <w:color w:val="000000" w:themeColor="text1"/>
                <w:sz w:val="20"/>
                <w:lang w:val="en-GB"/>
              </w:rPr>
            </w:pPr>
            <w:r w:rsidRPr="007F1886">
              <w:rPr>
                <w:rFonts w:cs="Arial"/>
                <w:b/>
                <w:sz w:val="20"/>
                <w:lang w:val="en-GB"/>
              </w:rPr>
              <w:t>Statistical Office in Bydgoszcz</w:t>
            </w:r>
          </w:p>
          <w:p w14:paraId="3418F012" w14:textId="77777777" w:rsidR="007F1886" w:rsidRPr="007F1886" w:rsidRDefault="007F1886" w:rsidP="007F1886">
            <w:pPr>
              <w:spacing w:before="0" w:after="0" w:line="276" w:lineRule="auto"/>
              <w:rPr>
                <w:b/>
                <w:lang w:val="en-GB"/>
              </w:rPr>
            </w:pPr>
            <w:r w:rsidRPr="007F1886">
              <w:rPr>
                <w:b/>
                <w:lang w:val="en-GB"/>
              </w:rPr>
              <w:t>Director Wiesława Gierańczyk, Ph.D.</w:t>
            </w:r>
          </w:p>
          <w:p w14:paraId="3BBEB6AF" w14:textId="77777777" w:rsidR="007F1886" w:rsidRPr="007F1886" w:rsidRDefault="007F1886" w:rsidP="007F1886">
            <w:pPr>
              <w:keepNext/>
              <w:keepLines/>
              <w:spacing w:before="0" w:line="240" w:lineRule="auto"/>
              <w:outlineLvl w:val="2"/>
              <w:rPr>
                <w:rFonts w:eastAsiaTheme="majorEastAsia" w:cs="Arial"/>
                <w:color w:val="000000" w:themeColor="text1"/>
                <w:sz w:val="20"/>
                <w:szCs w:val="24"/>
                <w:lang w:val="en-GB"/>
              </w:rPr>
            </w:pPr>
            <w:r w:rsidRPr="007F1886">
              <w:rPr>
                <w:rFonts w:eastAsiaTheme="majorEastAsia" w:cs="Arial"/>
                <w:color w:val="000000" w:themeColor="text1"/>
                <w:sz w:val="20"/>
                <w:szCs w:val="24"/>
                <w:lang w:val="en-GB"/>
              </w:rPr>
              <w:t>Office: tel. (+48 52) 366 93 90</w:t>
            </w:r>
          </w:p>
        </w:tc>
        <w:tc>
          <w:tcPr>
            <w:tcW w:w="4927" w:type="dxa"/>
          </w:tcPr>
          <w:p w14:paraId="1E7330BE" w14:textId="77777777" w:rsidR="007F1886" w:rsidRPr="007F1886" w:rsidRDefault="007F1886" w:rsidP="007F1886">
            <w:pPr>
              <w:spacing w:before="0" w:line="276" w:lineRule="auto"/>
              <w:rPr>
                <w:rFonts w:cs="Arial"/>
                <w:b/>
                <w:sz w:val="20"/>
                <w:lang w:val="en-GB"/>
              </w:rPr>
            </w:pPr>
            <w:r w:rsidRPr="007F1886">
              <w:rPr>
                <w:rFonts w:cs="Arial"/>
                <w:sz w:val="20"/>
                <w:lang w:val="en-GB"/>
              </w:rPr>
              <w:t>Issued by:</w:t>
            </w:r>
            <w:r w:rsidRPr="007F1886">
              <w:rPr>
                <w:rFonts w:cs="Arial"/>
                <w:sz w:val="20"/>
                <w:lang w:val="en-GB"/>
              </w:rPr>
              <w:br/>
            </w:r>
            <w:r w:rsidRPr="007F1886">
              <w:rPr>
                <w:rFonts w:cs="Arial"/>
                <w:b/>
                <w:sz w:val="20"/>
                <w:lang w:val="en-GB"/>
              </w:rPr>
              <w:t>The Spokesperson for the President</w:t>
            </w:r>
          </w:p>
          <w:p w14:paraId="4421A258" w14:textId="77777777" w:rsidR="007F1886" w:rsidRPr="007F1886" w:rsidRDefault="007F1886" w:rsidP="007F1886">
            <w:pPr>
              <w:spacing w:before="0" w:line="276" w:lineRule="auto"/>
              <w:rPr>
                <w:rFonts w:cs="Arial"/>
                <w:b/>
                <w:sz w:val="20"/>
                <w:lang w:val="en-GB"/>
              </w:rPr>
            </w:pPr>
            <w:r w:rsidRPr="007F1886">
              <w:rPr>
                <w:rFonts w:cs="Arial"/>
                <w:b/>
                <w:sz w:val="20"/>
                <w:lang w:val="en-GB"/>
              </w:rPr>
              <w:t>of Statistics Poland</w:t>
            </w:r>
          </w:p>
          <w:p w14:paraId="595DE215" w14:textId="77777777" w:rsidR="007F1886" w:rsidRPr="007F1886" w:rsidRDefault="007F1886" w:rsidP="007F1886">
            <w:pPr>
              <w:keepNext/>
              <w:keepLines/>
              <w:spacing w:before="0" w:after="0" w:line="240" w:lineRule="auto"/>
              <w:outlineLvl w:val="2"/>
              <w:rPr>
                <w:rFonts w:eastAsiaTheme="majorEastAsia" w:cs="Arial"/>
                <w:b/>
                <w:sz w:val="20"/>
                <w:szCs w:val="28"/>
                <w:lang w:val="en-GB"/>
              </w:rPr>
            </w:pPr>
            <w:r w:rsidRPr="007F1886">
              <w:rPr>
                <w:rFonts w:eastAsiaTheme="majorEastAsia" w:cs="Arial"/>
                <w:b/>
                <w:sz w:val="20"/>
                <w:szCs w:val="28"/>
                <w:lang w:val="en-GB"/>
              </w:rPr>
              <w:t>Karolina Banaszek</w:t>
            </w:r>
          </w:p>
          <w:p w14:paraId="01B730DA" w14:textId="77777777" w:rsidR="007F1886" w:rsidRPr="007F1886" w:rsidRDefault="007F1886" w:rsidP="007F1886">
            <w:pPr>
              <w:keepNext/>
              <w:keepLines/>
              <w:spacing w:before="0" w:after="0" w:line="240" w:lineRule="auto"/>
              <w:outlineLvl w:val="2"/>
              <w:rPr>
                <w:rFonts w:eastAsiaTheme="majorEastAsia" w:cs="Arial"/>
                <w:sz w:val="20"/>
                <w:szCs w:val="24"/>
                <w:lang w:val="en-GB"/>
              </w:rPr>
            </w:pPr>
            <w:r w:rsidRPr="007F1886">
              <w:rPr>
                <w:rFonts w:eastAsiaTheme="majorEastAsia" w:cs="Arial"/>
                <w:sz w:val="20"/>
                <w:szCs w:val="24"/>
                <w:lang w:val="en-GB"/>
              </w:rPr>
              <w:t>Mobile: (+48) 695 255 011</w:t>
            </w:r>
          </w:p>
          <w:p w14:paraId="6BD9B9EA" w14:textId="77777777" w:rsidR="007F1886" w:rsidRPr="007F1886" w:rsidRDefault="007F1886" w:rsidP="007F1886">
            <w:pPr>
              <w:rPr>
                <w:sz w:val="18"/>
                <w:lang w:val="en-GB"/>
              </w:rPr>
            </w:pPr>
          </w:p>
        </w:tc>
      </w:tr>
      <w:tr w:rsidR="007F1886" w:rsidRPr="007F1886" w14:paraId="60D13269" w14:textId="77777777" w:rsidTr="0088476A">
        <w:trPr>
          <w:trHeight w:val="418"/>
        </w:trPr>
        <w:tc>
          <w:tcPr>
            <w:tcW w:w="4926" w:type="dxa"/>
            <w:vMerge w:val="restart"/>
          </w:tcPr>
          <w:p w14:paraId="0D905137" w14:textId="77777777" w:rsidR="007F1886" w:rsidRPr="007F1886" w:rsidRDefault="007F1886" w:rsidP="007F1886">
            <w:pPr>
              <w:rPr>
                <w:b/>
                <w:sz w:val="20"/>
                <w:lang w:val="en-GB"/>
              </w:rPr>
            </w:pPr>
            <w:r w:rsidRPr="007F1886">
              <w:rPr>
                <w:b/>
                <w:sz w:val="20"/>
                <w:lang w:val="en-GB"/>
              </w:rPr>
              <w:t>Press Office</w:t>
            </w:r>
          </w:p>
          <w:p w14:paraId="74885516" w14:textId="77777777" w:rsidR="007F1886" w:rsidRPr="007F1886" w:rsidRDefault="007F1886" w:rsidP="007F1886">
            <w:pPr>
              <w:rPr>
                <w:sz w:val="20"/>
                <w:lang w:val="en-GB"/>
              </w:rPr>
            </w:pPr>
            <w:r w:rsidRPr="007F1886">
              <w:rPr>
                <w:sz w:val="20"/>
                <w:lang w:val="en-GB"/>
              </w:rPr>
              <w:t>Office: tel. (+48 22) 608 38 04</w:t>
            </w:r>
          </w:p>
          <w:p w14:paraId="2D353058" w14:textId="77777777" w:rsidR="007F1886" w:rsidRPr="007F1886" w:rsidRDefault="007F1886" w:rsidP="007F1886">
            <w:pPr>
              <w:rPr>
                <w:sz w:val="18"/>
                <w:lang w:val="en-GB"/>
              </w:rPr>
            </w:pPr>
            <w:r w:rsidRPr="007F1886">
              <w:rPr>
                <w:b/>
                <w:sz w:val="20"/>
                <w:lang w:val="en-GB"/>
              </w:rPr>
              <w:t>e-mail:</w:t>
            </w:r>
            <w:r w:rsidRPr="007F1886">
              <w:rPr>
                <w:sz w:val="20"/>
                <w:lang w:val="en-GB"/>
              </w:rPr>
              <w:t xml:space="preserve"> </w:t>
            </w:r>
            <w:hyperlink r:id="rId20" w:history="1">
              <w:r w:rsidRPr="007F1886">
                <w:rPr>
                  <w:rFonts w:eastAsiaTheme="majorEastAsia" w:cs="Arial"/>
                  <w:b/>
                  <w:sz w:val="20"/>
                  <w:szCs w:val="20"/>
                  <w:u w:val="single"/>
                  <w:lang w:val="en-GB"/>
                </w:rPr>
                <w:t>obslugaprasowa@stat.gov.pl</w:t>
              </w:r>
            </w:hyperlink>
          </w:p>
        </w:tc>
        <w:tc>
          <w:tcPr>
            <w:tcW w:w="4927" w:type="dxa"/>
            <w:vAlign w:val="center"/>
          </w:tcPr>
          <w:p w14:paraId="6C8C637A" w14:textId="107FE782" w:rsidR="007F1886" w:rsidRPr="007F1886" w:rsidRDefault="007F1886" w:rsidP="007135B9">
            <w:pPr>
              <w:ind w:firstLine="680"/>
              <w:rPr>
                <w:sz w:val="18"/>
                <w:lang w:val="en-GB"/>
              </w:rPr>
            </w:pPr>
            <w:r w:rsidRPr="007F1886">
              <w:rPr>
                <w:noProof/>
                <w:sz w:val="20"/>
                <w:lang w:eastAsia="pl-PL"/>
              </w:rPr>
              <w:drawing>
                <wp:anchor distT="0" distB="0" distL="114300" distR="114300" simplePos="0" relativeHeight="251783168" behindDoc="0" locked="0" layoutInCell="1" allowOverlap="1" wp14:anchorId="7084C8BF" wp14:editId="31164318">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F1886">
              <w:rPr>
                <w:sz w:val="18"/>
                <w:lang w:val="en-GB"/>
              </w:rPr>
              <w:t>stat.gov.pl/</w:t>
            </w:r>
            <w:proofErr w:type="spellStart"/>
            <w:r w:rsidRPr="007F1886">
              <w:rPr>
                <w:sz w:val="18"/>
                <w:lang w:val="en-GB"/>
              </w:rPr>
              <w:t>en</w:t>
            </w:r>
            <w:proofErr w:type="spellEnd"/>
            <w:r w:rsidRPr="007F1886">
              <w:rPr>
                <w:sz w:val="18"/>
                <w:lang w:val="en-GB"/>
              </w:rPr>
              <w:t>/</w:t>
            </w:r>
          </w:p>
        </w:tc>
      </w:tr>
      <w:tr w:rsidR="007F1886" w:rsidRPr="007F1886" w14:paraId="162B55BC" w14:textId="77777777" w:rsidTr="0088476A">
        <w:trPr>
          <w:trHeight w:val="418"/>
        </w:trPr>
        <w:tc>
          <w:tcPr>
            <w:tcW w:w="4926" w:type="dxa"/>
            <w:vMerge/>
          </w:tcPr>
          <w:p w14:paraId="5487BFFC" w14:textId="77777777" w:rsidR="007F1886" w:rsidRPr="007F1886" w:rsidRDefault="007F1886" w:rsidP="007F1886">
            <w:pPr>
              <w:rPr>
                <w:b/>
                <w:sz w:val="20"/>
                <w:lang w:val="en-GB"/>
              </w:rPr>
            </w:pPr>
          </w:p>
        </w:tc>
        <w:tc>
          <w:tcPr>
            <w:tcW w:w="4927" w:type="dxa"/>
            <w:vAlign w:val="center"/>
          </w:tcPr>
          <w:p w14:paraId="76DCF837" w14:textId="570AEE54" w:rsidR="007F1886" w:rsidRPr="007F1886" w:rsidRDefault="007F1886" w:rsidP="007135B9">
            <w:pPr>
              <w:ind w:firstLine="680"/>
              <w:rPr>
                <w:sz w:val="18"/>
                <w:lang w:val="en-GB"/>
              </w:rPr>
            </w:pPr>
            <w:r w:rsidRPr="007F1886">
              <w:rPr>
                <w:noProof/>
                <w:sz w:val="20"/>
                <w:lang w:eastAsia="pl-PL"/>
              </w:rPr>
              <w:drawing>
                <wp:anchor distT="0" distB="0" distL="114300" distR="114300" simplePos="0" relativeHeight="251784192" behindDoc="0" locked="0" layoutInCell="1" allowOverlap="1" wp14:anchorId="3E18C55D" wp14:editId="57584BDD">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F1886">
              <w:rPr>
                <w:sz w:val="20"/>
                <w:lang w:val="en-GB"/>
              </w:rPr>
              <w:t>@</w:t>
            </w:r>
            <w:r w:rsidR="007135B9">
              <w:rPr>
                <w:sz w:val="20"/>
                <w:lang w:val="en-GB"/>
              </w:rPr>
              <w:t>StatPoland</w:t>
            </w:r>
            <w:r w:rsidRPr="007F1886">
              <w:rPr>
                <w:noProof/>
                <w:sz w:val="20"/>
                <w:lang w:val="en-GB" w:eastAsia="pl-PL"/>
              </w:rPr>
              <w:t xml:space="preserve"> </w:t>
            </w:r>
          </w:p>
        </w:tc>
      </w:tr>
      <w:tr w:rsidR="007F1886" w:rsidRPr="007F1886" w14:paraId="37942B31" w14:textId="77777777" w:rsidTr="0088476A">
        <w:trPr>
          <w:trHeight w:val="476"/>
        </w:trPr>
        <w:tc>
          <w:tcPr>
            <w:tcW w:w="4926" w:type="dxa"/>
            <w:vMerge/>
          </w:tcPr>
          <w:p w14:paraId="1784DB9A" w14:textId="77777777" w:rsidR="007F1886" w:rsidRPr="007F1886" w:rsidRDefault="007F1886" w:rsidP="007F1886">
            <w:pPr>
              <w:rPr>
                <w:b/>
                <w:sz w:val="20"/>
                <w:lang w:val="en-GB"/>
              </w:rPr>
            </w:pPr>
          </w:p>
        </w:tc>
        <w:tc>
          <w:tcPr>
            <w:tcW w:w="4927" w:type="dxa"/>
          </w:tcPr>
          <w:p w14:paraId="5EE94F4D" w14:textId="77777777" w:rsidR="007F1886" w:rsidRPr="007F1886" w:rsidRDefault="007F1886" w:rsidP="007F1886">
            <w:pPr>
              <w:ind w:firstLine="680"/>
              <w:rPr>
                <w:sz w:val="18"/>
                <w:lang w:val="en-GB"/>
              </w:rPr>
            </w:pPr>
            <w:r w:rsidRPr="007F1886">
              <w:rPr>
                <w:noProof/>
                <w:sz w:val="20"/>
                <w:lang w:eastAsia="pl-PL"/>
              </w:rPr>
              <w:drawing>
                <wp:anchor distT="0" distB="0" distL="114300" distR="114300" simplePos="0" relativeHeight="251785216" behindDoc="0" locked="0" layoutInCell="1" allowOverlap="1" wp14:anchorId="71633745" wp14:editId="064C580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7F1886">
              <w:rPr>
                <w:sz w:val="20"/>
                <w:lang w:val="en-GB"/>
              </w:rPr>
              <w:t>@GlownyUrzadStatystyczny</w:t>
            </w:r>
            <w:r w:rsidRPr="007F1886">
              <w:rPr>
                <w:noProof/>
                <w:sz w:val="20"/>
                <w:lang w:val="en-GB" w:eastAsia="pl-PL"/>
              </w:rPr>
              <w:t xml:space="preserve"> </w:t>
            </w:r>
          </w:p>
        </w:tc>
      </w:tr>
      <w:tr w:rsidR="007F1886" w:rsidRPr="007F1886" w14:paraId="2C6964D1" w14:textId="77777777" w:rsidTr="0088476A">
        <w:trPr>
          <w:trHeight w:val="476"/>
        </w:trPr>
        <w:tc>
          <w:tcPr>
            <w:tcW w:w="4926" w:type="dxa"/>
          </w:tcPr>
          <w:p w14:paraId="4A49D80F" w14:textId="77777777" w:rsidR="007F1886" w:rsidRPr="007F1886" w:rsidRDefault="007F1886" w:rsidP="007F1886">
            <w:pPr>
              <w:rPr>
                <w:b/>
                <w:sz w:val="20"/>
                <w:lang w:val="en-GB"/>
              </w:rPr>
            </w:pPr>
          </w:p>
        </w:tc>
        <w:tc>
          <w:tcPr>
            <w:tcW w:w="4927" w:type="dxa"/>
          </w:tcPr>
          <w:p w14:paraId="0DF28873" w14:textId="77777777" w:rsidR="007F1886" w:rsidRPr="007F1886" w:rsidRDefault="007F1886" w:rsidP="007F1886">
            <w:pPr>
              <w:ind w:firstLine="680"/>
              <w:rPr>
                <w:sz w:val="20"/>
                <w:lang w:val="en-GB"/>
              </w:rPr>
            </w:pPr>
            <w:r w:rsidRPr="007F1886">
              <w:rPr>
                <w:noProof/>
                <w:sz w:val="20"/>
                <w:lang w:eastAsia="pl-PL"/>
              </w:rPr>
              <w:drawing>
                <wp:anchor distT="0" distB="0" distL="114300" distR="114300" simplePos="0" relativeHeight="251786240" behindDoc="0" locked="0" layoutInCell="1" allowOverlap="1" wp14:anchorId="39DA48C8" wp14:editId="0626EFA2">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F1886">
              <w:rPr>
                <w:sz w:val="20"/>
                <w:lang w:val="en-GB"/>
              </w:rPr>
              <w:t>gus_stat</w:t>
            </w:r>
            <w:proofErr w:type="spellEnd"/>
          </w:p>
        </w:tc>
      </w:tr>
      <w:tr w:rsidR="007F1886" w:rsidRPr="007F1886" w14:paraId="4BEE6C92" w14:textId="77777777" w:rsidTr="0088476A">
        <w:trPr>
          <w:trHeight w:val="476"/>
        </w:trPr>
        <w:tc>
          <w:tcPr>
            <w:tcW w:w="4926" w:type="dxa"/>
          </w:tcPr>
          <w:p w14:paraId="624D72E0" w14:textId="77777777" w:rsidR="007F1886" w:rsidRPr="007F1886" w:rsidRDefault="007F1886" w:rsidP="007F1886">
            <w:pPr>
              <w:rPr>
                <w:b/>
                <w:sz w:val="20"/>
                <w:lang w:val="en-GB"/>
              </w:rPr>
            </w:pPr>
          </w:p>
        </w:tc>
        <w:tc>
          <w:tcPr>
            <w:tcW w:w="4927" w:type="dxa"/>
          </w:tcPr>
          <w:p w14:paraId="503CEA1E" w14:textId="77777777" w:rsidR="007F1886" w:rsidRPr="007F1886" w:rsidRDefault="007F1886" w:rsidP="007F1886">
            <w:pPr>
              <w:ind w:firstLine="680"/>
              <w:rPr>
                <w:sz w:val="20"/>
                <w:lang w:val="en-GB"/>
              </w:rPr>
            </w:pPr>
            <w:r w:rsidRPr="007F1886">
              <w:rPr>
                <w:noProof/>
                <w:sz w:val="20"/>
                <w:lang w:eastAsia="pl-PL"/>
              </w:rPr>
              <w:drawing>
                <wp:anchor distT="0" distB="0" distL="114300" distR="114300" simplePos="0" relativeHeight="251787264" behindDoc="0" locked="0" layoutInCell="1" allowOverlap="1" wp14:anchorId="1EC3DE90" wp14:editId="5B3E0371">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7F1886">
              <w:rPr>
                <w:sz w:val="20"/>
                <w:lang w:val="en-GB"/>
              </w:rPr>
              <w:t>glownyurzadstatystycznygus</w:t>
            </w:r>
            <w:proofErr w:type="spellEnd"/>
          </w:p>
        </w:tc>
      </w:tr>
      <w:tr w:rsidR="007F1886" w:rsidRPr="007F1886" w14:paraId="3F72398D" w14:textId="77777777" w:rsidTr="0088476A">
        <w:trPr>
          <w:trHeight w:val="953"/>
        </w:trPr>
        <w:tc>
          <w:tcPr>
            <w:tcW w:w="4926" w:type="dxa"/>
          </w:tcPr>
          <w:p w14:paraId="14C7F78E" w14:textId="77777777" w:rsidR="007F1886" w:rsidRPr="007F1886" w:rsidRDefault="007F1886" w:rsidP="007F1886">
            <w:pPr>
              <w:rPr>
                <w:b/>
                <w:sz w:val="20"/>
                <w:lang w:val="en-GB"/>
              </w:rPr>
            </w:pPr>
          </w:p>
        </w:tc>
        <w:tc>
          <w:tcPr>
            <w:tcW w:w="4927" w:type="dxa"/>
          </w:tcPr>
          <w:p w14:paraId="5670C63F" w14:textId="77777777" w:rsidR="007F1886" w:rsidRPr="007F1886" w:rsidRDefault="007F1886" w:rsidP="007F1886">
            <w:pPr>
              <w:ind w:firstLine="680"/>
              <w:rPr>
                <w:sz w:val="20"/>
                <w:lang w:val="en-GB"/>
              </w:rPr>
            </w:pPr>
            <w:r w:rsidRPr="007F1886">
              <w:rPr>
                <w:noProof/>
                <w:sz w:val="20"/>
                <w:lang w:val="en-GB" w:eastAsia="pl-PL"/>
              </w:rPr>
              <w:t>glownyurzadstatystyczny</w:t>
            </w:r>
            <w:r w:rsidRPr="007F1886">
              <w:rPr>
                <w:noProof/>
                <w:sz w:val="20"/>
                <w:lang w:eastAsia="pl-PL"/>
              </w:rPr>
              <w:drawing>
                <wp:anchor distT="0" distB="0" distL="114300" distR="114300" simplePos="0" relativeHeight="251788288" behindDoc="0" locked="0" layoutInCell="1" allowOverlap="1" wp14:anchorId="7516EAAD" wp14:editId="0B35ECE1">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F1886" w:rsidRPr="007F1886" w14:paraId="7778DC6B" w14:textId="77777777" w:rsidTr="0088476A">
        <w:trPr>
          <w:trHeight w:val="4114"/>
        </w:trPr>
        <w:tc>
          <w:tcPr>
            <w:tcW w:w="9853" w:type="dxa"/>
            <w:gridSpan w:val="2"/>
            <w:shd w:val="clear" w:color="auto" w:fill="D9D9D9" w:themeFill="background1" w:themeFillShade="D9"/>
          </w:tcPr>
          <w:p w14:paraId="1C16A7D2" w14:textId="77777777" w:rsidR="007F1886" w:rsidRPr="007F1886" w:rsidRDefault="007F1886" w:rsidP="007F1886">
            <w:pPr>
              <w:shd w:val="clear" w:color="auto" w:fill="D9D9D9" w:themeFill="background1" w:themeFillShade="D9"/>
              <w:rPr>
                <w:b/>
                <w:lang w:val="en-GB"/>
              </w:rPr>
            </w:pPr>
            <w:r w:rsidRPr="007F1886">
              <w:rPr>
                <w:b/>
                <w:lang w:val="en-GB"/>
              </w:rPr>
              <w:t>Related information</w:t>
            </w:r>
          </w:p>
          <w:p w14:paraId="2C30F5B6"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z w:val="18"/>
                <w:szCs w:val="18"/>
                <w:u w:val="single"/>
                <w:lang w:val="en-GB" w:eastAsia="pl-PL"/>
              </w:rPr>
              <w:fldChar w:fldCharType="begin"/>
            </w:r>
            <w:r w:rsidRPr="007F1886">
              <w:rPr>
                <w:rFonts w:eastAsia="Times New Roman" w:cs="Times New Roman"/>
                <w:bCs/>
                <w:color w:val="001D77"/>
                <w:sz w:val="18"/>
                <w:szCs w:val="18"/>
                <w:u w:val="single"/>
                <w:lang w:val="en-GB" w:eastAsia="pl-PL"/>
              </w:rPr>
              <w:instrText>HYPERLINK "https://stat.gov.pl/obszary-tematyczne/rynek-pracy/popyt-na-prace/popyt-na-prace-w-2020-roku,1,16.html" \o " Link do publikacji Popyt na pracę w 2020 r. Publikacja roczna"</w:instrText>
            </w:r>
            <w:r w:rsidRPr="007F1886">
              <w:rPr>
                <w:rFonts w:eastAsia="Times New Roman" w:cs="Times New Roman"/>
                <w:bCs/>
                <w:color w:val="001D77"/>
                <w:sz w:val="18"/>
                <w:szCs w:val="18"/>
                <w:u w:val="single"/>
                <w:lang w:val="en-GB" w:eastAsia="pl-PL"/>
              </w:rPr>
              <w:fldChar w:fldCharType="separate"/>
            </w:r>
            <w:r w:rsidRPr="007F1886">
              <w:rPr>
                <w:rFonts w:eastAsia="Times New Roman" w:cs="Times New Roman"/>
                <w:bCs/>
                <w:color w:val="001D77"/>
                <w:sz w:val="18"/>
                <w:szCs w:val="18"/>
                <w:u w:val="single"/>
                <w:lang w:val="en-GB" w:eastAsia="pl-PL"/>
              </w:rPr>
              <w:t>The demand for labour in 2020 – annual publication</w:t>
            </w:r>
          </w:p>
          <w:p w14:paraId="6D4F1976"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z w:val="18"/>
                <w:szCs w:val="18"/>
                <w:u w:val="single"/>
                <w:lang w:val="en-GB" w:eastAsia="pl-PL"/>
              </w:rPr>
              <w:fldChar w:fldCharType="end"/>
            </w:r>
            <w:r w:rsidRPr="007F1886">
              <w:rPr>
                <w:rFonts w:eastAsia="Times New Roman" w:cs="Times New Roman"/>
                <w:bCs/>
                <w:color w:val="001D77"/>
                <w:sz w:val="18"/>
                <w:szCs w:val="18"/>
                <w:u w:val="single"/>
                <w:lang w:val="en-GB" w:eastAsia="pl-PL"/>
              </w:rPr>
              <w:fldChar w:fldCharType="begin"/>
            </w:r>
            <w:r w:rsidRPr="007F1886">
              <w:rPr>
                <w:rFonts w:eastAsia="Times New Roman" w:cs="Times New Roman"/>
                <w:bCs/>
                <w:color w:val="001D77"/>
                <w:sz w:val="18"/>
                <w:szCs w:val="18"/>
                <w:u w:val="single"/>
                <w:lang w:val="en-GB" w:eastAsia="pl-PL"/>
              </w:rPr>
              <w:instrText>HYPERLINK "https://stat.gov.pl/obszary-tematyczne/rynek-pracy/popyt-na-prace/popyt-na-prace-w-iii-kwartale-2021-roku,2,43.html" \o "Link do opracowania Popyt na pracę w trzecim kwartale 2021 r. Opracowanie sygnalne"</w:instrText>
            </w:r>
            <w:r w:rsidRPr="007F1886">
              <w:rPr>
                <w:rFonts w:eastAsia="Times New Roman" w:cs="Times New Roman"/>
                <w:bCs/>
                <w:color w:val="001D77"/>
                <w:sz w:val="18"/>
                <w:szCs w:val="18"/>
                <w:u w:val="single"/>
                <w:lang w:val="en-GB" w:eastAsia="pl-PL"/>
              </w:rPr>
              <w:fldChar w:fldCharType="separate"/>
            </w:r>
            <w:r w:rsidRPr="007F1886">
              <w:rPr>
                <w:rFonts w:eastAsia="Times New Roman" w:cs="Times New Roman"/>
                <w:bCs/>
                <w:color w:val="001D77"/>
                <w:sz w:val="18"/>
                <w:szCs w:val="18"/>
                <w:u w:val="single"/>
                <w:lang w:val="en-GB" w:eastAsia="pl-PL"/>
              </w:rPr>
              <w:t>The demand for labour in the third quarter of 2021</w:t>
            </w:r>
          </w:p>
          <w:p w14:paraId="0E90B59D" w14:textId="77777777" w:rsidR="007F1886" w:rsidRPr="007F1886" w:rsidRDefault="007F1886" w:rsidP="007F1886">
            <w:pPr>
              <w:spacing w:after="0"/>
              <w:rPr>
                <w:rFonts w:eastAsia="Times New Roman" w:cs="Times New Roman"/>
                <w:bCs/>
                <w:color w:val="001D77"/>
                <w:spacing w:val="-2"/>
                <w:sz w:val="18"/>
                <w:szCs w:val="18"/>
                <w:u w:val="single"/>
                <w:lang w:val="en-GB" w:eastAsia="pl-PL"/>
              </w:rPr>
            </w:pPr>
            <w:r w:rsidRPr="007F1886">
              <w:rPr>
                <w:rFonts w:eastAsia="Times New Roman" w:cs="Times New Roman"/>
                <w:bCs/>
                <w:color w:val="001D77"/>
                <w:sz w:val="18"/>
                <w:szCs w:val="18"/>
                <w:u w:val="single"/>
                <w:lang w:val="en-GB" w:eastAsia="pl-PL"/>
              </w:rPr>
              <w:fldChar w:fldCharType="end"/>
            </w:r>
            <w:r w:rsidRPr="007F1886">
              <w:rPr>
                <w:rFonts w:eastAsia="Times New Roman" w:cs="Times New Roman"/>
                <w:bCs/>
                <w:color w:val="001D77"/>
                <w:spacing w:val="-2"/>
                <w:sz w:val="18"/>
                <w:szCs w:val="18"/>
                <w:u w:val="single"/>
                <w:lang w:val="en-GB" w:eastAsia="pl-PL"/>
              </w:rPr>
              <w:fldChar w:fldCharType="begin"/>
            </w:r>
            <w:r w:rsidRPr="007F1886">
              <w:rPr>
                <w:rFonts w:eastAsia="Times New Roman" w:cs="Times New Roman"/>
                <w:bCs/>
                <w:color w:val="001D77"/>
                <w:spacing w:val="-2"/>
                <w:sz w:val="18"/>
                <w:szCs w:val="18"/>
                <w:u w:val="single"/>
                <w:lang w:val="en-GB" w:eastAsia="pl-PL"/>
              </w:rPr>
              <w:instrText>HYPERLINK "https://stat.gov.pl/obszary-tematyczne/rynek-pracy/popyt-na-prace/wplyw-epidemii-covid-19-na-wybrane-elementy-rynku-pracy-w-polsce-w-trzecim-kwartale-2021-r-,4,7.html" \o "Link do opracowania Wpływ epidemii COVID-19 na wybrane elementy rynku pracy w Polsce w trzecim kwartale 2021 r. Opracowanie sygnalne"</w:instrText>
            </w:r>
            <w:r w:rsidRPr="007F1886">
              <w:rPr>
                <w:rFonts w:eastAsia="Times New Roman" w:cs="Times New Roman"/>
                <w:bCs/>
                <w:color w:val="001D77"/>
                <w:spacing w:val="-2"/>
                <w:sz w:val="18"/>
                <w:szCs w:val="18"/>
                <w:u w:val="single"/>
                <w:lang w:val="en-GB" w:eastAsia="pl-PL"/>
              </w:rPr>
              <w:fldChar w:fldCharType="separate"/>
            </w:r>
            <w:r w:rsidRPr="007F1886">
              <w:rPr>
                <w:rFonts w:eastAsia="Times New Roman" w:cs="Times New Roman"/>
                <w:bCs/>
                <w:color w:val="001D77"/>
                <w:spacing w:val="-2"/>
                <w:sz w:val="18"/>
                <w:szCs w:val="18"/>
                <w:u w:val="single"/>
                <w:lang w:val="en-GB" w:eastAsia="pl-PL"/>
              </w:rPr>
              <w:t xml:space="preserve">The impact of the Covid-19 epidemic on selected elements of the labour market in the third quarter of 2021 </w:t>
            </w:r>
          </w:p>
          <w:p w14:paraId="6093F152"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pacing w:val="-2"/>
                <w:sz w:val="18"/>
                <w:szCs w:val="18"/>
                <w:u w:val="single"/>
                <w:lang w:val="en-GB" w:eastAsia="pl-PL"/>
              </w:rPr>
              <w:fldChar w:fldCharType="end"/>
            </w:r>
            <w:hyperlink r:id="rId27" w:tooltip="Link do innych opracowań zawierających wyniki tych badań" w:history="1">
              <w:r w:rsidRPr="007F1886">
                <w:rPr>
                  <w:rFonts w:eastAsia="Times New Roman" w:cs="Times New Roman"/>
                  <w:bCs/>
                  <w:color w:val="001D77"/>
                  <w:sz w:val="18"/>
                  <w:szCs w:val="18"/>
                  <w:u w:val="single"/>
                  <w:lang w:val="en-GB" w:eastAsia="pl-PL"/>
                </w:rPr>
                <w:t>Other publications that contain the results of these surveys: stat.gov.pl → Topics → Labour market</w:t>
              </w:r>
            </w:hyperlink>
            <w:r w:rsidRPr="007F1886">
              <w:rPr>
                <w:rFonts w:eastAsia="Times New Roman" w:cs="Times New Roman"/>
                <w:bCs/>
                <w:color w:val="001D77"/>
                <w:sz w:val="18"/>
                <w:szCs w:val="18"/>
                <w:u w:val="single"/>
                <w:lang w:val="en-GB" w:eastAsia="pl-PL"/>
              </w:rPr>
              <w:t xml:space="preserve"> </w:t>
            </w:r>
          </w:p>
          <w:p w14:paraId="269DB3DA"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z w:val="18"/>
                <w:szCs w:val="18"/>
                <w:u w:val="single"/>
                <w:lang w:val="en-GB" w:eastAsia="pl-PL"/>
              </w:rPr>
              <w:fldChar w:fldCharType="begin"/>
            </w:r>
            <w:r w:rsidRPr="007F1886">
              <w:rPr>
                <w:rFonts w:eastAsia="Times New Roman" w:cs="Times New Roman"/>
                <w:bCs/>
                <w:color w:val="001D77"/>
                <w:sz w:val="18"/>
                <w:szCs w:val="18"/>
                <w:u w:val="single"/>
                <w:lang w:val="en-GB" w:eastAsia="pl-PL"/>
              </w:rPr>
              <w:instrText>HYPERLINK "https://stat.gov.pl/obszary-tematyczne/rynek-pracy/popyt-na-prace/zeszyt-metodologiczny-popyt-na-prace,3,1.html" \o "Link do opracowania Zeszyt metodologiczny. Popyt na pracę"</w:instrText>
            </w:r>
            <w:r w:rsidRPr="007F1886">
              <w:rPr>
                <w:rFonts w:eastAsia="Times New Roman" w:cs="Times New Roman"/>
                <w:bCs/>
                <w:color w:val="001D77"/>
                <w:sz w:val="18"/>
                <w:szCs w:val="18"/>
                <w:u w:val="single"/>
                <w:lang w:val="en-GB" w:eastAsia="pl-PL"/>
              </w:rPr>
              <w:fldChar w:fldCharType="separate"/>
            </w:r>
            <w:r w:rsidRPr="007F1886">
              <w:rPr>
                <w:rFonts w:eastAsia="Times New Roman" w:cs="Times New Roman"/>
                <w:bCs/>
                <w:color w:val="001D77"/>
                <w:sz w:val="18"/>
                <w:szCs w:val="18"/>
                <w:u w:val="single"/>
                <w:lang w:val="en-GB" w:eastAsia="pl-PL"/>
              </w:rPr>
              <w:t>Methodological report. The demand for labour</w:t>
            </w:r>
          </w:p>
          <w:p w14:paraId="0B097C9A" w14:textId="77777777" w:rsidR="007F1886" w:rsidRPr="007F1886" w:rsidRDefault="007F1886" w:rsidP="007F1886">
            <w:pPr>
              <w:shd w:val="clear" w:color="auto" w:fill="D9D9D9" w:themeFill="background1" w:themeFillShade="D9"/>
              <w:spacing w:before="360"/>
              <w:rPr>
                <w:b/>
                <w:color w:val="000000" w:themeColor="text1"/>
                <w:szCs w:val="24"/>
                <w:lang w:val="en-GB"/>
              </w:rPr>
            </w:pPr>
            <w:r w:rsidRPr="007F1886">
              <w:rPr>
                <w:rFonts w:cs="Times New Roman"/>
                <w:color w:val="001D77"/>
                <w:u w:val="single"/>
                <w:lang w:val="en-GB"/>
              </w:rPr>
              <w:fldChar w:fldCharType="end"/>
            </w:r>
            <w:r w:rsidRPr="007F1886">
              <w:rPr>
                <w:b/>
                <w:color w:val="000000" w:themeColor="text1"/>
                <w:szCs w:val="24"/>
                <w:lang w:val="en-GB"/>
              </w:rPr>
              <w:t>Data available in databases</w:t>
            </w:r>
          </w:p>
          <w:p w14:paraId="05FDE196" w14:textId="77777777" w:rsidR="007F1886" w:rsidRPr="007F1886" w:rsidRDefault="00280BB9" w:rsidP="007F1886">
            <w:pPr>
              <w:rPr>
                <w:rFonts w:cs="Arial"/>
                <w:color w:val="001D77"/>
                <w:sz w:val="18"/>
                <w:szCs w:val="30"/>
                <w:u w:val="single"/>
                <w:shd w:val="clear" w:color="auto" w:fill="F0F0F0"/>
                <w:lang w:val="en-GB"/>
              </w:rPr>
            </w:pPr>
            <w:hyperlink r:id="rId28" w:tooltip="Link do Dziedzinowej Bazy Wiedzy – Rynek pracy" w:history="1">
              <w:r w:rsidR="007F1886" w:rsidRPr="007F1886">
                <w:rPr>
                  <w:rFonts w:cs="Arial"/>
                  <w:color w:val="001D77"/>
                  <w:sz w:val="18"/>
                  <w:szCs w:val="30"/>
                  <w:u w:val="single"/>
                  <w:lang w:val="en-GB"/>
                </w:rPr>
                <w:t>Knowledge databases – Labour market</w:t>
              </w:r>
            </w:hyperlink>
          </w:p>
          <w:p w14:paraId="77C3EF76" w14:textId="77777777" w:rsidR="007F1886" w:rsidRPr="007F1886" w:rsidRDefault="007F1886" w:rsidP="007F1886">
            <w:pPr>
              <w:rPr>
                <w:rFonts w:cs="Arial"/>
                <w:color w:val="001D77"/>
                <w:sz w:val="18"/>
                <w:szCs w:val="30"/>
                <w:u w:val="single"/>
                <w:shd w:val="clear" w:color="auto" w:fill="F0F0F0"/>
                <w:lang w:val="en-GB"/>
              </w:rPr>
            </w:pPr>
            <w:r w:rsidRPr="007F1886">
              <w:rPr>
                <w:rFonts w:eastAsia="Fira Sans Light" w:cs="Arial"/>
                <w:color w:val="001D77"/>
                <w:sz w:val="18"/>
                <w:szCs w:val="30"/>
                <w:shd w:val="clear" w:color="auto" w:fill="F0F0F0"/>
                <w:lang w:val="en-GB"/>
              </w:rPr>
              <w:fldChar w:fldCharType="begin"/>
            </w:r>
            <w:r w:rsidRPr="007F1886">
              <w:rPr>
                <w:rFonts w:cs="Arial"/>
                <w:color w:val="001D77"/>
                <w:sz w:val="18"/>
                <w:szCs w:val="30"/>
                <w:shd w:val="clear" w:color="auto" w:fill="F0F0F0"/>
                <w:lang w:val="en-GB"/>
              </w:rPr>
              <w:instrText>HYPERLINK "http://strateg.stat.gov.pl/" \o "Baza danych Strateg. Obszar tematyczny Rynek pracy"</w:instrText>
            </w:r>
            <w:r w:rsidRPr="007F1886">
              <w:rPr>
                <w:rFonts w:eastAsia="Fira Sans Light" w:cs="Arial"/>
                <w:color w:val="001D77"/>
                <w:sz w:val="18"/>
                <w:szCs w:val="30"/>
                <w:shd w:val="clear" w:color="auto" w:fill="F0F0F0"/>
                <w:lang w:val="en-GB"/>
              </w:rPr>
              <w:fldChar w:fldCharType="separate"/>
            </w:r>
            <w:proofErr w:type="spellStart"/>
            <w:r w:rsidRPr="007F1886">
              <w:rPr>
                <w:rFonts w:cs="Arial"/>
                <w:color w:val="001D77"/>
                <w:sz w:val="18"/>
                <w:szCs w:val="30"/>
                <w:u w:val="single"/>
                <w:lang w:val="en-GB"/>
              </w:rPr>
              <w:t>Strateg</w:t>
            </w:r>
            <w:proofErr w:type="spellEnd"/>
            <w:r w:rsidRPr="007F1886">
              <w:rPr>
                <w:rFonts w:cs="Arial"/>
                <w:color w:val="001D77"/>
                <w:sz w:val="18"/>
                <w:szCs w:val="30"/>
                <w:u w:val="single"/>
                <w:lang w:val="en-GB"/>
              </w:rPr>
              <w:t xml:space="preserve"> → Themes → Labour market</w:t>
            </w:r>
          </w:p>
          <w:p w14:paraId="32C67602"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z w:val="18"/>
                <w:szCs w:val="18"/>
                <w:shd w:val="clear" w:color="auto" w:fill="F0F0F0"/>
                <w:lang w:val="en-GB" w:eastAsia="pl-PL"/>
              </w:rPr>
              <w:fldChar w:fldCharType="end"/>
            </w:r>
            <w:r w:rsidRPr="007F1886">
              <w:rPr>
                <w:rFonts w:eastAsia="Times New Roman" w:cs="Times New Roman"/>
                <w:bCs/>
                <w:color w:val="001D77"/>
                <w:sz w:val="18"/>
                <w:szCs w:val="18"/>
                <w:u w:val="single"/>
                <w:lang w:val="en-GB" w:eastAsia="pl-PL"/>
              </w:rPr>
              <w:fldChar w:fldCharType="begin"/>
            </w:r>
            <w:r w:rsidRPr="007F1886">
              <w:rPr>
                <w:rFonts w:eastAsia="Times New Roman" w:cs="Times New Roman"/>
                <w:bCs/>
                <w:color w:val="001D77"/>
                <w:sz w:val="18"/>
                <w:szCs w:val="18"/>
                <w:u w:val="single"/>
                <w:lang w:val="en-GB" w:eastAsia="pl-PL"/>
              </w:rPr>
              <w:instrText xml:space="preserve"> HYPERLINK "https://bdl.stat.gov.pl/BDL/dane/podgrup/temat" \o "Link do Banku Danych Lokalnych. Obszar Rynek pracy" </w:instrText>
            </w:r>
            <w:r w:rsidRPr="007F1886">
              <w:rPr>
                <w:rFonts w:eastAsia="Times New Roman" w:cs="Times New Roman"/>
                <w:bCs/>
                <w:color w:val="001D77"/>
                <w:sz w:val="18"/>
                <w:szCs w:val="18"/>
                <w:u w:val="single"/>
                <w:lang w:val="en-GB" w:eastAsia="pl-PL"/>
              </w:rPr>
              <w:fldChar w:fldCharType="separate"/>
            </w:r>
            <w:r w:rsidRPr="007F1886">
              <w:rPr>
                <w:rFonts w:eastAsia="Times New Roman" w:cs="Times New Roman"/>
                <w:bCs/>
                <w:color w:val="001D77"/>
                <w:sz w:val="18"/>
                <w:szCs w:val="18"/>
                <w:u w:val="single"/>
                <w:lang w:val="en-GB" w:eastAsia="pl-PL"/>
              </w:rPr>
              <w:t>Local Data Bank → Labour market</w:t>
            </w:r>
          </w:p>
          <w:p w14:paraId="02A9F330" w14:textId="77777777" w:rsidR="007F1886" w:rsidRPr="007F1886" w:rsidRDefault="007F1886" w:rsidP="007F1886">
            <w:pPr>
              <w:spacing w:after="0"/>
              <w:rPr>
                <w:rFonts w:eastAsia="Times New Roman" w:cs="Times New Roman"/>
                <w:bCs/>
                <w:color w:val="001D77"/>
                <w:sz w:val="18"/>
                <w:szCs w:val="18"/>
                <w:u w:val="single"/>
                <w:lang w:val="en-GB" w:eastAsia="pl-PL"/>
              </w:rPr>
            </w:pPr>
            <w:r w:rsidRPr="007F1886">
              <w:rPr>
                <w:rFonts w:eastAsia="Times New Roman" w:cs="Times New Roman"/>
                <w:bCs/>
                <w:color w:val="001D77"/>
                <w:sz w:val="18"/>
                <w:szCs w:val="18"/>
                <w:u w:val="single"/>
                <w:lang w:val="en-GB" w:eastAsia="pl-PL"/>
              </w:rPr>
              <w:fldChar w:fldCharType="end"/>
            </w:r>
            <w:hyperlink r:id="rId29" w:tooltip="Link do Oficjalnych statystyk SDG. Wskaźniki dla celów globalnych" w:history="1">
              <w:r w:rsidRPr="007F1886">
                <w:rPr>
                  <w:rFonts w:eastAsia="Times New Roman" w:cs="Times New Roman"/>
                  <w:bCs/>
                  <w:color w:val="001D77"/>
                  <w:sz w:val="18"/>
                  <w:szCs w:val="18"/>
                  <w:u w:val="single"/>
                  <w:lang w:val="en-GB" w:eastAsia="pl-PL"/>
                </w:rPr>
                <w:t>Statistics for the SDGs – global indicators</w:t>
              </w:r>
            </w:hyperlink>
          </w:p>
          <w:p w14:paraId="4CE31E5A" w14:textId="77777777" w:rsidR="007F1886" w:rsidRPr="007F1886" w:rsidRDefault="007F1886" w:rsidP="007F1886">
            <w:pPr>
              <w:shd w:val="clear" w:color="auto" w:fill="D9D9D9" w:themeFill="background1" w:themeFillShade="D9"/>
              <w:spacing w:before="360"/>
              <w:rPr>
                <w:b/>
                <w:color w:val="000000" w:themeColor="text1"/>
                <w:szCs w:val="24"/>
                <w:lang w:val="en-GB"/>
              </w:rPr>
            </w:pPr>
            <w:r w:rsidRPr="007F1886">
              <w:rPr>
                <w:b/>
                <w:color w:val="000000" w:themeColor="text1"/>
                <w:szCs w:val="24"/>
                <w:lang w:val="en-GB"/>
              </w:rPr>
              <w:t>Terms used in official statistics</w:t>
            </w:r>
          </w:p>
          <w:p w14:paraId="40103917" w14:textId="77777777" w:rsidR="007F1886" w:rsidRPr="007F1886" w:rsidRDefault="00280BB9" w:rsidP="007F1886">
            <w:pPr>
              <w:rPr>
                <w:rFonts w:cs="Arial"/>
                <w:color w:val="001D77"/>
                <w:sz w:val="18"/>
                <w:szCs w:val="30"/>
                <w:u w:val="single"/>
                <w:shd w:val="clear" w:color="auto" w:fill="F0F0F0"/>
                <w:lang w:val="en-GB"/>
              </w:rPr>
            </w:pPr>
            <w:hyperlink r:id="rId30" w:tooltip="Link do pojęcia popyt na pracę" w:history="1">
              <w:r w:rsidR="007F1886" w:rsidRPr="007F1886">
                <w:rPr>
                  <w:rFonts w:cs="Arial"/>
                  <w:color w:val="001D77"/>
                  <w:sz w:val="18"/>
                  <w:szCs w:val="30"/>
                  <w:u w:val="single"/>
                  <w:lang w:val="en-GB"/>
                </w:rPr>
                <w:t>Demand for labour</w:t>
              </w:r>
            </w:hyperlink>
            <w:r w:rsidR="007F1886" w:rsidRPr="007F1886">
              <w:rPr>
                <w:rFonts w:cs="Arial"/>
                <w:color w:val="001D77"/>
                <w:sz w:val="18"/>
                <w:szCs w:val="30"/>
                <w:u w:val="single"/>
                <w:shd w:val="clear" w:color="auto" w:fill="F0F0F0"/>
                <w:lang w:val="en-GB"/>
              </w:rPr>
              <w:t xml:space="preserve"> </w:t>
            </w:r>
          </w:p>
          <w:p w14:paraId="496B0265" w14:textId="77777777" w:rsidR="007F1886" w:rsidRPr="007F1886" w:rsidRDefault="00280BB9" w:rsidP="007F1886">
            <w:pPr>
              <w:rPr>
                <w:rFonts w:cs="Arial"/>
                <w:color w:val="001D77"/>
                <w:sz w:val="18"/>
                <w:szCs w:val="30"/>
                <w:u w:val="single"/>
                <w:shd w:val="clear" w:color="auto" w:fill="F0F0F0"/>
                <w:lang w:val="en-GB"/>
              </w:rPr>
            </w:pPr>
            <w:hyperlink r:id="rId31" w:tooltip="Link do pojęcia Wolne miejsca pracy" w:history="1">
              <w:r w:rsidR="007F1886" w:rsidRPr="007F1886">
                <w:rPr>
                  <w:rFonts w:cs="Arial"/>
                  <w:color w:val="001D77"/>
                  <w:sz w:val="18"/>
                  <w:szCs w:val="30"/>
                  <w:u w:val="single"/>
                  <w:lang w:val="en-GB"/>
                </w:rPr>
                <w:t>Vacancies</w:t>
              </w:r>
            </w:hyperlink>
          </w:p>
          <w:p w14:paraId="2947AAC5" w14:textId="77777777" w:rsidR="007F1886" w:rsidRPr="007F1886" w:rsidRDefault="00280BB9" w:rsidP="007F1886">
            <w:pPr>
              <w:rPr>
                <w:rFonts w:cs="Arial"/>
                <w:color w:val="001D77"/>
                <w:sz w:val="18"/>
                <w:szCs w:val="30"/>
                <w:u w:val="single"/>
                <w:shd w:val="clear" w:color="auto" w:fill="F0F0F0"/>
                <w:lang w:val="en-GB"/>
              </w:rPr>
            </w:pPr>
            <w:hyperlink r:id="rId32" w:tooltip="Link do pojęcia Nowo utworzone miejsca pracy" w:history="1">
              <w:r w:rsidR="007F1886" w:rsidRPr="007F1886">
                <w:rPr>
                  <w:rFonts w:cs="Arial"/>
                  <w:color w:val="001D77"/>
                  <w:sz w:val="18"/>
                  <w:szCs w:val="30"/>
                  <w:u w:val="single"/>
                  <w:lang w:val="en-GB"/>
                </w:rPr>
                <w:t>Newly created jobs</w:t>
              </w:r>
            </w:hyperlink>
          </w:p>
          <w:p w14:paraId="3D6F0562" w14:textId="77777777" w:rsidR="007F1886" w:rsidRPr="007F1886" w:rsidRDefault="00280BB9" w:rsidP="007F1886">
            <w:pPr>
              <w:spacing w:after="0"/>
              <w:rPr>
                <w:rFonts w:eastAsia="Times New Roman" w:cs="Times New Roman"/>
                <w:bCs/>
                <w:color w:val="001D77"/>
                <w:sz w:val="18"/>
                <w:szCs w:val="18"/>
                <w:u w:val="single"/>
                <w:lang w:val="en-GB" w:eastAsia="pl-PL"/>
              </w:rPr>
            </w:pPr>
            <w:hyperlink r:id="rId33" w:tooltip="Link do pojęcia Zlikwidowane miejsca pracy" w:history="1">
              <w:r w:rsidR="007F1886" w:rsidRPr="007F1886">
                <w:rPr>
                  <w:rFonts w:eastAsia="Times New Roman" w:cs="Times New Roman"/>
                  <w:bCs/>
                  <w:color w:val="001D77"/>
                  <w:sz w:val="18"/>
                  <w:szCs w:val="18"/>
                  <w:u w:val="single"/>
                  <w:lang w:val="en-GB" w:eastAsia="pl-PL"/>
                </w:rPr>
                <w:t>Liquidated jobs</w:t>
              </w:r>
            </w:hyperlink>
          </w:p>
          <w:p w14:paraId="672E54D2" w14:textId="77777777" w:rsidR="007F1886" w:rsidRPr="007F1886" w:rsidRDefault="007F1886" w:rsidP="007F1886">
            <w:pPr>
              <w:rPr>
                <w:b/>
                <w:color w:val="000000" w:themeColor="text1"/>
                <w:szCs w:val="24"/>
                <w:lang w:val="en-GB"/>
              </w:rPr>
            </w:pPr>
          </w:p>
        </w:tc>
      </w:tr>
    </w:tbl>
    <w:p w14:paraId="72ACF6CB" w14:textId="77777777" w:rsidR="007F1886" w:rsidRPr="007F1886" w:rsidRDefault="007F1886" w:rsidP="007F1886">
      <w:pPr>
        <w:rPr>
          <w:sz w:val="18"/>
          <w:lang w:val="en-GB"/>
        </w:rPr>
      </w:pPr>
    </w:p>
    <w:p w14:paraId="4BBA79A4" w14:textId="5E885EA6" w:rsidR="00D261A2" w:rsidRPr="003028BF" w:rsidRDefault="00D261A2" w:rsidP="00AD0E56">
      <w:pPr>
        <w:rPr>
          <w:sz w:val="18"/>
          <w:lang w:val="en-GB"/>
        </w:rPr>
      </w:pPr>
    </w:p>
    <w:sectPr w:rsidR="00D261A2" w:rsidRPr="003028BF"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8818" w14:textId="77777777" w:rsidR="00280BB9" w:rsidRDefault="00280BB9" w:rsidP="000662E2">
      <w:pPr>
        <w:spacing w:after="0" w:line="240" w:lineRule="auto"/>
      </w:pPr>
      <w:r>
        <w:separator/>
      </w:r>
    </w:p>
  </w:endnote>
  <w:endnote w:type="continuationSeparator" w:id="0">
    <w:p w14:paraId="15D6A75F" w14:textId="77777777" w:rsidR="00280BB9" w:rsidRDefault="00280BB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7F8DB1AD" w14:textId="09BE07C4" w:rsidR="00B70B77" w:rsidRDefault="00B70B77" w:rsidP="003B18B6">
        <w:pPr>
          <w:pStyle w:val="Stopka"/>
          <w:jc w:val="center"/>
        </w:pPr>
        <w:r>
          <w:fldChar w:fldCharType="begin"/>
        </w:r>
        <w:r>
          <w:instrText>PAGE   \* MERGEFORMAT</w:instrText>
        </w:r>
        <w:r>
          <w:fldChar w:fldCharType="separate"/>
        </w:r>
        <w:r w:rsidR="009A0272">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45D45B51" w14:textId="310C9181" w:rsidR="00B70B77" w:rsidRDefault="00B70B77" w:rsidP="003B18B6">
        <w:pPr>
          <w:pStyle w:val="Stopka"/>
          <w:jc w:val="center"/>
        </w:pPr>
        <w:r>
          <w:fldChar w:fldCharType="begin"/>
        </w:r>
        <w:r>
          <w:instrText>PAGE   \* MERGEFORMAT</w:instrText>
        </w:r>
        <w:r>
          <w:fldChar w:fldCharType="separate"/>
        </w:r>
        <w:r w:rsidR="009A0272">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610AEE04" w14:textId="4282C3D8" w:rsidR="003B18B6" w:rsidRDefault="003B18B6" w:rsidP="003B18B6">
        <w:pPr>
          <w:pStyle w:val="Stopka"/>
          <w:jc w:val="center"/>
        </w:pPr>
        <w:r>
          <w:fldChar w:fldCharType="begin"/>
        </w:r>
        <w:r>
          <w:instrText>PAGE   \* MERGEFORMAT</w:instrText>
        </w:r>
        <w:r>
          <w:fldChar w:fldCharType="separate"/>
        </w:r>
        <w:r w:rsidR="009A0272">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F6A9" w14:textId="77777777" w:rsidR="00280BB9" w:rsidRDefault="00280BB9" w:rsidP="000662E2">
      <w:pPr>
        <w:spacing w:after="0" w:line="240" w:lineRule="auto"/>
      </w:pPr>
      <w:r>
        <w:separator/>
      </w:r>
    </w:p>
  </w:footnote>
  <w:footnote w:type="continuationSeparator" w:id="0">
    <w:p w14:paraId="3292A6D8" w14:textId="77777777" w:rsidR="00280BB9" w:rsidRDefault="00280BB9" w:rsidP="000662E2">
      <w:pPr>
        <w:spacing w:after="0" w:line="240" w:lineRule="auto"/>
      </w:pPr>
      <w:r>
        <w:continuationSeparator/>
      </w:r>
    </w:p>
  </w:footnote>
  <w:footnote w:id="1">
    <w:p w14:paraId="100AA9DD" w14:textId="77777777" w:rsidR="0048227B" w:rsidRPr="004D6941" w:rsidRDefault="0048227B" w:rsidP="0048227B">
      <w:pPr>
        <w:pStyle w:val="Tekstprzypisudolnego"/>
        <w:rPr>
          <w:sz w:val="19"/>
          <w:szCs w:val="19"/>
        </w:rPr>
      </w:pPr>
      <w:r w:rsidRPr="004D6941">
        <w:rPr>
          <w:rStyle w:val="Odwoanieprzypisudolnego"/>
          <w:sz w:val="19"/>
          <w:szCs w:val="19"/>
        </w:rPr>
        <w:footnoteRef/>
      </w:r>
      <w:r>
        <w:rPr>
          <w:sz w:val="19"/>
          <w:szCs w:val="19"/>
        </w:rPr>
        <w:t xml:space="preserve"> </w:t>
      </w:r>
      <w:r w:rsidRPr="007B2A12">
        <w:rPr>
          <w:sz w:val="19"/>
          <w:szCs w:val="19"/>
          <w:lang w:val="en-GB"/>
        </w:rPr>
        <w:t>Classification of Occupations and Specialisations (</w:t>
      </w:r>
      <w:proofErr w:type="spellStart"/>
      <w:r w:rsidRPr="007B2A12">
        <w:rPr>
          <w:sz w:val="19"/>
          <w:szCs w:val="19"/>
          <w:lang w:val="en-GB"/>
        </w:rPr>
        <w:t>KZiS</w:t>
      </w:r>
      <w:proofErr w:type="spellEnd"/>
      <w:r w:rsidRPr="007B2A12">
        <w:rPr>
          <w:sz w:val="19"/>
          <w:szCs w:val="19"/>
          <w:lang w:val="en-GB"/>
        </w:rPr>
        <w:t>) – introduced by the Regulation of the Minister of Labour and Social Policy of 7 August 2014 on the classification of occupations and specialisations for the needs of the labour market and the scope of its applications (</w:t>
      </w:r>
      <w:r w:rsidRPr="007B2A12">
        <w:rPr>
          <w:i/>
          <w:sz w:val="19"/>
          <w:szCs w:val="19"/>
          <w:lang w:val="en-GB"/>
        </w:rPr>
        <w:t>Journal of Laws</w:t>
      </w:r>
      <w:r w:rsidRPr="007B2A12">
        <w:rPr>
          <w:sz w:val="19"/>
          <w:szCs w:val="19"/>
          <w:lang w:val="en-GB"/>
        </w:rPr>
        <w:t xml:space="preserve"> (</w:t>
      </w:r>
      <w:r w:rsidRPr="007B2A12">
        <w:rPr>
          <w:i/>
          <w:sz w:val="19"/>
          <w:szCs w:val="19"/>
          <w:lang w:val="en-GB"/>
        </w:rPr>
        <w:t>Dz. U</w:t>
      </w:r>
      <w:r w:rsidRPr="007B2A12">
        <w:rPr>
          <w:sz w:val="19"/>
          <w:szCs w:val="19"/>
          <w:lang w:val="en-GB"/>
        </w:rPr>
        <w:t>.) 2018, item 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AE15" w14:textId="77777777" w:rsidR="00B70B77" w:rsidRDefault="00B70B77">
    <w:pPr>
      <w:pStyle w:val="Nagwek"/>
    </w:pPr>
    <w:r>
      <w:rPr>
        <w:noProof/>
        <w:lang w:eastAsia="pl-PL"/>
      </w:rPr>
      <mc:AlternateContent>
        <mc:Choice Requires="wps">
          <w:drawing>
            <wp:anchor distT="0" distB="0" distL="114300" distR="114300" simplePos="0" relativeHeight="251673600" behindDoc="1" locked="0" layoutInCell="1" allowOverlap="1" wp14:anchorId="36AF5343" wp14:editId="7F19FCF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60BF6"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544D0CA2" w14:textId="77777777" w:rsidR="00B70B77" w:rsidRDefault="00B70B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BDA4" w14:textId="0662EA9D" w:rsidR="00B70B77" w:rsidRDefault="00B70B77">
    <w:pPr>
      <w:pStyle w:val="Nagwek"/>
      <w:rPr>
        <w:noProof/>
        <w:lang w:eastAsia="pl-PL"/>
      </w:rPr>
    </w:pPr>
    <w:r>
      <w:rPr>
        <w:noProof/>
        <w:lang w:eastAsia="pl-PL"/>
      </w:rPr>
      <w:drawing>
        <wp:inline distT="0" distB="0" distL="0" distR="0" wp14:anchorId="1BCF2EE0" wp14:editId="31E9A9A6">
          <wp:extent cx="1955800" cy="744855"/>
          <wp:effectExtent l="0" t="0" r="0" b="0"/>
          <wp:docPr id="2" name="Obraz 2"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r w:rsidRPr="00F37172">
      <w:rPr>
        <w:noProof/>
        <w:lang w:eastAsia="pl-PL"/>
      </w:rPr>
      <mc:AlternateContent>
        <mc:Choice Requires="wps">
          <w:drawing>
            <wp:anchor distT="0" distB="0" distL="114300" distR="114300" simplePos="0" relativeHeight="251668480" behindDoc="0" locked="0" layoutInCell="1" allowOverlap="1" wp14:anchorId="16B1DCFA" wp14:editId="586479B8">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6C1E6" w14:textId="6DB5473E" w:rsidR="00B70B77" w:rsidRPr="003C6C8D" w:rsidRDefault="00B70B77" w:rsidP="00A32B2E">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DCFA" id="Schemat blokowy: opóźnienie 6" o:spid="_x0000_s1035"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7A6C1E6" w14:textId="6DB5473E" w:rsidR="00B70B77" w:rsidRPr="003C6C8D" w:rsidRDefault="00B70B77" w:rsidP="00A32B2E">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340C6E5E" wp14:editId="5BF2E264">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7CCF4"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30F92F41" w14:textId="77777777" w:rsidR="00B70B77" w:rsidRDefault="00B70B77">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0FE3F2CB" wp14:editId="1D609A0C">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a 10 March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8312CC2" w14:textId="5EBEFA00" w:rsidR="00B70B77" w:rsidRPr="00A01B40" w:rsidRDefault="00B70B77" w:rsidP="00F049AB">
                          <w:pPr>
                            <w:pStyle w:val="Datainformacjisygnalnej"/>
                          </w:pPr>
                          <w:r>
                            <w:t>10.03.2022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F2CB" id="_x0000_t202" coordsize="21600,21600" o:spt="202" path="m,l,21600r21600,l21600,xe">
              <v:stroke joinstyle="miter"/>
              <v:path gradientshapeok="t" o:connecttype="rect"/>
            </v:shapetype>
            <v:shape id="_x0000_s1036" type="#_x0000_t202" alt="Publication Data 10 March 2022"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18312CC2" w14:textId="5EBEFA00" w:rsidR="00B70B77" w:rsidRPr="00A01B40" w:rsidRDefault="00B70B77" w:rsidP="00F049AB">
                    <w:pPr>
                      <w:pStyle w:val="Datainformacjisygnalnej"/>
                    </w:pPr>
                    <w:r>
                      <w:t>10.03.2022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3B4C" w14:textId="77777777" w:rsidR="00607CC5" w:rsidRDefault="00607CC5">
    <w:pPr>
      <w:pStyle w:val="Nagwek"/>
    </w:pPr>
  </w:p>
  <w:p w14:paraId="126897FF"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3pt;height:125.25pt;visibility:visible;mso-wrap-style:square" o:bullet="t">
        <v:imagedata r:id="rId1" o:title=""/>
      </v:shape>
    </w:pict>
  </w:numPicBullet>
  <w:numPicBullet w:numPicBulletId="1">
    <w:pict>
      <v:shape id="_x0000_i1077" type="#_x0000_t75" style="width:123.7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709F"/>
    <w:rsid w:val="000108B8"/>
    <w:rsid w:val="000152F5"/>
    <w:rsid w:val="0002044E"/>
    <w:rsid w:val="000279ED"/>
    <w:rsid w:val="00040269"/>
    <w:rsid w:val="0004582E"/>
    <w:rsid w:val="000470AA"/>
    <w:rsid w:val="00057CA1"/>
    <w:rsid w:val="00061560"/>
    <w:rsid w:val="000647A9"/>
    <w:rsid w:val="000662E2"/>
    <w:rsid w:val="00066883"/>
    <w:rsid w:val="00071B39"/>
    <w:rsid w:val="00074DD8"/>
    <w:rsid w:val="00075759"/>
    <w:rsid w:val="000806F7"/>
    <w:rsid w:val="000859BC"/>
    <w:rsid w:val="000902AB"/>
    <w:rsid w:val="00092305"/>
    <w:rsid w:val="000964F8"/>
    <w:rsid w:val="00097840"/>
    <w:rsid w:val="000A3FCC"/>
    <w:rsid w:val="000B0727"/>
    <w:rsid w:val="000B649F"/>
    <w:rsid w:val="000C135D"/>
    <w:rsid w:val="000C4D42"/>
    <w:rsid w:val="000C70C5"/>
    <w:rsid w:val="000D1A42"/>
    <w:rsid w:val="000D1D43"/>
    <w:rsid w:val="000D225C"/>
    <w:rsid w:val="000D2A5C"/>
    <w:rsid w:val="000D39F0"/>
    <w:rsid w:val="000E0918"/>
    <w:rsid w:val="000E6EAB"/>
    <w:rsid w:val="000E79A9"/>
    <w:rsid w:val="001011C3"/>
    <w:rsid w:val="00106DA3"/>
    <w:rsid w:val="00110214"/>
    <w:rsid w:val="00110D87"/>
    <w:rsid w:val="00112399"/>
    <w:rsid w:val="00114DB9"/>
    <w:rsid w:val="00116087"/>
    <w:rsid w:val="00117711"/>
    <w:rsid w:val="001234D6"/>
    <w:rsid w:val="00130296"/>
    <w:rsid w:val="0013196E"/>
    <w:rsid w:val="00134145"/>
    <w:rsid w:val="00136736"/>
    <w:rsid w:val="00136D67"/>
    <w:rsid w:val="00136F00"/>
    <w:rsid w:val="001423B6"/>
    <w:rsid w:val="001448A7"/>
    <w:rsid w:val="00144D94"/>
    <w:rsid w:val="0014583C"/>
    <w:rsid w:val="00146621"/>
    <w:rsid w:val="001617E3"/>
    <w:rsid w:val="00162325"/>
    <w:rsid w:val="001951DA"/>
    <w:rsid w:val="001B037C"/>
    <w:rsid w:val="001B053D"/>
    <w:rsid w:val="001B78CE"/>
    <w:rsid w:val="001C3269"/>
    <w:rsid w:val="001D0CBA"/>
    <w:rsid w:val="001D13FE"/>
    <w:rsid w:val="001D19B6"/>
    <w:rsid w:val="001D1DB4"/>
    <w:rsid w:val="001D23F1"/>
    <w:rsid w:val="001D25F9"/>
    <w:rsid w:val="001D61ED"/>
    <w:rsid w:val="001E0AF0"/>
    <w:rsid w:val="001E4394"/>
    <w:rsid w:val="001E463A"/>
    <w:rsid w:val="001E5B2D"/>
    <w:rsid w:val="001F37DB"/>
    <w:rsid w:val="0020156C"/>
    <w:rsid w:val="00210D35"/>
    <w:rsid w:val="00214A5A"/>
    <w:rsid w:val="00216634"/>
    <w:rsid w:val="00241A4F"/>
    <w:rsid w:val="00242D31"/>
    <w:rsid w:val="0025481E"/>
    <w:rsid w:val="002574F9"/>
    <w:rsid w:val="00262B61"/>
    <w:rsid w:val="00262CC6"/>
    <w:rsid w:val="00263E08"/>
    <w:rsid w:val="00276811"/>
    <w:rsid w:val="00280BB9"/>
    <w:rsid w:val="00282699"/>
    <w:rsid w:val="002926DF"/>
    <w:rsid w:val="0029390B"/>
    <w:rsid w:val="00296697"/>
    <w:rsid w:val="00296F54"/>
    <w:rsid w:val="002A2E23"/>
    <w:rsid w:val="002B0472"/>
    <w:rsid w:val="002B6B12"/>
    <w:rsid w:val="002C21F0"/>
    <w:rsid w:val="002C4A12"/>
    <w:rsid w:val="002D01DF"/>
    <w:rsid w:val="002E3EB3"/>
    <w:rsid w:val="002E6140"/>
    <w:rsid w:val="002E6985"/>
    <w:rsid w:val="002E71B6"/>
    <w:rsid w:val="002F25D8"/>
    <w:rsid w:val="002F35F6"/>
    <w:rsid w:val="002F47F3"/>
    <w:rsid w:val="002F77C8"/>
    <w:rsid w:val="003028BF"/>
    <w:rsid w:val="00304F22"/>
    <w:rsid w:val="00306C7C"/>
    <w:rsid w:val="00312E3C"/>
    <w:rsid w:val="00314F86"/>
    <w:rsid w:val="00317F4D"/>
    <w:rsid w:val="00322EDD"/>
    <w:rsid w:val="003257CD"/>
    <w:rsid w:val="003309FA"/>
    <w:rsid w:val="00332320"/>
    <w:rsid w:val="00347D72"/>
    <w:rsid w:val="00352DDC"/>
    <w:rsid w:val="00353F45"/>
    <w:rsid w:val="00357459"/>
    <w:rsid w:val="00357611"/>
    <w:rsid w:val="0036432A"/>
    <w:rsid w:val="00364AF9"/>
    <w:rsid w:val="00367237"/>
    <w:rsid w:val="0037077F"/>
    <w:rsid w:val="00372411"/>
    <w:rsid w:val="00373882"/>
    <w:rsid w:val="003843DB"/>
    <w:rsid w:val="00386C99"/>
    <w:rsid w:val="003927EC"/>
    <w:rsid w:val="00393761"/>
    <w:rsid w:val="00394E26"/>
    <w:rsid w:val="00396691"/>
    <w:rsid w:val="00397D18"/>
    <w:rsid w:val="003A1B36"/>
    <w:rsid w:val="003B1454"/>
    <w:rsid w:val="003B18B6"/>
    <w:rsid w:val="003B2616"/>
    <w:rsid w:val="003C161B"/>
    <w:rsid w:val="003C2A92"/>
    <w:rsid w:val="003C59E0"/>
    <w:rsid w:val="003C6C8D"/>
    <w:rsid w:val="003D2656"/>
    <w:rsid w:val="003D4F95"/>
    <w:rsid w:val="003D5F42"/>
    <w:rsid w:val="003D60A9"/>
    <w:rsid w:val="003E76F6"/>
    <w:rsid w:val="003F41DD"/>
    <w:rsid w:val="003F4C97"/>
    <w:rsid w:val="003F666D"/>
    <w:rsid w:val="003F7FE6"/>
    <w:rsid w:val="00400193"/>
    <w:rsid w:val="00416EAF"/>
    <w:rsid w:val="004212E7"/>
    <w:rsid w:val="00423C88"/>
    <w:rsid w:val="0042446D"/>
    <w:rsid w:val="00427BF8"/>
    <w:rsid w:val="00431C02"/>
    <w:rsid w:val="00437395"/>
    <w:rsid w:val="00445047"/>
    <w:rsid w:val="00446749"/>
    <w:rsid w:val="00447637"/>
    <w:rsid w:val="00453EB7"/>
    <w:rsid w:val="00455067"/>
    <w:rsid w:val="00457427"/>
    <w:rsid w:val="0046174B"/>
    <w:rsid w:val="00461CB7"/>
    <w:rsid w:val="00463E39"/>
    <w:rsid w:val="004657FC"/>
    <w:rsid w:val="004733F6"/>
    <w:rsid w:val="00474E69"/>
    <w:rsid w:val="0048227B"/>
    <w:rsid w:val="00483E9F"/>
    <w:rsid w:val="00485A2C"/>
    <w:rsid w:val="0049621B"/>
    <w:rsid w:val="004A1D19"/>
    <w:rsid w:val="004A2A55"/>
    <w:rsid w:val="004C1895"/>
    <w:rsid w:val="004C3FFF"/>
    <w:rsid w:val="004C6D40"/>
    <w:rsid w:val="004D6941"/>
    <w:rsid w:val="004E6AA8"/>
    <w:rsid w:val="004F0C3C"/>
    <w:rsid w:val="004F2280"/>
    <w:rsid w:val="004F23BB"/>
    <w:rsid w:val="004F5F74"/>
    <w:rsid w:val="004F63FC"/>
    <w:rsid w:val="005042EB"/>
    <w:rsid w:val="00505A92"/>
    <w:rsid w:val="00514094"/>
    <w:rsid w:val="005203F1"/>
    <w:rsid w:val="00521BC3"/>
    <w:rsid w:val="00533632"/>
    <w:rsid w:val="00534013"/>
    <w:rsid w:val="00535A5A"/>
    <w:rsid w:val="00540C5C"/>
    <w:rsid w:val="00541E6E"/>
    <w:rsid w:val="0054251F"/>
    <w:rsid w:val="005520D8"/>
    <w:rsid w:val="00555CFB"/>
    <w:rsid w:val="00556C60"/>
    <w:rsid w:val="00556CF1"/>
    <w:rsid w:val="005570D9"/>
    <w:rsid w:val="00572FA7"/>
    <w:rsid w:val="005762A7"/>
    <w:rsid w:val="00584AE0"/>
    <w:rsid w:val="00585F82"/>
    <w:rsid w:val="00587CEE"/>
    <w:rsid w:val="005916D7"/>
    <w:rsid w:val="00592777"/>
    <w:rsid w:val="0059427F"/>
    <w:rsid w:val="005A2538"/>
    <w:rsid w:val="005A698C"/>
    <w:rsid w:val="005A6B50"/>
    <w:rsid w:val="005B6896"/>
    <w:rsid w:val="005C0CAC"/>
    <w:rsid w:val="005C3B80"/>
    <w:rsid w:val="005D062E"/>
    <w:rsid w:val="005E04AD"/>
    <w:rsid w:val="005E0799"/>
    <w:rsid w:val="005E10F9"/>
    <w:rsid w:val="005E1200"/>
    <w:rsid w:val="005E737D"/>
    <w:rsid w:val="005F45EE"/>
    <w:rsid w:val="005F5A80"/>
    <w:rsid w:val="00603F90"/>
    <w:rsid w:val="006044FF"/>
    <w:rsid w:val="00604BF2"/>
    <w:rsid w:val="00607CC5"/>
    <w:rsid w:val="0061179B"/>
    <w:rsid w:val="006125F9"/>
    <w:rsid w:val="00633014"/>
    <w:rsid w:val="0063437B"/>
    <w:rsid w:val="0064017E"/>
    <w:rsid w:val="00642FEE"/>
    <w:rsid w:val="00647056"/>
    <w:rsid w:val="006533D1"/>
    <w:rsid w:val="00654BB6"/>
    <w:rsid w:val="0066126C"/>
    <w:rsid w:val="006673CA"/>
    <w:rsid w:val="0067108B"/>
    <w:rsid w:val="00673C26"/>
    <w:rsid w:val="00674DE5"/>
    <w:rsid w:val="00677ACA"/>
    <w:rsid w:val="006812AF"/>
    <w:rsid w:val="0068327D"/>
    <w:rsid w:val="00691534"/>
    <w:rsid w:val="00693880"/>
    <w:rsid w:val="00694AF0"/>
    <w:rsid w:val="00695261"/>
    <w:rsid w:val="00697E5E"/>
    <w:rsid w:val="006A4686"/>
    <w:rsid w:val="006A5FFA"/>
    <w:rsid w:val="006B0E9E"/>
    <w:rsid w:val="006B486D"/>
    <w:rsid w:val="006B5536"/>
    <w:rsid w:val="006B5AE4"/>
    <w:rsid w:val="006D1507"/>
    <w:rsid w:val="006D4054"/>
    <w:rsid w:val="006E02EC"/>
    <w:rsid w:val="006E3C4F"/>
    <w:rsid w:val="006E6F41"/>
    <w:rsid w:val="006E73E6"/>
    <w:rsid w:val="006E750B"/>
    <w:rsid w:val="006F0C97"/>
    <w:rsid w:val="007135B9"/>
    <w:rsid w:val="00716F34"/>
    <w:rsid w:val="00721168"/>
    <w:rsid w:val="007211B1"/>
    <w:rsid w:val="007277DA"/>
    <w:rsid w:val="00731D27"/>
    <w:rsid w:val="0073501F"/>
    <w:rsid w:val="0074494E"/>
    <w:rsid w:val="00746187"/>
    <w:rsid w:val="007572B7"/>
    <w:rsid w:val="0076254F"/>
    <w:rsid w:val="00766D43"/>
    <w:rsid w:val="007801F5"/>
    <w:rsid w:val="00783CA4"/>
    <w:rsid w:val="007842FB"/>
    <w:rsid w:val="00786124"/>
    <w:rsid w:val="0079514B"/>
    <w:rsid w:val="00795252"/>
    <w:rsid w:val="007A2DC1"/>
    <w:rsid w:val="007B2A12"/>
    <w:rsid w:val="007B3ED5"/>
    <w:rsid w:val="007B53B4"/>
    <w:rsid w:val="007B7F5D"/>
    <w:rsid w:val="007C5801"/>
    <w:rsid w:val="007D0869"/>
    <w:rsid w:val="007D14C4"/>
    <w:rsid w:val="007D3319"/>
    <w:rsid w:val="007D335D"/>
    <w:rsid w:val="007D605C"/>
    <w:rsid w:val="007E1079"/>
    <w:rsid w:val="007E3314"/>
    <w:rsid w:val="007E3514"/>
    <w:rsid w:val="007E4B03"/>
    <w:rsid w:val="007E6F11"/>
    <w:rsid w:val="007F1886"/>
    <w:rsid w:val="007F324B"/>
    <w:rsid w:val="0080553C"/>
    <w:rsid w:val="00805B46"/>
    <w:rsid w:val="00805DB4"/>
    <w:rsid w:val="00813EAB"/>
    <w:rsid w:val="0081603F"/>
    <w:rsid w:val="00823593"/>
    <w:rsid w:val="00825DC2"/>
    <w:rsid w:val="00832607"/>
    <w:rsid w:val="00834AD3"/>
    <w:rsid w:val="00843795"/>
    <w:rsid w:val="00843D04"/>
    <w:rsid w:val="00843E51"/>
    <w:rsid w:val="00847F0F"/>
    <w:rsid w:val="00852448"/>
    <w:rsid w:val="00877F6C"/>
    <w:rsid w:val="00880337"/>
    <w:rsid w:val="00882290"/>
    <w:rsid w:val="0088258A"/>
    <w:rsid w:val="00886332"/>
    <w:rsid w:val="008925F0"/>
    <w:rsid w:val="0089448A"/>
    <w:rsid w:val="008964C3"/>
    <w:rsid w:val="00897877"/>
    <w:rsid w:val="008A22FC"/>
    <w:rsid w:val="008A26D9"/>
    <w:rsid w:val="008A7B5B"/>
    <w:rsid w:val="008B12D2"/>
    <w:rsid w:val="008C0C29"/>
    <w:rsid w:val="008D02DA"/>
    <w:rsid w:val="008D76BC"/>
    <w:rsid w:val="008D7883"/>
    <w:rsid w:val="008E7DBA"/>
    <w:rsid w:val="008F0829"/>
    <w:rsid w:val="008F20EC"/>
    <w:rsid w:val="008F2F09"/>
    <w:rsid w:val="008F3638"/>
    <w:rsid w:val="008F4441"/>
    <w:rsid w:val="008F6B20"/>
    <w:rsid w:val="008F6F31"/>
    <w:rsid w:val="008F74DF"/>
    <w:rsid w:val="008F750A"/>
    <w:rsid w:val="00902274"/>
    <w:rsid w:val="00905B32"/>
    <w:rsid w:val="009127BA"/>
    <w:rsid w:val="00913359"/>
    <w:rsid w:val="00920AAE"/>
    <w:rsid w:val="009227A6"/>
    <w:rsid w:val="009273CC"/>
    <w:rsid w:val="00927D58"/>
    <w:rsid w:val="00932FAD"/>
    <w:rsid w:val="00933EC1"/>
    <w:rsid w:val="00937456"/>
    <w:rsid w:val="009446AD"/>
    <w:rsid w:val="009530DB"/>
    <w:rsid w:val="00953676"/>
    <w:rsid w:val="00956F30"/>
    <w:rsid w:val="009609BE"/>
    <w:rsid w:val="009617E5"/>
    <w:rsid w:val="00966C9A"/>
    <w:rsid w:val="009705EE"/>
    <w:rsid w:val="00977927"/>
    <w:rsid w:val="0098135C"/>
    <w:rsid w:val="0098156A"/>
    <w:rsid w:val="00991BAC"/>
    <w:rsid w:val="009A0272"/>
    <w:rsid w:val="009A6EA0"/>
    <w:rsid w:val="009C1335"/>
    <w:rsid w:val="009C1858"/>
    <w:rsid w:val="009C1AB2"/>
    <w:rsid w:val="009C7251"/>
    <w:rsid w:val="009E2E91"/>
    <w:rsid w:val="00A01B40"/>
    <w:rsid w:val="00A139F5"/>
    <w:rsid w:val="00A13A75"/>
    <w:rsid w:val="00A32B2E"/>
    <w:rsid w:val="00A32E16"/>
    <w:rsid w:val="00A365F4"/>
    <w:rsid w:val="00A454C1"/>
    <w:rsid w:val="00A47D80"/>
    <w:rsid w:val="00A53132"/>
    <w:rsid w:val="00A53B3F"/>
    <w:rsid w:val="00A563F2"/>
    <w:rsid w:val="00A566E8"/>
    <w:rsid w:val="00A66347"/>
    <w:rsid w:val="00A66DB6"/>
    <w:rsid w:val="00A7403A"/>
    <w:rsid w:val="00A810F9"/>
    <w:rsid w:val="00A8293D"/>
    <w:rsid w:val="00A82D31"/>
    <w:rsid w:val="00A85E7E"/>
    <w:rsid w:val="00A86ECC"/>
    <w:rsid w:val="00A86FCC"/>
    <w:rsid w:val="00A90A6D"/>
    <w:rsid w:val="00A971E5"/>
    <w:rsid w:val="00AA710D"/>
    <w:rsid w:val="00AB21F7"/>
    <w:rsid w:val="00AB64F3"/>
    <w:rsid w:val="00AB6D25"/>
    <w:rsid w:val="00AD0E56"/>
    <w:rsid w:val="00AD56A0"/>
    <w:rsid w:val="00AD7D81"/>
    <w:rsid w:val="00AE229B"/>
    <w:rsid w:val="00AE2D4B"/>
    <w:rsid w:val="00AE4F99"/>
    <w:rsid w:val="00AF1303"/>
    <w:rsid w:val="00B11B69"/>
    <w:rsid w:val="00B12CC3"/>
    <w:rsid w:val="00B14952"/>
    <w:rsid w:val="00B16871"/>
    <w:rsid w:val="00B25B45"/>
    <w:rsid w:val="00B31E5A"/>
    <w:rsid w:val="00B4712B"/>
    <w:rsid w:val="00B47359"/>
    <w:rsid w:val="00B52FD5"/>
    <w:rsid w:val="00B534EB"/>
    <w:rsid w:val="00B653AB"/>
    <w:rsid w:val="00B65F9E"/>
    <w:rsid w:val="00B66B19"/>
    <w:rsid w:val="00B70B77"/>
    <w:rsid w:val="00B914E9"/>
    <w:rsid w:val="00B956EE"/>
    <w:rsid w:val="00B95DE9"/>
    <w:rsid w:val="00B97AAF"/>
    <w:rsid w:val="00BA2BA1"/>
    <w:rsid w:val="00BA2BA7"/>
    <w:rsid w:val="00BA3447"/>
    <w:rsid w:val="00BA3562"/>
    <w:rsid w:val="00BB4F09"/>
    <w:rsid w:val="00BB64DC"/>
    <w:rsid w:val="00BC0EDF"/>
    <w:rsid w:val="00BC2D48"/>
    <w:rsid w:val="00BC58FA"/>
    <w:rsid w:val="00BC6A76"/>
    <w:rsid w:val="00BD4E33"/>
    <w:rsid w:val="00BF113A"/>
    <w:rsid w:val="00BF27EA"/>
    <w:rsid w:val="00C030DE"/>
    <w:rsid w:val="00C051A8"/>
    <w:rsid w:val="00C1277F"/>
    <w:rsid w:val="00C22105"/>
    <w:rsid w:val="00C244B6"/>
    <w:rsid w:val="00C27BF1"/>
    <w:rsid w:val="00C34769"/>
    <w:rsid w:val="00C3702F"/>
    <w:rsid w:val="00C4500A"/>
    <w:rsid w:val="00C55F89"/>
    <w:rsid w:val="00C613F9"/>
    <w:rsid w:val="00C62238"/>
    <w:rsid w:val="00C64A37"/>
    <w:rsid w:val="00C7158E"/>
    <w:rsid w:val="00C7250B"/>
    <w:rsid w:val="00C7346B"/>
    <w:rsid w:val="00C7351A"/>
    <w:rsid w:val="00C757B4"/>
    <w:rsid w:val="00C77C0E"/>
    <w:rsid w:val="00C865B1"/>
    <w:rsid w:val="00C91687"/>
    <w:rsid w:val="00C924A8"/>
    <w:rsid w:val="00C945FE"/>
    <w:rsid w:val="00C96FAA"/>
    <w:rsid w:val="00C97A04"/>
    <w:rsid w:val="00C97AC2"/>
    <w:rsid w:val="00CA107B"/>
    <w:rsid w:val="00CA484D"/>
    <w:rsid w:val="00CA4FB6"/>
    <w:rsid w:val="00CB2F90"/>
    <w:rsid w:val="00CB6AD4"/>
    <w:rsid w:val="00CC739E"/>
    <w:rsid w:val="00CD1EBB"/>
    <w:rsid w:val="00CD28CF"/>
    <w:rsid w:val="00CD58B7"/>
    <w:rsid w:val="00CD7967"/>
    <w:rsid w:val="00CF18EE"/>
    <w:rsid w:val="00CF30BD"/>
    <w:rsid w:val="00CF4099"/>
    <w:rsid w:val="00CF4DAB"/>
    <w:rsid w:val="00D00796"/>
    <w:rsid w:val="00D17351"/>
    <w:rsid w:val="00D24596"/>
    <w:rsid w:val="00D25707"/>
    <w:rsid w:val="00D260BE"/>
    <w:rsid w:val="00D261A2"/>
    <w:rsid w:val="00D31751"/>
    <w:rsid w:val="00D404BC"/>
    <w:rsid w:val="00D575DF"/>
    <w:rsid w:val="00D616D2"/>
    <w:rsid w:val="00D63B5F"/>
    <w:rsid w:val="00D70EF7"/>
    <w:rsid w:val="00D74615"/>
    <w:rsid w:val="00D81614"/>
    <w:rsid w:val="00D8397C"/>
    <w:rsid w:val="00D857EC"/>
    <w:rsid w:val="00D86D78"/>
    <w:rsid w:val="00D94EED"/>
    <w:rsid w:val="00D96026"/>
    <w:rsid w:val="00D972F6"/>
    <w:rsid w:val="00DA331D"/>
    <w:rsid w:val="00DA7C1C"/>
    <w:rsid w:val="00DB147A"/>
    <w:rsid w:val="00DB1B7A"/>
    <w:rsid w:val="00DB706E"/>
    <w:rsid w:val="00DC6708"/>
    <w:rsid w:val="00DD011A"/>
    <w:rsid w:val="00DD4846"/>
    <w:rsid w:val="00DE2400"/>
    <w:rsid w:val="00DE58F1"/>
    <w:rsid w:val="00DE6B58"/>
    <w:rsid w:val="00DF5E32"/>
    <w:rsid w:val="00E01436"/>
    <w:rsid w:val="00E03E79"/>
    <w:rsid w:val="00E045BD"/>
    <w:rsid w:val="00E04D6C"/>
    <w:rsid w:val="00E153C5"/>
    <w:rsid w:val="00E17B77"/>
    <w:rsid w:val="00E231AB"/>
    <w:rsid w:val="00E23337"/>
    <w:rsid w:val="00E259EA"/>
    <w:rsid w:val="00E25D33"/>
    <w:rsid w:val="00E27412"/>
    <w:rsid w:val="00E32061"/>
    <w:rsid w:val="00E32AFF"/>
    <w:rsid w:val="00E33232"/>
    <w:rsid w:val="00E33F48"/>
    <w:rsid w:val="00E4182B"/>
    <w:rsid w:val="00E42FF9"/>
    <w:rsid w:val="00E44790"/>
    <w:rsid w:val="00E4714C"/>
    <w:rsid w:val="00E5178D"/>
    <w:rsid w:val="00E51AEB"/>
    <w:rsid w:val="00E522A7"/>
    <w:rsid w:val="00E5349E"/>
    <w:rsid w:val="00E54452"/>
    <w:rsid w:val="00E63B0C"/>
    <w:rsid w:val="00E664C5"/>
    <w:rsid w:val="00E671A2"/>
    <w:rsid w:val="00E76D26"/>
    <w:rsid w:val="00E76EE5"/>
    <w:rsid w:val="00E83234"/>
    <w:rsid w:val="00E84427"/>
    <w:rsid w:val="00E95B8E"/>
    <w:rsid w:val="00EB1390"/>
    <w:rsid w:val="00EB2C71"/>
    <w:rsid w:val="00EB3333"/>
    <w:rsid w:val="00EB4340"/>
    <w:rsid w:val="00EB556D"/>
    <w:rsid w:val="00EB5A7D"/>
    <w:rsid w:val="00EB7309"/>
    <w:rsid w:val="00EC537A"/>
    <w:rsid w:val="00ED55C0"/>
    <w:rsid w:val="00ED682B"/>
    <w:rsid w:val="00EE41D5"/>
    <w:rsid w:val="00F0166F"/>
    <w:rsid w:val="00F037A4"/>
    <w:rsid w:val="00F049AB"/>
    <w:rsid w:val="00F142DB"/>
    <w:rsid w:val="00F27C8F"/>
    <w:rsid w:val="00F32749"/>
    <w:rsid w:val="00F33074"/>
    <w:rsid w:val="00F35DB7"/>
    <w:rsid w:val="00F37172"/>
    <w:rsid w:val="00F4477E"/>
    <w:rsid w:val="00F46269"/>
    <w:rsid w:val="00F60BA8"/>
    <w:rsid w:val="00F67D8F"/>
    <w:rsid w:val="00F70174"/>
    <w:rsid w:val="00F802BE"/>
    <w:rsid w:val="00F80E93"/>
    <w:rsid w:val="00F86024"/>
    <w:rsid w:val="00F8611A"/>
    <w:rsid w:val="00FA5128"/>
    <w:rsid w:val="00FB42D4"/>
    <w:rsid w:val="00FB5906"/>
    <w:rsid w:val="00FB762F"/>
    <w:rsid w:val="00FC2AED"/>
    <w:rsid w:val="00FC30F4"/>
    <w:rsid w:val="00FD5EA7"/>
    <w:rsid w:val="00FE36CF"/>
    <w:rsid w:val="00FF01A5"/>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CB6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table" w:customStyle="1" w:styleId="Tabela-Siatka1">
    <w:name w:val="Tabela - Siatka1"/>
    <w:basedOn w:val="Standardowy"/>
    <w:next w:val="Tabela-Siatka"/>
    <w:uiPriority w:val="39"/>
    <w:rsid w:val="007F1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hyperlink" Target="https://stat.gov.pl/metainformacje/slownik-pojec/pojecia-stosowane-w-statystyce-publicznej/3555,pojecie.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hyperlink" Target="https://sdg.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24" Type="http://schemas.openxmlformats.org/officeDocument/2006/relationships/image" Target="media/image12.png"/><Relationship Id="rId32" Type="http://schemas.openxmlformats.org/officeDocument/2006/relationships/hyperlink" Target="http://stat.gov.pl/metainformacje/slownik-pojec/pojecia-stosowane-w-statystyce-publicznej/3013,pojecie.htm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c.europa.eu/eurostat/data/classifications" TargetMode="External"/><Relationship Id="rId23" Type="http://schemas.openxmlformats.org/officeDocument/2006/relationships/image" Target="media/image11.png"/><Relationship Id="rId28" Type="http://schemas.openxmlformats.org/officeDocument/2006/relationships/hyperlink" Target="http://swaid.stat.gov.pl/SitePagesDBW/RynekPracy.aspx"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stat.gov.pl/metainformacje/slownik-pojec/pojecia-stosowane-w-statystyce-publicznej/3012,pojeci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0.png"/><Relationship Id="rId27" Type="http://schemas.openxmlformats.org/officeDocument/2006/relationships/hyperlink" Target="http://stat.gov.pl/obszary-tematyczne/rynek-pracy/" TargetMode="External"/><Relationship Id="rId30" Type="http://schemas.openxmlformats.org/officeDocument/2006/relationships/hyperlink" Target="https://stat.gov.pl/metainformacje/slownik-pojec/pojecia-stosowane-w-statystyce-publicznej/3011,pojecie.html"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News releases_The demand for labour in the fourth quarter of 2021.docx.docx</NazwaPliku>
    <_SourceUrl xmlns="http://schemas.microsoft.com/sharepoint/v3" xsi:nil="true"/>
    <Odbiorcy2 xmlns="8C029B3F-2CC4-4A59-AF0D-A90575FA3373" xsi:nil="true"/>
    <xd_ProgID xmlns="http://schemas.microsoft.com/sharepoint/v3" xsi:nil="true"/>
    <Osoba xmlns="8C029B3F-2CC4-4A59-AF0D-A90575FA3373">STAT\OLSZEWSKAK</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A8245FE0-1FCF-490D-B694-FAEF58CEE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C2EF6-B5BC-41E3-9C3D-4567FE34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12900</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 in the fourth quarter of 2021</dc:title>
  <dc:subject>The demand for labour</dc:subject>
  <dc:creator>Statistics Poland</dc:creator>
  <cp:keywords/>
  <dc:description/>
  <cp:lastPrinted>2022-03-07T12:21:00Z</cp:lastPrinted>
  <dcterms:created xsi:type="dcterms:W3CDTF">2022-03-08T11:38:00Z</dcterms:created>
  <dcterms:modified xsi:type="dcterms:W3CDTF">2022-03-08T11:38:00Z</dcterms:modified>
  <cp:category>Demand for labor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