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style10.xml" ContentType="application/vnd.ms-office.chartstyle+xml"/>
  <Override PartName="/word/theme/theme1.xml" ContentType="application/vnd.openxmlformats-officedocument.theme+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10.xml" ContentType="application/vnd.openxmlformats-officedocument.drawingml.chart+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3.xml" ContentType="application/vnd.openxmlformats-officedocument.drawingml.chart+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5.xml" ContentType="application/vnd.ms-office.chartcolorstyle+xml"/>
  <Override PartName="/word/charts/style4.xml" ContentType="application/vnd.ms-office.chart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6.xml" ContentType="application/vnd.ms-office.chartcolorstyle+xml"/>
  <Override PartName="/word/charts/colors7.xml" ContentType="application/vnd.ms-office.chartcolorstyle+xml"/>
  <Override PartName="/word/charts/style7.xml" ContentType="application/vnd.ms-office.chartstyle+xml"/>
  <Override PartName="/word/charts/chart7.xml" ContentType="application/vnd.openxmlformats-officedocument.drawingml.chart+xml"/>
  <Override PartName="/word/charts/style6.xml" ContentType="application/vnd.ms-office.chartstyle+xml"/>
  <Override PartName="/word/charts/chart6.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E925F9">
        <w:rPr>
          <w:lang w:val="en-GB"/>
        </w:rPr>
        <w:t>May</w:t>
      </w:r>
      <w:r w:rsidR="00530E37" w:rsidRPr="00E71AE6">
        <w:rPr>
          <w:lang w:val="en-GB"/>
        </w:rPr>
        <w:t xml:space="preserve"> 2022</w:t>
      </w:r>
    </w:p>
    <w:p w:rsidR="0098135C"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w:t>
      </w:r>
      <w:r w:rsidR="00FE4F3B">
        <w:rPr>
          <w:sz w:val="32"/>
          <w:szCs w:val="32"/>
          <w:lang w:val="en-GB"/>
        </w:rPr>
        <w:t xml:space="preserve">and war in Ukraine </w:t>
      </w:r>
      <w:r w:rsidR="0021378D" w:rsidRPr="00D17623">
        <w:rPr>
          <w:sz w:val="32"/>
          <w:szCs w:val="32"/>
          <w:lang w:val="en-GB"/>
        </w:rPr>
        <w:t>on </w:t>
      </w:r>
      <w:r w:rsidR="00374D34" w:rsidRPr="00D17623">
        <w:rPr>
          <w:sz w:val="32"/>
          <w:szCs w:val="32"/>
          <w:lang w:val="en-GB"/>
        </w:rPr>
        <w:t>business tendency –</w:t>
      </w:r>
      <w:r w:rsidR="00FE4F3B">
        <w:rPr>
          <w:sz w:val="32"/>
          <w:szCs w:val="32"/>
          <w:lang w:val="en-GB"/>
        </w:rPr>
        <w:t xml:space="preserve"> </w:t>
      </w: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1F69F1" w:rsidRPr="001F69F1">
        <w:rPr>
          <w:sz w:val="32"/>
          <w:szCs w:val="32"/>
          <w:lang w:val="en-GB"/>
        </w:rPr>
        <w:t xml:space="preserve"> </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4D5FCA" w:rsidRPr="00B17BDC" w:rsidRDefault="004D5FC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4D5FCA" w:rsidRPr="00B17BDC" w:rsidRDefault="004D5FCA"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1067C8" w:rsidP="00E71AE6">
      <w:pPr>
        <w:pStyle w:val="LID"/>
        <w:spacing w:before="360" w:after="120"/>
        <w:rPr>
          <w:noProof w:val="0"/>
          <w:lang w:val="en-GB"/>
        </w:rPr>
      </w:pPr>
      <w:r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4C3"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align>left</wp:align>
                </wp:positionH>
                <wp:positionV relativeFrom="paragraph">
                  <wp:posOffset>102870</wp:posOffset>
                </wp:positionV>
                <wp:extent cx="2204085" cy="1059815"/>
                <wp:effectExtent l="0" t="0" r="5715" b="6985"/>
                <wp:wrapSquare wrapText="bothSides"/>
                <wp:docPr id="40" name="Pole tekstowe 2" descr="-9.6&#10;general business climate indicator in manufacturing is at a higher level than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4D5FCA" w:rsidRPr="00544C35" w:rsidRDefault="004D5FC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9.6</w:t>
                            </w:r>
                          </w:p>
                          <w:p w:rsidR="004D5FCA" w:rsidRPr="00544C35" w:rsidRDefault="004D5FCA" w:rsidP="00510617">
                            <w:pPr>
                              <w:pStyle w:val="Opiswskanika"/>
                              <w:rPr>
                                <w:sz w:val="18"/>
                                <w:szCs w:val="20"/>
                                <w:lang w:val="en-US"/>
                              </w:rPr>
                            </w:pPr>
                            <w:r w:rsidRPr="00544C35">
                              <w:rPr>
                                <w:lang w:val="en-US"/>
                              </w:rPr>
                              <w:t>General business climate indicator for manufacturing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9.6&#10;general business climate indicator in manufacturing is at a higher level than the one reported last month" style="position:absolute;margin-left:0;margin-top:8.1pt;width:173.55pt;height:83.45pt;z-index:253178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" fillcolor="#001d77" stroked="f">
                <v:stroke joinstyle="miter"/>
                <v:textbox>
                  <w:txbxContent>
                    <w:p w:rsidR="004D5FCA" w:rsidRPr="00544C35" w:rsidRDefault="004D5FCA"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1"/>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Pr>
                          <w:rStyle w:val="WartowskanikaZnak"/>
                          <w:lang w:val="en-US"/>
                        </w:rPr>
                        <w:t>9.6</w:t>
                      </w:r>
                    </w:p>
                    <w:p w:rsidR="004D5FCA" w:rsidRPr="00544C35" w:rsidRDefault="004D5FCA" w:rsidP="00510617">
                      <w:pPr>
                        <w:pStyle w:val="Opiswskanika"/>
                        <w:rPr>
                          <w:sz w:val="18"/>
                          <w:szCs w:val="20"/>
                          <w:lang w:val="en-US"/>
                        </w:rPr>
                      </w:pPr>
                      <w:r w:rsidRPr="00544C35">
                        <w:rPr>
                          <w:lang w:val="en-US"/>
                        </w:rPr>
                        <w:t>General business climate indicator for manufacturing (NSA)</w:t>
                      </w:r>
                    </w:p>
                  </w:txbxContent>
                </v:textbox>
                <w10:wrap type="square" anchorx="margin"/>
              </v:roundrect>
            </w:pict>
          </mc:Fallback>
        </mc:AlternateContent>
      </w:r>
      <w:r w:rsidR="00667B73" w:rsidRPr="00D17623">
        <w:rPr>
          <w:noProof w:val="0"/>
          <w:lang w:val="en-GB"/>
        </w:rPr>
        <w:t xml:space="preserve">In </w:t>
      </w:r>
      <w:r w:rsidR="00095FED">
        <w:rPr>
          <w:noProof w:val="0"/>
          <w:lang w:val="en-GB"/>
        </w:rPr>
        <w:t>all</w:t>
      </w:r>
      <w:r w:rsidR="00667B73" w:rsidRPr="00D17623">
        <w:rPr>
          <w:noProof w:val="0"/>
          <w:lang w:val="en-GB"/>
        </w:rPr>
        <w:t xml:space="preserve">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E925F9">
        <w:rPr>
          <w:noProof w:val="0"/>
          <w:lang w:val="en-GB"/>
        </w:rPr>
        <w:t>May</w:t>
      </w:r>
      <w:r w:rsidR="008857A4" w:rsidRPr="00D17623">
        <w:rPr>
          <w:noProof w:val="0"/>
          <w:lang w:val="en-GB"/>
        </w:rPr>
        <w:t xml:space="preserve"> </w:t>
      </w:r>
      <w:r w:rsidR="00912467" w:rsidRPr="00D17623">
        <w:rPr>
          <w:noProof w:val="0"/>
          <w:lang w:val="en-GB"/>
        </w:rPr>
        <w:t xml:space="preserve">is </w:t>
      </w:r>
      <w:r w:rsidR="00FA0A66">
        <w:rPr>
          <w:noProof w:val="0"/>
          <w:lang w:val="en-GB"/>
        </w:rPr>
        <w:t xml:space="preserve">at </w:t>
      </w:r>
      <w:r w:rsidR="00882E6D">
        <w:rPr>
          <w:noProof w:val="0"/>
          <w:lang w:val="en-GB"/>
        </w:rPr>
        <w:t xml:space="preserve">a </w:t>
      </w:r>
      <w:r w:rsidR="003F370F">
        <w:rPr>
          <w:noProof w:val="0"/>
          <w:lang w:val="en-GB"/>
        </w:rPr>
        <w:t>higher</w:t>
      </w:r>
      <w:r w:rsidR="00A243A9">
        <w:rPr>
          <w:noProof w:val="0"/>
          <w:lang w:val="en-GB"/>
        </w:rPr>
        <w:t xml:space="preserve"> or similar</w:t>
      </w:r>
      <w:r w:rsidR="00667B73" w:rsidRPr="00D17623">
        <w:rPr>
          <w:noProof w:val="0"/>
          <w:lang w:val="en-GB"/>
        </w:rPr>
        <w:t xml:space="preserve"> </w:t>
      </w:r>
      <w:r w:rsidR="00391B65">
        <w:rPr>
          <w:noProof w:val="0"/>
          <w:lang w:val="en-GB"/>
        </w:rPr>
        <w:t xml:space="preserve">level </w:t>
      </w:r>
      <w:r w:rsidR="00A243A9">
        <w:rPr>
          <w:noProof w:val="0"/>
          <w:lang w:val="en-GB"/>
        </w:rPr>
        <w:t>as compared to</w:t>
      </w:r>
      <w:r w:rsidR="00C159B4" w:rsidRPr="00D17623">
        <w:rPr>
          <w:noProof w:val="0"/>
          <w:lang w:val="en-GB"/>
        </w:rPr>
        <w:t xml:space="preserve"> the previous month. </w:t>
      </w:r>
      <w:r w:rsidR="004F2061" w:rsidRPr="00D17623">
        <w:rPr>
          <w:noProof w:val="0"/>
          <w:lang w:val="en-GB"/>
        </w:rPr>
        <w:t xml:space="preserve">In </w:t>
      </w:r>
      <w:r w:rsidR="00B72095">
        <w:rPr>
          <w:noProof w:val="0"/>
          <w:lang w:val="en-GB"/>
        </w:rPr>
        <w:t>most</w:t>
      </w:r>
      <w:r w:rsidR="0074156C">
        <w:rPr>
          <w:noProof w:val="0"/>
          <w:lang w:val="en-GB"/>
        </w:rPr>
        <w:t xml:space="preserve"> </w:t>
      </w:r>
      <w:r w:rsidR="004F2061" w:rsidRPr="00D17623">
        <w:rPr>
          <w:noProof w:val="0"/>
          <w:lang w:val="en-GB"/>
        </w:rPr>
        <w:t xml:space="preserve">of researched areas </w:t>
      </w:r>
      <w:r w:rsidR="0074156C" w:rsidRPr="00D17623">
        <w:rPr>
          <w:noProof w:val="0"/>
          <w:lang w:val="en-GB"/>
        </w:rPr>
        <w:t>“</w:t>
      </w:r>
      <w:r w:rsidR="00B425E9">
        <w:rPr>
          <w:noProof w:val="0"/>
          <w:lang w:val="en-GB"/>
        </w:rPr>
        <w:t>forecast</w:t>
      </w:r>
      <w:r w:rsidR="0074156C" w:rsidRPr="00D17623">
        <w:rPr>
          <w:noProof w:val="0"/>
          <w:lang w:val="en-GB"/>
        </w:rPr>
        <w:t>”</w:t>
      </w:r>
      <w:r w:rsidR="0074156C">
        <w:rPr>
          <w:noProof w:val="0"/>
          <w:lang w:val="en-GB"/>
        </w:rPr>
        <w:t xml:space="preserve"> </w:t>
      </w:r>
      <w:r w:rsidR="00912409" w:rsidRPr="00D17623">
        <w:rPr>
          <w:noProof w:val="0"/>
          <w:lang w:val="en-GB"/>
        </w:rPr>
        <w:t xml:space="preserve">components </w:t>
      </w:r>
      <w:r w:rsidR="000978F0">
        <w:rPr>
          <w:noProof w:val="0"/>
          <w:lang w:val="en-GB"/>
        </w:rPr>
        <w:t>improve</w:t>
      </w:r>
      <w:r w:rsidR="00A42E86">
        <w:rPr>
          <w:noProof w:val="0"/>
          <w:lang w:val="en-GB"/>
        </w:rPr>
        <w:t>, whereas “</w:t>
      </w:r>
      <w:r w:rsidR="00B425E9">
        <w:rPr>
          <w:noProof w:val="0"/>
          <w:lang w:val="en-GB"/>
        </w:rPr>
        <w:t>diagnostic</w:t>
      </w:r>
      <w:r w:rsidR="00A42E86">
        <w:rPr>
          <w:noProof w:val="0"/>
          <w:lang w:val="en-GB"/>
        </w:rPr>
        <w:t xml:space="preserve">” ones </w:t>
      </w:r>
      <w:r w:rsidR="000978F0">
        <w:rPr>
          <w:noProof w:val="0"/>
          <w:lang w:val="en-GB"/>
        </w:rPr>
        <w:t>increase</w:t>
      </w:r>
      <w:r w:rsidR="00EC1F7E">
        <w:rPr>
          <w:noProof w:val="0"/>
          <w:lang w:val="en-GB"/>
        </w:rPr>
        <w:t xml:space="preserve"> or </w:t>
      </w:r>
      <w:r w:rsidR="00A42E86">
        <w:rPr>
          <w:noProof w:val="0"/>
          <w:lang w:val="en-GB"/>
        </w:rPr>
        <w:t>do not change</w:t>
      </w:r>
      <w:r w:rsidR="004F2061" w:rsidRPr="00D17623">
        <w:rPr>
          <w:noProof w:val="0"/>
          <w:lang w:val="en-GB"/>
        </w:rPr>
        <w:t xml:space="preserve">. </w:t>
      </w:r>
    </w:p>
    <w:p w:rsidR="00A22F17" w:rsidRPr="00D17623" w:rsidRDefault="00884578" w:rsidP="00E71AE6">
      <w:pPr>
        <w:pStyle w:val="LID"/>
        <w:spacing w:after="120"/>
        <w:rPr>
          <w:noProof w:val="0"/>
          <w:lang w:val="en-GB"/>
        </w:rPr>
      </w:pPr>
      <w:r w:rsidRPr="00D17623">
        <w:rPr>
          <w:noProof w:val="0"/>
          <w:lang w:val="en-GB"/>
        </w:rPr>
        <w:t>T</w:t>
      </w:r>
      <w:r w:rsidR="00A22F17" w:rsidRPr="00D17623">
        <w:rPr>
          <w:noProof w:val="0"/>
          <w:lang w:val="en-GB"/>
        </w:rPr>
        <w:t xml:space="preserve">he </w:t>
      </w:r>
      <w:r w:rsidR="00DB4AE9">
        <w:rPr>
          <w:noProof w:val="0"/>
          <w:lang w:val="en-GB"/>
        </w:rPr>
        <w:t xml:space="preserve">most </w:t>
      </w:r>
      <w:r w:rsidR="008851C8" w:rsidRPr="00D17623">
        <w:rPr>
          <w:noProof w:val="0"/>
          <w:lang w:val="en-GB"/>
        </w:rPr>
        <w:t>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3F7FD6">
        <w:rPr>
          <w:noProof w:val="0"/>
          <w:lang w:val="en-GB"/>
        </w:rPr>
        <w:t>noted</w:t>
      </w:r>
      <w:r w:rsidRPr="00D17623">
        <w:rPr>
          <w:noProof w:val="0"/>
          <w:lang w:val="en-GB"/>
        </w:rPr>
        <w:t xml:space="preserve"> </w:t>
      </w:r>
      <w:r w:rsidR="003F7FD6">
        <w:rPr>
          <w:noProof w:val="0"/>
          <w:lang w:val="en-GB"/>
        </w:rPr>
        <w:t>by</w:t>
      </w:r>
      <w:r w:rsidRPr="00D17623">
        <w:rPr>
          <w:noProof w:val="0"/>
          <w:lang w:val="en-GB"/>
        </w:rPr>
        <w:t xml:space="preserve"> </w:t>
      </w:r>
      <w:r w:rsidR="002B3910">
        <w:rPr>
          <w:noProof w:val="0"/>
          <w:lang w:val="en-GB"/>
        </w:rPr>
        <w:t>two sections –</w:t>
      </w:r>
      <w:r w:rsidR="00B72095" w:rsidRPr="00B72095">
        <w:rPr>
          <w:noProof w:val="0"/>
          <w:lang w:val="en-GB"/>
        </w:rPr>
        <w:t xml:space="preserve"> </w:t>
      </w:r>
      <w:r w:rsidR="00B72095">
        <w:rPr>
          <w:noProof w:val="0"/>
          <w:lang w:val="en-GB"/>
        </w:rPr>
        <w:t>f</w:t>
      </w:r>
      <w:r w:rsidR="00B72095" w:rsidRPr="002B3910">
        <w:rPr>
          <w:noProof w:val="0"/>
          <w:lang w:val="en-GB"/>
        </w:rPr>
        <w:t>inancial and insurance activities</w:t>
      </w:r>
      <w:r w:rsidR="00B72095" w:rsidRPr="00B72095">
        <w:rPr>
          <w:noProof w:val="0"/>
          <w:lang w:val="en-GB"/>
        </w:rPr>
        <w:t xml:space="preserve"> </w:t>
      </w:r>
      <w:r w:rsidR="002B3910">
        <w:rPr>
          <w:noProof w:val="0"/>
          <w:lang w:val="en-GB"/>
        </w:rPr>
        <w:t>as well as</w:t>
      </w:r>
      <w:r w:rsidR="00DB4AE9" w:rsidRPr="00DB4AE9">
        <w:rPr>
          <w:noProof w:val="0"/>
          <w:lang w:val="en-GB"/>
        </w:rPr>
        <w:t xml:space="preserve"> </w:t>
      </w:r>
      <w:r w:rsidR="00B72095" w:rsidRPr="00D17623">
        <w:rPr>
          <w:noProof w:val="0"/>
          <w:lang w:val="en-GB"/>
        </w:rPr>
        <w:t>information and communication</w:t>
      </w:r>
      <w:r w:rsidR="008851C8" w:rsidRPr="00D17623">
        <w:rPr>
          <w:noProof w:val="0"/>
          <w:lang w:val="en-GB"/>
        </w:rPr>
        <w:t xml:space="preserve">, </w:t>
      </w:r>
      <w:r w:rsidR="00187715">
        <w:rPr>
          <w:noProof w:val="0"/>
          <w:lang w:val="en-GB"/>
        </w:rPr>
        <w:t>while</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 xml:space="preserve">one </w:t>
      </w:r>
      <w:r w:rsidR="00C71A49">
        <w:rPr>
          <w:noProof w:val="0"/>
          <w:lang w:val="en-GB"/>
        </w:rPr>
        <w:t>by</w:t>
      </w:r>
      <w:r w:rsidR="002B3910">
        <w:rPr>
          <w:noProof w:val="0"/>
          <w:lang w:val="en-GB"/>
        </w:rPr>
        <w:t xml:space="preserve"> </w:t>
      </w:r>
      <w:r w:rsidR="00360B4D">
        <w:rPr>
          <w:noProof w:val="0"/>
          <w:lang w:val="en-GB"/>
        </w:rPr>
        <w:t>entities representing</w:t>
      </w:r>
      <w:r w:rsidR="002B3910">
        <w:rPr>
          <w:noProof w:val="0"/>
          <w:lang w:val="en-GB"/>
        </w:rPr>
        <w:t xml:space="preserve"> </w:t>
      </w:r>
      <w:r w:rsidR="005A0F86">
        <w:rPr>
          <w:noProof w:val="0"/>
          <w:lang w:val="en-GB"/>
        </w:rPr>
        <w:t>construction</w:t>
      </w:r>
      <w:r w:rsidR="00054779">
        <w:rPr>
          <w:noProof w:val="0"/>
          <w:lang w:val="en-GB"/>
        </w:rPr>
        <w:t xml:space="preserve"> section</w:t>
      </w:r>
      <w:r w:rsidR="008A3E82" w:rsidRPr="00D17623">
        <w:rPr>
          <w:noProof w:val="0"/>
          <w:lang w:val="en-GB"/>
        </w:rPr>
        <w:t xml:space="preserve">. </w:t>
      </w:r>
    </w:p>
    <w:p w:rsidR="002B499E" w:rsidRPr="00E40333" w:rsidRDefault="00BD409C" w:rsidP="00E71AE6">
      <w:pPr>
        <w:pStyle w:val="LID"/>
        <w:spacing w:after="120"/>
        <w:rPr>
          <w:noProof w:val="0"/>
          <w:lang w:val="en-US"/>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COVID-19 pandemic </w:t>
      </w:r>
      <w:r w:rsidR="00280C6F">
        <w:rPr>
          <w:noProof w:val="0"/>
          <w:lang w:val="en-GB"/>
        </w:rPr>
        <w:t xml:space="preserve">and war in Ukraine </w:t>
      </w:r>
      <w:r w:rsidRPr="00D17623">
        <w:rPr>
          <w:noProof w:val="0"/>
          <w:lang w:val="en-GB"/>
        </w:rPr>
        <w:t>on business tendency</w:t>
      </w:r>
      <w:r w:rsidR="006B6F94" w:rsidRPr="00D17623">
        <w:rPr>
          <w:noProof w:val="0"/>
          <w:lang w:val="en-GB"/>
        </w:rPr>
        <w:t xml:space="preserve"> (results in Annex)</w:t>
      </w:r>
      <w:r w:rsidRPr="00D17623">
        <w:rPr>
          <w:noProof w:val="0"/>
          <w:lang w:val="en-GB"/>
        </w:rPr>
        <w:t>.</w:t>
      </w:r>
      <w:r w:rsidR="000B51A7" w:rsidRPr="000B51A7">
        <w:rPr>
          <w:b w:val="0"/>
          <w:lang w:val="en-GB"/>
        </w:rPr>
        <w:t xml:space="preserve"> </w:t>
      </w:r>
    </w:p>
    <w:p w:rsidR="00E011CF" w:rsidRPr="00E71AE6" w:rsidRDefault="00E011CF" w:rsidP="00E011CF">
      <w:pPr>
        <w:pStyle w:val="Nagwek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E81C6F" w:rsidRPr="00E71AE6" w:rsidRDefault="00054273" w:rsidP="00E71AE6">
      <w:pPr>
        <w:spacing w:before="240" w:after="120"/>
        <w:ind w:left="1134"/>
        <w:rPr>
          <w:rFonts w:ascii="Fira Sans" w:hAnsi="Fira Sans"/>
          <w:strike/>
          <w:sz w:val="19"/>
          <w:szCs w:val="19"/>
          <w:lang w:val="en-GB"/>
        </w:rPr>
      </w:pPr>
      <w:r>
        <w:rPr>
          <w:noProof/>
          <w:lang w:eastAsia="pl-PL"/>
        </w:rPr>
        <w:drawing>
          <wp:anchor distT="0" distB="0" distL="114300" distR="114300" simplePos="0" relativeHeight="253285376" behindDoc="0" locked="0" layoutInCell="1" allowOverlap="1">
            <wp:simplePos x="0" y="0"/>
            <wp:positionH relativeFrom="column">
              <wp:posOffset>5299406</wp:posOffset>
            </wp:positionH>
            <wp:positionV relativeFrom="paragraph">
              <wp:posOffset>312862</wp:posOffset>
            </wp:positionV>
            <wp:extent cx="1541780" cy="1843405"/>
            <wp:effectExtent l="0" t="0" r="1270" b="4445"/>
            <wp:wrapSquare wrapText="bothSides"/>
            <wp:docPr id="1" name="Wykres 1"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931D780-6F97-42AE-980E-BAD9AA2C77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lang w:eastAsia="pl-PL"/>
        </w:rPr>
        <mc:AlternateContent>
          <mc:Choice Requires="wpg">
            <w:drawing>
              <wp:anchor distT="0" distB="0" distL="114300" distR="114300" simplePos="0" relativeHeight="253284352" behindDoc="0" locked="0" layoutInCell="1" allowOverlap="1" wp14:anchorId="78B1A0B6" wp14:editId="3AD77C66">
                <wp:simplePos x="0" y="0"/>
                <wp:positionH relativeFrom="column">
                  <wp:posOffset>3866</wp:posOffset>
                </wp:positionH>
                <wp:positionV relativeFrom="paragraph">
                  <wp:posOffset>487183</wp:posOffset>
                </wp:positionV>
                <wp:extent cx="4981575" cy="1654175"/>
                <wp:effectExtent l="0" t="0" r="0" b="0"/>
                <wp:wrapSquare wrapText="bothSides"/>
                <wp:docPr id="2" name="Grupa 61" descr="Value of general business climate indicator in manufacturing in 2010-2022 – seasonally and non-seasonally adjusted data" title="Graph 1. General business climate indicator in manufacturing">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3E000000}"/>
                    </a:ext>
                  </a:extLst>
                </wp:docPr>
                <wp:cNvGraphicFramePr/>
                <a:graphic xmlns:a="http://schemas.openxmlformats.org/drawingml/2006/main">
                  <a:graphicData uri="http://schemas.microsoft.com/office/word/2010/wordprocessingGroup">
                    <wpg:wgp>
                      <wpg:cNvGrpSpPr/>
                      <wpg:grpSpPr>
                        <a:xfrm>
                          <a:off x="0" y="0"/>
                          <a:ext cx="4981575" cy="1654175"/>
                          <a:chOff x="0" y="0"/>
                          <a:chExt cx="5220000" cy="1980000"/>
                        </a:xfrm>
                      </wpg:grpSpPr>
                      <wpg:graphicFrame>
                        <wpg:cNvPr id="7" name="Wykres 7" descr="Value of general business climate indicator in manufacturing in 2010-2022 – seasonally and non-seasonally adjusted data" title="Graph 1. General business climate indicator in manufacturing">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3F000000}"/>
                            </a:ext>
                          </a:extLst>
                        </wpg:cNvPr>
                        <wpg:cNvFrPr>
                          <a:graphicFrameLocks/>
                        </wpg:cNvFrPr>
                        <wpg:xfrm>
                          <a:off x="0" y="0"/>
                          <a:ext cx="5220000" cy="1980000"/>
                        </wpg:xfrm>
                        <a:graphic>
                          <a:graphicData uri="http://schemas.openxmlformats.org/drawingml/2006/chart">
                            <c:chart xmlns:c="http://schemas.openxmlformats.org/drawingml/2006/chart" xmlns:r="http://schemas.openxmlformats.org/officeDocument/2006/relationships" r:id="rId11"/>
                          </a:graphicData>
                        </a:graphic>
                      </wpg:graphicFrame>
                      <wps:wsp>
                        <wps:cNvPr id="15" name="Prostokąt 15">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40000000}"/>
                            </a:ext>
                          </a:extLst>
                        </wps:cNvPr>
                        <wps:cNvSpPr/>
                        <wps:spPr>
                          <a:xfrm>
                            <a:off x="4680948" y="178687"/>
                            <a:ext cx="177407" cy="1350549"/>
                          </a:xfrm>
                          <a:prstGeom prst="rect">
                            <a:avLst/>
                          </a:prstGeom>
                          <a:solidFill>
                            <a:schemeClr val="bg1">
                              <a:lumMod val="75000"/>
                              <a:alpha val="50000"/>
                            </a:schemeClr>
                          </a:solidFill>
                          <a:ln>
                            <a:solidFill>
                              <a:schemeClr val="bg1">
                                <a:lumMod val="75000"/>
                                <a:alpha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w14:anchorId="4101EB0E" id="Grupa 61" o:spid="_x0000_s1026" alt="Tytuł: Graph 1. General business climate indicator in manufacturing — opis: Value of general business climate indicator in manufacturing in 2010-2022 – seasonally and non-seasonally adjusted data" style="position:absolute;margin-left:.3pt;margin-top:38.35pt;width:392.25pt;height:130.25pt;z-index:253284352" coordsize="52200,1980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">
                <v:shape id="Wykres 7" o:spid="_x0000_s1027" type="#_x0000_t75" alt="Value of general business climate indicator in manufacturing in 2010-2022 – seasonally and non-seasonally adjusted data" style="position:absolute;left:766;top:1021;width:50144;height:179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">
                  <v:imagedata r:id="rId12" o:title=""/>
                  <o:lock v:ext="edit" aspectratio="f"/>
                </v:shape>
                <v:rect id="Prostokąt 15" o:spid="_x0000_s1028" style="position:absolute;left:46809;top:1786;width:1774;height:13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s3MIA&#10;AADbAAAADwAAAGRycy9kb3ducmV2LnhtbERPTWsCMRC9F/ofwhS81awtK7IaRQShhwrtupfepptx&#10;s7iZrEnU9d83BcHbPN7nLFaD7cSFfGgdK5iMMxDEtdMtNwqq/fZ1BiJEZI2dY1JwowCr5fPTAgvt&#10;rvxNlzI2IoVwKFCBibEvpAy1IYth7HrixB2ctxgT9I3UHq8p3HbyLcum0mLLqcFgTxtD9bE8WwWh&#10;mpTVezfN/c9m+DK/n7tzftopNXoZ1nMQkYb4EN/dHzrNz+H/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azcwgAAANsAAAAPAAAAAAAAAAAAAAAAAJgCAABkcnMvZG93&#10;bnJldi54bWxQSwUGAAAAAAQABAD1AAAAhwMAAAAA&#10;" fillcolor="#bfbfbf [2412]" strokecolor="#bfbfbf [2412]" strokeweight="1pt">
                  <v:fill opacity="32896f"/>
                  <v:stroke opacity="32896f"/>
                </v:rect>
                <w10:wrap type="square"/>
              </v:group>
            </w:pict>
          </mc:Fallback>
        </mc:AlternateContent>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 xml:space="preserve">(NSA) takes the value minus </w:t>
      </w:r>
      <w:r w:rsidR="00CD4A33">
        <w:rPr>
          <w:rFonts w:ascii="Fira Sans" w:hAnsi="Fira Sans"/>
          <w:sz w:val="19"/>
          <w:szCs w:val="19"/>
          <w:lang w:val="en-GB" w:eastAsia="pl-PL"/>
        </w:rPr>
        <w:t>9.6</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2D7440">
        <w:rPr>
          <w:rFonts w:ascii="Fira Sans" w:hAnsi="Fira Sans"/>
          <w:sz w:val="19"/>
          <w:szCs w:val="19"/>
          <w:lang w:val="en-GB" w:eastAsia="pl-PL"/>
        </w:rPr>
        <w:t>higher</w:t>
      </w:r>
      <w:r w:rsidR="002E5E9C">
        <w:rPr>
          <w:rFonts w:ascii="Fira Sans" w:hAnsi="Fira Sans"/>
          <w:sz w:val="19"/>
          <w:szCs w:val="19"/>
          <w:lang w:val="en-GB" w:eastAsia="pl-PL"/>
        </w:rPr>
        <w:t xml:space="preserve"> than</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E925F9">
        <w:rPr>
          <w:rFonts w:ascii="Fira Sans" w:hAnsi="Fira Sans"/>
          <w:sz w:val="19"/>
          <w:szCs w:val="19"/>
          <w:lang w:val="en-GB" w:eastAsia="pl-PL"/>
        </w:rPr>
        <w:t>April</w:t>
      </w:r>
      <w:r w:rsidR="00224708" w:rsidRPr="00E71AE6">
        <w:rPr>
          <w:rFonts w:ascii="Fira Sans" w:hAnsi="Fira Sans"/>
          <w:sz w:val="19"/>
          <w:szCs w:val="19"/>
          <w:lang w:val="en-GB" w:eastAsia="pl-PL"/>
        </w:rPr>
        <w:t xml:space="preserve"> (minus </w:t>
      </w:r>
      <w:r w:rsidR="00E925F9">
        <w:rPr>
          <w:rFonts w:ascii="Fira Sans" w:hAnsi="Fira Sans"/>
          <w:sz w:val="19"/>
          <w:szCs w:val="19"/>
          <w:lang w:val="en-GB" w:eastAsia="pl-PL"/>
        </w:rPr>
        <w:t>11.5</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E011CF" w:rsidRPr="00D17623" w:rsidRDefault="000B51A7" w:rsidP="00E011CF">
      <w:pPr>
        <w:pStyle w:val="Nagwek1"/>
        <w:rPr>
          <w:rFonts w:ascii="Fira Sans" w:hAnsi="Fira Sans"/>
          <w:spacing w:val="-2"/>
          <w:szCs w:val="19"/>
          <w:lang w:val="en-GB"/>
        </w:rPr>
      </w:pPr>
      <w:r w:rsidRPr="00E71AE6">
        <w:rPr>
          <w:rFonts w:ascii="Fira Sans" w:hAnsi="Fira Sans"/>
          <w:b/>
          <w:noProof/>
          <w:spacing w:val="-4"/>
          <w:szCs w:val="19"/>
        </w:rPr>
        <w:drawing>
          <wp:anchor distT="0" distB="0" distL="114300" distR="114300" simplePos="0" relativeHeight="252224512" behindDoc="1" locked="0" layoutInCell="1" allowOverlap="1" wp14:anchorId="3425777C" wp14:editId="1C659F66">
            <wp:simplePos x="0" y="0"/>
            <wp:positionH relativeFrom="margin">
              <wp:posOffset>72390</wp:posOffset>
            </wp:positionH>
            <wp:positionV relativeFrom="paragraph">
              <wp:posOffset>1671254</wp:posOffset>
            </wp:positionV>
            <wp:extent cx="611505" cy="611505"/>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054273" w:rsidP="00C4555A">
      <w:pPr>
        <w:spacing w:before="120" w:after="120"/>
        <w:ind w:left="1134" w:hanging="1134"/>
        <w:rPr>
          <w:rFonts w:ascii="Fira Sans" w:hAnsi="Fira Sans"/>
          <w:strike/>
          <w:spacing w:val="-4"/>
          <w:sz w:val="19"/>
          <w:szCs w:val="19"/>
          <w:lang w:val="en-US"/>
        </w:rPr>
      </w:pPr>
      <w:r>
        <w:rPr>
          <w:noProof/>
          <w:lang w:eastAsia="pl-PL"/>
        </w:rPr>
        <w:drawing>
          <wp:anchor distT="0" distB="0" distL="114300" distR="114300" simplePos="0" relativeHeight="253288448" behindDoc="0" locked="0" layoutInCell="1" allowOverlap="1">
            <wp:simplePos x="0" y="0"/>
            <wp:positionH relativeFrom="column">
              <wp:posOffset>5347114</wp:posOffset>
            </wp:positionH>
            <wp:positionV relativeFrom="paragraph">
              <wp:posOffset>221422</wp:posOffset>
            </wp:positionV>
            <wp:extent cx="1541780" cy="1843405"/>
            <wp:effectExtent l="0" t="0" r="1270" b="4445"/>
            <wp:wrapSquare wrapText="bothSides"/>
            <wp:docPr id="27" name="Wykres 27"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778110E6-436A-4CD5-BAB1-21AB7CB7A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noProof/>
          <w:lang w:eastAsia="pl-PL"/>
        </w:rPr>
        <mc:AlternateContent>
          <mc:Choice Requires="wpg">
            <w:drawing>
              <wp:anchor distT="0" distB="0" distL="114300" distR="114300" simplePos="0" relativeHeight="253287424" behindDoc="0" locked="0" layoutInCell="1" allowOverlap="1" wp14:anchorId="1F1DC3DA" wp14:editId="1CA8651D">
                <wp:simplePos x="0" y="0"/>
                <wp:positionH relativeFrom="column">
                  <wp:posOffset>3424</wp:posOffset>
                </wp:positionH>
                <wp:positionV relativeFrom="paragraph">
                  <wp:posOffset>410652</wp:posOffset>
                </wp:positionV>
                <wp:extent cx="4981575" cy="1654175"/>
                <wp:effectExtent l="0" t="0" r="0" b="0"/>
                <wp:wrapSquare wrapText="bothSides"/>
                <wp:docPr id="16" name="Grupa 64" descr="Value of general business climate indicator in construction in 2010-2022 – seasonally and non-seasonally adjusted data" title="Graph 2. General business climate indicator in construction">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41000000}"/>
                    </a:ext>
                  </a:extLst>
                </wp:docPr>
                <wp:cNvGraphicFramePr/>
                <a:graphic xmlns:a="http://schemas.openxmlformats.org/drawingml/2006/main">
                  <a:graphicData uri="http://schemas.microsoft.com/office/word/2010/wordprocessingGroup">
                    <wpg:wgp>
                      <wpg:cNvGrpSpPr/>
                      <wpg:grpSpPr>
                        <a:xfrm>
                          <a:off x="0" y="0"/>
                          <a:ext cx="4981575" cy="1654175"/>
                          <a:chOff x="0" y="0"/>
                          <a:chExt cx="5220000" cy="1980000"/>
                        </a:xfrm>
                      </wpg:grpSpPr>
                      <wpg:graphicFrame>
                        <wpg:cNvPr id="17" name="Wykres 17">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42000000}"/>
                            </a:ext>
                          </a:extLst>
                        </wpg:cNvPr>
                        <wpg:cNvFrPr>
                          <a:graphicFrameLocks/>
                        </wpg:cNvFrPr>
                        <wpg:xfrm>
                          <a:off x="0" y="0"/>
                          <a:ext cx="5220000" cy="1980000"/>
                        </wpg:xfrm>
                        <a:graphic>
                          <a:graphicData uri="http://schemas.openxmlformats.org/drawingml/2006/chart">
                            <c:chart xmlns:c="http://schemas.openxmlformats.org/drawingml/2006/chart" xmlns:r="http://schemas.openxmlformats.org/officeDocument/2006/relationships" r:id="rId15"/>
                          </a:graphicData>
                        </a:graphic>
                      </wpg:graphicFrame>
                      <wps:wsp>
                        <wps:cNvPr id="19" name="Prostokąt 19">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43000000}"/>
                            </a:ext>
                          </a:extLst>
                        </wps:cNvPr>
                        <wps:cNvSpPr/>
                        <wps:spPr>
                          <a:xfrm>
                            <a:off x="4681879" y="177580"/>
                            <a:ext cx="182725" cy="1348883"/>
                          </a:xfrm>
                          <a:prstGeom prst="rect">
                            <a:avLst/>
                          </a:prstGeom>
                          <a:solidFill>
                            <a:schemeClr val="bg1">
                              <a:lumMod val="75000"/>
                              <a:alpha val="50000"/>
                            </a:schemeClr>
                          </a:solidFill>
                          <a:ln>
                            <a:solidFill>
                              <a:schemeClr val="bg1">
                                <a:lumMod val="75000"/>
                                <a:alpha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anchor>
            </w:drawing>
          </mc:Choice>
          <mc:Fallback>
            <w:pict>
              <v:group w14:anchorId="3146E9D1" id="Grupa 64" o:spid="_x0000_s1026" alt="Tytuł: Graph 2. General business climate indicator in construction — opis: Value of general business climate indicator in construction in 2010-2022 – seasonally and non-seasonally adjusted data" style="position:absolute;margin-left:.25pt;margin-top:32.35pt;width:392.25pt;height:130.25pt;z-index:253287424" coordsize="52200,1980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">
                <v:shape id="Wykres 17" o:spid="_x0000_s1027" type="#_x0000_t75" style="position:absolute;left:766;top:1021;width:50080;height:1795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">
                  <v:imagedata r:id="rId16" o:title=""/>
                  <o:lock v:ext="edit" aspectratio="f"/>
                </v:shape>
                <v:rect id="Prostokąt 19" o:spid="_x0000_s1028" style="position:absolute;left:46818;top:1775;width:1828;height:13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m2cIA&#10;AADbAAAADwAAAGRycy9kb3ducmV2LnhtbERPTWsCMRC9C/6HMEJvmtWi2NUoRRB6qNCue+lt3Iyb&#10;xc1km0Td/vumUPA2j/c5621vW3EjHxrHCqaTDARx5XTDtYLyuB8vQYSIrLF1TAp+KMB2MxysMdfu&#10;zp90K2ItUgiHHBWYGLtcylAZshgmriNO3Nl5izFBX0vt8Z7CbStnWbaQFhtODQY72hmqLsXVKgjl&#10;tCif28Xcf+36D3N6P1zn3welnkb96wpEpD4+xP/uN53mv8DfL+k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zKbZwgAAANsAAAAPAAAAAAAAAAAAAAAAAJgCAABkcnMvZG93&#10;bnJldi54bWxQSwUGAAAAAAQABAD1AAAAhwMAAAAA&#10;" fillcolor="#bfbfbf [2412]" strokecolor="#bfbfbf [2412]" strokeweight="1pt">
                  <v:fill opacity="32896f"/>
                  <v:stroke opacity="32896f"/>
                </v:rect>
                <w10:wrap type="square"/>
              </v:group>
            </w:pict>
          </mc:Fallback>
        </mc:AlternateContent>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E925F9">
        <w:rPr>
          <w:rFonts w:ascii="Fira Sans" w:hAnsi="Fira Sans"/>
          <w:sz w:val="19"/>
          <w:szCs w:val="19"/>
          <w:lang w:val="en-GB" w:eastAsia="pl-PL"/>
        </w:rPr>
        <w:t>May</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CD4A33">
        <w:rPr>
          <w:rFonts w:ascii="Fira Sans" w:hAnsi="Fira Sans"/>
          <w:sz w:val="19"/>
          <w:szCs w:val="19"/>
          <w:lang w:val="en-GB" w:eastAsia="pl-PL"/>
        </w:rPr>
        <w:t>14.0</w:t>
      </w:r>
      <w:r w:rsidR="003015E6">
        <w:rPr>
          <w:rFonts w:ascii="Fira Sans" w:hAnsi="Fira Sans"/>
          <w:sz w:val="19"/>
          <w:szCs w:val="19"/>
          <w:lang w:val="en-GB" w:eastAsia="pl-PL"/>
        </w:rPr>
        <w:t xml:space="preserve"> </w:t>
      </w:r>
      <w:r w:rsidR="00173FF1">
        <w:rPr>
          <w:rFonts w:ascii="Fira Sans" w:hAnsi="Fira Sans"/>
          <w:sz w:val="19"/>
          <w:szCs w:val="19"/>
          <w:lang w:val="en-GB" w:eastAsia="pl-PL"/>
        </w:rPr>
        <w:t>and it is</w:t>
      </w:r>
      <w:r w:rsidR="003015E6">
        <w:rPr>
          <w:rFonts w:ascii="Fira Sans" w:hAnsi="Fira Sans"/>
          <w:sz w:val="19"/>
          <w:szCs w:val="19"/>
          <w:lang w:val="en-GB" w:eastAsia="pl-PL"/>
        </w:rPr>
        <w:t xml:space="preserve"> </w:t>
      </w:r>
      <w:r w:rsidR="00CD4A33">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E925F9">
        <w:rPr>
          <w:rFonts w:ascii="Fira Sans" w:hAnsi="Fira Sans"/>
          <w:sz w:val="19"/>
          <w:szCs w:val="19"/>
          <w:lang w:val="en-GB" w:eastAsia="pl-PL"/>
        </w:rPr>
        <w:t>15.4</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AE6A54" w:rsidP="00E71AE6">
      <w:pPr>
        <w:pStyle w:val="Nagwek1"/>
        <w:spacing w:before="480"/>
        <w:rPr>
          <w:rFonts w:ascii="Fira Sans" w:hAnsi="Fira Sans"/>
          <w:b/>
          <w:spacing w:val="-2"/>
          <w:szCs w:val="19"/>
          <w:lang w:val="en-GB"/>
        </w:rPr>
      </w:pPr>
      <w:r w:rsidRPr="00E71AE6">
        <w:rPr>
          <w:rFonts w:ascii="Fira Sans" w:hAnsi="Fira Sans"/>
          <w:b/>
          <w:noProof/>
          <w:spacing w:val="-2"/>
          <w:szCs w:val="19"/>
        </w:rPr>
        <w:lastRenderedPageBreak/>
        <w:drawing>
          <wp:anchor distT="0" distB="0" distL="114300" distR="114300" simplePos="0" relativeHeight="252232704"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054273" w:rsidP="004206E0">
      <w:pPr>
        <w:spacing w:before="120" w:after="120"/>
        <w:ind w:left="1134"/>
        <w:rPr>
          <w:rFonts w:ascii="Fira Sans" w:hAnsi="Fira Sans"/>
          <w:strike/>
          <w:sz w:val="19"/>
          <w:szCs w:val="19"/>
          <w:lang w:val="en-GB"/>
        </w:rPr>
      </w:pPr>
      <w:r>
        <w:rPr>
          <w:noProof/>
          <w:lang w:eastAsia="pl-PL"/>
        </w:rPr>
        <w:drawing>
          <wp:anchor distT="0" distB="0" distL="114300" distR="114300" simplePos="0" relativeHeight="253290496" behindDoc="0" locked="0" layoutInCell="1" allowOverlap="1">
            <wp:simplePos x="0" y="0"/>
            <wp:positionH relativeFrom="column">
              <wp:posOffset>5370112</wp:posOffset>
            </wp:positionH>
            <wp:positionV relativeFrom="paragraph">
              <wp:posOffset>114935</wp:posOffset>
            </wp:positionV>
            <wp:extent cx="1541780" cy="1843405"/>
            <wp:effectExtent l="0" t="0" r="1270" b="4445"/>
            <wp:wrapSquare wrapText="bothSides"/>
            <wp:docPr id="63" name="Wykres 63"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965A103-7994-4D34-A1F9-299D055A5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054273">
        <w:rPr>
          <w:noProof/>
          <w:lang w:eastAsia="pl-PL"/>
        </w:rPr>
        <w:drawing>
          <wp:anchor distT="0" distB="0" distL="114300" distR="114300" simplePos="0" relativeHeight="253289472" behindDoc="0" locked="0" layoutInCell="1" allowOverlap="1">
            <wp:simplePos x="0" y="0"/>
            <wp:positionH relativeFrom="column">
              <wp:posOffset>3838</wp:posOffset>
            </wp:positionH>
            <wp:positionV relativeFrom="paragraph">
              <wp:posOffset>319709</wp:posOffset>
            </wp:positionV>
            <wp:extent cx="4985385" cy="1654175"/>
            <wp:effectExtent l="0" t="0" r="0" b="0"/>
            <wp:wrapSquare wrapText="bothSides"/>
            <wp:docPr id="56" name="Obraz 56"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EF5060">
        <w:rPr>
          <w:rFonts w:ascii="Fira Sans" w:hAnsi="Fira Sans"/>
          <w:sz w:val="19"/>
          <w:szCs w:val="19"/>
          <w:lang w:val="en-GB"/>
        </w:rPr>
        <w:t>plus</w:t>
      </w:r>
      <w:r w:rsidR="00817606" w:rsidRPr="00D17623">
        <w:rPr>
          <w:rFonts w:ascii="Fira Sans" w:hAnsi="Fira Sans"/>
          <w:sz w:val="19"/>
          <w:szCs w:val="19"/>
          <w:lang w:val="en-GB"/>
        </w:rPr>
        <w:t xml:space="preserve"> </w:t>
      </w:r>
      <w:r w:rsidR="00C52D6F">
        <w:rPr>
          <w:rFonts w:ascii="Fira Sans" w:hAnsi="Fira Sans"/>
          <w:sz w:val="19"/>
          <w:szCs w:val="19"/>
          <w:lang w:val="en-GB"/>
        </w:rPr>
        <w:t>0.4</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C52D6F">
        <w:rPr>
          <w:rFonts w:ascii="Fira Sans" w:hAnsi="Fira Sans"/>
          <w:sz w:val="19"/>
          <w:szCs w:val="19"/>
          <w:lang w:val="en-GB" w:eastAsia="pl-PL"/>
        </w:rPr>
        <w:t>similar to</w:t>
      </w:r>
      <w:r w:rsidR="008B54DB" w:rsidRPr="00E71AE6">
        <w:rPr>
          <w:rFonts w:ascii="Fira Sans" w:hAnsi="Fira Sans"/>
          <w:sz w:val="19"/>
          <w:szCs w:val="19"/>
          <w:lang w:val="en-GB" w:eastAsia="pl-PL"/>
        </w:rPr>
        <w:t xml:space="preserve"> the one reported in </w:t>
      </w:r>
      <w:r w:rsidR="00E925F9">
        <w:rPr>
          <w:rFonts w:ascii="Fira Sans" w:hAnsi="Fira Sans"/>
          <w:sz w:val="19"/>
          <w:szCs w:val="19"/>
          <w:lang w:val="en-GB" w:eastAsia="pl-PL"/>
        </w:rPr>
        <w:t>April</w:t>
      </w:r>
      <w:r w:rsidR="008B54DB" w:rsidRPr="00E71AE6">
        <w:rPr>
          <w:rFonts w:ascii="Fira Sans" w:hAnsi="Fira Sans"/>
          <w:sz w:val="19"/>
          <w:szCs w:val="19"/>
          <w:lang w:val="en-GB" w:eastAsia="pl-PL"/>
        </w:rPr>
        <w:t xml:space="preserve"> (</w:t>
      </w:r>
      <w:r w:rsidR="00E925F9">
        <w:rPr>
          <w:rFonts w:ascii="Fira Sans" w:hAnsi="Fira Sans"/>
          <w:sz w:val="19"/>
          <w:szCs w:val="19"/>
          <w:lang w:val="en-GB" w:eastAsia="pl-PL"/>
        </w:rPr>
        <w:t>plus</w:t>
      </w:r>
      <w:r w:rsidR="008B54DB" w:rsidRPr="00E71AE6">
        <w:rPr>
          <w:rFonts w:ascii="Fira Sans" w:hAnsi="Fira Sans"/>
          <w:sz w:val="19"/>
          <w:szCs w:val="19"/>
          <w:lang w:val="en-GB" w:eastAsia="pl-PL"/>
        </w:rPr>
        <w:t xml:space="preserve"> </w:t>
      </w:r>
      <w:r w:rsidR="00E925F9">
        <w:rPr>
          <w:rFonts w:ascii="Fira Sans" w:hAnsi="Fira Sans"/>
          <w:sz w:val="19"/>
          <w:szCs w:val="19"/>
          <w:lang w:val="en-GB" w:eastAsia="pl-PL"/>
        </w:rPr>
        <w:t>0.9</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E011CF" w:rsidRPr="00E71AE6" w:rsidRDefault="00054273"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0</wp:posOffset>
            </wp:positionH>
            <wp:positionV relativeFrom="paragraph">
              <wp:posOffset>24489</wp:posOffset>
            </wp:positionV>
            <wp:extent cx="611505" cy="611505"/>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054273" w:rsidP="00E011CF">
      <w:pPr>
        <w:spacing w:before="120" w:after="120"/>
        <w:rPr>
          <w:rFonts w:ascii="Fira Sans" w:hAnsi="Fira Sans"/>
          <w:strike/>
          <w:spacing w:val="-4"/>
          <w:sz w:val="19"/>
          <w:szCs w:val="19"/>
          <w:lang w:val="en-GB"/>
        </w:rPr>
      </w:pPr>
      <w:r>
        <w:rPr>
          <w:noProof/>
          <w:lang w:eastAsia="pl-PL"/>
        </w:rPr>
        <w:drawing>
          <wp:anchor distT="0" distB="0" distL="114300" distR="114300" simplePos="0" relativeHeight="253292544" behindDoc="0" locked="0" layoutInCell="1" allowOverlap="1">
            <wp:simplePos x="0" y="0"/>
            <wp:positionH relativeFrom="column">
              <wp:posOffset>5370940</wp:posOffset>
            </wp:positionH>
            <wp:positionV relativeFrom="paragraph">
              <wp:posOffset>195718</wp:posOffset>
            </wp:positionV>
            <wp:extent cx="1541780" cy="1843405"/>
            <wp:effectExtent l="0" t="0" r="1270" b="4445"/>
            <wp:wrapSquare wrapText="bothSides"/>
            <wp:docPr id="219" name="Wykres 219"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27DE7F2-26C7-4577-B66D-67A61088D7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054273">
        <w:rPr>
          <w:noProof/>
          <w:lang w:eastAsia="pl-PL"/>
        </w:rPr>
        <w:drawing>
          <wp:anchor distT="0" distB="0" distL="114300" distR="114300" simplePos="0" relativeHeight="253291520" behindDoc="0" locked="0" layoutInCell="1" allowOverlap="1">
            <wp:simplePos x="0" y="0"/>
            <wp:positionH relativeFrom="column">
              <wp:posOffset>3810</wp:posOffset>
            </wp:positionH>
            <wp:positionV relativeFrom="paragraph">
              <wp:posOffset>362861</wp:posOffset>
            </wp:positionV>
            <wp:extent cx="4985385" cy="1654175"/>
            <wp:effectExtent l="0" t="0" r="0" b="0"/>
            <wp:wrapSquare wrapText="bothSides"/>
            <wp:docPr id="208" name="Obraz 208"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E925F9">
        <w:rPr>
          <w:rFonts w:ascii="Fira Sans" w:hAnsi="Fira Sans"/>
          <w:sz w:val="19"/>
          <w:szCs w:val="19"/>
          <w:lang w:val="en-GB"/>
        </w:rPr>
        <w:t>May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810B2F">
        <w:rPr>
          <w:rFonts w:ascii="Fira Sans" w:hAnsi="Fira Sans"/>
          <w:sz w:val="19"/>
          <w:szCs w:val="19"/>
          <w:lang w:val="en-GB"/>
        </w:rPr>
        <w:t>5.7</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EF5060">
        <w:rPr>
          <w:rFonts w:ascii="Fira Sans" w:hAnsi="Fira Sans"/>
          <w:sz w:val="19"/>
          <w:szCs w:val="19"/>
          <w:lang w:val="en-GB"/>
        </w:rPr>
        <w:t>higher</w:t>
      </w:r>
      <w:r w:rsidR="00877459">
        <w:rPr>
          <w:rFonts w:ascii="Fira Sans" w:hAnsi="Fira Sans"/>
          <w:sz w:val="19"/>
          <w:szCs w:val="19"/>
          <w:lang w:val="en-GB"/>
        </w:rPr>
        <w:t xml:space="preserve"> </w:t>
      </w:r>
      <w:r w:rsidR="003877F6">
        <w:rPr>
          <w:rFonts w:ascii="Fira Sans" w:hAnsi="Fira Sans"/>
          <w:sz w:val="19"/>
          <w:szCs w:val="19"/>
          <w:lang w:val="en-GB"/>
        </w:rPr>
        <w:t>than</w:t>
      </w:r>
      <w:r w:rsidR="00F80E0E">
        <w:rPr>
          <w:rFonts w:ascii="Fira Sans" w:hAnsi="Fira Sans"/>
          <w:sz w:val="19"/>
          <w:szCs w:val="19"/>
          <w:lang w:val="en-GB"/>
        </w:rPr>
        <w:t xml:space="preserve"> 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E925F9">
        <w:rPr>
          <w:rFonts w:ascii="Fira Sans" w:hAnsi="Fira Sans"/>
          <w:sz w:val="19"/>
          <w:szCs w:val="19"/>
          <w:lang w:val="en-GB"/>
        </w:rPr>
        <w:t>7.5</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2A6C3E">
      <w:pPr>
        <w:spacing w:before="480" w:after="120"/>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34752" behindDoc="1" locked="0" layoutInCell="1" allowOverlap="1" wp14:anchorId="60216179" wp14:editId="7BA546BB">
            <wp:simplePos x="0" y="0"/>
            <wp:positionH relativeFrom="margin">
              <wp:align>left</wp:align>
            </wp:positionH>
            <wp:positionV relativeFrom="paragraph">
              <wp:posOffset>172720</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rsidR="00E011CF" w:rsidRDefault="00054273" w:rsidP="00E011CF">
      <w:pPr>
        <w:spacing w:before="120" w:after="120"/>
        <w:rPr>
          <w:rFonts w:ascii="Fira Sans" w:hAnsi="Fira Sans"/>
          <w:strike/>
          <w:sz w:val="19"/>
          <w:szCs w:val="19"/>
          <w:lang w:val="en-GB"/>
        </w:rPr>
      </w:pPr>
      <w:r>
        <w:rPr>
          <w:noProof/>
          <w:lang w:eastAsia="pl-PL"/>
        </w:rPr>
        <w:drawing>
          <wp:anchor distT="0" distB="0" distL="114300" distR="114300" simplePos="0" relativeHeight="253294592" behindDoc="0" locked="0" layoutInCell="1" allowOverlap="1">
            <wp:simplePos x="0" y="0"/>
            <wp:positionH relativeFrom="column">
              <wp:posOffset>5370940</wp:posOffset>
            </wp:positionH>
            <wp:positionV relativeFrom="paragraph">
              <wp:posOffset>118551</wp:posOffset>
            </wp:positionV>
            <wp:extent cx="1541780" cy="1843405"/>
            <wp:effectExtent l="0" t="0" r="1270" b="4445"/>
            <wp:wrapSquare wrapText="bothSides"/>
            <wp:docPr id="221" name="Wykres 221"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F7CE97BA-19C5-4498-9A69-61CFE6D73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Pr="00054273">
        <w:rPr>
          <w:noProof/>
          <w:lang w:eastAsia="pl-PL"/>
        </w:rPr>
        <w:drawing>
          <wp:anchor distT="0" distB="0" distL="114300" distR="114300" simplePos="0" relativeHeight="253293568" behindDoc="0" locked="0" layoutInCell="1" allowOverlap="1">
            <wp:simplePos x="0" y="0"/>
            <wp:positionH relativeFrom="column">
              <wp:posOffset>3810</wp:posOffset>
            </wp:positionH>
            <wp:positionV relativeFrom="paragraph">
              <wp:posOffset>307836</wp:posOffset>
            </wp:positionV>
            <wp:extent cx="4985385" cy="1654175"/>
            <wp:effectExtent l="0" t="0" r="0" b="0"/>
            <wp:wrapSquare wrapText="bothSides"/>
            <wp:docPr id="220" name="Obraz 220"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0F1B69">
        <w:rPr>
          <w:rFonts w:ascii="Fira Sans" w:hAnsi="Fira Sans"/>
          <w:sz w:val="19"/>
          <w:szCs w:val="19"/>
          <w:lang w:val="en-GB"/>
        </w:rPr>
        <w:t>6.1</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E925F9">
        <w:rPr>
          <w:rFonts w:ascii="Fira Sans" w:hAnsi="Fira Sans"/>
          <w:sz w:val="19"/>
          <w:szCs w:val="19"/>
          <w:lang w:val="en-GB"/>
        </w:rPr>
        <w:t>April</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E925F9">
        <w:rPr>
          <w:rFonts w:ascii="Fira Sans" w:hAnsi="Fira Sans"/>
          <w:sz w:val="19"/>
          <w:szCs w:val="19"/>
          <w:lang w:val="en-GB"/>
        </w:rPr>
        <w:t>5.8</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801BC0" w:rsidRPr="00B170FA" w:rsidRDefault="00801BC0" w:rsidP="00E011CF">
      <w:pPr>
        <w:spacing w:before="120" w:after="120"/>
        <w:rPr>
          <w:rFonts w:ascii="Fira Sans" w:hAnsi="Fira Sans"/>
          <w:strike/>
          <w:spacing w:val="-4"/>
          <w:sz w:val="19"/>
          <w:szCs w:val="19"/>
          <w:lang w:val="en-US" w:eastAsia="pl-PL"/>
        </w:rPr>
      </w:pP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85330F" w:rsidP="0085330F">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E011CF" w:rsidP="00E011CF">
      <w:pPr>
        <w:spacing w:before="12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6016"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BD7EE4" w:rsidP="00E011CF">
      <w:pPr>
        <w:spacing w:before="120" w:after="120"/>
        <w:rPr>
          <w:rFonts w:ascii="Fira Sans" w:hAnsi="Fira Sans"/>
          <w:strike/>
          <w:spacing w:val="-4"/>
          <w:sz w:val="19"/>
          <w:szCs w:val="19"/>
          <w:lang w:val="en-GB"/>
        </w:rPr>
      </w:pPr>
      <w:r>
        <w:rPr>
          <w:noProof/>
          <w:lang w:eastAsia="pl-PL"/>
        </w:rPr>
        <w:drawing>
          <wp:anchor distT="0" distB="0" distL="114300" distR="114300" simplePos="0" relativeHeight="253296640" behindDoc="0" locked="0" layoutInCell="1" allowOverlap="1">
            <wp:simplePos x="0" y="0"/>
            <wp:positionH relativeFrom="column">
              <wp:posOffset>5402470</wp:posOffset>
            </wp:positionH>
            <wp:positionV relativeFrom="paragraph">
              <wp:posOffset>447261</wp:posOffset>
            </wp:positionV>
            <wp:extent cx="1541780" cy="1843405"/>
            <wp:effectExtent l="0" t="0" r="1270" b="4445"/>
            <wp:wrapSquare wrapText="bothSides"/>
            <wp:docPr id="226" name="Wykres 226"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F35A9DF-2575-4EAA-ADCE-3B34963BF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BD7EE4">
        <w:rPr>
          <w:noProof/>
          <w:lang w:eastAsia="pl-PL"/>
        </w:rPr>
        <w:drawing>
          <wp:anchor distT="0" distB="0" distL="114300" distR="114300" simplePos="0" relativeHeight="253295616" behindDoc="0" locked="0" layoutInCell="1" allowOverlap="1">
            <wp:simplePos x="0" y="0"/>
            <wp:positionH relativeFrom="column">
              <wp:posOffset>3672</wp:posOffset>
            </wp:positionH>
            <wp:positionV relativeFrom="paragraph">
              <wp:posOffset>621941</wp:posOffset>
            </wp:positionV>
            <wp:extent cx="4985385" cy="1654175"/>
            <wp:effectExtent l="0" t="0" r="0" b="0"/>
            <wp:wrapSquare wrapText="bothSides"/>
            <wp:docPr id="225" name="Obraz 225"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925F9">
        <w:rPr>
          <w:rFonts w:ascii="Fira Sans" w:hAnsi="Fira Sans"/>
          <w:sz w:val="19"/>
          <w:szCs w:val="19"/>
          <w:lang w:val="en-GB"/>
        </w:rPr>
        <w:t>May</w:t>
      </w:r>
      <w:r w:rsidR="0094569E" w:rsidRPr="00D17623">
        <w:rPr>
          <w:rFonts w:ascii="Fira Sans" w:hAnsi="Fira Sans"/>
          <w:sz w:val="19"/>
          <w:szCs w:val="19"/>
          <w:lang w:val="en-GB"/>
        </w:rPr>
        <w:t xml:space="preserve"> general business climate indicator (NSA) takes the value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B26873">
        <w:rPr>
          <w:rFonts w:ascii="Fira Sans" w:hAnsi="Fira Sans"/>
          <w:sz w:val="19"/>
          <w:szCs w:val="19"/>
          <w:lang w:val="en-GB"/>
        </w:rPr>
        <w:t>5.4</w:t>
      </w:r>
      <w:r w:rsidR="0094569E" w:rsidRPr="00D17623">
        <w:rPr>
          <w:rFonts w:ascii="Fira Sans" w:hAnsi="Fira Sans"/>
          <w:sz w:val="19"/>
          <w:szCs w:val="19"/>
          <w:lang w:val="en-GB"/>
        </w:rPr>
        <w:t xml:space="preserve"> versus </w:t>
      </w:r>
      <w:r w:rsidR="00061E17">
        <w:rPr>
          <w:rFonts w:ascii="Fira Sans" w:hAnsi="Fira Sans"/>
          <w:sz w:val="19"/>
          <w:szCs w:val="19"/>
          <w:lang w:val="en-GB"/>
        </w:rPr>
        <w:t>minus</w:t>
      </w:r>
      <w:r w:rsidR="0094569E" w:rsidRPr="00D17623">
        <w:rPr>
          <w:rFonts w:ascii="Fira Sans" w:hAnsi="Fira Sans"/>
          <w:sz w:val="19"/>
          <w:szCs w:val="19"/>
          <w:lang w:val="en-GB"/>
        </w:rPr>
        <w:t xml:space="preserve"> </w:t>
      </w:r>
      <w:r w:rsidR="00E925F9">
        <w:rPr>
          <w:rFonts w:ascii="Fira Sans" w:hAnsi="Fira Sans"/>
          <w:sz w:val="19"/>
          <w:szCs w:val="19"/>
          <w:lang w:val="en-GB"/>
        </w:rPr>
        <w:t>4.0</w:t>
      </w:r>
      <w:r w:rsidR="0094569E" w:rsidRPr="00D17623">
        <w:rPr>
          <w:rFonts w:ascii="Fira Sans" w:hAnsi="Fira Sans"/>
          <w:sz w:val="19"/>
          <w:szCs w:val="19"/>
          <w:lang w:val="en-GB"/>
        </w:rPr>
        <w:t xml:space="preserve"> in </w:t>
      </w:r>
      <w:r w:rsidR="00E925F9">
        <w:rPr>
          <w:rFonts w:ascii="Fira Sans" w:hAnsi="Fira Sans"/>
          <w:sz w:val="19"/>
          <w:szCs w:val="19"/>
          <w:lang w:val="en-GB"/>
        </w:rPr>
        <w:t>April</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formulate favourable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B26873">
        <w:rPr>
          <w:rFonts w:ascii="Fira Sans" w:hAnsi="Fira Sans"/>
          <w:sz w:val="19"/>
          <w:szCs w:val="19"/>
          <w:lang w:val="en-GB"/>
        </w:rPr>
        <w:t>5.2</w:t>
      </w:r>
      <w:r w:rsidR="0094569E" w:rsidRPr="00D17623">
        <w:rPr>
          <w:rFonts w:ascii="Fira Sans" w:hAnsi="Fira Sans"/>
          <w:sz w:val="19"/>
          <w:szCs w:val="19"/>
          <w:lang w:val="en-GB"/>
        </w:rPr>
        <w:t>)</w:t>
      </w:r>
      <w:r w:rsidR="00B26873">
        <w:rPr>
          <w:rFonts w:ascii="Fira Sans" w:hAnsi="Fira Sans"/>
          <w:sz w:val="19"/>
          <w:szCs w:val="19"/>
          <w:lang w:val="en-GB"/>
        </w:rPr>
        <w:t>, similar</w:t>
      </w:r>
      <w:r w:rsidR="0094569E" w:rsidRPr="00D17623">
        <w:rPr>
          <w:rFonts w:ascii="Fira Sans" w:hAnsi="Fira Sans"/>
          <w:sz w:val="19"/>
          <w:szCs w:val="19"/>
          <w:lang w:val="en-GB"/>
        </w:rPr>
        <w:t xml:space="preserve"> </w:t>
      </w:r>
      <w:r w:rsidR="00B26873">
        <w:rPr>
          <w:rFonts w:ascii="Fira Sans" w:hAnsi="Fira Sans"/>
          <w:sz w:val="19"/>
          <w:szCs w:val="19"/>
          <w:lang w:val="en-GB"/>
        </w:rPr>
        <w:t>to</w:t>
      </w:r>
      <w:r w:rsidR="0094569E" w:rsidRPr="00D17623">
        <w:rPr>
          <w:rFonts w:ascii="Fira Sans" w:hAnsi="Fira Sans"/>
          <w:sz w:val="19"/>
          <w:szCs w:val="19"/>
          <w:lang w:val="en-GB"/>
        </w:rPr>
        <w:t xml:space="preserve"> the ones </w:t>
      </w:r>
      <w:r w:rsidR="00B26873">
        <w:rPr>
          <w:rFonts w:ascii="Fira Sans" w:hAnsi="Fira Sans"/>
          <w:sz w:val="19"/>
          <w:szCs w:val="19"/>
          <w:lang w:val="en-GB"/>
        </w:rPr>
        <w:t>reported by firms representing</w:t>
      </w:r>
      <w:r w:rsidR="0094569E" w:rsidRPr="00D17623">
        <w:rPr>
          <w:rFonts w:ascii="Fira Sans" w:hAnsi="Fira Sans"/>
          <w:sz w:val="19"/>
          <w:szCs w:val="19"/>
          <w:lang w:val="en-GB"/>
        </w:rPr>
        <w:t xml:space="preserve"> food service activities (</w:t>
      </w:r>
      <w:r w:rsidR="00B26873">
        <w:rPr>
          <w:rFonts w:ascii="Fira Sans" w:hAnsi="Fira Sans"/>
          <w:sz w:val="19"/>
          <w:szCs w:val="19"/>
          <w:lang w:val="en-GB"/>
        </w:rPr>
        <w:t>plus</w:t>
      </w:r>
      <w:r w:rsidR="0094569E" w:rsidRPr="00D17623">
        <w:rPr>
          <w:rFonts w:ascii="Fira Sans" w:hAnsi="Fira Sans"/>
          <w:sz w:val="19"/>
          <w:szCs w:val="19"/>
          <w:lang w:val="en-GB"/>
        </w:rPr>
        <w:t xml:space="preserve"> </w:t>
      </w:r>
      <w:r w:rsidR="00B26873">
        <w:rPr>
          <w:rFonts w:ascii="Fira Sans" w:hAnsi="Fira Sans"/>
          <w:sz w:val="19"/>
          <w:szCs w:val="19"/>
          <w:lang w:val="en-GB"/>
        </w:rPr>
        <w:t>5.5</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4D5FCA" w:rsidP="00FD60FF">
      <w:pPr>
        <w:spacing w:before="120" w:after="120"/>
        <w:ind w:firstLine="1134"/>
        <w:rPr>
          <w:rFonts w:ascii="Fira Sans SemiBold" w:eastAsia="Times New Roman" w:hAnsi="Fira Sans SemiBold" w:cs="Times New Roman"/>
          <w:bCs/>
          <w:color w:val="001D77"/>
          <w:sz w:val="19"/>
          <w:szCs w:val="24"/>
          <w:lang w:val="en-US" w:eastAsia="pl-PL"/>
        </w:rPr>
      </w:pPr>
      <w:r>
        <w:rPr>
          <w:noProof/>
          <w:lang w:eastAsia="pl-PL"/>
        </w:rPr>
        <w:drawing>
          <wp:anchor distT="0" distB="0" distL="114300" distR="114300" simplePos="0" relativeHeight="253299712" behindDoc="0" locked="0" layoutInCell="1" allowOverlap="1">
            <wp:simplePos x="0" y="0"/>
            <wp:positionH relativeFrom="column">
              <wp:posOffset>5354237</wp:posOffset>
            </wp:positionH>
            <wp:positionV relativeFrom="paragraph">
              <wp:posOffset>1701165</wp:posOffset>
            </wp:positionV>
            <wp:extent cx="1633220" cy="1843405"/>
            <wp:effectExtent l="0" t="0" r="5080" b="4445"/>
            <wp:wrapSquare wrapText="bothSides"/>
            <wp:docPr id="236" name="Wykres 236" descr="Value of general business climate indicator in accommodation in the last six months (non-seasonally adjusted data) and its components: “diagnostic” and “forecast” (non-seasonally adjusted data)" title="Graph 6a. General business climate indicator and its components in accommodation">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Pr="004D5FCA">
        <w:rPr>
          <w:noProof/>
          <w:lang w:eastAsia="pl-PL"/>
        </w:rPr>
        <w:drawing>
          <wp:anchor distT="0" distB="0" distL="114300" distR="114300" simplePos="0" relativeHeight="253297664" behindDoc="0" locked="0" layoutInCell="1" allowOverlap="1">
            <wp:simplePos x="0" y="0"/>
            <wp:positionH relativeFrom="column">
              <wp:posOffset>3810</wp:posOffset>
            </wp:positionH>
            <wp:positionV relativeFrom="paragraph">
              <wp:posOffset>1781699</wp:posOffset>
            </wp:positionV>
            <wp:extent cx="4985385" cy="1661795"/>
            <wp:effectExtent l="0" t="0" r="0" b="0"/>
            <wp:wrapSquare wrapText="bothSides"/>
            <wp:docPr id="234" name="Obraz 234"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C703B9" w:rsidRPr="0023408F" w:rsidRDefault="00E6473D" w:rsidP="00C703B9">
      <w:pPr>
        <w:spacing w:before="120" w:after="120"/>
        <w:ind w:firstLine="1134"/>
        <w:rPr>
          <w:rFonts w:ascii="Fira Sans SemiBold" w:eastAsia="Times New Roman" w:hAnsi="Fira Sans SemiBold" w:cs="Times New Roman"/>
          <w:bCs/>
          <w:color w:val="001D77"/>
          <w:sz w:val="19"/>
          <w:szCs w:val="24"/>
          <w:lang w:val="en-US" w:eastAsia="pl-PL"/>
        </w:rPr>
      </w:pPr>
      <w:bookmarkStart w:id="4" w:name="_Hlk95286257"/>
      <w:r>
        <w:rPr>
          <w:noProof/>
          <w:lang w:eastAsia="pl-PL"/>
        </w:rPr>
        <w:drawing>
          <wp:anchor distT="0" distB="0" distL="114300" distR="114300" simplePos="0" relativeHeight="253300736" behindDoc="0" locked="0" layoutInCell="1" allowOverlap="1">
            <wp:simplePos x="0" y="0"/>
            <wp:positionH relativeFrom="column">
              <wp:posOffset>5354982</wp:posOffset>
            </wp:positionH>
            <wp:positionV relativeFrom="paragraph">
              <wp:posOffset>1735482</wp:posOffset>
            </wp:positionV>
            <wp:extent cx="1633220" cy="1843405"/>
            <wp:effectExtent l="0" t="0" r="5080" b="4445"/>
            <wp:wrapSquare wrapText="bothSides"/>
            <wp:docPr id="237" name="Wykres 237"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5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r w:rsidR="004D5FCA" w:rsidRPr="004D5FCA">
        <w:rPr>
          <w:noProof/>
          <w:lang w:eastAsia="pl-PL"/>
        </w:rPr>
        <w:drawing>
          <wp:anchor distT="0" distB="0" distL="114300" distR="114300" simplePos="0" relativeHeight="253298688" behindDoc="0" locked="0" layoutInCell="1" allowOverlap="1">
            <wp:simplePos x="0" y="0"/>
            <wp:positionH relativeFrom="column">
              <wp:posOffset>3810</wp:posOffset>
            </wp:positionH>
            <wp:positionV relativeFrom="paragraph">
              <wp:posOffset>1815989</wp:posOffset>
            </wp:positionV>
            <wp:extent cx="4985385" cy="1661795"/>
            <wp:effectExtent l="0" t="0" r="0" b="0"/>
            <wp:wrapSquare wrapText="bothSides"/>
            <wp:docPr id="235" name="Obraz 235"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85385"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4"/>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E7221A" w:rsidRPr="00E7221A" w:rsidRDefault="00E7221A" w:rsidP="00C703B9">
      <w:pPr>
        <w:spacing w:before="120" w:after="120"/>
        <w:ind w:firstLine="1134"/>
        <w:rPr>
          <w:rFonts w:ascii="Fira Sans SemiBold" w:eastAsia="Times New Roman" w:hAnsi="Fira Sans SemiBold" w:cs="Times New Roman"/>
          <w:bCs/>
          <w:color w:val="001D77"/>
          <w:sz w:val="19"/>
          <w:szCs w:val="24"/>
          <w:lang w:val="en-US" w:eastAsia="pl-PL"/>
        </w:rPr>
      </w:pPr>
    </w:p>
    <w:p w:rsidR="000129BF" w:rsidRPr="0098462A" w:rsidRDefault="000129BF" w:rsidP="00E011CF">
      <w:pPr>
        <w:spacing w:before="120" w:after="120"/>
        <w:rPr>
          <w:rFonts w:ascii="Fira Sans SemiBold" w:eastAsia="Times New Roman" w:hAnsi="Fira Sans SemiBold" w:cs="Times New Roman"/>
          <w:bCs/>
          <w:color w:val="001D77"/>
          <w:spacing w:val="-2"/>
          <w:sz w:val="19"/>
          <w:szCs w:val="19"/>
          <w:lang w:val="en-US"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262D5E" w:rsidP="00262D5E">
      <w:pPr>
        <w:spacing w:line="259" w:lineRule="auto"/>
        <w:rPr>
          <w:rFonts w:ascii="Fira Sans SemiBold" w:eastAsia="Times New Roman" w:hAnsi="Fira Sans SemiBold" w:cs="Times New Roman"/>
          <w:bCs/>
          <w:color w:val="001D77"/>
          <w:spacing w:val="-2"/>
          <w:sz w:val="19"/>
          <w:szCs w:val="19"/>
          <w:lang w:val="en-GB" w:eastAsia="pl-PL"/>
        </w:rPr>
      </w:pPr>
      <w:r>
        <w:rPr>
          <w:rFonts w:ascii="Fira Sans SemiBold" w:eastAsia="Times New Roman" w:hAnsi="Fira Sans SemiBold" w:cs="Times New Roman"/>
          <w:bCs/>
          <w:color w:val="001D77"/>
          <w:spacing w:val="-2"/>
          <w:sz w:val="19"/>
          <w:szCs w:val="19"/>
          <w:lang w:val="en-GB" w:eastAsia="pl-PL"/>
        </w:rPr>
        <w:br w:type="page"/>
      </w:r>
    </w:p>
    <w:p w:rsidR="00E011CF" w:rsidRPr="002A6C3E" w:rsidRDefault="000129BF" w:rsidP="002A6C3E">
      <w:pPr>
        <w:spacing w:before="480" w:after="120"/>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7040"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bookmarkStart w:id="5" w:name="_Hlk95286290"/>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p>
    <w:p w:rsidR="00E011CF" w:rsidRPr="00D17623" w:rsidRDefault="00886C4C" w:rsidP="00A705DB">
      <w:pPr>
        <w:spacing w:before="120" w:after="120"/>
        <w:ind w:left="1134" w:hanging="1191"/>
        <w:rPr>
          <w:rFonts w:ascii="Fira Sans" w:hAnsi="Fira Sans"/>
          <w:b/>
          <w:strike/>
          <w:spacing w:val="-2"/>
          <w:sz w:val="19"/>
          <w:szCs w:val="19"/>
          <w:lang w:val="en-GB"/>
        </w:rPr>
      </w:pPr>
      <w:r w:rsidRPr="00886C4C">
        <w:rPr>
          <w:noProof/>
          <w:lang w:eastAsia="pl-PL"/>
        </w:rPr>
        <w:drawing>
          <wp:anchor distT="0" distB="0" distL="114300" distR="114300" simplePos="0" relativeHeight="253302784" behindDoc="0" locked="0" layoutInCell="1" allowOverlap="1">
            <wp:simplePos x="0" y="0"/>
            <wp:positionH relativeFrom="column">
              <wp:posOffset>5370968</wp:posOffset>
            </wp:positionH>
            <wp:positionV relativeFrom="paragraph">
              <wp:posOffset>209992</wp:posOffset>
            </wp:positionV>
            <wp:extent cx="1542415" cy="1844675"/>
            <wp:effectExtent l="0" t="0" r="635" b="3175"/>
            <wp:wrapSquare wrapText="bothSides"/>
            <wp:docPr id="239" name="Obraz 239"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C4C">
        <w:rPr>
          <w:noProof/>
          <w:lang w:eastAsia="pl-PL"/>
        </w:rPr>
        <w:drawing>
          <wp:anchor distT="0" distB="0" distL="114300" distR="114300" simplePos="0" relativeHeight="253301760" behindDoc="0" locked="0" layoutInCell="1" allowOverlap="1">
            <wp:simplePos x="0" y="0"/>
            <wp:positionH relativeFrom="column">
              <wp:posOffset>19740</wp:posOffset>
            </wp:positionH>
            <wp:positionV relativeFrom="paragraph">
              <wp:posOffset>382905</wp:posOffset>
            </wp:positionV>
            <wp:extent cx="4985385" cy="1654175"/>
            <wp:effectExtent l="0" t="0" r="0" b="0"/>
            <wp:wrapSquare wrapText="bothSides"/>
            <wp:docPr id="238" name="Obraz 238"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8469B9">
        <w:rPr>
          <w:rFonts w:ascii="Fira Sans" w:hAnsi="Fira Sans"/>
          <w:sz w:val="19"/>
          <w:szCs w:val="19"/>
          <w:lang w:val="en-GB"/>
        </w:rPr>
        <w:t>12.8</w:t>
      </w:r>
      <w:r w:rsidR="00A87B62">
        <w:rPr>
          <w:rFonts w:ascii="Fira Sans" w:hAnsi="Fira Sans"/>
          <w:sz w:val="19"/>
          <w:szCs w:val="19"/>
          <w:lang w:val="en-GB"/>
        </w:rPr>
        <w:t>)</w:t>
      </w:r>
      <w:r w:rsidR="00084578">
        <w:rPr>
          <w:rFonts w:ascii="Fira Sans" w:hAnsi="Fira Sans"/>
          <w:sz w:val="19"/>
          <w:szCs w:val="19"/>
          <w:lang w:val="en-GB"/>
        </w:rPr>
        <w:t xml:space="preserve"> – </w:t>
      </w:r>
      <w:r w:rsidR="008469B9">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E925F9">
        <w:rPr>
          <w:rFonts w:ascii="Fira Sans" w:hAnsi="Fira Sans"/>
          <w:sz w:val="19"/>
          <w:szCs w:val="19"/>
          <w:lang w:val="en-GB"/>
        </w:rPr>
        <w:t>April</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E925F9">
        <w:rPr>
          <w:rFonts w:ascii="Fira Sans" w:hAnsi="Fira Sans"/>
          <w:sz w:val="19"/>
          <w:szCs w:val="19"/>
          <w:lang w:val="en-GB"/>
        </w:rPr>
        <w:t>14.1</w:t>
      </w:r>
      <w:r w:rsidR="0094569E" w:rsidRPr="00D17623">
        <w:rPr>
          <w:rFonts w:ascii="Fira Sans" w:hAnsi="Fira Sans"/>
          <w:sz w:val="19"/>
          <w:szCs w:val="19"/>
          <w:lang w:val="en-GB"/>
        </w:rPr>
        <w:t>).</w:t>
      </w:r>
      <w:r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32345D" w:rsidRDefault="00E011CF" w:rsidP="002A6C3E">
      <w:pPr>
        <w:spacing w:before="480" w:after="120"/>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19050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2"/>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886C4C" w:rsidP="00D54A29">
      <w:pPr>
        <w:spacing w:before="120" w:after="120"/>
        <w:ind w:left="1134" w:hanging="1134"/>
        <w:rPr>
          <w:rFonts w:ascii="Fira Sans" w:hAnsi="Fira Sans"/>
          <w:strike/>
          <w:spacing w:val="-4"/>
          <w:sz w:val="19"/>
          <w:szCs w:val="19"/>
          <w:lang w:val="en-GB"/>
        </w:rPr>
      </w:pPr>
      <w:r>
        <w:rPr>
          <w:noProof/>
          <w:lang w:eastAsia="pl-PL"/>
        </w:rPr>
        <w:drawing>
          <wp:anchor distT="0" distB="0" distL="114300" distR="114300" simplePos="0" relativeHeight="253304832" behindDoc="0" locked="0" layoutInCell="1" allowOverlap="1">
            <wp:simplePos x="0" y="0"/>
            <wp:positionH relativeFrom="column">
              <wp:posOffset>5370747</wp:posOffset>
            </wp:positionH>
            <wp:positionV relativeFrom="paragraph">
              <wp:posOffset>118745</wp:posOffset>
            </wp:positionV>
            <wp:extent cx="1541780" cy="1843405"/>
            <wp:effectExtent l="0" t="0" r="1270" b="4445"/>
            <wp:wrapSquare wrapText="bothSides"/>
            <wp:docPr id="242" name="Wykres 242"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0BC2002-3433-47C7-90D3-4CBA77C9F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Pr="00886C4C">
        <w:rPr>
          <w:noProof/>
          <w:lang w:eastAsia="pl-PL"/>
        </w:rPr>
        <w:drawing>
          <wp:anchor distT="0" distB="0" distL="114300" distR="114300" simplePos="0" relativeHeight="253303808" behindDoc="0" locked="0" layoutInCell="1" allowOverlap="1">
            <wp:simplePos x="0" y="0"/>
            <wp:positionH relativeFrom="column">
              <wp:posOffset>19740</wp:posOffset>
            </wp:positionH>
            <wp:positionV relativeFrom="paragraph">
              <wp:posOffset>325147</wp:posOffset>
            </wp:positionV>
            <wp:extent cx="4985385" cy="1654175"/>
            <wp:effectExtent l="0" t="0" r="0" b="0"/>
            <wp:wrapSquare wrapText="bothSides"/>
            <wp:docPr id="240" name="Obraz 240"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E925F9">
        <w:rPr>
          <w:rFonts w:ascii="Fira Sans" w:hAnsi="Fira Sans"/>
          <w:sz w:val="19"/>
          <w:szCs w:val="19"/>
          <w:lang w:val="en-GB"/>
        </w:rPr>
        <w:t>May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8469B9">
        <w:rPr>
          <w:rFonts w:ascii="Fira Sans" w:hAnsi="Fira Sans"/>
          <w:sz w:val="19"/>
          <w:szCs w:val="19"/>
          <w:lang w:val="en-GB"/>
        </w:rPr>
        <w:t>18.4</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DE7506">
        <w:rPr>
          <w:rFonts w:ascii="Fira Sans" w:hAnsi="Fira Sans"/>
          <w:sz w:val="19"/>
          <w:szCs w:val="19"/>
          <w:lang w:val="en-GB"/>
        </w:rPr>
        <w:t>higher</w:t>
      </w:r>
      <w:r w:rsidR="000639B8">
        <w:rPr>
          <w:rFonts w:ascii="Fira Sans" w:hAnsi="Fira Sans"/>
          <w:sz w:val="19"/>
          <w:szCs w:val="19"/>
          <w:lang w:val="en-GB"/>
        </w:rPr>
        <w:t xml:space="preserve"> than</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CE7DB1">
        <w:rPr>
          <w:rFonts w:ascii="Fira Sans" w:hAnsi="Fira Sans"/>
          <w:sz w:val="19"/>
          <w:szCs w:val="19"/>
          <w:lang w:val="en-GB"/>
        </w:rPr>
        <w:t xml:space="preserve"> (plus </w:t>
      </w:r>
      <w:r w:rsidR="00E925F9">
        <w:rPr>
          <w:rFonts w:ascii="Fira Sans" w:hAnsi="Fira Sans"/>
          <w:sz w:val="19"/>
          <w:szCs w:val="19"/>
          <w:lang w:val="en-GB"/>
        </w:rPr>
        <w:t>13.9</w:t>
      </w:r>
      <w:r w:rsidR="00CE7DB1">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 xml:space="preserve">Table 1. </w:t>
      </w:r>
      <w:bookmarkStart w:id="7" w:name="_Hlk95286680"/>
      <w:r w:rsidR="003A6C49">
        <w:rPr>
          <w:rFonts w:ascii="Fira Sans" w:hAnsi="Fira Sans"/>
          <w:spacing w:val="-2"/>
          <w:szCs w:val="19"/>
          <w:lang w:val="en-GB"/>
        </w:rPr>
        <w:t>General b</w:t>
      </w:r>
      <w:r w:rsidRPr="00D17623">
        <w:rPr>
          <w:rFonts w:ascii="Fira Sans" w:hAnsi="Fira Sans"/>
          <w:spacing w:val="-2"/>
          <w:szCs w:val="19"/>
          <w:lang w:val="en-GB"/>
        </w:rPr>
        <w:t xml:space="preserve">usiness climate indicators </w:t>
      </w:r>
      <w:bookmarkStart w:id="8" w:name="_Hlk95286692"/>
      <w:bookmarkEnd w:id="7"/>
      <w:r w:rsidRPr="00D17623">
        <w:rPr>
          <w:rFonts w:ascii="Fira Sans" w:hAnsi="Fira Sans"/>
          <w:spacing w:val="-2"/>
          <w:szCs w:val="19"/>
          <w:lang w:val="en-GB"/>
        </w:rPr>
        <w:t>by kind of activity</w:t>
      </w:r>
      <w:bookmarkEnd w:id="8"/>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9" w:name="_Hlk95286882"/>
            <w:r w:rsidRPr="00D17623">
              <w:rPr>
                <w:rFonts w:ascii="Fira Sans" w:hAnsi="Fira Sans"/>
                <w:sz w:val="14"/>
                <w:szCs w:val="14"/>
                <w:lang w:val="en-GB"/>
              </w:rPr>
              <w:t>Analogous month of the previous year</w:t>
            </w:r>
            <w:bookmarkEnd w:id="9"/>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0" w:name="_Hlk95286904"/>
            <w:r w:rsidRPr="00D17623">
              <w:rPr>
                <w:rFonts w:ascii="Fira Sans" w:hAnsi="Fira Sans"/>
                <w:sz w:val="14"/>
                <w:szCs w:val="14"/>
                <w:lang w:val="en-GB"/>
              </w:rPr>
              <w:t xml:space="preserve">Long-term </w:t>
            </w:r>
            <w:bookmarkEnd w:id="10"/>
            <w:r w:rsidR="00BC1EC0">
              <w:rPr>
                <w:rFonts w:ascii="Fira Sans" w:hAnsi="Fira Sans"/>
                <w:sz w:val="14"/>
                <w:szCs w:val="14"/>
                <w:lang w:val="en-GB"/>
              </w:rPr>
              <w:t>mean</w:t>
            </w:r>
          </w:p>
        </w:tc>
      </w:tr>
      <w:tr w:rsidR="009802DD"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9802DD" w:rsidRPr="00D17623" w:rsidRDefault="009802DD" w:rsidP="009802D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06880" behindDoc="0" locked="0" layoutInCell="1" allowOverlap="1" wp14:anchorId="502A6E5A" wp14:editId="06D863D7">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851" w:type="dxa"/>
            <w:tcBorders>
              <w:top w:val="single" w:sz="12" w:space="0" w:color="001D77"/>
              <w:bottom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-13,4</w:t>
            </w:r>
          </w:p>
        </w:tc>
        <w:tc>
          <w:tcPr>
            <w:tcW w:w="850" w:type="dxa"/>
            <w:tcBorders>
              <w:top w:val="single" w:sz="12" w:space="0" w:color="001D77"/>
              <w:bottom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-11,8</w:t>
            </w:r>
          </w:p>
        </w:tc>
        <w:tc>
          <w:tcPr>
            <w:tcW w:w="1115" w:type="dxa"/>
            <w:tcBorders>
              <w:top w:val="single" w:sz="12"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2,3</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2,4</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-8,7</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-6,9</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-14,3</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-12,3</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6,0</w:t>
            </w:r>
          </w:p>
        </w:tc>
      </w:tr>
      <w:tr w:rsidR="009802D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07904" behindDoc="0" locked="0" layoutInCell="1" allowOverlap="1" wp14:anchorId="367AED39" wp14:editId="24EB6D70">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-7,3</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-12,5</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-2,7</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-8,4</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-15,4</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-14,0</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-2,7</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-12,4</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-11,2</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-6,0</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-18,4</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-16,7</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0,7</w:t>
            </w:r>
          </w:p>
        </w:tc>
      </w:tr>
      <w:tr w:rsidR="009802D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08928" behindDoc="0" locked="0" layoutInCell="1" allowOverlap="1" wp14:anchorId="76D23155" wp14:editId="78BB8D4D">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4,0</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4,4</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0,9</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4,0</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9,1</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-0,5</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-8,8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-1,2</w:t>
            </w:r>
          </w:p>
        </w:tc>
      </w:tr>
      <w:tr w:rsidR="009802D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09952" behindDoc="0" locked="0" layoutInCell="1" allowOverlap="1" wp14:anchorId="4E28B3E4" wp14:editId="0A8A017B">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-1,7</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-7,0</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-4,2</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-0,4</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-7,5</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-5,7</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-4,2</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-2,6</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-3,7</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-10,5</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-4,7</w:t>
            </w:r>
          </w:p>
        </w:tc>
      </w:tr>
      <w:tr w:rsidR="009802D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802DD" w:rsidRPr="00D17623" w:rsidRDefault="009802DD" w:rsidP="009802D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10976" behindDoc="0" locked="0" layoutInCell="1" allowOverlap="1" wp14:anchorId="6B678261" wp14:editId="7D01B401">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-7,5</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-0,4</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3,1</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-5,8</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-6,1</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-0,4</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1,6</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1,7</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0,7</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-13,8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-1,4</w:t>
            </w:r>
          </w:p>
        </w:tc>
      </w:tr>
      <w:tr w:rsidR="009802DD"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802DD" w:rsidRPr="00D17623" w:rsidRDefault="009802DD" w:rsidP="009802DD">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12000" behindDoc="0" locked="0" layoutInCell="1" allowOverlap="1" wp14:anchorId="45637270" wp14:editId="132A1812">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-19,7</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-6,1</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-0,2</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-12,9</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-0,2</w:t>
            </w:r>
          </w:p>
        </w:tc>
      </w:tr>
      <w:tr w:rsidR="009802DD" w:rsidRPr="00D17623" w:rsidTr="00F8129D">
        <w:trPr>
          <w:trHeight w:hRule="exact" w:val="369"/>
        </w:trPr>
        <w:tc>
          <w:tcPr>
            <w:tcW w:w="1418" w:type="dxa"/>
            <w:vMerge/>
            <w:tcBorders>
              <w:top w:val="single" w:sz="4" w:space="0" w:color="001D77"/>
              <w:left w:val="nil"/>
              <w:bottom w:val="single" w:sz="4" w:space="0" w:color="001D77"/>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-50,0</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-2,3</w:t>
            </w:r>
          </w:p>
        </w:tc>
      </w:tr>
      <w:tr w:rsidR="009802DD" w:rsidRPr="00D17623" w:rsidTr="00F8129D">
        <w:trPr>
          <w:trHeight w:hRule="exact" w:val="369"/>
        </w:trPr>
        <w:tc>
          <w:tcPr>
            <w:tcW w:w="1418" w:type="dxa"/>
            <w:vMerge/>
            <w:tcBorders>
              <w:top w:val="single" w:sz="4" w:space="0" w:color="001D77"/>
              <w:left w:val="nil"/>
              <w:bottom w:val="single" w:sz="4" w:space="0" w:color="auto"/>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24,3</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2,0</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14,5</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2,0</w:t>
            </w:r>
          </w:p>
        </w:tc>
      </w:tr>
      <w:tr w:rsidR="009802DD" w:rsidRPr="00D17623" w:rsidTr="00F8129D">
        <w:trPr>
          <w:trHeight w:hRule="exact" w:val="369"/>
        </w:trPr>
        <w:tc>
          <w:tcPr>
            <w:tcW w:w="1418" w:type="dxa"/>
            <w:vMerge w:val="restart"/>
            <w:tcBorders>
              <w:left w:val="nil"/>
              <w:right w:val="nil"/>
            </w:tcBorders>
          </w:tcPr>
          <w:p w:rsidR="009802DD" w:rsidRPr="00D17623" w:rsidRDefault="009802DD" w:rsidP="009802D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13024" behindDoc="0" locked="0" layoutInCell="1" allowOverlap="1" wp14:anchorId="50EA14CC" wp14:editId="3F2CC108">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13,3</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18,6</w:t>
            </w:r>
          </w:p>
        </w:tc>
      </w:tr>
      <w:tr w:rsidR="009802DD" w:rsidRPr="00D17623" w:rsidTr="00F8129D">
        <w:trPr>
          <w:trHeight w:hRule="exact" w:val="369"/>
        </w:trPr>
        <w:tc>
          <w:tcPr>
            <w:tcW w:w="1418" w:type="dxa"/>
            <w:vMerge/>
            <w:tcBorders>
              <w:left w:val="nil"/>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13,0</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14,1</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12,8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18,6</w:t>
            </w:r>
          </w:p>
        </w:tc>
      </w:tr>
      <w:tr w:rsidR="009802DD" w:rsidRPr="00D17623" w:rsidTr="00F8129D">
        <w:trPr>
          <w:trHeight w:hRule="exact" w:val="369"/>
        </w:trPr>
        <w:tc>
          <w:tcPr>
            <w:tcW w:w="1418" w:type="dxa"/>
            <w:vMerge/>
            <w:tcBorders>
              <w:left w:val="nil"/>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25,3</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29,0</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26,8</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26,0</w:t>
            </w:r>
          </w:p>
        </w:tc>
      </w:tr>
      <w:tr w:rsidR="009802DD" w:rsidRPr="00D17623" w:rsidTr="00F8129D">
        <w:trPr>
          <w:trHeight w:hRule="exact" w:val="369"/>
        </w:trPr>
        <w:tc>
          <w:tcPr>
            <w:tcW w:w="1418" w:type="dxa"/>
            <w:vMerge/>
            <w:tcBorders>
              <w:left w:val="nil"/>
              <w:bottom w:val="single" w:sz="4" w:space="0" w:color="auto"/>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0,7</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-1,3</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11,2</w:t>
            </w:r>
          </w:p>
        </w:tc>
      </w:tr>
      <w:tr w:rsidR="009802DD" w:rsidRPr="00D17623" w:rsidTr="00F8129D">
        <w:trPr>
          <w:trHeight w:val="369"/>
        </w:trPr>
        <w:tc>
          <w:tcPr>
            <w:tcW w:w="1418" w:type="dxa"/>
            <w:vMerge w:val="restart"/>
            <w:tcBorders>
              <w:left w:val="nil"/>
              <w:bottom w:val="nil"/>
              <w:right w:val="nil"/>
            </w:tcBorders>
          </w:tcPr>
          <w:p w:rsidR="009802DD" w:rsidRPr="00D17623" w:rsidRDefault="009802DD" w:rsidP="009802DD">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314048" behindDoc="0" locked="0" layoutInCell="1" allowOverlap="1" wp14:anchorId="32F63177" wp14:editId="29D468BD">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w:t>
            </w:r>
          </w:p>
        </w:tc>
      </w:tr>
      <w:tr w:rsidR="009802DD" w:rsidRPr="00D17623" w:rsidTr="00F8129D">
        <w:trPr>
          <w:trHeight w:val="369"/>
        </w:trPr>
        <w:tc>
          <w:tcPr>
            <w:tcW w:w="1418" w:type="dxa"/>
            <w:vMerge/>
            <w:tcBorders>
              <w:left w:val="nil"/>
              <w:bottom w:val="nil"/>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18,4</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26,5</w:t>
            </w:r>
          </w:p>
        </w:tc>
      </w:tr>
      <w:tr w:rsidR="009802DD" w:rsidRPr="00D17623" w:rsidTr="00F8129D">
        <w:trPr>
          <w:trHeight w:val="369"/>
        </w:trPr>
        <w:tc>
          <w:tcPr>
            <w:tcW w:w="1418" w:type="dxa"/>
            <w:vMerge/>
            <w:tcBorders>
              <w:left w:val="nil"/>
              <w:bottom w:val="nil"/>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25,5</w:t>
            </w:r>
          </w:p>
        </w:tc>
        <w:tc>
          <w:tcPr>
            <w:tcW w:w="850" w:type="dxa"/>
            <w:tcBorders>
              <w:top w:val="single" w:sz="4" w:space="0" w:color="001D77"/>
              <w:left w:val="single" w:sz="4" w:space="0" w:color="001D77"/>
              <w:bottom w:val="single" w:sz="4" w:space="0" w:color="001D77"/>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30,4</w:t>
            </w:r>
          </w:p>
        </w:tc>
        <w:tc>
          <w:tcPr>
            <w:tcW w:w="1115" w:type="dxa"/>
            <w:tcBorders>
              <w:top w:val="single" w:sz="4" w:space="0" w:color="001D77"/>
              <w:left w:val="single" w:sz="4" w:space="0" w:color="001D77"/>
              <w:bottom w:val="single" w:sz="4" w:space="0" w:color="001D77"/>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33,0</w:t>
            </w:r>
          </w:p>
        </w:tc>
      </w:tr>
      <w:tr w:rsidR="009802DD" w:rsidRPr="00D17623" w:rsidTr="00F8129D">
        <w:trPr>
          <w:trHeight w:val="354"/>
        </w:trPr>
        <w:tc>
          <w:tcPr>
            <w:tcW w:w="1418" w:type="dxa"/>
            <w:vMerge/>
            <w:tcBorders>
              <w:left w:val="nil"/>
              <w:bottom w:val="nil"/>
              <w:right w:val="nil"/>
            </w:tcBorders>
          </w:tcPr>
          <w:p w:rsidR="009802DD" w:rsidRPr="00D17623" w:rsidRDefault="009802DD" w:rsidP="009802DD">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9802DD" w:rsidRPr="00D17623" w:rsidRDefault="009802DD" w:rsidP="009802DD">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851" w:type="dxa"/>
            <w:tcBorders>
              <w:top w:val="single" w:sz="4" w:space="0" w:color="001D77"/>
              <w:left w:val="single" w:sz="4" w:space="0" w:color="001D77"/>
              <w:bottom w:val="nil"/>
              <w:right w:val="single" w:sz="4" w:space="0" w:color="001D77"/>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850" w:type="dxa"/>
            <w:tcBorders>
              <w:top w:val="single" w:sz="4" w:space="0" w:color="001D77"/>
              <w:left w:val="single" w:sz="4" w:space="0" w:color="001D77"/>
              <w:bottom w:val="nil"/>
              <w:right w:val="single" w:sz="4" w:space="0" w:color="001D77"/>
            </w:tcBorders>
            <w:vAlign w:val="center"/>
          </w:tcPr>
          <w:p w:rsidR="009802DD" w:rsidRPr="00AE756C" w:rsidRDefault="009802DD" w:rsidP="009802DD">
            <w:pPr>
              <w:spacing w:before="40" w:after="40" w:line="259" w:lineRule="auto"/>
              <w:jc w:val="right"/>
              <w:rPr>
                <w:rFonts w:ascii="Fira Sans" w:hAnsi="Fira Sans"/>
                <w:b/>
                <w:sz w:val="12"/>
                <w:szCs w:val="12"/>
              </w:rPr>
            </w:pPr>
            <w:r w:rsidRPr="00AE756C">
              <w:rPr>
                <w:rFonts w:ascii="Fira Sans" w:hAnsi="Fira Sans" w:cs="Calibri"/>
                <w:b/>
                <w:color w:val="000000"/>
                <w:sz w:val="12"/>
                <w:szCs w:val="12"/>
              </w:rPr>
              <w:t>6,4</w:t>
            </w:r>
          </w:p>
        </w:tc>
        <w:tc>
          <w:tcPr>
            <w:tcW w:w="1115" w:type="dxa"/>
            <w:tcBorders>
              <w:top w:val="single" w:sz="4" w:space="0" w:color="001D77"/>
              <w:left w:val="single" w:sz="4" w:space="0" w:color="001D77"/>
              <w:bottom w:val="nil"/>
              <w:right w:val="nil"/>
            </w:tcBorders>
            <w:vAlign w:val="center"/>
          </w:tcPr>
          <w:p w:rsidR="009802DD" w:rsidRPr="00942FF4" w:rsidRDefault="009802DD" w:rsidP="009802DD">
            <w:pPr>
              <w:spacing w:before="40" w:after="40" w:line="259" w:lineRule="auto"/>
              <w:jc w:val="right"/>
              <w:rPr>
                <w:rFonts w:ascii="Fira Sans" w:hAnsi="Fira Sans"/>
                <w:sz w:val="12"/>
                <w:szCs w:val="12"/>
              </w:rPr>
            </w:pPr>
            <w:r>
              <w:rPr>
                <w:rFonts w:ascii="Fira Sans" w:hAnsi="Fira Sans" w:cs="Calibri"/>
                <w:color w:val="000000"/>
                <w:sz w:val="12"/>
                <w:szCs w:val="12"/>
              </w:rPr>
              <w:t>20,0</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w:t>
      </w:r>
      <w:r w:rsidR="00E93307">
        <w:rPr>
          <w:color w:val="auto"/>
          <w:sz w:val="32"/>
          <w:szCs w:val="32"/>
          <w:lang w:val="en-GB"/>
        </w:rPr>
        <w:t xml:space="preserve">and war in Ukraine </w:t>
      </w:r>
      <w:r w:rsidR="00A36444" w:rsidRPr="00D17623">
        <w:rPr>
          <w:color w:val="auto"/>
          <w:sz w:val="32"/>
          <w:szCs w:val="32"/>
          <w:lang w:val="en-GB"/>
        </w:rPr>
        <w:t>on business tendency</w:t>
      </w:r>
      <w:r w:rsidR="00E93307">
        <w:rPr>
          <w:color w:val="auto"/>
          <w:sz w:val="32"/>
          <w:szCs w:val="32"/>
          <w:lang w:val="en-GB"/>
        </w:rPr>
        <w:t xml:space="preserve"> </w:t>
      </w:r>
      <w:r w:rsidRPr="00D17623">
        <w:rPr>
          <w:color w:val="auto"/>
          <w:sz w:val="32"/>
          <w:szCs w:val="32"/>
          <w:lang w:val="en-GB"/>
        </w:rPr>
        <w:t xml:space="preserve">– </w:t>
      </w:r>
      <w:r w:rsidR="0007237F" w:rsidRPr="00D17623">
        <w:rPr>
          <w:color w:val="auto"/>
          <w:sz w:val="32"/>
          <w:szCs w:val="32"/>
          <w:lang w:val="en-GB"/>
        </w:rPr>
        <w:t>assessments and expectations</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32345D" w:rsidTr="000949DE">
        <w:tc>
          <w:tcPr>
            <w:tcW w:w="8044" w:type="dxa"/>
            <w:shd w:val="clear" w:color="auto" w:fill="C4CBF5"/>
          </w:tcPr>
          <w:p w:rsidR="00672E47" w:rsidRPr="00D17623" w:rsidRDefault="003A65E0" w:rsidP="00145723">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three sections – general questions (</w:t>
            </w:r>
            <w:r w:rsidR="002F6FA7">
              <w:rPr>
                <w:rFonts w:ascii="Fira Sans" w:hAnsi="Fira Sans"/>
                <w:color w:val="000000" w:themeColor="text1"/>
                <w:sz w:val="14"/>
                <w:szCs w:val="14"/>
                <w:lang w:val="en-GB"/>
              </w:rPr>
              <w:t>concerning</w:t>
            </w:r>
            <w:r w:rsidR="00846125">
              <w:rPr>
                <w:rFonts w:ascii="Fira Sans" w:hAnsi="Fira Sans"/>
                <w:color w:val="000000" w:themeColor="text1"/>
                <w:sz w:val="14"/>
                <w:szCs w:val="14"/>
                <w:lang w:val="en-GB"/>
              </w:rPr>
              <w:t xml:space="preserve"> the impact of </w:t>
            </w:r>
            <w:r w:rsidR="003744D3">
              <w:rPr>
                <w:rFonts w:ascii="Fira Sans" w:hAnsi="Fira Sans"/>
                <w:color w:val="000000" w:themeColor="text1"/>
                <w:sz w:val="14"/>
                <w:szCs w:val="14"/>
                <w:lang w:val="en-GB"/>
              </w:rPr>
              <w:t xml:space="preserve">both </w:t>
            </w:r>
            <w:r w:rsidR="00846125">
              <w:rPr>
                <w:rFonts w:ascii="Fira Sans" w:hAnsi="Fira Sans"/>
                <w:color w:val="000000" w:themeColor="text1"/>
                <w:sz w:val="14"/>
                <w:szCs w:val="14"/>
                <w:lang w:val="en-GB"/>
              </w:rPr>
              <w:t xml:space="preserve">COVID-19 and war in Ukraine), questions on the impact of COVID-19 </w:t>
            </w:r>
            <w:r w:rsidR="006B1492">
              <w:rPr>
                <w:rFonts w:ascii="Fira Sans" w:hAnsi="Fira Sans"/>
                <w:color w:val="000000" w:themeColor="text1"/>
                <w:sz w:val="14"/>
                <w:szCs w:val="14"/>
                <w:lang w:val="en-GB"/>
              </w:rPr>
              <w:t>(due to lifting the state of epidemic in Poland, starting from 15</w:t>
            </w:r>
            <w:r w:rsidR="00683C18">
              <w:rPr>
                <w:rFonts w:ascii="Fira Sans" w:hAnsi="Fira Sans"/>
                <w:color w:val="000000" w:themeColor="text1"/>
                <w:sz w:val="14"/>
                <w:szCs w:val="14"/>
                <w:lang w:val="en-GB"/>
              </w:rPr>
              <w:t>.05.</w:t>
            </w:r>
            <w:r w:rsidR="006B1492">
              <w:rPr>
                <w:rFonts w:ascii="Fira Sans" w:hAnsi="Fira Sans"/>
                <w:color w:val="000000" w:themeColor="text1"/>
                <w:sz w:val="14"/>
                <w:szCs w:val="14"/>
                <w:lang w:val="en-GB"/>
              </w:rPr>
              <w:t>2022</w:t>
            </w:r>
            <w:r w:rsidR="00683C18">
              <w:rPr>
                <w:rFonts w:ascii="Fira Sans" w:hAnsi="Fira Sans"/>
                <w:color w:val="000000" w:themeColor="text1"/>
                <w:sz w:val="14"/>
                <w:szCs w:val="14"/>
                <w:lang w:val="en-GB"/>
              </w:rPr>
              <w:t xml:space="preserve"> May is the last month </w:t>
            </w:r>
            <w:r w:rsidR="00145723">
              <w:rPr>
                <w:rFonts w:ascii="Fira Sans" w:hAnsi="Fira Sans"/>
                <w:color w:val="000000" w:themeColor="text1"/>
                <w:sz w:val="14"/>
                <w:szCs w:val="14"/>
                <w:lang w:val="en-GB"/>
              </w:rPr>
              <w:t xml:space="preserve">for which </w:t>
            </w:r>
            <w:r w:rsidR="00683C18">
              <w:rPr>
                <w:rFonts w:ascii="Fira Sans" w:hAnsi="Fira Sans"/>
                <w:color w:val="000000" w:themeColor="text1"/>
                <w:sz w:val="14"/>
                <w:szCs w:val="14"/>
                <w:lang w:val="en-GB"/>
              </w:rPr>
              <w:t>data in this regard are presented)</w:t>
            </w:r>
            <w:r w:rsidR="006B1492">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as well as questions regarding the impact of war in Ukraine.</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 of respondents' answers to a given question variant</w:t>
            </w:r>
            <w:r w:rsidR="00145723">
              <w:rPr>
                <w:rFonts w:ascii="Fira Sans" w:hAnsi="Fira Sans"/>
                <w:color w:val="000000" w:themeColor="text1"/>
                <w:sz w:val="14"/>
                <w:szCs w:val="14"/>
                <w:lang w:val="en-GB"/>
              </w:rPr>
              <w:t>, apart from question 2, where mean of the values of the answers given is presented</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bookmarkStart w:id="11" w:name="_Hlk95286970"/>
      <w:r w:rsidRPr="00D17623">
        <w:rPr>
          <w:rFonts w:ascii="Fira Sans" w:hAnsi="Fira Sans"/>
          <w:spacing w:val="-2"/>
          <w:szCs w:val="19"/>
          <w:lang w:val="en-GB"/>
        </w:rPr>
        <w:t xml:space="preserve">Table 2. Survey data </w:t>
      </w:r>
      <w:r w:rsidR="002C0522">
        <w:rPr>
          <w:rFonts w:ascii="Fira Sans" w:hAnsi="Fira Sans"/>
          <w:spacing w:val="-2"/>
          <w:szCs w:val="19"/>
          <w:lang w:val="en-GB"/>
        </w:rPr>
        <w:t>concerning the</w:t>
      </w:r>
      <w:r w:rsidRPr="00D17623">
        <w:rPr>
          <w:rFonts w:ascii="Fira Sans" w:hAnsi="Fira Sans"/>
          <w:spacing w:val="-2"/>
          <w:szCs w:val="19"/>
          <w:lang w:val="en-GB"/>
        </w:rPr>
        <w:t xml:space="preserve"> impact of COVID-19 pandemic </w:t>
      </w:r>
      <w:r w:rsidR="003C53E9">
        <w:rPr>
          <w:rFonts w:ascii="Fira Sans" w:hAnsi="Fira Sans"/>
          <w:spacing w:val="-2"/>
          <w:szCs w:val="19"/>
          <w:lang w:val="en-GB"/>
        </w:rPr>
        <w:t xml:space="preserve">and war in Ukraine </w:t>
      </w:r>
      <w:r w:rsidRPr="00D17623">
        <w:rPr>
          <w:rFonts w:ascii="Fira Sans" w:hAnsi="Fira Sans"/>
          <w:spacing w:val="-2"/>
          <w:szCs w:val="19"/>
          <w:lang w:val="en-GB"/>
        </w:rPr>
        <w:t>on business tendency</w:t>
      </w:r>
      <w:bookmarkEnd w:id="11"/>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and war in Ukraine on business tendency"/>
        <w:tblDescription w:val="Survey data concerning the impact of COVID-19 pandemic and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835F14" w:rsidRPr="0032345D" w:rsidTr="004D5FCA">
        <w:tc>
          <w:tcPr>
            <w:tcW w:w="2552" w:type="dxa"/>
            <w:tcBorders>
              <w:top w:val="nil"/>
              <w:left w:val="nil"/>
              <w:bottom w:val="single" w:sz="2" w:space="0" w:color="001D77"/>
              <w:right w:val="single" w:sz="2" w:space="0" w:color="001D77"/>
            </w:tcBorders>
            <w:vAlign w:val="center"/>
          </w:tcPr>
          <w:p w:rsidR="00835F14" w:rsidRPr="006B3A7A" w:rsidRDefault="005705CB"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0320" behindDoc="0" locked="0" layoutInCell="1" allowOverlap="1" wp14:anchorId="24A6EAC9" wp14:editId="3289DEE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1344" behindDoc="0" locked="0" layoutInCell="1" allowOverlap="1" wp14:anchorId="6E396BD4" wp14:editId="2BEAA664">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2368" behindDoc="0" locked="0" layoutInCell="1" allowOverlap="1" wp14:anchorId="63FE2643" wp14:editId="280ED3AC">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835F14" w:rsidRPr="006B3A7A" w:rsidRDefault="00835F14" w:rsidP="004D5FCA">
            <w:pPr>
              <w:spacing w:line="259" w:lineRule="auto"/>
              <w:jc w:val="center"/>
              <w:rPr>
                <w:rFonts w:ascii="Fira Sans" w:hAnsi="Fira Sans"/>
                <w:sz w:val="12"/>
                <w:szCs w:val="12"/>
              </w:rPr>
            </w:pP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3392" behindDoc="0" locked="0" layoutInCell="1" allowOverlap="1" wp14:anchorId="5BDB4693" wp14:editId="062F4E1F">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835F14" w:rsidRPr="006B3A7A" w:rsidRDefault="00835F14" w:rsidP="004D5FCA">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244416" behindDoc="0" locked="0" layoutInCell="1" allowOverlap="1" wp14:anchorId="5FD4B122" wp14:editId="7D9C563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835F14" w:rsidRPr="006B3A7A" w:rsidRDefault="005705CB"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835F14" w:rsidRPr="005705CB" w:rsidRDefault="00835F14" w:rsidP="004D5FCA">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245440" behindDoc="0" locked="0" layoutInCell="1" allowOverlap="1" wp14:anchorId="71A384C4" wp14:editId="292953DB">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835F14" w:rsidRPr="005705CB" w:rsidRDefault="005705CB"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835F14" w:rsidRPr="006B3A7A"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6B3A7A" w:rsidRDefault="005705CB" w:rsidP="004D5FCA">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GENERAL QUESTIONS</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32345D" w:rsidTr="004D5FCA">
        <w:tc>
          <w:tcPr>
            <w:tcW w:w="8096" w:type="dxa"/>
            <w:gridSpan w:val="7"/>
            <w:tcBorders>
              <w:top w:val="nil"/>
              <w:left w:val="nil"/>
              <w:bottom w:val="single" w:sz="4" w:space="0" w:color="001D77"/>
              <w:right w:val="nil"/>
            </w:tcBorders>
          </w:tcPr>
          <w:p w:rsidR="00835F14" w:rsidRPr="005705CB" w:rsidRDefault="005705CB" w:rsidP="004D5FCA">
            <w:pPr>
              <w:tabs>
                <w:tab w:val="left" w:pos="176"/>
              </w:tabs>
              <w:spacing w:before="60" w:after="60" w:line="259" w:lineRule="auto"/>
              <w:ind w:left="176" w:hanging="176"/>
              <w:rPr>
                <w:rFonts w:ascii="Fira Sans" w:hAnsi="Fira Sans"/>
                <w:sz w:val="14"/>
                <w:szCs w:val="14"/>
                <w:lang w:val="en-US"/>
              </w:rPr>
            </w:pPr>
            <w:r w:rsidRPr="005705CB">
              <w:rPr>
                <w:rFonts w:ascii="Fira Sans" w:hAnsi="Fira Sans"/>
                <w:b/>
                <w:sz w:val="14"/>
                <w:szCs w:val="14"/>
                <w:lang w:val="en-US"/>
              </w:rPr>
              <w:t>1. If the current situation deriving from COVID-19 pandemic as well as the ongoing war in Ukraine persisted for a prolonged period, how many months could your company survive?</w:t>
            </w:r>
          </w:p>
        </w:tc>
      </w:tr>
      <w:tr w:rsidR="0073319A" w:rsidRPr="006B3A7A" w:rsidTr="00110BB1">
        <w:tc>
          <w:tcPr>
            <w:tcW w:w="2552" w:type="dxa"/>
            <w:tcBorders>
              <w:top w:val="single" w:sz="2" w:space="0" w:color="001D77"/>
              <w:left w:val="nil"/>
              <w:bottom w:val="single" w:sz="2" w:space="0" w:color="001D77"/>
              <w:right w:val="single" w:sz="2" w:space="0" w:color="001D77"/>
            </w:tcBorders>
            <w:vAlign w:val="center"/>
          </w:tcPr>
          <w:p w:rsidR="0073319A" w:rsidRPr="00D17623" w:rsidRDefault="0073319A" w:rsidP="0073319A">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47" w:type="dxa"/>
            <w:tcBorders>
              <w:top w:val="single" w:sz="4" w:space="0" w:color="001D77"/>
              <w:left w:val="single" w:sz="2"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907"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1,3</w:t>
            </w:r>
          </w:p>
        </w:tc>
        <w:tc>
          <w:tcPr>
            <w:tcW w:w="924"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0,7</w:t>
            </w:r>
          </w:p>
        </w:tc>
        <w:tc>
          <w:tcPr>
            <w:tcW w:w="959"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1,4</w:t>
            </w:r>
          </w:p>
        </w:tc>
        <w:tc>
          <w:tcPr>
            <w:tcW w:w="952"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3,2</w:t>
            </w:r>
          </w:p>
        </w:tc>
        <w:tc>
          <w:tcPr>
            <w:tcW w:w="955" w:type="dxa"/>
            <w:tcBorders>
              <w:top w:val="single" w:sz="4" w:space="0" w:color="001D77"/>
              <w:left w:val="single" w:sz="4" w:space="0" w:color="001D77"/>
              <w:bottom w:val="single" w:sz="2" w:space="0" w:color="001D77"/>
              <w:right w:val="nil"/>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2,4</w:t>
            </w:r>
          </w:p>
        </w:tc>
      </w:tr>
      <w:tr w:rsidR="0073319A" w:rsidRPr="006B3A7A" w:rsidTr="00110BB1">
        <w:tc>
          <w:tcPr>
            <w:tcW w:w="2552" w:type="dxa"/>
            <w:tcBorders>
              <w:top w:val="single" w:sz="2" w:space="0" w:color="001D77"/>
              <w:left w:val="nil"/>
              <w:bottom w:val="single" w:sz="2" w:space="0" w:color="001D77"/>
              <w:right w:val="single" w:sz="2" w:space="0" w:color="001D77"/>
            </w:tcBorders>
            <w:vAlign w:val="center"/>
          </w:tcPr>
          <w:p w:rsidR="0073319A" w:rsidRPr="00D17623" w:rsidRDefault="0073319A" w:rsidP="0073319A">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47" w:type="dxa"/>
            <w:tcBorders>
              <w:top w:val="single" w:sz="4" w:space="0" w:color="001D77"/>
              <w:left w:val="single" w:sz="2"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5,5</w:t>
            </w:r>
          </w:p>
        </w:tc>
        <w:tc>
          <w:tcPr>
            <w:tcW w:w="907"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3,8</w:t>
            </w:r>
          </w:p>
        </w:tc>
        <w:tc>
          <w:tcPr>
            <w:tcW w:w="924"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3,6</w:t>
            </w:r>
          </w:p>
        </w:tc>
        <w:tc>
          <w:tcPr>
            <w:tcW w:w="959"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5,6</w:t>
            </w:r>
          </w:p>
        </w:tc>
        <w:tc>
          <w:tcPr>
            <w:tcW w:w="952"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3,7</w:t>
            </w:r>
          </w:p>
        </w:tc>
        <w:tc>
          <w:tcPr>
            <w:tcW w:w="955" w:type="dxa"/>
            <w:tcBorders>
              <w:top w:val="single" w:sz="4" w:space="0" w:color="001D77"/>
              <w:left w:val="single" w:sz="4" w:space="0" w:color="001D77"/>
              <w:bottom w:val="single" w:sz="4" w:space="0" w:color="001D77"/>
              <w:right w:val="nil"/>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4,8</w:t>
            </w:r>
          </w:p>
        </w:tc>
      </w:tr>
      <w:tr w:rsidR="0073319A" w:rsidRPr="006B3A7A" w:rsidTr="00110BB1">
        <w:tc>
          <w:tcPr>
            <w:tcW w:w="2552" w:type="dxa"/>
            <w:tcBorders>
              <w:top w:val="single" w:sz="2" w:space="0" w:color="001D77"/>
              <w:left w:val="nil"/>
              <w:bottom w:val="single" w:sz="2" w:space="0" w:color="001D77"/>
              <w:right w:val="single" w:sz="2" w:space="0" w:color="001D77"/>
            </w:tcBorders>
            <w:vAlign w:val="center"/>
          </w:tcPr>
          <w:p w:rsidR="0073319A" w:rsidRPr="00D17623" w:rsidRDefault="0073319A" w:rsidP="0073319A">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47" w:type="dxa"/>
            <w:tcBorders>
              <w:top w:val="single" w:sz="4" w:space="0" w:color="001D77"/>
              <w:left w:val="single" w:sz="2"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14,6</w:t>
            </w:r>
          </w:p>
        </w:tc>
        <w:tc>
          <w:tcPr>
            <w:tcW w:w="907"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17,3</w:t>
            </w:r>
          </w:p>
        </w:tc>
        <w:tc>
          <w:tcPr>
            <w:tcW w:w="924"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8,9</w:t>
            </w:r>
          </w:p>
        </w:tc>
        <w:tc>
          <w:tcPr>
            <w:tcW w:w="959"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10,5</w:t>
            </w:r>
          </w:p>
        </w:tc>
        <w:tc>
          <w:tcPr>
            <w:tcW w:w="952" w:type="dxa"/>
            <w:tcBorders>
              <w:top w:val="single" w:sz="4" w:space="0" w:color="001D77"/>
              <w:left w:val="single" w:sz="4" w:space="0" w:color="001D77"/>
              <w:bottom w:val="single" w:sz="4"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11,7</w:t>
            </w:r>
          </w:p>
        </w:tc>
        <w:tc>
          <w:tcPr>
            <w:tcW w:w="955" w:type="dxa"/>
            <w:tcBorders>
              <w:top w:val="single" w:sz="4" w:space="0" w:color="001D77"/>
              <w:left w:val="single" w:sz="4" w:space="0" w:color="001D77"/>
              <w:bottom w:val="single" w:sz="4" w:space="0" w:color="001D77"/>
              <w:right w:val="nil"/>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12,9</w:t>
            </w:r>
          </w:p>
        </w:tc>
      </w:tr>
      <w:tr w:rsidR="0073319A" w:rsidRPr="006B3A7A" w:rsidTr="00110BB1">
        <w:tc>
          <w:tcPr>
            <w:tcW w:w="2552" w:type="dxa"/>
            <w:tcBorders>
              <w:top w:val="single" w:sz="2" w:space="0" w:color="001D77"/>
              <w:left w:val="nil"/>
              <w:bottom w:val="single" w:sz="2" w:space="0" w:color="001D77"/>
              <w:right w:val="single" w:sz="2" w:space="0" w:color="001D77"/>
            </w:tcBorders>
            <w:vAlign w:val="center"/>
          </w:tcPr>
          <w:p w:rsidR="0073319A" w:rsidRPr="00D17623" w:rsidRDefault="0073319A" w:rsidP="0073319A">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47" w:type="dxa"/>
            <w:tcBorders>
              <w:top w:val="single" w:sz="4" w:space="0" w:color="001D77"/>
              <w:left w:val="single" w:sz="2"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16,1</w:t>
            </w:r>
          </w:p>
        </w:tc>
        <w:tc>
          <w:tcPr>
            <w:tcW w:w="907"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21,5</w:t>
            </w:r>
          </w:p>
        </w:tc>
        <w:tc>
          <w:tcPr>
            <w:tcW w:w="924"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14,1</w:t>
            </w:r>
          </w:p>
        </w:tc>
        <w:tc>
          <w:tcPr>
            <w:tcW w:w="959"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22,0</w:t>
            </w:r>
          </w:p>
        </w:tc>
        <w:tc>
          <w:tcPr>
            <w:tcW w:w="952"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16,4</w:t>
            </w:r>
          </w:p>
        </w:tc>
        <w:tc>
          <w:tcPr>
            <w:tcW w:w="955" w:type="dxa"/>
            <w:tcBorders>
              <w:top w:val="single" w:sz="4" w:space="0" w:color="001D77"/>
              <w:left w:val="single" w:sz="4" w:space="0" w:color="001D77"/>
              <w:bottom w:val="single" w:sz="2" w:space="0" w:color="001D77"/>
              <w:right w:val="nil"/>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31,9</w:t>
            </w:r>
          </w:p>
        </w:tc>
      </w:tr>
      <w:tr w:rsidR="0073319A" w:rsidRPr="006B3A7A" w:rsidTr="00110BB1">
        <w:tc>
          <w:tcPr>
            <w:tcW w:w="2552" w:type="dxa"/>
            <w:tcBorders>
              <w:top w:val="single" w:sz="2" w:space="0" w:color="001D77"/>
              <w:left w:val="nil"/>
              <w:bottom w:val="single" w:sz="2" w:space="0" w:color="001D77"/>
              <w:right w:val="single" w:sz="2" w:space="0" w:color="001D77"/>
            </w:tcBorders>
            <w:vAlign w:val="center"/>
          </w:tcPr>
          <w:p w:rsidR="0073319A" w:rsidRPr="00D17623" w:rsidRDefault="0073319A" w:rsidP="0073319A">
            <w:pPr>
              <w:autoSpaceDE w:val="0"/>
              <w:autoSpaceDN w:val="0"/>
              <w:adjustRightInd w:val="0"/>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47" w:type="dxa"/>
            <w:tcBorders>
              <w:top w:val="single" w:sz="4" w:space="0" w:color="001D77"/>
              <w:left w:val="single" w:sz="2"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63,0</w:t>
            </w:r>
          </w:p>
        </w:tc>
        <w:tc>
          <w:tcPr>
            <w:tcW w:w="907"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56,1</w:t>
            </w:r>
          </w:p>
        </w:tc>
        <w:tc>
          <w:tcPr>
            <w:tcW w:w="924"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72,7</w:t>
            </w:r>
          </w:p>
        </w:tc>
        <w:tc>
          <w:tcPr>
            <w:tcW w:w="959"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60,5</w:t>
            </w:r>
          </w:p>
        </w:tc>
        <w:tc>
          <w:tcPr>
            <w:tcW w:w="952" w:type="dxa"/>
            <w:tcBorders>
              <w:top w:val="single" w:sz="4" w:space="0" w:color="001D77"/>
              <w:left w:val="single" w:sz="4" w:space="0" w:color="001D77"/>
              <w:bottom w:val="single" w:sz="2" w:space="0" w:color="001D77"/>
              <w:right w:val="single" w:sz="4" w:space="0" w:color="001D77"/>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65,0</w:t>
            </w:r>
          </w:p>
        </w:tc>
        <w:tc>
          <w:tcPr>
            <w:tcW w:w="955" w:type="dxa"/>
            <w:tcBorders>
              <w:top w:val="single" w:sz="4" w:space="0" w:color="001D77"/>
              <w:left w:val="single" w:sz="4" w:space="0" w:color="001D77"/>
              <w:bottom w:val="single" w:sz="2" w:space="0" w:color="001D77"/>
              <w:right w:val="nil"/>
            </w:tcBorders>
            <w:vAlign w:val="center"/>
          </w:tcPr>
          <w:p w:rsidR="0073319A" w:rsidRPr="009B711C" w:rsidRDefault="0073319A" w:rsidP="0073319A">
            <w:pPr>
              <w:spacing w:before="40" w:after="40" w:line="259" w:lineRule="auto"/>
              <w:jc w:val="right"/>
              <w:rPr>
                <w:rFonts w:ascii="Fira Sans" w:hAnsi="Fira Sans"/>
                <w:sz w:val="12"/>
                <w:szCs w:val="12"/>
              </w:rPr>
            </w:pPr>
            <w:r>
              <w:rPr>
                <w:rFonts w:ascii="Fira Sans" w:hAnsi="Fira Sans" w:cs="Calibri"/>
                <w:color w:val="000000"/>
                <w:sz w:val="12"/>
                <w:szCs w:val="12"/>
              </w:rPr>
              <w:t>48,0</w:t>
            </w:r>
          </w:p>
        </w:tc>
      </w:tr>
      <w:tr w:rsidR="00835F14" w:rsidRPr="006B3A7A"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32345D" w:rsidTr="004D5FCA">
        <w:tc>
          <w:tcPr>
            <w:tcW w:w="8096" w:type="dxa"/>
            <w:gridSpan w:val="7"/>
            <w:tcBorders>
              <w:top w:val="single" w:sz="4" w:space="0" w:color="C4CBF5"/>
              <w:left w:val="nil"/>
              <w:bottom w:val="single" w:sz="4" w:space="0" w:color="001D77"/>
              <w:right w:val="nil"/>
            </w:tcBorders>
          </w:tcPr>
          <w:p w:rsidR="00835F14" w:rsidRPr="005705CB" w:rsidRDefault="005705CB" w:rsidP="004D5FCA">
            <w:pPr>
              <w:tabs>
                <w:tab w:val="left" w:pos="176"/>
              </w:tabs>
              <w:spacing w:before="60" w:after="60"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003F5F10" w:rsidRPr="003F5F10">
              <w:rPr>
                <w:rFonts w:ascii="Fira Sans" w:hAnsi="Fira Sans"/>
                <w:b/>
                <w:sz w:val="14"/>
                <w:szCs w:val="14"/>
                <w:lang w:val="en-US"/>
              </w:rPr>
              <w:t>Is your company expecting in the current month the occurrence of payment gridlocks or their increase?</w:t>
            </w:r>
          </w:p>
        </w:tc>
      </w:tr>
      <w:tr w:rsidR="003F5F10" w:rsidRPr="006B3A7A" w:rsidTr="00893B29">
        <w:tc>
          <w:tcPr>
            <w:tcW w:w="2552" w:type="dxa"/>
            <w:tcBorders>
              <w:top w:val="single" w:sz="2" w:space="0" w:color="001D77"/>
              <w:left w:val="nil"/>
              <w:bottom w:val="single" w:sz="2" w:space="0" w:color="001D77"/>
              <w:right w:val="single" w:sz="4" w:space="0" w:color="001D77"/>
            </w:tcBorders>
            <w:vAlign w:val="center"/>
          </w:tcPr>
          <w:p w:rsidR="003F5F10" w:rsidRPr="006B3A7A" w:rsidRDefault="003F5F10" w:rsidP="003F5F10">
            <w:pPr>
              <w:spacing w:before="40" w:after="40" w:line="259" w:lineRule="auto"/>
              <w:rPr>
                <w:rFonts w:ascii="Fira Sans" w:hAnsi="Fira Sans"/>
                <w:sz w:val="12"/>
                <w:szCs w:val="12"/>
              </w:rPr>
            </w:pPr>
            <w:proofErr w:type="spellStart"/>
            <w:r w:rsidRPr="003F5F10">
              <w:rPr>
                <w:rFonts w:ascii="Fira Sans" w:hAnsi="Fira Sans"/>
                <w:sz w:val="12"/>
                <w:szCs w:val="12"/>
              </w:rPr>
              <w:t>yes</w:t>
            </w:r>
            <w:proofErr w:type="spellEnd"/>
            <w:r w:rsidRPr="003F5F10">
              <w:rPr>
                <w:rFonts w:ascii="Fira Sans" w:hAnsi="Fira Sans"/>
                <w:sz w:val="12"/>
                <w:szCs w:val="12"/>
              </w:rPr>
              <w:t>, 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28,7</w:t>
            </w:r>
          </w:p>
        </w:tc>
        <w:tc>
          <w:tcPr>
            <w:tcW w:w="907"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31,7</w:t>
            </w:r>
          </w:p>
        </w:tc>
        <w:tc>
          <w:tcPr>
            <w:tcW w:w="924"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35,8</w:t>
            </w:r>
          </w:p>
        </w:tc>
        <w:tc>
          <w:tcPr>
            <w:tcW w:w="959"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24,6</w:t>
            </w:r>
          </w:p>
        </w:tc>
        <w:tc>
          <w:tcPr>
            <w:tcW w:w="952"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29,7</w:t>
            </w:r>
          </w:p>
        </w:tc>
        <w:tc>
          <w:tcPr>
            <w:tcW w:w="955" w:type="dxa"/>
            <w:tcBorders>
              <w:top w:val="single" w:sz="4"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15,7</w:t>
            </w:r>
          </w:p>
        </w:tc>
      </w:tr>
      <w:tr w:rsidR="003F5F10" w:rsidRPr="006B3A7A" w:rsidTr="00893B29">
        <w:tc>
          <w:tcPr>
            <w:tcW w:w="2552" w:type="dxa"/>
            <w:tcBorders>
              <w:top w:val="single" w:sz="2" w:space="0" w:color="001D77"/>
              <w:left w:val="nil"/>
              <w:bottom w:val="single" w:sz="2" w:space="0" w:color="001D77"/>
              <w:right w:val="single" w:sz="4" w:space="0" w:color="001D77"/>
            </w:tcBorders>
            <w:vAlign w:val="center"/>
          </w:tcPr>
          <w:p w:rsidR="003F5F10" w:rsidRPr="00B02A36" w:rsidRDefault="003F5F10" w:rsidP="003F5F10">
            <w:pPr>
              <w:spacing w:before="40" w:after="40" w:line="259" w:lineRule="auto"/>
              <w:rPr>
                <w:rFonts w:ascii="Fira Sans" w:hAnsi="Fira Sans" w:cs="Fira Sans"/>
                <w:color w:val="000000"/>
                <w:sz w:val="12"/>
                <w:szCs w:val="12"/>
              </w:rPr>
            </w:pPr>
            <w:proofErr w:type="spellStart"/>
            <w:r w:rsidRPr="003F5F10">
              <w:rPr>
                <w:rFonts w:ascii="Fira Sans" w:hAnsi="Fira Sans"/>
                <w:sz w:val="12"/>
                <w:szCs w:val="12"/>
              </w:rPr>
              <w:t>yes</w:t>
            </w:r>
            <w:proofErr w:type="spellEnd"/>
            <w:r w:rsidRPr="003F5F10">
              <w:rPr>
                <w:rFonts w:ascii="Fira Sans" w:hAnsi="Fira Sans"/>
                <w:sz w:val="12"/>
                <w:szCs w:val="12"/>
              </w:rPr>
              <w:t xml:space="preserve">, </w:t>
            </w:r>
            <w:proofErr w:type="spellStart"/>
            <w:r w:rsidRPr="003F5F10">
              <w:rPr>
                <w:rFonts w:ascii="Fira Sans" w:hAnsi="Fira Sans"/>
                <w:sz w:val="12"/>
                <w:szCs w:val="12"/>
              </w:rPr>
              <w:t>serious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5,3</w:t>
            </w:r>
          </w:p>
        </w:tc>
        <w:tc>
          <w:tcPr>
            <w:tcW w:w="90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8,2</w:t>
            </w:r>
          </w:p>
        </w:tc>
        <w:tc>
          <w:tcPr>
            <w:tcW w:w="924"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7,3</w:t>
            </w:r>
          </w:p>
        </w:tc>
        <w:tc>
          <w:tcPr>
            <w:tcW w:w="959"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8,6</w:t>
            </w:r>
          </w:p>
        </w:tc>
        <w:tc>
          <w:tcPr>
            <w:tcW w:w="952"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6,0</w:t>
            </w:r>
          </w:p>
        </w:tc>
        <w:tc>
          <w:tcPr>
            <w:tcW w:w="955" w:type="dxa"/>
            <w:tcBorders>
              <w:top w:val="single" w:sz="2"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8,0</w:t>
            </w:r>
          </w:p>
        </w:tc>
      </w:tr>
      <w:tr w:rsidR="003F5F10" w:rsidRPr="006B3A7A" w:rsidTr="00893B29">
        <w:tc>
          <w:tcPr>
            <w:tcW w:w="2552" w:type="dxa"/>
            <w:tcBorders>
              <w:top w:val="single" w:sz="2" w:space="0" w:color="001D77"/>
              <w:left w:val="nil"/>
              <w:bottom w:val="single" w:sz="2" w:space="0" w:color="001D77"/>
              <w:right w:val="single" w:sz="4" w:space="0" w:color="001D77"/>
            </w:tcBorders>
            <w:vAlign w:val="center"/>
          </w:tcPr>
          <w:p w:rsidR="003F5F10" w:rsidRPr="00B02A36" w:rsidRDefault="003F5F10" w:rsidP="003F5F10">
            <w:pPr>
              <w:spacing w:before="40" w:after="40" w:line="259" w:lineRule="auto"/>
              <w:rPr>
                <w:rFonts w:ascii="Fira Sans" w:hAnsi="Fira Sans" w:cs="Fira Sans"/>
                <w:color w:val="000000"/>
                <w:sz w:val="12"/>
                <w:szCs w:val="12"/>
              </w:rPr>
            </w:pPr>
            <w:proofErr w:type="spellStart"/>
            <w:r w:rsidRPr="003F5F10">
              <w:rPr>
                <w:rFonts w:ascii="Fira Sans" w:hAnsi="Fira Sans"/>
                <w:sz w:val="12"/>
                <w:szCs w:val="12"/>
              </w:rPr>
              <w:t>yes</w:t>
            </w:r>
            <w:proofErr w:type="spellEnd"/>
            <w:r w:rsidRPr="003F5F10">
              <w:rPr>
                <w:rFonts w:ascii="Fira Sans" w:hAnsi="Fira Sans"/>
                <w:sz w:val="12"/>
                <w:szCs w:val="12"/>
              </w:rPr>
              <w:t xml:space="preserve">, </w:t>
            </w:r>
            <w:proofErr w:type="spellStart"/>
            <w:r w:rsidRPr="003F5F10">
              <w:rPr>
                <w:rFonts w:ascii="Fira Sans" w:hAnsi="Fira Sans"/>
                <w:sz w:val="12"/>
                <w:szCs w:val="12"/>
              </w:rPr>
              <w:t>threatening</w:t>
            </w:r>
            <w:proofErr w:type="spellEnd"/>
            <w:r w:rsidRPr="003F5F10">
              <w:rPr>
                <w:rFonts w:ascii="Fira Sans" w:hAnsi="Fira Sans"/>
                <w:sz w:val="12"/>
                <w:szCs w:val="12"/>
              </w:rPr>
              <w:t xml:space="preserve"> </w:t>
            </w:r>
            <w:proofErr w:type="spellStart"/>
            <w:r w:rsidRPr="003F5F10">
              <w:rPr>
                <w:rFonts w:ascii="Fira Sans" w:hAnsi="Fira Sans"/>
                <w:sz w:val="12"/>
                <w:szCs w:val="12"/>
              </w:rPr>
              <w:t>company’s</w:t>
            </w:r>
            <w:proofErr w:type="spellEnd"/>
            <w:r w:rsidRPr="003F5F10">
              <w:rPr>
                <w:rFonts w:ascii="Fira Sans" w:hAnsi="Fira Sans"/>
                <w:sz w:val="12"/>
                <w:szCs w:val="12"/>
              </w:rPr>
              <w:t xml:space="preserve"> </w:t>
            </w:r>
            <w:proofErr w:type="spellStart"/>
            <w:r w:rsidRPr="003F5F10">
              <w:rPr>
                <w:rFonts w:ascii="Fira Sans" w:hAnsi="Fira Sans"/>
                <w:sz w:val="12"/>
                <w:szCs w:val="12"/>
              </w:rPr>
              <w:t>stability</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1,0</w:t>
            </w:r>
          </w:p>
        </w:tc>
        <w:tc>
          <w:tcPr>
            <w:tcW w:w="90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2,5</w:t>
            </w:r>
          </w:p>
        </w:tc>
        <w:tc>
          <w:tcPr>
            <w:tcW w:w="924"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0,9</w:t>
            </w:r>
          </w:p>
        </w:tc>
        <w:tc>
          <w:tcPr>
            <w:tcW w:w="959"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952"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955" w:type="dxa"/>
            <w:tcBorders>
              <w:top w:val="single" w:sz="2"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0,6</w:t>
            </w:r>
          </w:p>
        </w:tc>
      </w:tr>
      <w:tr w:rsidR="003F5F10" w:rsidRPr="006B3A7A" w:rsidTr="00893B29">
        <w:tc>
          <w:tcPr>
            <w:tcW w:w="2552" w:type="dxa"/>
            <w:tcBorders>
              <w:top w:val="single" w:sz="2" w:space="0" w:color="001D77"/>
              <w:left w:val="nil"/>
              <w:bottom w:val="single" w:sz="2" w:space="0" w:color="001D77"/>
              <w:right w:val="single" w:sz="4" w:space="0" w:color="001D77"/>
            </w:tcBorders>
          </w:tcPr>
          <w:p w:rsidR="003F5F10" w:rsidRPr="002A37B7" w:rsidRDefault="003F5F10" w:rsidP="003F5F10">
            <w:pPr>
              <w:spacing w:before="40" w:after="40" w:line="259" w:lineRule="auto"/>
              <w:rPr>
                <w:rFonts w:ascii="Fira Sans" w:hAnsi="Fira Sans"/>
                <w:sz w:val="12"/>
                <w:szCs w:val="12"/>
                <w:lang w:val="en-US"/>
              </w:rPr>
            </w:pPr>
            <w:r w:rsidRPr="003F5F10">
              <w:rPr>
                <w:rFonts w:ascii="Fira Sans" w:hAnsi="Fira Sans" w:cs="Fira Sans"/>
                <w:color w:val="000000"/>
                <w:sz w:val="12"/>
                <w:szCs w:val="12"/>
                <w:lang w:val="en-US"/>
              </w:rPr>
              <w:t>we do not expect any</w:t>
            </w:r>
          </w:p>
        </w:tc>
        <w:tc>
          <w:tcPr>
            <w:tcW w:w="84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65,0</w:t>
            </w:r>
          </w:p>
        </w:tc>
        <w:tc>
          <w:tcPr>
            <w:tcW w:w="907"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57,6</w:t>
            </w:r>
          </w:p>
        </w:tc>
        <w:tc>
          <w:tcPr>
            <w:tcW w:w="924"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56,0</w:t>
            </w:r>
          </w:p>
        </w:tc>
        <w:tc>
          <w:tcPr>
            <w:tcW w:w="959"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66,0</w:t>
            </w:r>
          </w:p>
        </w:tc>
        <w:tc>
          <w:tcPr>
            <w:tcW w:w="952" w:type="dxa"/>
            <w:tcBorders>
              <w:top w:val="single" w:sz="2"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63,5</w:t>
            </w:r>
          </w:p>
        </w:tc>
        <w:tc>
          <w:tcPr>
            <w:tcW w:w="955" w:type="dxa"/>
            <w:tcBorders>
              <w:top w:val="single" w:sz="2"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75,7</w:t>
            </w:r>
          </w:p>
        </w:tc>
      </w:tr>
      <w:tr w:rsidR="00835F14" w:rsidRPr="0032345D" w:rsidTr="004D5FCA">
        <w:tc>
          <w:tcPr>
            <w:tcW w:w="8096" w:type="dxa"/>
            <w:gridSpan w:val="7"/>
            <w:tcBorders>
              <w:top w:val="single" w:sz="4" w:space="0" w:color="C4CBF5"/>
              <w:left w:val="nil"/>
              <w:bottom w:val="nil"/>
              <w:right w:val="nil"/>
            </w:tcBorders>
            <w:shd w:val="clear" w:color="auto" w:fill="F2F2F2" w:themeFill="background1" w:themeFillShade="F2"/>
          </w:tcPr>
          <w:p w:rsidR="00835F14" w:rsidRPr="00D24576" w:rsidRDefault="00D24576"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sidR="00835F14" w:rsidRPr="00D24576">
              <w:rPr>
                <w:rFonts w:ascii="Fira Sans" w:hAnsi="Fira Sans"/>
                <w:b/>
                <w:sz w:val="14"/>
                <w:szCs w:val="14"/>
                <w:lang w:val="en-US"/>
              </w:rPr>
              <w:t xml:space="preserve"> COVID-19</w:t>
            </w:r>
            <w:r>
              <w:rPr>
                <w:rFonts w:ascii="Fira Sans" w:hAnsi="Fira Sans"/>
                <w:b/>
                <w:sz w:val="14"/>
                <w:szCs w:val="14"/>
                <w:lang w:val="en-US"/>
              </w:rPr>
              <w:t xml:space="preserve"> PANDEMIC</w:t>
            </w:r>
          </w:p>
        </w:tc>
      </w:tr>
      <w:tr w:rsidR="00835F14" w:rsidRPr="0032345D"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835F14" w:rsidRPr="00D24576" w:rsidRDefault="00835F14" w:rsidP="004D5FCA">
            <w:pPr>
              <w:spacing w:line="240" w:lineRule="auto"/>
              <w:rPr>
                <w:rFonts w:ascii="Fira Sans" w:hAnsi="Fira Sans"/>
                <w:b/>
                <w:sz w:val="14"/>
                <w:szCs w:val="14"/>
                <w:lang w:val="en-US"/>
              </w:rPr>
            </w:pPr>
          </w:p>
        </w:tc>
      </w:tr>
      <w:tr w:rsidR="00835F14" w:rsidRPr="0032345D" w:rsidTr="004D5FCA">
        <w:tc>
          <w:tcPr>
            <w:tcW w:w="8096" w:type="dxa"/>
            <w:gridSpan w:val="7"/>
            <w:tcBorders>
              <w:top w:val="single" w:sz="4" w:space="0" w:color="C4CBF5"/>
              <w:left w:val="nil"/>
              <w:bottom w:val="single" w:sz="4" w:space="0" w:color="001D77"/>
              <w:right w:val="nil"/>
            </w:tcBorders>
          </w:tcPr>
          <w:p w:rsidR="00835F14" w:rsidRPr="00EB6211" w:rsidRDefault="00EB6211" w:rsidP="004D5FCA">
            <w:pPr>
              <w:spacing w:after="60" w:line="259" w:lineRule="auto"/>
              <w:ind w:left="178" w:hanging="142"/>
              <w:rPr>
                <w:rFonts w:ascii="Fira Sans" w:hAnsi="Fira Sans"/>
                <w:b/>
                <w:sz w:val="14"/>
                <w:szCs w:val="14"/>
                <w:lang w:val="en-US"/>
              </w:rPr>
            </w:pPr>
            <w:r w:rsidRPr="00EB6211">
              <w:rPr>
                <w:rFonts w:ascii="Fira Sans" w:hAnsi="Fira Sans"/>
                <w:b/>
                <w:sz w:val="14"/>
                <w:szCs w:val="14"/>
                <w:lang w:val="en-US"/>
              </w:rPr>
              <w:t>3. Negative effects of COVID-19 pandemic and its impact on your business activity in the current month will be:</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30,5</w:t>
            </w:r>
          </w:p>
        </w:tc>
        <w:tc>
          <w:tcPr>
            <w:tcW w:w="907"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31,3</w:t>
            </w:r>
          </w:p>
        </w:tc>
        <w:tc>
          <w:tcPr>
            <w:tcW w:w="924"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26,1</w:t>
            </w:r>
          </w:p>
        </w:tc>
        <w:tc>
          <w:tcPr>
            <w:tcW w:w="959"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25,6</w:t>
            </w:r>
          </w:p>
        </w:tc>
        <w:tc>
          <w:tcPr>
            <w:tcW w:w="952"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27,6</w:t>
            </w:r>
          </w:p>
        </w:tc>
        <w:tc>
          <w:tcPr>
            <w:tcW w:w="955" w:type="dxa"/>
            <w:tcBorders>
              <w:top w:val="single" w:sz="4"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24,5</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62,7</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59,1</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66,0</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62,6</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62,2</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61,2</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6,5</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6,8</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5,3</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8,3</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6,4</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11,2</w:t>
            </w:r>
          </w:p>
        </w:tc>
      </w:tr>
      <w:tr w:rsidR="003F5F10" w:rsidRPr="006B3A7A" w:rsidTr="004D5FCA">
        <w:tc>
          <w:tcPr>
            <w:tcW w:w="2552" w:type="dxa"/>
            <w:tcBorders>
              <w:top w:val="single" w:sz="2" w:space="0" w:color="001D77"/>
              <w:left w:val="nil"/>
              <w:bottom w:val="single" w:sz="2" w:space="0" w:color="001D77"/>
              <w:right w:val="single" w:sz="4" w:space="0" w:color="001D77"/>
            </w:tcBorders>
            <w:vAlign w:val="center"/>
          </w:tcPr>
          <w:p w:rsidR="003F5F10" w:rsidRPr="00D17623" w:rsidRDefault="003F5F10" w:rsidP="003F5F10">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0,3</w:t>
            </w:r>
          </w:p>
        </w:tc>
        <w:tc>
          <w:tcPr>
            <w:tcW w:w="907"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24"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2,6</w:t>
            </w:r>
          </w:p>
        </w:tc>
        <w:tc>
          <w:tcPr>
            <w:tcW w:w="959"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3,5</w:t>
            </w:r>
          </w:p>
        </w:tc>
        <w:tc>
          <w:tcPr>
            <w:tcW w:w="952" w:type="dxa"/>
            <w:tcBorders>
              <w:top w:val="single" w:sz="4" w:space="0" w:color="001D77"/>
              <w:left w:val="single" w:sz="4" w:space="0" w:color="001D77"/>
              <w:bottom w:val="single" w:sz="2"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3,8</w:t>
            </w:r>
          </w:p>
        </w:tc>
        <w:tc>
          <w:tcPr>
            <w:tcW w:w="955" w:type="dxa"/>
            <w:tcBorders>
              <w:top w:val="single" w:sz="4" w:space="0" w:color="001D77"/>
              <w:left w:val="single" w:sz="4"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3,1</w:t>
            </w:r>
          </w:p>
        </w:tc>
      </w:tr>
      <w:tr w:rsidR="003F5F10" w:rsidRPr="006B3A7A" w:rsidTr="004D5FCA">
        <w:tc>
          <w:tcPr>
            <w:tcW w:w="2552" w:type="dxa"/>
            <w:tcBorders>
              <w:top w:val="single" w:sz="2" w:space="0" w:color="001D77"/>
              <w:left w:val="nil"/>
              <w:bottom w:val="single" w:sz="2" w:space="0" w:color="001D77"/>
              <w:right w:val="single" w:sz="4"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93,2</w:t>
            </w:r>
          </w:p>
        </w:tc>
        <w:tc>
          <w:tcPr>
            <w:tcW w:w="907"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90,4</w:t>
            </w:r>
          </w:p>
        </w:tc>
        <w:tc>
          <w:tcPr>
            <w:tcW w:w="924"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92,1</w:t>
            </w:r>
          </w:p>
        </w:tc>
        <w:tc>
          <w:tcPr>
            <w:tcW w:w="959"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88,2</w:t>
            </w:r>
          </w:p>
        </w:tc>
        <w:tc>
          <w:tcPr>
            <w:tcW w:w="952"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89,8</w:t>
            </w:r>
          </w:p>
        </w:tc>
        <w:tc>
          <w:tcPr>
            <w:tcW w:w="955" w:type="dxa"/>
            <w:tcBorders>
              <w:top w:val="single" w:sz="4" w:space="0" w:color="001D77"/>
              <w:left w:val="single" w:sz="4" w:space="0" w:color="001D77"/>
              <w:bottom w:val="single" w:sz="2" w:space="0" w:color="001D77"/>
              <w:right w:val="nil"/>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85,7</w:t>
            </w:r>
          </w:p>
        </w:tc>
      </w:tr>
      <w:tr w:rsidR="003F5F10" w:rsidRPr="006B3A7A" w:rsidTr="004D5FCA">
        <w:tc>
          <w:tcPr>
            <w:tcW w:w="2552" w:type="dxa"/>
            <w:tcBorders>
              <w:top w:val="single" w:sz="2" w:space="0" w:color="001D77"/>
              <w:left w:val="nil"/>
              <w:bottom w:val="single" w:sz="2" w:space="0" w:color="001D77"/>
              <w:right w:val="single" w:sz="4"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6,8</w:t>
            </w:r>
          </w:p>
        </w:tc>
        <w:tc>
          <w:tcPr>
            <w:tcW w:w="907"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9,6</w:t>
            </w:r>
          </w:p>
        </w:tc>
        <w:tc>
          <w:tcPr>
            <w:tcW w:w="924"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7,9</w:t>
            </w:r>
          </w:p>
        </w:tc>
        <w:tc>
          <w:tcPr>
            <w:tcW w:w="959"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11,8</w:t>
            </w:r>
          </w:p>
        </w:tc>
        <w:tc>
          <w:tcPr>
            <w:tcW w:w="952" w:type="dxa"/>
            <w:tcBorders>
              <w:top w:val="single" w:sz="4" w:space="0" w:color="001D77"/>
              <w:left w:val="single" w:sz="4" w:space="0" w:color="001D77"/>
              <w:bottom w:val="single" w:sz="2"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10,2</w:t>
            </w:r>
          </w:p>
        </w:tc>
        <w:tc>
          <w:tcPr>
            <w:tcW w:w="955" w:type="dxa"/>
            <w:tcBorders>
              <w:top w:val="single" w:sz="4" w:space="0" w:color="001D77"/>
              <w:left w:val="single" w:sz="4" w:space="0" w:color="001D77"/>
              <w:bottom w:val="single" w:sz="2" w:space="0" w:color="001D77"/>
              <w:right w:val="nil"/>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14,3</w:t>
            </w:r>
          </w:p>
        </w:tc>
      </w:tr>
      <w:tr w:rsidR="00835F14" w:rsidRPr="006B3A7A" w:rsidTr="004D5FCA">
        <w:trPr>
          <w:trHeight w:val="170"/>
        </w:trPr>
        <w:tc>
          <w:tcPr>
            <w:tcW w:w="8096" w:type="dxa"/>
            <w:gridSpan w:val="7"/>
            <w:tcBorders>
              <w:top w:val="single" w:sz="2" w:space="0" w:color="001D77"/>
              <w:left w:val="single" w:sz="4" w:space="0" w:color="C4CBF5"/>
              <w:bottom w:val="single" w:sz="4" w:space="0" w:color="C4CBF5"/>
              <w:right w:val="single" w:sz="4" w:space="0" w:color="C4CBF5"/>
            </w:tcBorders>
            <w:shd w:val="clear" w:color="auto" w:fill="C4CBF5"/>
          </w:tcPr>
          <w:p w:rsidR="00835F14" w:rsidRPr="006B3A7A" w:rsidRDefault="00835F14" w:rsidP="004D5FCA">
            <w:pPr>
              <w:spacing w:line="240" w:lineRule="auto"/>
              <w:rPr>
                <w:rFonts w:ascii="Fira Sans" w:hAnsi="Fira Sans"/>
                <w:b/>
                <w:sz w:val="14"/>
                <w:szCs w:val="14"/>
              </w:rPr>
            </w:pPr>
          </w:p>
        </w:tc>
      </w:tr>
      <w:tr w:rsidR="00835F14" w:rsidRPr="0032345D" w:rsidTr="004D5FCA">
        <w:tc>
          <w:tcPr>
            <w:tcW w:w="8096" w:type="dxa"/>
            <w:gridSpan w:val="7"/>
            <w:tcBorders>
              <w:top w:val="single" w:sz="4" w:space="0" w:color="C4CBF5"/>
              <w:left w:val="nil"/>
              <w:bottom w:val="single" w:sz="2" w:space="0" w:color="001D77"/>
              <w:right w:val="nil"/>
            </w:tcBorders>
          </w:tcPr>
          <w:p w:rsidR="00835F14" w:rsidRPr="002072E5" w:rsidRDefault="002072E5" w:rsidP="004D5FCA">
            <w:pPr>
              <w:spacing w:before="60" w:after="60" w:line="240" w:lineRule="auto"/>
              <w:ind w:left="176" w:hanging="176"/>
              <w:rPr>
                <w:rFonts w:ascii="Fira Sans" w:hAnsi="Fira Sans"/>
                <w:b/>
                <w:sz w:val="19"/>
                <w:szCs w:val="19"/>
                <w:lang w:val="en-US"/>
              </w:rPr>
            </w:pPr>
            <w:r w:rsidRPr="002072E5">
              <w:rPr>
                <w:rFonts w:ascii="Fira Sans" w:hAnsi="Fira Sans"/>
                <w:b/>
                <w:sz w:val="14"/>
                <w:szCs w:val="14"/>
                <w:lang w:val="en-US"/>
              </w:rPr>
              <w:t>4. Please, estimate what is the percentage of your employees (regardless of type of contract: employment contract, civil law agreement, self-employed, interns, agents etc.) who will be affected in the current month by each of the following situations:</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2072E5" w:rsidRDefault="003F5F10" w:rsidP="003F5F10">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remote work and similar forms of work</w:t>
            </w:r>
          </w:p>
        </w:tc>
        <w:tc>
          <w:tcPr>
            <w:tcW w:w="84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4,1</w:t>
            </w:r>
          </w:p>
        </w:tc>
        <w:tc>
          <w:tcPr>
            <w:tcW w:w="90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24"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16,2</w:t>
            </w:r>
          </w:p>
        </w:tc>
        <w:tc>
          <w:tcPr>
            <w:tcW w:w="959"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6,1</w:t>
            </w:r>
          </w:p>
        </w:tc>
        <w:tc>
          <w:tcPr>
            <w:tcW w:w="952"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6,2</w:t>
            </w:r>
          </w:p>
        </w:tc>
        <w:tc>
          <w:tcPr>
            <w:tcW w:w="955" w:type="dxa"/>
            <w:tcBorders>
              <w:top w:val="single" w:sz="2" w:space="0" w:color="001D77"/>
              <w:left w:val="single" w:sz="2"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2072E5" w:rsidRDefault="003F5F10" w:rsidP="003F5F10">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unplanned absence due to holidays, childcare, looking after family member etc. (related to COVID-19 pandemic)</w:t>
            </w:r>
          </w:p>
        </w:tc>
        <w:tc>
          <w:tcPr>
            <w:tcW w:w="84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2,1</w:t>
            </w:r>
          </w:p>
        </w:tc>
        <w:tc>
          <w:tcPr>
            <w:tcW w:w="90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24"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9"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52"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55" w:type="dxa"/>
            <w:tcBorders>
              <w:top w:val="single" w:sz="2" w:space="0" w:color="001D77"/>
              <w:left w:val="single" w:sz="2"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3,5</w:t>
            </w:r>
          </w:p>
        </w:tc>
      </w:tr>
      <w:tr w:rsidR="003F5F10" w:rsidRPr="006B3A7A" w:rsidTr="004D5FCA">
        <w:tc>
          <w:tcPr>
            <w:tcW w:w="2552" w:type="dxa"/>
            <w:tcBorders>
              <w:top w:val="single" w:sz="2" w:space="0" w:color="001D77"/>
              <w:left w:val="nil"/>
              <w:bottom w:val="single" w:sz="2" w:space="0" w:color="001D77"/>
              <w:right w:val="single" w:sz="2" w:space="0" w:color="001D77"/>
            </w:tcBorders>
            <w:vAlign w:val="center"/>
          </w:tcPr>
          <w:p w:rsidR="003F5F10" w:rsidRPr="002072E5" w:rsidRDefault="003F5F10" w:rsidP="003F5F10">
            <w:pPr>
              <w:autoSpaceDE w:val="0"/>
              <w:autoSpaceDN w:val="0"/>
              <w:adjustRightInd w:val="0"/>
              <w:spacing w:before="40" w:after="40" w:line="259" w:lineRule="auto"/>
              <w:rPr>
                <w:rFonts w:ascii="Fira Sans" w:hAnsi="Fira Sans" w:cs="Fira Sans"/>
                <w:color w:val="000000"/>
                <w:sz w:val="12"/>
                <w:szCs w:val="12"/>
                <w:lang w:val="en-US"/>
              </w:rPr>
            </w:pPr>
            <w:r w:rsidRPr="002072E5">
              <w:rPr>
                <w:rFonts w:ascii="Fira Sans" w:hAnsi="Fira Sans" w:cs="Fira Sans"/>
                <w:color w:val="000000"/>
                <w:sz w:val="12"/>
                <w:szCs w:val="12"/>
                <w:lang w:val="en-US"/>
              </w:rPr>
              <w:t>absence of employees resulting from quarantine or other restrictions related to COVID-19 pandemic (e.g. no possibility to commute)</w:t>
            </w:r>
          </w:p>
        </w:tc>
        <w:tc>
          <w:tcPr>
            <w:tcW w:w="84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0,8</w:t>
            </w:r>
          </w:p>
        </w:tc>
        <w:tc>
          <w:tcPr>
            <w:tcW w:w="907"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2,2</w:t>
            </w:r>
          </w:p>
        </w:tc>
        <w:tc>
          <w:tcPr>
            <w:tcW w:w="924"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0,9</w:t>
            </w:r>
          </w:p>
        </w:tc>
        <w:tc>
          <w:tcPr>
            <w:tcW w:w="959"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952" w:type="dxa"/>
            <w:tcBorders>
              <w:top w:val="single" w:sz="2" w:space="0" w:color="001D77"/>
              <w:left w:val="single" w:sz="2" w:space="0" w:color="001D77"/>
              <w:bottom w:val="single" w:sz="2" w:space="0" w:color="001D77"/>
              <w:right w:val="single" w:sz="2"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1,7</w:t>
            </w:r>
          </w:p>
        </w:tc>
        <w:tc>
          <w:tcPr>
            <w:tcW w:w="955" w:type="dxa"/>
            <w:tcBorders>
              <w:top w:val="single" w:sz="2" w:space="0" w:color="001D77"/>
              <w:left w:val="single" w:sz="2" w:space="0" w:color="001D77"/>
              <w:bottom w:val="single" w:sz="2"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4,5</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527444" w:rsidRPr="00D17623" w:rsidRDefault="00527444" w:rsidP="00527444">
      <w:pPr>
        <w:pStyle w:val="Nagwek1"/>
        <w:rPr>
          <w:rFonts w:ascii="Fira Sans" w:hAnsi="Fira Sans"/>
          <w:spacing w:val="-2"/>
          <w:szCs w:val="19"/>
          <w:lang w:val="en-GB"/>
        </w:rPr>
      </w:pPr>
      <w:r w:rsidRPr="00D17623">
        <w:rPr>
          <w:rFonts w:ascii="Fira Sans" w:hAnsi="Fira Sans"/>
          <w:spacing w:val="-2"/>
          <w:szCs w:val="19"/>
          <w:lang w:val="en-GB"/>
        </w:rPr>
        <w:lastRenderedPageBreak/>
        <w:t xml:space="preserve">Table 2. Survey data </w:t>
      </w:r>
      <w:r>
        <w:rPr>
          <w:rFonts w:ascii="Fira Sans" w:hAnsi="Fira Sans"/>
          <w:spacing w:val="-2"/>
          <w:szCs w:val="19"/>
          <w:lang w:val="en-GB"/>
        </w:rPr>
        <w:t>concerning the</w:t>
      </w:r>
      <w:r w:rsidRPr="00D17623">
        <w:rPr>
          <w:rFonts w:ascii="Fira Sans" w:hAnsi="Fira Sans"/>
          <w:spacing w:val="-2"/>
          <w:szCs w:val="19"/>
          <w:lang w:val="en-GB"/>
        </w:rPr>
        <w:t xml:space="preserve"> impact of COVID-19 pandemic </w:t>
      </w:r>
      <w:r w:rsidR="003C53E9">
        <w:rPr>
          <w:rFonts w:ascii="Fira Sans" w:hAnsi="Fira Sans"/>
          <w:spacing w:val="-2"/>
          <w:szCs w:val="19"/>
          <w:lang w:val="en-GB"/>
        </w:rPr>
        <w:t xml:space="preserve">and war in Ukraine </w:t>
      </w:r>
      <w:r w:rsidRPr="00D17623">
        <w:rPr>
          <w:rFonts w:ascii="Fira Sans" w:hAnsi="Fira Sans"/>
          <w:spacing w:val="-2"/>
          <w:szCs w:val="19"/>
          <w:lang w:val="en-GB"/>
        </w:rPr>
        <w:t>on business tendency</w:t>
      </w:r>
      <w:r>
        <w:rPr>
          <w:rFonts w:ascii="Fira Sans" w:hAnsi="Fira Sans"/>
          <w:spacing w:val="-2"/>
          <w:szCs w:val="19"/>
          <w:lang w:val="en-GB"/>
        </w:rPr>
        <w:t xml:space="preserve"> (cont.)</w:t>
      </w:r>
      <w:r w:rsidRPr="00D17623">
        <w:rPr>
          <w:rFonts w:ascii="Fira Sans" w:hAnsi="Fira Sans"/>
          <w:spacing w:val="-2"/>
          <w:szCs w:val="19"/>
          <w:lang w:val="en-GB"/>
        </w:rPr>
        <w:t xml:space="preserve">  </w:t>
      </w:r>
    </w:p>
    <w:tbl>
      <w:tblPr>
        <w:tblStyle w:val="Tabela-Siatka"/>
        <w:tblW w:w="8096" w:type="dxa"/>
        <w:tblLayout w:type="fixed"/>
        <w:tblLook w:val="04A0" w:firstRow="1" w:lastRow="0" w:firstColumn="1" w:lastColumn="0" w:noHBand="0" w:noVBand="1"/>
        <w:tblCaption w:val="Table 2. Survey data concerning the impact of COVID-19 pandemic and war in Ukraine on business tendency"/>
        <w:tblDescription w:val="Survey data concerning the impact of COVID-19 pandemic and war in Ukraine on business tendency in manufacturing, construction, wholesale trade, retail trade, transportation and storage, accommodation and food service activities. Data for the current month."/>
      </w:tblPr>
      <w:tblGrid>
        <w:gridCol w:w="2443"/>
        <w:gridCol w:w="956"/>
        <w:gridCol w:w="907"/>
        <w:gridCol w:w="924"/>
        <w:gridCol w:w="959"/>
        <w:gridCol w:w="952"/>
        <w:gridCol w:w="955"/>
      </w:tblGrid>
      <w:tr w:rsidR="00527444" w:rsidRPr="0032345D" w:rsidTr="004D5FCA">
        <w:tc>
          <w:tcPr>
            <w:tcW w:w="2443" w:type="dxa"/>
            <w:tcBorders>
              <w:top w:val="nil"/>
              <w:left w:val="nil"/>
              <w:bottom w:val="single" w:sz="2" w:space="0" w:color="001D77"/>
              <w:right w:val="single" w:sz="2" w:space="0" w:color="001D77"/>
            </w:tcBorders>
            <w:vAlign w:val="center"/>
          </w:tcPr>
          <w:p w:rsidR="00527444" w:rsidRPr="0059047B" w:rsidRDefault="008168E4" w:rsidP="004D5FCA">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956"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7488" behindDoc="0" locked="0" layoutInCell="1" allowOverlap="1" wp14:anchorId="4E572136" wp14:editId="7FA1FF76">
                  <wp:simplePos x="0" y="0"/>
                  <wp:positionH relativeFrom="column">
                    <wp:posOffset>635</wp:posOffset>
                  </wp:positionH>
                  <wp:positionV relativeFrom="paragraph">
                    <wp:posOffset>108585</wp:posOffset>
                  </wp:positionV>
                  <wp:extent cx="514350" cy="51435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8512" behindDoc="0" locked="0" layoutInCell="1" allowOverlap="1" wp14:anchorId="04D252D3" wp14:editId="13C00CFF">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527444" w:rsidRPr="00A042C8" w:rsidRDefault="008168E4" w:rsidP="004D5FCA">
            <w:pPr>
              <w:spacing w:line="259" w:lineRule="auto"/>
              <w:jc w:val="center"/>
              <w:rPr>
                <w:rFonts w:ascii="Fira Sans" w:hAnsi="Fira Sans"/>
                <w:sz w:val="12"/>
                <w:szCs w:val="12"/>
              </w:rPr>
            </w:pPr>
            <w:proofErr w:type="spellStart"/>
            <w:r w:rsidRPr="008168E4">
              <w:rPr>
                <w:rFonts w:ascii="Fira Sans" w:hAnsi="Fira Sans"/>
                <w:sz w:val="12"/>
                <w:szCs w:val="12"/>
              </w:rPr>
              <w:t>Construc-tion</w:t>
            </w:r>
            <w:proofErr w:type="spellEnd"/>
          </w:p>
        </w:tc>
        <w:tc>
          <w:tcPr>
            <w:tcW w:w="924"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49536" behindDoc="0" locked="0" layoutInCell="1" allowOverlap="1" wp14:anchorId="49BF49C9" wp14:editId="4A7E71DF">
                  <wp:simplePos x="0" y="0"/>
                  <wp:positionH relativeFrom="column">
                    <wp:posOffset>0</wp:posOffset>
                  </wp:positionH>
                  <wp:positionV relativeFrom="paragraph">
                    <wp:posOffset>108585</wp:posOffset>
                  </wp:positionV>
                  <wp:extent cx="402590" cy="40259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527444" w:rsidRDefault="00527444" w:rsidP="004D5FCA">
            <w:pPr>
              <w:spacing w:line="259" w:lineRule="auto"/>
              <w:jc w:val="center"/>
              <w:rPr>
                <w:rFonts w:ascii="Fira Sans" w:hAnsi="Fira Sans"/>
                <w:sz w:val="12"/>
                <w:szCs w:val="12"/>
              </w:rPr>
            </w:pP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0560" behindDoc="0" locked="0" layoutInCell="1" allowOverlap="1" wp14:anchorId="6FE34749" wp14:editId="7D329C19">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527444" w:rsidRPr="00A042C8" w:rsidRDefault="008168E4" w:rsidP="004D5FCA">
            <w:pPr>
              <w:spacing w:line="259" w:lineRule="auto"/>
              <w:jc w:val="center"/>
              <w:rPr>
                <w:rFonts w:ascii="Fira Sans" w:hAnsi="Fira Sans"/>
                <w:sz w:val="12"/>
                <w:szCs w:val="12"/>
              </w:rPr>
            </w:pPr>
            <w:r w:rsidRPr="008168E4">
              <w:rPr>
                <w:rFonts w:ascii="Fira Sans" w:hAnsi="Fira Sans"/>
                <w:sz w:val="12"/>
                <w:szCs w:val="12"/>
              </w:rPr>
              <w:t>Retail trade</w:t>
            </w:r>
          </w:p>
        </w:tc>
        <w:tc>
          <w:tcPr>
            <w:tcW w:w="952" w:type="dxa"/>
            <w:tcBorders>
              <w:top w:val="nil"/>
              <w:left w:val="single" w:sz="2" w:space="0" w:color="001D77"/>
              <w:bottom w:val="single" w:sz="2" w:space="0" w:color="001D77"/>
              <w:right w:val="single" w:sz="2" w:space="0" w:color="001D77"/>
            </w:tcBorders>
          </w:tcPr>
          <w:p w:rsidR="00527444" w:rsidRPr="00A042C8" w:rsidRDefault="00527444" w:rsidP="004D5FCA">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251584" behindDoc="0" locked="0" layoutInCell="1" allowOverlap="1" wp14:anchorId="199B7088" wp14:editId="7B38D836">
                  <wp:simplePos x="0" y="0"/>
                  <wp:positionH relativeFrom="column">
                    <wp:posOffset>-5715</wp:posOffset>
                  </wp:positionH>
                  <wp:positionV relativeFrom="paragraph">
                    <wp:posOffset>108585</wp:posOffset>
                  </wp:positionV>
                  <wp:extent cx="492760" cy="492760"/>
                  <wp:effectExtent l="0" t="0" r="2540" b="2540"/>
                  <wp:wrapSquare wrapText="bothSides"/>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527444" w:rsidRPr="00A042C8" w:rsidRDefault="008168E4" w:rsidP="004D5FCA">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527444" w:rsidRPr="008168E4" w:rsidRDefault="00527444" w:rsidP="004D5FCA">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252608" behindDoc="0" locked="0" layoutInCell="1" allowOverlap="1" wp14:anchorId="4ECB8268" wp14:editId="7056B41C">
                  <wp:simplePos x="0" y="0"/>
                  <wp:positionH relativeFrom="column">
                    <wp:posOffset>-1905</wp:posOffset>
                  </wp:positionH>
                  <wp:positionV relativeFrom="paragraph">
                    <wp:posOffset>108585</wp:posOffset>
                  </wp:positionV>
                  <wp:extent cx="447675" cy="447675"/>
                  <wp:effectExtent l="0" t="0" r="9525" b="9525"/>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527444" w:rsidRPr="008168E4" w:rsidRDefault="008168E4" w:rsidP="004D5FCA">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527444" w:rsidRPr="0032345D" w:rsidTr="004D5FCA">
        <w:tc>
          <w:tcPr>
            <w:tcW w:w="8096" w:type="dxa"/>
            <w:gridSpan w:val="7"/>
            <w:tcBorders>
              <w:top w:val="single" w:sz="4" w:space="0" w:color="C4CBF5"/>
              <w:left w:val="nil"/>
              <w:bottom w:val="nil"/>
              <w:right w:val="nil"/>
            </w:tcBorders>
            <w:shd w:val="clear" w:color="auto" w:fill="F2F2F2" w:themeFill="background1" w:themeFillShade="F2"/>
          </w:tcPr>
          <w:p w:rsidR="00527444" w:rsidRPr="00527444" w:rsidRDefault="00527444" w:rsidP="004D5FCA">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527444" w:rsidRPr="0032345D"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527444" w:rsidRDefault="00527444" w:rsidP="004D5FCA">
            <w:pPr>
              <w:spacing w:line="240" w:lineRule="auto"/>
              <w:rPr>
                <w:rFonts w:ascii="Fira Sans" w:hAnsi="Fira Sans"/>
                <w:b/>
                <w:sz w:val="14"/>
                <w:szCs w:val="14"/>
                <w:lang w:val="en-US"/>
              </w:rPr>
            </w:pPr>
          </w:p>
        </w:tc>
      </w:tr>
      <w:tr w:rsidR="00527444" w:rsidRPr="0032345D" w:rsidTr="004D5FCA">
        <w:tc>
          <w:tcPr>
            <w:tcW w:w="8096" w:type="dxa"/>
            <w:gridSpan w:val="7"/>
            <w:tcBorders>
              <w:top w:val="single" w:sz="4" w:space="0" w:color="C4CBF5"/>
              <w:left w:val="nil"/>
              <w:bottom w:val="single" w:sz="4" w:space="0" w:color="001D77"/>
              <w:right w:val="nil"/>
            </w:tcBorders>
          </w:tcPr>
          <w:p w:rsidR="00527444" w:rsidRPr="00703187" w:rsidRDefault="00703187" w:rsidP="004D5FCA">
            <w:pPr>
              <w:tabs>
                <w:tab w:val="left" w:pos="176"/>
              </w:tabs>
              <w:spacing w:before="60" w:after="60" w:line="259" w:lineRule="auto"/>
              <w:ind w:left="176" w:hanging="176"/>
              <w:rPr>
                <w:rFonts w:ascii="Fira Sans" w:hAnsi="Fira Sans"/>
                <w:sz w:val="14"/>
                <w:szCs w:val="14"/>
                <w:lang w:val="en-US"/>
              </w:rPr>
            </w:pPr>
            <w:r w:rsidRPr="00703187">
              <w:rPr>
                <w:rFonts w:ascii="Fira Sans" w:hAnsi="Fira Sans"/>
                <w:b/>
                <w:sz w:val="14"/>
                <w:szCs w:val="14"/>
                <w:lang w:val="en-US"/>
              </w:rPr>
              <w:t>5. Negative effects of the ongoing war in Ukraine and its impact on your business activity in the current month will be:</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11,4</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14,8</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14,9</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13,3</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15,8</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13,0</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60,1</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52,9</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60,5</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66,7</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54,9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53,0</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25,7</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23,3</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21,7</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17,7</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20,7</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26,1</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2,8</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9,0</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2,3</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8,6</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7,9</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71,5</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67,7</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75,4</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80,0</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70,7</w:t>
            </w:r>
          </w:p>
        </w:tc>
        <w:tc>
          <w:tcPr>
            <w:tcW w:w="955" w:type="dxa"/>
            <w:tcBorders>
              <w:top w:val="single" w:sz="4" w:space="0" w:color="001D77"/>
              <w:left w:val="single" w:sz="4" w:space="0" w:color="001D77"/>
              <w:bottom w:val="single" w:sz="4" w:space="0" w:color="001D77"/>
              <w:right w:val="nil"/>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66,0</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D17623" w:rsidRDefault="003F5F10" w:rsidP="003F5F10">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28,5</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32,3</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24,6</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20,0</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29,3</w:t>
            </w:r>
          </w:p>
        </w:tc>
        <w:tc>
          <w:tcPr>
            <w:tcW w:w="955" w:type="dxa"/>
            <w:tcBorders>
              <w:top w:val="single" w:sz="4" w:space="0" w:color="001D77"/>
              <w:left w:val="single" w:sz="4" w:space="0" w:color="001D77"/>
              <w:bottom w:val="single" w:sz="4" w:space="0" w:color="001D77"/>
              <w:right w:val="nil"/>
            </w:tcBorders>
            <w:vAlign w:val="center"/>
          </w:tcPr>
          <w:p w:rsidR="003F5F10" w:rsidRDefault="003F5F10" w:rsidP="003F5F10">
            <w:pPr>
              <w:spacing w:before="40" w:after="40" w:line="259" w:lineRule="auto"/>
              <w:jc w:val="right"/>
              <w:rPr>
                <w:rFonts w:ascii="Fira Sans" w:hAnsi="Fira Sans" w:cs="Calibri"/>
                <w:color w:val="000000"/>
                <w:sz w:val="12"/>
                <w:szCs w:val="12"/>
              </w:rPr>
            </w:pPr>
            <w:r>
              <w:rPr>
                <w:rFonts w:ascii="Fira Sans" w:hAnsi="Fira Sans" w:cs="Calibri"/>
                <w:color w:val="000000"/>
                <w:sz w:val="12"/>
                <w:szCs w:val="12"/>
              </w:rPr>
              <w:t>34,0</w:t>
            </w:r>
          </w:p>
        </w:tc>
      </w:tr>
      <w:tr w:rsidR="00527444" w:rsidRPr="0059047B"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C75009" w:rsidRDefault="00527444" w:rsidP="004D5FCA">
            <w:pPr>
              <w:spacing w:line="240" w:lineRule="auto"/>
              <w:rPr>
                <w:rFonts w:ascii="Fira Sans" w:hAnsi="Fira Sans"/>
                <w:b/>
                <w:sz w:val="14"/>
                <w:szCs w:val="14"/>
              </w:rPr>
            </w:pPr>
          </w:p>
        </w:tc>
      </w:tr>
      <w:tr w:rsidR="00527444" w:rsidRPr="0032345D" w:rsidTr="004D5FCA">
        <w:tc>
          <w:tcPr>
            <w:tcW w:w="8096" w:type="dxa"/>
            <w:gridSpan w:val="7"/>
            <w:tcBorders>
              <w:top w:val="single" w:sz="4" w:space="0" w:color="C4CBF5"/>
              <w:left w:val="nil"/>
              <w:bottom w:val="single" w:sz="4" w:space="0" w:color="001D77"/>
              <w:right w:val="nil"/>
            </w:tcBorders>
          </w:tcPr>
          <w:p w:rsidR="00527444" w:rsidRPr="003A29E9" w:rsidRDefault="003A29E9" w:rsidP="004D5FCA">
            <w:pPr>
              <w:tabs>
                <w:tab w:val="left" w:pos="176"/>
              </w:tabs>
              <w:spacing w:before="60" w:after="60" w:line="259" w:lineRule="auto"/>
              <w:ind w:left="176" w:hanging="176"/>
              <w:rPr>
                <w:rFonts w:ascii="Fira Sans" w:hAnsi="Fira Sans"/>
                <w:sz w:val="14"/>
                <w:szCs w:val="14"/>
                <w:lang w:val="en-US"/>
              </w:rPr>
            </w:pPr>
            <w:r w:rsidRPr="003A29E9">
              <w:rPr>
                <w:rFonts w:ascii="Fira Sans" w:hAnsi="Fira Sans"/>
                <w:b/>
                <w:sz w:val="14"/>
                <w:szCs w:val="14"/>
                <w:lang w:val="en-US"/>
              </w:rPr>
              <w:t>6. Out of negative effects of the ongoing war in Ukraine reported in the previous month, which of them relate to your company the most:</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3A29E9" w:rsidRDefault="003F5F10" w:rsidP="003F5F10">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25,3</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20,8</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23,7</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31,0</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26,0</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37,1</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64,9</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85,9</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64,9</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62,7</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70,5</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75,4</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59,9</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53,9</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47,5</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39,6</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28,9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18,5</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3A29E9" w:rsidRDefault="003F5F10" w:rsidP="003F5F1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4,4</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9,0</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1,9</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12,9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10,0</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2,7</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11,9</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6,8</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7,5</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10,5</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7,5</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6,9</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3,7</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6,6</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0,0</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1,2</w:t>
            </w:r>
          </w:p>
        </w:tc>
      </w:tr>
      <w:tr w:rsidR="003F5F10" w:rsidRPr="0059047B" w:rsidTr="004D5FCA">
        <w:tc>
          <w:tcPr>
            <w:tcW w:w="2443" w:type="dxa"/>
            <w:tcBorders>
              <w:top w:val="single" w:sz="2" w:space="0" w:color="001D77"/>
              <w:left w:val="nil"/>
              <w:bottom w:val="single" w:sz="2" w:space="0" w:color="001D77"/>
              <w:right w:val="single" w:sz="2" w:space="0" w:color="001D77"/>
            </w:tcBorders>
            <w:vAlign w:val="center"/>
          </w:tcPr>
          <w:p w:rsidR="003F5F10" w:rsidRPr="003A29E9" w:rsidRDefault="003F5F10" w:rsidP="003F5F1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17,0</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3,4</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17,7</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6,5</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9,9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0,6</w:t>
            </w:r>
          </w:p>
        </w:tc>
      </w:tr>
      <w:tr w:rsidR="00527444" w:rsidRPr="0059047B" w:rsidTr="004D5FCA">
        <w:trPr>
          <w:trHeight w:val="170"/>
        </w:trPr>
        <w:tc>
          <w:tcPr>
            <w:tcW w:w="8096" w:type="dxa"/>
            <w:gridSpan w:val="7"/>
            <w:tcBorders>
              <w:top w:val="single" w:sz="2" w:space="0" w:color="001D77"/>
              <w:left w:val="nil"/>
              <w:bottom w:val="single" w:sz="4" w:space="0" w:color="C4CBF5"/>
              <w:right w:val="nil"/>
            </w:tcBorders>
            <w:shd w:val="clear" w:color="auto" w:fill="C4CBF5"/>
          </w:tcPr>
          <w:p w:rsidR="00527444" w:rsidRPr="00C75009" w:rsidRDefault="00527444" w:rsidP="004D5FCA">
            <w:pPr>
              <w:spacing w:line="240" w:lineRule="auto"/>
              <w:rPr>
                <w:rFonts w:ascii="Fira Sans" w:hAnsi="Fira Sans"/>
                <w:b/>
                <w:sz w:val="14"/>
                <w:szCs w:val="14"/>
              </w:rPr>
            </w:pPr>
          </w:p>
        </w:tc>
      </w:tr>
      <w:tr w:rsidR="00527444" w:rsidRPr="0032345D" w:rsidTr="004D5FCA">
        <w:tc>
          <w:tcPr>
            <w:tcW w:w="8096" w:type="dxa"/>
            <w:gridSpan w:val="7"/>
            <w:tcBorders>
              <w:top w:val="single" w:sz="4" w:space="0" w:color="C4CBF5"/>
              <w:left w:val="nil"/>
              <w:bottom w:val="single" w:sz="4" w:space="0" w:color="001D77"/>
              <w:right w:val="nil"/>
            </w:tcBorders>
          </w:tcPr>
          <w:p w:rsidR="00527444" w:rsidRPr="00EB5011" w:rsidRDefault="00EB5011" w:rsidP="004D5FCA">
            <w:pPr>
              <w:tabs>
                <w:tab w:val="left" w:pos="176"/>
              </w:tabs>
              <w:spacing w:before="60" w:after="60" w:line="259" w:lineRule="auto"/>
              <w:ind w:left="176" w:hanging="176"/>
              <w:rPr>
                <w:rFonts w:ascii="Fira Sans" w:hAnsi="Fira Sans"/>
                <w:sz w:val="14"/>
                <w:szCs w:val="14"/>
                <w:lang w:val="en-US"/>
              </w:rPr>
            </w:pPr>
            <w:r w:rsidRPr="00EB5011">
              <w:rPr>
                <w:rFonts w:ascii="Fira Sans" w:hAnsi="Fira Sans"/>
                <w:b/>
                <w:sz w:val="14"/>
                <w:szCs w:val="14"/>
                <w:lang w:val="en-US"/>
              </w:rPr>
              <w:t xml:space="preserve">7. If your company employs workers from Ukraine, did you report </w:t>
            </w:r>
            <w:r w:rsidR="0032345D">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sidR="00527444">
              <w:rPr>
                <w:rStyle w:val="Odwoanieprzypisudolnego"/>
                <w:rFonts w:ascii="Fira Sans" w:hAnsi="Fira Sans"/>
                <w:b/>
                <w:sz w:val="14"/>
                <w:szCs w:val="14"/>
              </w:rPr>
              <w:footnoteReference w:id="4"/>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EB5011" w:rsidRDefault="003F5F10" w:rsidP="003F5F10">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37,9</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27,5</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9,1</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20,2</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32,8</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48,1</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36,4</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20,6</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8,7</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19,9</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26,2</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48,1</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1,5</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6,9</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0,3</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6,6</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0,0</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EB5011" w:rsidRDefault="003F5F10" w:rsidP="003F5F10">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37,5</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22,2</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14,3</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28,5</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24,9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52,9</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34,6</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22,0</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13,9</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20,8</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24,9</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38,0</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serious</w:t>
            </w:r>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2,9</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0,2</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0,4</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7,7</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0,0</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14,9</w:t>
            </w:r>
          </w:p>
        </w:tc>
      </w:tr>
      <w:tr w:rsidR="003F5F10" w:rsidRPr="0059047B" w:rsidTr="00B67A11">
        <w:tc>
          <w:tcPr>
            <w:tcW w:w="2443" w:type="dxa"/>
            <w:tcBorders>
              <w:top w:val="single" w:sz="2" w:space="0" w:color="001D77"/>
              <w:left w:val="nil"/>
              <w:bottom w:val="single" w:sz="2" w:space="0" w:color="001D77"/>
              <w:right w:val="single" w:sz="2" w:space="0" w:color="001D77"/>
            </w:tcBorders>
            <w:vAlign w:val="center"/>
          </w:tcPr>
          <w:p w:rsidR="003F5F10" w:rsidRPr="0013372C" w:rsidRDefault="003F5F10" w:rsidP="003F5F10">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956" w:type="dxa"/>
            <w:tcBorders>
              <w:top w:val="single" w:sz="4" w:space="0" w:color="001D77"/>
              <w:left w:val="single" w:sz="2"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55,6</w:t>
            </w:r>
          </w:p>
        </w:tc>
        <w:tc>
          <w:tcPr>
            <w:tcW w:w="907"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71,2</w:t>
            </w:r>
          </w:p>
        </w:tc>
        <w:tc>
          <w:tcPr>
            <w:tcW w:w="924"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82,6</w:t>
            </w:r>
          </w:p>
        </w:tc>
        <w:tc>
          <w:tcPr>
            <w:tcW w:w="959"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68,2</w:t>
            </w:r>
          </w:p>
        </w:tc>
        <w:tc>
          <w:tcPr>
            <w:tcW w:w="952" w:type="dxa"/>
            <w:tcBorders>
              <w:top w:val="single" w:sz="4" w:space="0" w:color="001D77"/>
              <w:left w:val="single" w:sz="4" w:space="0" w:color="001D77"/>
              <w:bottom w:val="single" w:sz="4" w:space="0" w:color="001D77"/>
              <w:right w:val="single" w:sz="4" w:space="0" w:color="001D77"/>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63,2</w:t>
            </w:r>
          </w:p>
        </w:tc>
        <w:tc>
          <w:tcPr>
            <w:tcW w:w="955" w:type="dxa"/>
            <w:tcBorders>
              <w:top w:val="single" w:sz="4" w:space="0" w:color="001D77"/>
              <w:left w:val="single" w:sz="4" w:space="0" w:color="001D77"/>
              <w:bottom w:val="single" w:sz="4" w:space="0" w:color="001D77"/>
              <w:right w:val="nil"/>
            </w:tcBorders>
            <w:vAlign w:val="center"/>
          </w:tcPr>
          <w:p w:rsidR="003F5F10" w:rsidRPr="009B711C" w:rsidRDefault="003F5F10" w:rsidP="003F5F10">
            <w:pPr>
              <w:spacing w:before="40" w:after="40" w:line="259" w:lineRule="auto"/>
              <w:jc w:val="right"/>
              <w:rPr>
                <w:rFonts w:ascii="Fira Sans" w:hAnsi="Fira Sans"/>
                <w:sz w:val="12"/>
                <w:szCs w:val="12"/>
              </w:rPr>
            </w:pPr>
            <w:r>
              <w:rPr>
                <w:rFonts w:ascii="Fira Sans" w:hAnsi="Fira Sans" w:cs="Calibri"/>
                <w:color w:val="000000"/>
                <w:sz w:val="12"/>
                <w:szCs w:val="12"/>
              </w:rPr>
              <w:t>44,0</w:t>
            </w:r>
          </w:p>
        </w:tc>
      </w:tr>
    </w:tbl>
    <w:p w:rsidR="00527444" w:rsidRDefault="00527444" w:rsidP="00404022">
      <w:pPr>
        <w:spacing w:after="0"/>
        <w:rPr>
          <w:rFonts w:ascii="Fira Sans" w:hAnsi="Fira Sans"/>
          <w:sz w:val="16"/>
          <w:szCs w:val="16"/>
          <w:lang w:val="en-GB"/>
        </w:rPr>
      </w:pPr>
      <w:bookmarkStart w:id="12" w:name="_GoBack"/>
      <w:bookmarkEnd w:id="12"/>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152A08" w:rsidRDefault="00152A08"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r w:rsidR="00E011CF" w:rsidRPr="008E60B5">
        <w:rPr>
          <w:rFonts w:ascii="Fira Sans" w:hAnsi="Fira Sans"/>
          <w:sz w:val="14"/>
          <w:szCs w:val="14"/>
          <w:lang w:val="en-GB"/>
        </w:rPr>
        <w:br w:type="page"/>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32345D"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50"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7"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8"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B329B6" w:rsidP="0021045E">
            <w:pPr>
              <w:spacing w:before="120" w:after="120"/>
              <w:rPr>
                <w:rStyle w:val="Hipercze"/>
                <w:rFonts w:ascii="Fira Sans" w:hAnsi="Fira Sans" w:cstheme="minorBidi"/>
                <w:sz w:val="19"/>
              </w:rPr>
            </w:pPr>
            <w:hyperlink r:id="rId59"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Pr="005100C9" w:rsidRDefault="00BE25E8"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5FCA" w:rsidRPr="00697405" w:rsidRDefault="004D5FC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4D5FCA" w:rsidRPr="00697405" w:rsidRDefault="004D5FCA"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0">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9B6" w:rsidRDefault="00B329B6" w:rsidP="000662E2">
      <w:pPr>
        <w:spacing w:after="0" w:line="240" w:lineRule="auto"/>
      </w:pPr>
      <w:r>
        <w:separator/>
      </w:r>
    </w:p>
  </w:endnote>
  <w:endnote w:type="continuationSeparator" w:id="0">
    <w:p w:rsidR="00B329B6" w:rsidRDefault="00B329B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4D5FCA" w:rsidRPr="00B7359B" w:rsidRDefault="004D5FCA"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32345D">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4D5FCA" w:rsidRPr="002B1A65" w:rsidRDefault="004D5FCA"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32345D">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4D5FCA" w:rsidRDefault="004D5FCA" w:rsidP="000A013E">
        <w:pPr>
          <w:pStyle w:val="Stopka"/>
          <w:jc w:val="center"/>
        </w:pPr>
        <w:r>
          <w:fldChar w:fldCharType="begin"/>
        </w:r>
        <w:r>
          <w:instrText>PAGE   \* MERGEFORMAT</w:instrText>
        </w:r>
        <w:r>
          <w:fldChar w:fldCharType="separate"/>
        </w:r>
        <w:r w:rsidR="0032345D">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9B6" w:rsidRDefault="00B329B6" w:rsidP="000662E2">
      <w:pPr>
        <w:spacing w:after="0" w:line="240" w:lineRule="auto"/>
      </w:pPr>
      <w:r>
        <w:separator/>
      </w:r>
    </w:p>
  </w:footnote>
  <w:footnote w:type="continuationSeparator" w:id="0">
    <w:p w:rsidR="00B329B6" w:rsidRDefault="00B329B6" w:rsidP="000662E2">
      <w:pPr>
        <w:spacing w:after="0" w:line="240" w:lineRule="auto"/>
      </w:pPr>
      <w:r>
        <w:continuationSeparator/>
      </w:r>
    </w:p>
  </w:footnote>
  <w:footnote w:id="1">
    <w:p w:rsidR="004D5FCA" w:rsidRPr="00D12470" w:rsidRDefault="004D5FCA" w:rsidP="006278BC">
      <w:pPr>
        <w:pStyle w:val="Tekstprzypisudolnego"/>
        <w:rPr>
          <w:lang w:val="en-US"/>
        </w:rPr>
      </w:pPr>
      <w:r>
        <w:rPr>
          <w:rStyle w:val="Odwoanieprzypisudolnego"/>
        </w:rPr>
        <w:footnoteRef/>
      </w:r>
      <w:r w:rsidRPr="00D12470">
        <w:rPr>
          <w:lang w:val="en-US"/>
        </w:rPr>
        <w:t xml:space="preserve"> </w:t>
      </w:r>
      <w:r w:rsidRPr="00E71AE6">
        <w:rPr>
          <w:rFonts w:ascii="Fira Sans" w:hAnsi="Fira Sans"/>
          <w:sz w:val="16"/>
          <w:szCs w:val="16"/>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rsidR="004D5FCA" w:rsidRPr="00ED5DE8" w:rsidRDefault="004D5FCA" w:rsidP="00FC7168">
      <w:pPr>
        <w:pStyle w:val="Tekstprzypisudolnego"/>
        <w:spacing w:before="120"/>
        <w:rPr>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footnote>
  <w:footnote w:id="3">
    <w:p w:rsidR="009802DD" w:rsidRPr="00ED5DE8" w:rsidRDefault="009802DD" w:rsidP="00C27D7C">
      <w:pPr>
        <w:pStyle w:val="Tekstprzypisudolnego"/>
        <w:spacing w:before="120"/>
        <w:rPr>
          <w:rFonts w:ascii="Fira Sans" w:hAnsi="Fira Sans"/>
          <w:sz w:val="16"/>
          <w:szCs w:val="16"/>
          <w:lang w:val="en-US"/>
        </w:rPr>
      </w:pPr>
      <w:r w:rsidRPr="00ED5DE8">
        <w:rPr>
          <w:rStyle w:val="Odwoanieprzypisudolnego"/>
          <w:sz w:val="16"/>
          <w:szCs w:val="16"/>
        </w:rPr>
        <w:footnoteRef/>
      </w:r>
      <w:r w:rsidRPr="00ED5DE8">
        <w:rPr>
          <w:sz w:val="16"/>
          <w:szCs w:val="16"/>
          <w:lang w:val="en-US"/>
        </w:rPr>
        <w:t xml:space="preserve"> </w:t>
      </w:r>
      <w:r w:rsidRPr="00ED5DE8">
        <w:rPr>
          <w:rFonts w:ascii="Fira Sans" w:hAnsi="Fira Sans"/>
          <w:sz w:val="16"/>
          <w:szCs w:val="16"/>
          <w:lang w:val="en-US"/>
        </w:rPr>
        <w:t>Time series does not require to be seasonally adjusted. Non-seasonally adjusted data can be analyzed and interpreted in the same way as seasonally adjusted data.</w:t>
      </w:r>
    </w:p>
    <w:p w:rsidR="009802DD" w:rsidRPr="008C1F32" w:rsidRDefault="009802DD" w:rsidP="00C27D7C">
      <w:pPr>
        <w:pStyle w:val="Tekstprzypisudolnego"/>
        <w:spacing w:before="120"/>
        <w:rPr>
          <w:lang w:val="en-US"/>
        </w:rPr>
      </w:pPr>
    </w:p>
  </w:footnote>
  <w:footnote w:id="4">
    <w:p w:rsidR="004D5FCA" w:rsidRPr="00CC44CE" w:rsidRDefault="004D5FCA" w:rsidP="00527444">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CA" w:rsidRDefault="004D5FCA">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4D5FCA" w:rsidRDefault="004D5FC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CA" w:rsidRDefault="004D5FCA">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5FCA" w:rsidRPr="000201D2" w:rsidRDefault="004D5FC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D5FCA" w:rsidRPr="000201D2" w:rsidRDefault="004D5FCA"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4D5FCA" w:rsidRDefault="004D5FCA">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05.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4D5FCA" w:rsidRPr="000201D2" w:rsidRDefault="004D5FCA" w:rsidP="00F37172">
                          <w:pPr>
                            <w:jc w:val="both"/>
                            <w:rPr>
                              <w:rFonts w:ascii="Fira Sans SemiBold" w:hAnsi="Fira Sans SemiBold"/>
                              <w:color w:val="001D77"/>
                              <w:sz w:val="19"/>
                              <w:szCs w:val="19"/>
                            </w:rPr>
                          </w:pPr>
                          <w:r>
                            <w:rPr>
                              <w:rFonts w:ascii="Fira Sans SemiBold" w:hAnsi="Fira Sans SemiBold"/>
                              <w:color w:val="001D77"/>
                              <w:sz w:val="19"/>
                              <w:szCs w:val="19"/>
                            </w:rPr>
                            <w:t>20.05.2022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05.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74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sKPO+B4CAAARBAAADgAAAAAAAAAAAAAAAAAuAgAAZHJzL2Uyb0RvYy54bWxQSwEC&#10;LQAUAAYACAAAACEAQ80d/90AAAAKAQAADwAAAAAAAAAAAAAAAAB4BAAAZHJzL2Rvd25yZXYueG1s&#10;UEsFBgAAAAAEAAQA8wAAAIIFAAAAAA==&#10;" filled="f" stroked="f">
              <v:textbox>
                <w:txbxContent>
                  <w:p w:rsidR="004D5FCA" w:rsidRPr="000201D2" w:rsidRDefault="004D5FCA" w:rsidP="00F37172">
                    <w:pPr>
                      <w:jc w:val="both"/>
                      <w:rPr>
                        <w:rFonts w:ascii="Fira Sans SemiBold" w:hAnsi="Fira Sans SemiBold"/>
                        <w:color w:val="001D77"/>
                        <w:sz w:val="19"/>
                        <w:szCs w:val="19"/>
                      </w:rPr>
                    </w:pPr>
                    <w:r>
                      <w:rPr>
                        <w:rFonts w:ascii="Fira Sans SemiBold" w:hAnsi="Fira Sans SemiBold"/>
                        <w:color w:val="001D77"/>
                        <w:sz w:val="19"/>
                        <w:szCs w:val="19"/>
                      </w:rPr>
                      <w:t>20.05.2022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FCA" w:rsidRDefault="004D5FCA">
    <w:pPr>
      <w:pStyle w:val="Nagwek"/>
    </w:pPr>
  </w:p>
  <w:p w:rsidR="004D5FCA" w:rsidRDefault="004D5F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5pt;height:124.5pt;visibility:visible;mso-wrap-style:square" o:bullet="t">
        <v:imagedata r:id="rId1" o:title=""/>
      </v:shape>
    </w:pict>
  </w:numPicBullet>
  <w:numPicBullet w:numPicBulletId="1">
    <w:pict>
      <v:shape id="_x0000_i1029" type="#_x0000_t75" style="width:124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DD4"/>
    <w:rsid w:val="000366E9"/>
    <w:rsid w:val="00040963"/>
    <w:rsid w:val="00040B45"/>
    <w:rsid w:val="000414BE"/>
    <w:rsid w:val="00041821"/>
    <w:rsid w:val="00043A21"/>
    <w:rsid w:val="0004400B"/>
    <w:rsid w:val="0004582E"/>
    <w:rsid w:val="0004594F"/>
    <w:rsid w:val="00050C96"/>
    <w:rsid w:val="0005169D"/>
    <w:rsid w:val="00051931"/>
    <w:rsid w:val="00051E3A"/>
    <w:rsid w:val="00052A1D"/>
    <w:rsid w:val="000534A5"/>
    <w:rsid w:val="00054273"/>
    <w:rsid w:val="0005463C"/>
    <w:rsid w:val="00054779"/>
    <w:rsid w:val="000569FC"/>
    <w:rsid w:val="00057B5C"/>
    <w:rsid w:val="00057BCF"/>
    <w:rsid w:val="00057CA1"/>
    <w:rsid w:val="00061635"/>
    <w:rsid w:val="00061E17"/>
    <w:rsid w:val="00062856"/>
    <w:rsid w:val="00062C3F"/>
    <w:rsid w:val="000639B8"/>
    <w:rsid w:val="00064531"/>
    <w:rsid w:val="0006559D"/>
    <w:rsid w:val="000662E2"/>
    <w:rsid w:val="00066883"/>
    <w:rsid w:val="00070CAD"/>
    <w:rsid w:val="0007237F"/>
    <w:rsid w:val="0007255E"/>
    <w:rsid w:val="0007413E"/>
    <w:rsid w:val="00074600"/>
    <w:rsid w:val="00074CFC"/>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FED"/>
    <w:rsid w:val="00096571"/>
    <w:rsid w:val="00096BB4"/>
    <w:rsid w:val="000978F0"/>
    <w:rsid w:val="000A013E"/>
    <w:rsid w:val="000A0C17"/>
    <w:rsid w:val="000A0EB1"/>
    <w:rsid w:val="000A20AE"/>
    <w:rsid w:val="000A388D"/>
    <w:rsid w:val="000A6754"/>
    <w:rsid w:val="000A7081"/>
    <w:rsid w:val="000B0727"/>
    <w:rsid w:val="000B1421"/>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1065"/>
    <w:rsid w:val="000D1D43"/>
    <w:rsid w:val="000D225C"/>
    <w:rsid w:val="000D316A"/>
    <w:rsid w:val="000D3747"/>
    <w:rsid w:val="000D5527"/>
    <w:rsid w:val="000D5E6C"/>
    <w:rsid w:val="000D7712"/>
    <w:rsid w:val="000E084D"/>
    <w:rsid w:val="000E0918"/>
    <w:rsid w:val="000E0C2A"/>
    <w:rsid w:val="000E112D"/>
    <w:rsid w:val="000E276F"/>
    <w:rsid w:val="000E3250"/>
    <w:rsid w:val="000E404D"/>
    <w:rsid w:val="000E5FAD"/>
    <w:rsid w:val="000E6E32"/>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3319"/>
    <w:rsid w:val="00123A2C"/>
    <w:rsid w:val="001244A5"/>
    <w:rsid w:val="00124C05"/>
    <w:rsid w:val="00130002"/>
    <w:rsid w:val="00130296"/>
    <w:rsid w:val="001303CA"/>
    <w:rsid w:val="001316F2"/>
    <w:rsid w:val="001325C6"/>
    <w:rsid w:val="00133B51"/>
    <w:rsid w:val="00134060"/>
    <w:rsid w:val="00134852"/>
    <w:rsid w:val="00134D2F"/>
    <w:rsid w:val="00134F39"/>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7B1"/>
    <w:rsid w:val="00155A33"/>
    <w:rsid w:val="001564E6"/>
    <w:rsid w:val="00156B91"/>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6163"/>
    <w:rsid w:val="001762A6"/>
    <w:rsid w:val="00176881"/>
    <w:rsid w:val="00177A58"/>
    <w:rsid w:val="00180135"/>
    <w:rsid w:val="0018029F"/>
    <w:rsid w:val="00182C12"/>
    <w:rsid w:val="0018424E"/>
    <w:rsid w:val="001865F6"/>
    <w:rsid w:val="001866DD"/>
    <w:rsid w:val="00186B0A"/>
    <w:rsid w:val="00187715"/>
    <w:rsid w:val="00187A01"/>
    <w:rsid w:val="00187EC6"/>
    <w:rsid w:val="0019042A"/>
    <w:rsid w:val="00190486"/>
    <w:rsid w:val="00191705"/>
    <w:rsid w:val="00193BDE"/>
    <w:rsid w:val="00193FC5"/>
    <w:rsid w:val="00194FED"/>
    <w:rsid w:val="001951DA"/>
    <w:rsid w:val="001962C2"/>
    <w:rsid w:val="001A049A"/>
    <w:rsid w:val="001A1B86"/>
    <w:rsid w:val="001A1D09"/>
    <w:rsid w:val="001A25AA"/>
    <w:rsid w:val="001A26F9"/>
    <w:rsid w:val="001A3EF8"/>
    <w:rsid w:val="001A42E2"/>
    <w:rsid w:val="001A48E3"/>
    <w:rsid w:val="001A5C5E"/>
    <w:rsid w:val="001A5DA3"/>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7C5"/>
    <w:rsid w:val="001D1DB4"/>
    <w:rsid w:val="001D3B9B"/>
    <w:rsid w:val="001D477A"/>
    <w:rsid w:val="001D4B1F"/>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17D"/>
    <w:rsid w:val="001F135A"/>
    <w:rsid w:val="001F1BE1"/>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72E5"/>
    <w:rsid w:val="00207ECF"/>
    <w:rsid w:val="00207ED8"/>
    <w:rsid w:val="0021045E"/>
    <w:rsid w:val="002105E1"/>
    <w:rsid w:val="00211044"/>
    <w:rsid w:val="002112C0"/>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6AC"/>
    <w:rsid w:val="00250150"/>
    <w:rsid w:val="00250845"/>
    <w:rsid w:val="00250B60"/>
    <w:rsid w:val="002514D2"/>
    <w:rsid w:val="00252628"/>
    <w:rsid w:val="00252E6F"/>
    <w:rsid w:val="002537A7"/>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1363"/>
    <w:rsid w:val="00273293"/>
    <w:rsid w:val="00273644"/>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0BF6"/>
    <w:rsid w:val="002A2FF1"/>
    <w:rsid w:val="002A37B7"/>
    <w:rsid w:val="002A3C8F"/>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ED1"/>
    <w:rsid w:val="002D3F81"/>
    <w:rsid w:val="002D428E"/>
    <w:rsid w:val="002D4A5C"/>
    <w:rsid w:val="002D4C87"/>
    <w:rsid w:val="002D5776"/>
    <w:rsid w:val="002D599E"/>
    <w:rsid w:val="002D5A7F"/>
    <w:rsid w:val="002D7440"/>
    <w:rsid w:val="002E5E9C"/>
    <w:rsid w:val="002E6140"/>
    <w:rsid w:val="002E6985"/>
    <w:rsid w:val="002E71B6"/>
    <w:rsid w:val="002E76EA"/>
    <w:rsid w:val="002F14FA"/>
    <w:rsid w:val="002F17AD"/>
    <w:rsid w:val="002F20BE"/>
    <w:rsid w:val="002F26A6"/>
    <w:rsid w:val="002F2B58"/>
    <w:rsid w:val="002F2EE4"/>
    <w:rsid w:val="002F4D66"/>
    <w:rsid w:val="002F4E60"/>
    <w:rsid w:val="002F6FA7"/>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7F62"/>
    <w:rsid w:val="0036049A"/>
    <w:rsid w:val="00360B4D"/>
    <w:rsid w:val="00361569"/>
    <w:rsid w:val="00362EA6"/>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B9D"/>
    <w:rsid w:val="00377AC7"/>
    <w:rsid w:val="00380BE7"/>
    <w:rsid w:val="00381330"/>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51A6"/>
    <w:rsid w:val="003B5B72"/>
    <w:rsid w:val="003B6025"/>
    <w:rsid w:val="003B6C19"/>
    <w:rsid w:val="003C0845"/>
    <w:rsid w:val="003C2774"/>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E"/>
    <w:rsid w:val="0042641A"/>
    <w:rsid w:val="004264B5"/>
    <w:rsid w:val="0042736F"/>
    <w:rsid w:val="00427BF8"/>
    <w:rsid w:val="00430375"/>
    <w:rsid w:val="00430FBF"/>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417"/>
    <w:rsid w:val="00472F27"/>
    <w:rsid w:val="004733F6"/>
    <w:rsid w:val="00473463"/>
    <w:rsid w:val="00474E69"/>
    <w:rsid w:val="0047602A"/>
    <w:rsid w:val="0047661F"/>
    <w:rsid w:val="00480B52"/>
    <w:rsid w:val="0048165F"/>
    <w:rsid w:val="00482BBE"/>
    <w:rsid w:val="00482FAD"/>
    <w:rsid w:val="00483C65"/>
    <w:rsid w:val="004853D3"/>
    <w:rsid w:val="00486BAE"/>
    <w:rsid w:val="00487B8C"/>
    <w:rsid w:val="0049009C"/>
    <w:rsid w:val="00490BA1"/>
    <w:rsid w:val="00495545"/>
    <w:rsid w:val="00495D50"/>
    <w:rsid w:val="0049621B"/>
    <w:rsid w:val="00497E9D"/>
    <w:rsid w:val="00497FA0"/>
    <w:rsid w:val="004A04D5"/>
    <w:rsid w:val="004A569A"/>
    <w:rsid w:val="004A592F"/>
    <w:rsid w:val="004A599C"/>
    <w:rsid w:val="004A5DE8"/>
    <w:rsid w:val="004A640B"/>
    <w:rsid w:val="004A6BD3"/>
    <w:rsid w:val="004A6CC2"/>
    <w:rsid w:val="004B02E3"/>
    <w:rsid w:val="004B04D8"/>
    <w:rsid w:val="004B059E"/>
    <w:rsid w:val="004B0752"/>
    <w:rsid w:val="004B0F9D"/>
    <w:rsid w:val="004B1FEA"/>
    <w:rsid w:val="004B35CD"/>
    <w:rsid w:val="004B4C59"/>
    <w:rsid w:val="004B50F3"/>
    <w:rsid w:val="004B5159"/>
    <w:rsid w:val="004B54B6"/>
    <w:rsid w:val="004B7384"/>
    <w:rsid w:val="004C0840"/>
    <w:rsid w:val="004C0E8B"/>
    <w:rsid w:val="004C1895"/>
    <w:rsid w:val="004C21B2"/>
    <w:rsid w:val="004C5A76"/>
    <w:rsid w:val="004C5EFD"/>
    <w:rsid w:val="004C693A"/>
    <w:rsid w:val="004C6D40"/>
    <w:rsid w:val="004C70F3"/>
    <w:rsid w:val="004C7599"/>
    <w:rsid w:val="004C7CC1"/>
    <w:rsid w:val="004D0716"/>
    <w:rsid w:val="004D1AF6"/>
    <w:rsid w:val="004D211A"/>
    <w:rsid w:val="004D30A4"/>
    <w:rsid w:val="004D3A23"/>
    <w:rsid w:val="004D3C1E"/>
    <w:rsid w:val="004D4BCB"/>
    <w:rsid w:val="004D4C95"/>
    <w:rsid w:val="004D5FCA"/>
    <w:rsid w:val="004D6D73"/>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4D66"/>
    <w:rsid w:val="004F63FC"/>
    <w:rsid w:val="00500DE2"/>
    <w:rsid w:val="0050144E"/>
    <w:rsid w:val="0050225F"/>
    <w:rsid w:val="005027AB"/>
    <w:rsid w:val="0050498B"/>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1BC3"/>
    <w:rsid w:val="00521CED"/>
    <w:rsid w:val="00523DD7"/>
    <w:rsid w:val="00524732"/>
    <w:rsid w:val="00526035"/>
    <w:rsid w:val="00526B0F"/>
    <w:rsid w:val="00527444"/>
    <w:rsid w:val="00527BCC"/>
    <w:rsid w:val="00527C2D"/>
    <w:rsid w:val="00527EF0"/>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6898"/>
    <w:rsid w:val="005705CB"/>
    <w:rsid w:val="00570C3F"/>
    <w:rsid w:val="005734C4"/>
    <w:rsid w:val="0057414D"/>
    <w:rsid w:val="00574C8C"/>
    <w:rsid w:val="005762A7"/>
    <w:rsid w:val="00576DAB"/>
    <w:rsid w:val="0057767A"/>
    <w:rsid w:val="0057796A"/>
    <w:rsid w:val="00582408"/>
    <w:rsid w:val="005828BF"/>
    <w:rsid w:val="00582FF7"/>
    <w:rsid w:val="005835B6"/>
    <w:rsid w:val="0058396B"/>
    <w:rsid w:val="0058585A"/>
    <w:rsid w:val="005864BA"/>
    <w:rsid w:val="00587477"/>
    <w:rsid w:val="005916D7"/>
    <w:rsid w:val="00593254"/>
    <w:rsid w:val="005960D9"/>
    <w:rsid w:val="005965F1"/>
    <w:rsid w:val="005A0ADE"/>
    <w:rsid w:val="005A0F86"/>
    <w:rsid w:val="005A19C5"/>
    <w:rsid w:val="005A1C1A"/>
    <w:rsid w:val="005A50E2"/>
    <w:rsid w:val="005A5136"/>
    <w:rsid w:val="005A65A0"/>
    <w:rsid w:val="005A698C"/>
    <w:rsid w:val="005A6ECE"/>
    <w:rsid w:val="005A6F50"/>
    <w:rsid w:val="005B0759"/>
    <w:rsid w:val="005B11DA"/>
    <w:rsid w:val="005B2433"/>
    <w:rsid w:val="005B2A39"/>
    <w:rsid w:val="005B44E2"/>
    <w:rsid w:val="005B5280"/>
    <w:rsid w:val="005B5D94"/>
    <w:rsid w:val="005B78C1"/>
    <w:rsid w:val="005C023D"/>
    <w:rsid w:val="005C3289"/>
    <w:rsid w:val="005C4C57"/>
    <w:rsid w:val="005C4F00"/>
    <w:rsid w:val="005C5F3B"/>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A80"/>
    <w:rsid w:val="005F604A"/>
    <w:rsid w:val="005F6701"/>
    <w:rsid w:val="005F6DFA"/>
    <w:rsid w:val="005F7E58"/>
    <w:rsid w:val="006005BC"/>
    <w:rsid w:val="00600845"/>
    <w:rsid w:val="00601033"/>
    <w:rsid w:val="006016E5"/>
    <w:rsid w:val="00602772"/>
    <w:rsid w:val="00602F95"/>
    <w:rsid w:val="00603F3A"/>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4405"/>
    <w:rsid w:val="00644F2A"/>
    <w:rsid w:val="00645C7D"/>
    <w:rsid w:val="006467C3"/>
    <w:rsid w:val="00646D73"/>
    <w:rsid w:val="006516CF"/>
    <w:rsid w:val="00652262"/>
    <w:rsid w:val="00652FE9"/>
    <w:rsid w:val="0065356C"/>
    <w:rsid w:val="00655305"/>
    <w:rsid w:val="00655B16"/>
    <w:rsid w:val="0065710D"/>
    <w:rsid w:val="00657272"/>
    <w:rsid w:val="00660B3A"/>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3C18"/>
    <w:rsid w:val="00685217"/>
    <w:rsid w:val="00686AD5"/>
    <w:rsid w:val="00690BEE"/>
    <w:rsid w:val="00692138"/>
    <w:rsid w:val="006932A5"/>
    <w:rsid w:val="00694612"/>
    <w:rsid w:val="00694F1E"/>
    <w:rsid w:val="00695688"/>
    <w:rsid w:val="00695D66"/>
    <w:rsid w:val="006966AD"/>
    <w:rsid w:val="00696B4B"/>
    <w:rsid w:val="006A0351"/>
    <w:rsid w:val="006A0CAE"/>
    <w:rsid w:val="006A0D2F"/>
    <w:rsid w:val="006A10B2"/>
    <w:rsid w:val="006A280D"/>
    <w:rsid w:val="006A41E2"/>
    <w:rsid w:val="006A66EB"/>
    <w:rsid w:val="006B05FA"/>
    <w:rsid w:val="006B0E9E"/>
    <w:rsid w:val="006B1492"/>
    <w:rsid w:val="006B2029"/>
    <w:rsid w:val="006B2281"/>
    <w:rsid w:val="006B2B4A"/>
    <w:rsid w:val="006B2D75"/>
    <w:rsid w:val="006B3239"/>
    <w:rsid w:val="006B3857"/>
    <w:rsid w:val="006B5AE4"/>
    <w:rsid w:val="006B5E8A"/>
    <w:rsid w:val="006B6F94"/>
    <w:rsid w:val="006B7C5E"/>
    <w:rsid w:val="006C4904"/>
    <w:rsid w:val="006C5224"/>
    <w:rsid w:val="006C5C81"/>
    <w:rsid w:val="006D3133"/>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182B"/>
    <w:rsid w:val="006F2A38"/>
    <w:rsid w:val="006F2AEC"/>
    <w:rsid w:val="006F36A8"/>
    <w:rsid w:val="006F45AD"/>
    <w:rsid w:val="006F4B1B"/>
    <w:rsid w:val="006F57E5"/>
    <w:rsid w:val="006F728E"/>
    <w:rsid w:val="00700009"/>
    <w:rsid w:val="00700A94"/>
    <w:rsid w:val="00701AB2"/>
    <w:rsid w:val="00702477"/>
    <w:rsid w:val="00702737"/>
    <w:rsid w:val="007027A1"/>
    <w:rsid w:val="00703187"/>
    <w:rsid w:val="00704D3B"/>
    <w:rsid w:val="00705618"/>
    <w:rsid w:val="00706806"/>
    <w:rsid w:val="007108C1"/>
    <w:rsid w:val="00710D7F"/>
    <w:rsid w:val="00711297"/>
    <w:rsid w:val="00711571"/>
    <w:rsid w:val="00712147"/>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50641"/>
    <w:rsid w:val="00752B07"/>
    <w:rsid w:val="00754106"/>
    <w:rsid w:val="00754C63"/>
    <w:rsid w:val="00755FD3"/>
    <w:rsid w:val="007568F6"/>
    <w:rsid w:val="0075744D"/>
    <w:rsid w:val="00757455"/>
    <w:rsid w:val="007612C6"/>
    <w:rsid w:val="007615BC"/>
    <w:rsid w:val="007623ED"/>
    <w:rsid w:val="00762403"/>
    <w:rsid w:val="0076254F"/>
    <w:rsid w:val="00763032"/>
    <w:rsid w:val="007655EB"/>
    <w:rsid w:val="0076747D"/>
    <w:rsid w:val="00767A71"/>
    <w:rsid w:val="007700E4"/>
    <w:rsid w:val="00770A5E"/>
    <w:rsid w:val="0077196D"/>
    <w:rsid w:val="00772E50"/>
    <w:rsid w:val="00773D71"/>
    <w:rsid w:val="00773E86"/>
    <w:rsid w:val="00774C6B"/>
    <w:rsid w:val="00774C80"/>
    <w:rsid w:val="007769DA"/>
    <w:rsid w:val="00776C05"/>
    <w:rsid w:val="00776EFA"/>
    <w:rsid w:val="007801F5"/>
    <w:rsid w:val="00780361"/>
    <w:rsid w:val="00783CA4"/>
    <w:rsid w:val="007842FB"/>
    <w:rsid w:val="00785D48"/>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5103"/>
    <w:rsid w:val="007B5805"/>
    <w:rsid w:val="007B6125"/>
    <w:rsid w:val="007B659E"/>
    <w:rsid w:val="007B7014"/>
    <w:rsid w:val="007C0B03"/>
    <w:rsid w:val="007C14FB"/>
    <w:rsid w:val="007C150C"/>
    <w:rsid w:val="007C26C0"/>
    <w:rsid w:val="007C2857"/>
    <w:rsid w:val="007C3492"/>
    <w:rsid w:val="007C366B"/>
    <w:rsid w:val="007C3827"/>
    <w:rsid w:val="007C3926"/>
    <w:rsid w:val="007C42ED"/>
    <w:rsid w:val="007D279F"/>
    <w:rsid w:val="007D2B8D"/>
    <w:rsid w:val="007D3319"/>
    <w:rsid w:val="007D335D"/>
    <w:rsid w:val="007D3F21"/>
    <w:rsid w:val="007D5ACA"/>
    <w:rsid w:val="007D7C38"/>
    <w:rsid w:val="007E016F"/>
    <w:rsid w:val="007E0254"/>
    <w:rsid w:val="007E07C9"/>
    <w:rsid w:val="007E0F2E"/>
    <w:rsid w:val="007E23A0"/>
    <w:rsid w:val="007E2821"/>
    <w:rsid w:val="007E3301"/>
    <w:rsid w:val="007E3314"/>
    <w:rsid w:val="007E4B03"/>
    <w:rsid w:val="007E5CC9"/>
    <w:rsid w:val="007E6156"/>
    <w:rsid w:val="007E6B4A"/>
    <w:rsid w:val="007E7EC1"/>
    <w:rsid w:val="007F0BD3"/>
    <w:rsid w:val="007F2CC9"/>
    <w:rsid w:val="007F324B"/>
    <w:rsid w:val="007F3482"/>
    <w:rsid w:val="007F408C"/>
    <w:rsid w:val="007F44AA"/>
    <w:rsid w:val="007F5697"/>
    <w:rsid w:val="007F5EBB"/>
    <w:rsid w:val="007F65E3"/>
    <w:rsid w:val="007F69C3"/>
    <w:rsid w:val="007F711E"/>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25FD"/>
    <w:rsid w:val="0083401E"/>
    <w:rsid w:val="00834AD3"/>
    <w:rsid w:val="00834C1D"/>
    <w:rsid w:val="00834E2D"/>
    <w:rsid w:val="0083594E"/>
    <w:rsid w:val="00835AC9"/>
    <w:rsid w:val="00835F14"/>
    <w:rsid w:val="00835F27"/>
    <w:rsid w:val="008377FF"/>
    <w:rsid w:val="00842E44"/>
    <w:rsid w:val="00843795"/>
    <w:rsid w:val="0084516E"/>
    <w:rsid w:val="008456C1"/>
    <w:rsid w:val="00845A97"/>
    <w:rsid w:val="00846125"/>
    <w:rsid w:val="008468C4"/>
    <w:rsid w:val="008469B9"/>
    <w:rsid w:val="00846BFF"/>
    <w:rsid w:val="00847F0F"/>
    <w:rsid w:val="0085032D"/>
    <w:rsid w:val="00851467"/>
    <w:rsid w:val="00851FF2"/>
    <w:rsid w:val="00852448"/>
    <w:rsid w:val="0085330F"/>
    <w:rsid w:val="00854334"/>
    <w:rsid w:val="00854901"/>
    <w:rsid w:val="008564F6"/>
    <w:rsid w:val="00857998"/>
    <w:rsid w:val="00860135"/>
    <w:rsid w:val="00864F19"/>
    <w:rsid w:val="00865255"/>
    <w:rsid w:val="008672E8"/>
    <w:rsid w:val="008679E4"/>
    <w:rsid w:val="0087165C"/>
    <w:rsid w:val="00871AEC"/>
    <w:rsid w:val="008724F0"/>
    <w:rsid w:val="00872B57"/>
    <w:rsid w:val="00875949"/>
    <w:rsid w:val="00875D1F"/>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910CB"/>
    <w:rsid w:val="00891E4D"/>
    <w:rsid w:val="00892418"/>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54DB"/>
    <w:rsid w:val="008B6C73"/>
    <w:rsid w:val="008C0242"/>
    <w:rsid w:val="008C0E61"/>
    <w:rsid w:val="008C1F32"/>
    <w:rsid w:val="008C28C6"/>
    <w:rsid w:val="008C2A4E"/>
    <w:rsid w:val="008C584F"/>
    <w:rsid w:val="008C61D3"/>
    <w:rsid w:val="008D2565"/>
    <w:rsid w:val="008D361F"/>
    <w:rsid w:val="008D67D3"/>
    <w:rsid w:val="008D6880"/>
    <w:rsid w:val="008E0426"/>
    <w:rsid w:val="008E0525"/>
    <w:rsid w:val="008E3158"/>
    <w:rsid w:val="008E3B1E"/>
    <w:rsid w:val="008E3FD2"/>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BDC"/>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F99"/>
    <w:rsid w:val="009705EE"/>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24B0"/>
    <w:rsid w:val="009A40B0"/>
    <w:rsid w:val="009A45B4"/>
    <w:rsid w:val="009A5C20"/>
    <w:rsid w:val="009A742C"/>
    <w:rsid w:val="009B068E"/>
    <w:rsid w:val="009B0F69"/>
    <w:rsid w:val="009B1DF2"/>
    <w:rsid w:val="009B3390"/>
    <w:rsid w:val="009B4CC8"/>
    <w:rsid w:val="009B5808"/>
    <w:rsid w:val="009B7051"/>
    <w:rsid w:val="009C0165"/>
    <w:rsid w:val="009C042F"/>
    <w:rsid w:val="009C0950"/>
    <w:rsid w:val="009C0C4D"/>
    <w:rsid w:val="009C1335"/>
    <w:rsid w:val="009C1AB2"/>
    <w:rsid w:val="009C22CC"/>
    <w:rsid w:val="009C3376"/>
    <w:rsid w:val="009C5032"/>
    <w:rsid w:val="009C55CE"/>
    <w:rsid w:val="009C5DCB"/>
    <w:rsid w:val="009C7251"/>
    <w:rsid w:val="009D03BD"/>
    <w:rsid w:val="009D050F"/>
    <w:rsid w:val="009D0E86"/>
    <w:rsid w:val="009D2DF4"/>
    <w:rsid w:val="009D3868"/>
    <w:rsid w:val="009D48BF"/>
    <w:rsid w:val="009E1846"/>
    <w:rsid w:val="009E1D0F"/>
    <w:rsid w:val="009E2BBC"/>
    <w:rsid w:val="009E2E91"/>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6F42"/>
    <w:rsid w:val="009F7BAC"/>
    <w:rsid w:val="00A0402E"/>
    <w:rsid w:val="00A049C6"/>
    <w:rsid w:val="00A051F6"/>
    <w:rsid w:val="00A052BA"/>
    <w:rsid w:val="00A05405"/>
    <w:rsid w:val="00A0682F"/>
    <w:rsid w:val="00A068AA"/>
    <w:rsid w:val="00A06BD8"/>
    <w:rsid w:val="00A075B1"/>
    <w:rsid w:val="00A11D43"/>
    <w:rsid w:val="00A13211"/>
    <w:rsid w:val="00A139F5"/>
    <w:rsid w:val="00A13D15"/>
    <w:rsid w:val="00A1570A"/>
    <w:rsid w:val="00A213DD"/>
    <w:rsid w:val="00A22043"/>
    <w:rsid w:val="00A22F17"/>
    <w:rsid w:val="00A230E9"/>
    <w:rsid w:val="00A243A9"/>
    <w:rsid w:val="00A24EE1"/>
    <w:rsid w:val="00A25C9B"/>
    <w:rsid w:val="00A25E14"/>
    <w:rsid w:val="00A26130"/>
    <w:rsid w:val="00A26DED"/>
    <w:rsid w:val="00A278F4"/>
    <w:rsid w:val="00A30F61"/>
    <w:rsid w:val="00A3128C"/>
    <w:rsid w:val="00A321E4"/>
    <w:rsid w:val="00A33452"/>
    <w:rsid w:val="00A33F4A"/>
    <w:rsid w:val="00A34347"/>
    <w:rsid w:val="00A36444"/>
    <w:rsid w:val="00A365F4"/>
    <w:rsid w:val="00A36BA6"/>
    <w:rsid w:val="00A36E57"/>
    <w:rsid w:val="00A36EB7"/>
    <w:rsid w:val="00A372DE"/>
    <w:rsid w:val="00A4019F"/>
    <w:rsid w:val="00A422C5"/>
    <w:rsid w:val="00A42C37"/>
    <w:rsid w:val="00A42E86"/>
    <w:rsid w:val="00A43B04"/>
    <w:rsid w:val="00A44AB4"/>
    <w:rsid w:val="00A452F6"/>
    <w:rsid w:val="00A45E5E"/>
    <w:rsid w:val="00A4739F"/>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10E6"/>
    <w:rsid w:val="00AA2636"/>
    <w:rsid w:val="00AA32ED"/>
    <w:rsid w:val="00AA34FD"/>
    <w:rsid w:val="00AA6722"/>
    <w:rsid w:val="00AA6BC7"/>
    <w:rsid w:val="00AA710D"/>
    <w:rsid w:val="00AB0A3C"/>
    <w:rsid w:val="00AB5850"/>
    <w:rsid w:val="00AB6D25"/>
    <w:rsid w:val="00AB6D9B"/>
    <w:rsid w:val="00AB7435"/>
    <w:rsid w:val="00AB764C"/>
    <w:rsid w:val="00AC1219"/>
    <w:rsid w:val="00AC2BAC"/>
    <w:rsid w:val="00AC3527"/>
    <w:rsid w:val="00AC4CB0"/>
    <w:rsid w:val="00AC4CDB"/>
    <w:rsid w:val="00AC7777"/>
    <w:rsid w:val="00AC77A2"/>
    <w:rsid w:val="00AD002C"/>
    <w:rsid w:val="00AD09CB"/>
    <w:rsid w:val="00AD3A98"/>
    <w:rsid w:val="00AD3B15"/>
    <w:rsid w:val="00AD3BCC"/>
    <w:rsid w:val="00AD63D1"/>
    <w:rsid w:val="00AD699B"/>
    <w:rsid w:val="00AD6DDD"/>
    <w:rsid w:val="00AD6FFC"/>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09C"/>
    <w:rsid w:val="00B06CB6"/>
    <w:rsid w:val="00B1091A"/>
    <w:rsid w:val="00B126DD"/>
    <w:rsid w:val="00B13D67"/>
    <w:rsid w:val="00B14952"/>
    <w:rsid w:val="00B14BCC"/>
    <w:rsid w:val="00B1589E"/>
    <w:rsid w:val="00B15C99"/>
    <w:rsid w:val="00B16354"/>
    <w:rsid w:val="00B1703C"/>
    <w:rsid w:val="00B170F4"/>
    <w:rsid w:val="00B170FA"/>
    <w:rsid w:val="00B17BDC"/>
    <w:rsid w:val="00B17C65"/>
    <w:rsid w:val="00B201D6"/>
    <w:rsid w:val="00B20DC0"/>
    <w:rsid w:val="00B23D69"/>
    <w:rsid w:val="00B24362"/>
    <w:rsid w:val="00B24A8B"/>
    <w:rsid w:val="00B25B97"/>
    <w:rsid w:val="00B26873"/>
    <w:rsid w:val="00B31926"/>
    <w:rsid w:val="00B31E5A"/>
    <w:rsid w:val="00B329B6"/>
    <w:rsid w:val="00B33E2C"/>
    <w:rsid w:val="00B35F4F"/>
    <w:rsid w:val="00B366F3"/>
    <w:rsid w:val="00B36FEF"/>
    <w:rsid w:val="00B3729D"/>
    <w:rsid w:val="00B3793E"/>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712B"/>
    <w:rsid w:val="00B90D3E"/>
    <w:rsid w:val="00B914E9"/>
    <w:rsid w:val="00B92CBA"/>
    <w:rsid w:val="00B93E09"/>
    <w:rsid w:val="00B94B59"/>
    <w:rsid w:val="00B956EE"/>
    <w:rsid w:val="00BA0245"/>
    <w:rsid w:val="00BA221E"/>
    <w:rsid w:val="00BA2BA1"/>
    <w:rsid w:val="00BA2C1D"/>
    <w:rsid w:val="00BA3887"/>
    <w:rsid w:val="00BA3C3E"/>
    <w:rsid w:val="00BA437D"/>
    <w:rsid w:val="00BB127F"/>
    <w:rsid w:val="00BB451A"/>
    <w:rsid w:val="00BB6F68"/>
    <w:rsid w:val="00BC0C0A"/>
    <w:rsid w:val="00BC1EC0"/>
    <w:rsid w:val="00BC50FB"/>
    <w:rsid w:val="00BC512B"/>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6128"/>
    <w:rsid w:val="00BE627B"/>
    <w:rsid w:val="00BE62E3"/>
    <w:rsid w:val="00BE6E57"/>
    <w:rsid w:val="00BE6EC2"/>
    <w:rsid w:val="00BE7445"/>
    <w:rsid w:val="00BE74D5"/>
    <w:rsid w:val="00BF12D4"/>
    <w:rsid w:val="00BF1A32"/>
    <w:rsid w:val="00BF21DD"/>
    <w:rsid w:val="00BF277E"/>
    <w:rsid w:val="00BF27BE"/>
    <w:rsid w:val="00C0181D"/>
    <w:rsid w:val="00C030DE"/>
    <w:rsid w:val="00C04116"/>
    <w:rsid w:val="00C06507"/>
    <w:rsid w:val="00C1140D"/>
    <w:rsid w:val="00C11462"/>
    <w:rsid w:val="00C11798"/>
    <w:rsid w:val="00C12AE5"/>
    <w:rsid w:val="00C1417A"/>
    <w:rsid w:val="00C158B4"/>
    <w:rsid w:val="00C159B4"/>
    <w:rsid w:val="00C17BB9"/>
    <w:rsid w:val="00C21041"/>
    <w:rsid w:val="00C21FB9"/>
    <w:rsid w:val="00C22105"/>
    <w:rsid w:val="00C224EF"/>
    <w:rsid w:val="00C22549"/>
    <w:rsid w:val="00C227E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5981"/>
    <w:rsid w:val="00CB61AE"/>
    <w:rsid w:val="00CB67B4"/>
    <w:rsid w:val="00CB77D4"/>
    <w:rsid w:val="00CB7B94"/>
    <w:rsid w:val="00CB7EB7"/>
    <w:rsid w:val="00CC1792"/>
    <w:rsid w:val="00CC2037"/>
    <w:rsid w:val="00CC2AD4"/>
    <w:rsid w:val="00CC3523"/>
    <w:rsid w:val="00CC44CE"/>
    <w:rsid w:val="00CC45BC"/>
    <w:rsid w:val="00CC4D5F"/>
    <w:rsid w:val="00CC4F14"/>
    <w:rsid w:val="00CC5331"/>
    <w:rsid w:val="00CC5D7D"/>
    <w:rsid w:val="00CC6160"/>
    <w:rsid w:val="00CC65E6"/>
    <w:rsid w:val="00CC739E"/>
    <w:rsid w:val="00CC769F"/>
    <w:rsid w:val="00CC7CC1"/>
    <w:rsid w:val="00CD110A"/>
    <w:rsid w:val="00CD1DBD"/>
    <w:rsid w:val="00CD2740"/>
    <w:rsid w:val="00CD4A33"/>
    <w:rsid w:val="00CD58B7"/>
    <w:rsid w:val="00CE05F5"/>
    <w:rsid w:val="00CE06F1"/>
    <w:rsid w:val="00CE1B5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5C62"/>
    <w:rsid w:val="00D06D53"/>
    <w:rsid w:val="00D07944"/>
    <w:rsid w:val="00D10090"/>
    <w:rsid w:val="00D1130B"/>
    <w:rsid w:val="00D118CA"/>
    <w:rsid w:val="00D12470"/>
    <w:rsid w:val="00D144D4"/>
    <w:rsid w:val="00D148C0"/>
    <w:rsid w:val="00D158E3"/>
    <w:rsid w:val="00D15931"/>
    <w:rsid w:val="00D17623"/>
    <w:rsid w:val="00D20D4B"/>
    <w:rsid w:val="00D21053"/>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4076C"/>
    <w:rsid w:val="00D41C37"/>
    <w:rsid w:val="00D41CB1"/>
    <w:rsid w:val="00D424E9"/>
    <w:rsid w:val="00D42A84"/>
    <w:rsid w:val="00D45C50"/>
    <w:rsid w:val="00D4628A"/>
    <w:rsid w:val="00D4628E"/>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E82"/>
    <w:rsid w:val="00D77205"/>
    <w:rsid w:val="00D80752"/>
    <w:rsid w:val="00D81687"/>
    <w:rsid w:val="00D816EE"/>
    <w:rsid w:val="00D827C1"/>
    <w:rsid w:val="00D828A4"/>
    <w:rsid w:val="00D8397C"/>
    <w:rsid w:val="00D84A93"/>
    <w:rsid w:val="00D85014"/>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B4AE9"/>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5AC2"/>
    <w:rsid w:val="00DE6052"/>
    <w:rsid w:val="00DE6C7D"/>
    <w:rsid w:val="00DE7506"/>
    <w:rsid w:val="00DF0556"/>
    <w:rsid w:val="00DF1B27"/>
    <w:rsid w:val="00DF2D55"/>
    <w:rsid w:val="00DF3B68"/>
    <w:rsid w:val="00DF516E"/>
    <w:rsid w:val="00DF5991"/>
    <w:rsid w:val="00DF6A12"/>
    <w:rsid w:val="00DF7B76"/>
    <w:rsid w:val="00E00298"/>
    <w:rsid w:val="00E00AB5"/>
    <w:rsid w:val="00E011CF"/>
    <w:rsid w:val="00E01436"/>
    <w:rsid w:val="00E017C4"/>
    <w:rsid w:val="00E01FC3"/>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40333"/>
    <w:rsid w:val="00E42FF9"/>
    <w:rsid w:val="00E4382B"/>
    <w:rsid w:val="00E454B8"/>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73D"/>
    <w:rsid w:val="00E64818"/>
    <w:rsid w:val="00E664C5"/>
    <w:rsid w:val="00E671A2"/>
    <w:rsid w:val="00E67904"/>
    <w:rsid w:val="00E7165D"/>
    <w:rsid w:val="00E7180B"/>
    <w:rsid w:val="00E71AE6"/>
    <w:rsid w:val="00E71CE1"/>
    <w:rsid w:val="00E7221A"/>
    <w:rsid w:val="00E72C42"/>
    <w:rsid w:val="00E732B6"/>
    <w:rsid w:val="00E73560"/>
    <w:rsid w:val="00E74945"/>
    <w:rsid w:val="00E74B3C"/>
    <w:rsid w:val="00E75CDF"/>
    <w:rsid w:val="00E7604D"/>
    <w:rsid w:val="00E76851"/>
    <w:rsid w:val="00E76D26"/>
    <w:rsid w:val="00E77CC5"/>
    <w:rsid w:val="00E81B58"/>
    <w:rsid w:val="00E81C6F"/>
    <w:rsid w:val="00E875D3"/>
    <w:rsid w:val="00E90D24"/>
    <w:rsid w:val="00E925F9"/>
    <w:rsid w:val="00E93307"/>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340"/>
    <w:rsid w:val="00EB5011"/>
    <w:rsid w:val="00EB51CF"/>
    <w:rsid w:val="00EB6211"/>
    <w:rsid w:val="00EB7579"/>
    <w:rsid w:val="00EB7FF2"/>
    <w:rsid w:val="00EC17B8"/>
    <w:rsid w:val="00EC1F7E"/>
    <w:rsid w:val="00EC2D02"/>
    <w:rsid w:val="00EC41F8"/>
    <w:rsid w:val="00EC526F"/>
    <w:rsid w:val="00EC5695"/>
    <w:rsid w:val="00EC68D7"/>
    <w:rsid w:val="00ED0A2A"/>
    <w:rsid w:val="00ED32D8"/>
    <w:rsid w:val="00ED3CC2"/>
    <w:rsid w:val="00ED55C0"/>
    <w:rsid w:val="00ED5DE8"/>
    <w:rsid w:val="00ED682B"/>
    <w:rsid w:val="00ED6FDF"/>
    <w:rsid w:val="00ED7F3A"/>
    <w:rsid w:val="00EE096A"/>
    <w:rsid w:val="00EE0F10"/>
    <w:rsid w:val="00EE24B6"/>
    <w:rsid w:val="00EE2508"/>
    <w:rsid w:val="00EE29B6"/>
    <w:rsid w:val="00EE4180"/>
    <w:rsid w:val="00EE41D5"/>
    <w:rsid w:val="00EE7023"/>
    <w:rsid w:val="00EF0B51"/>
    <w:rsid w:val="00EF4652"/>
    <w:rsid w:val="00EF5060"/>
    <w:rsid w:val="00EF6153"/>
    <w:rsid w:val="00F026D9"/>
    <w:rsid w:val="00F037A4"/>
    <w:rsid w:val="00F0474B"/>
    <w:rsid w:val="00F049CD"/>
    <w:rsid w:val="00F070E2"/>
    <w:rsid w:val="00F07A6E"/>
    <w:rsid w:val="00F109B0"/>
    <w:rsid w:val="00F10EB2"/>
    <w:rsid w:val="00F12BB9"/>
    <w:rsid w:val="00F1337D"/>
    <w:rsid w:val="00F14ECF"/>
    <w:rsid w:val="00F158D7"/>
    <w:rsid w:val="00F21234"/>
    <w:rsid w:val="00F22408"/>
    <w:rsid w:val="00F224C3"/>
    <w:rsid w:val="00F26195"/>
    <w:rsid w:val="00F27C8F"/>
    <w:rsid w:val="00F30E7D"/>
    <w:rsid w:val="00F311FC"/>
    <w:rsid w:val="00F312CA"/>
    <w:rsid w:val="00F31360"/>
    <w:rsid w:val="00F3198A"/>
    <w:rsid w:val="00F31CB4"/>
    <w:rsid w:val="00F3222B"/>
    <w:rsid w:val="00F32749"/>
    <w:rsid w:val="00F33AB8"/>
    <w:rsid w:val="00F33E41"/>
    <w:rsid w:val="00F35043"/>
    <w:rsid w:val="00F36422"/>
    <w:rsid w:val="00F36C45"/>
    <w:rsid w:val="00F37172"/>
    <w:rsid w:val="00F37483"/>
    <w:rsid w:val="00F37D5F"/>
    <w:rsid w:val="00F4061B"/>
    <w:rsid w:val="00F40BB4"/>
    <w:rsid w:val="00F40E98"/>
    <w:rsid w:val="00F4273C"/>
    <w:rsid w:val="00F428D9"/>
    <w:rsid w:val="00F438CE"/>
    <w:rsid w:val="00F4477E"/>
    <w:rsid w:val="00F45721"/>
    <w:rsid w:val="00F45D68"/>
    <w:rsid w:val="00F46E35"/>
    <w:rsid w:val="00F47728"/>
    <w:rsid w:val="00F5014A"/>
    <w:rsid w:val="00F50B11"/>
    <w:rsid w:val="00F561CB"/>
    <w:rsid w:val="00F57707"/>
    <w:rsid w:val="00F601A3"/>
    <w:rsid w:val="00F60794"/>
    <w:rsid w:val="00F60CBA"/>
    <w:rsid w:val="00F60F77"/>
    <w:rsid w:val="00F653E7"/>
    <w:rsid w:val="00F65518"/>
    <w:rsid w:val="00F666F8"/>
    <w:rsid w:val="00F67D8F"/>
    <w:rsid w:val="00F70A4C"/>
    <w:rsid w:val="00F71749"/>
    <w:rsid w:val="00F7209B"/>
    <w:rsid w:val="00F72489"/>
    <w:rsid w:val="00F733F5"/>
    <w:rsid w:val="00F7419C"/>
    <w:rsid w:val="00F76A64"/>
    <w:rsid w:val="00F80E0E"/>
    <w:rsid w:val="00F8129D"/>
    <w:rsid w:val="00F81B77"/>
    <w:rsid w:val="00F82763"/>
    <w:rsid w:val="00F82B22"/>
    <w:rsid w:val="00F85CFD"/>
    <w:rsid w:val="00F85F78"/>
    <w:rsid w:val="00F86024"/>
    <w:rsid w:val="00F8611A"/>
    <w:rsid w:val="00F865C6"/>
    <w:rsid w:val="00F86708"/>
    <w:rsid w:val="00F86DE3"/>
    <w:rsid w:val="00F8700B"/>
    <w:rsid w:val="00F87CD6"/>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3609"/>
    <w:rsid w:val="00FB3D49"/>
    <w:rsid w:val="00FB42D4"/>
    <w:rsid w:val="00FB5906"/>
    <w:rsid w:val="00FB5A18"/>
    <w:rsid w:val="00FB6785"/>
    <w:rsid w:val="00FB762F"/>
    <w:rsid w:val="00FC248E"/>
    <w:rsid w:val="00FC2AED"/>
    <w:rsid w:val="00FC2B74"/>
    <w:rsid w:val="00FC4A0F"/>
    <w:rsid w:val="00FC50D1"/>
    <w:rsid w:val="00FC58C4"/>
    <w:rsid w:val="00FC5CAB"/>
    <w:rsid w:val="00FC6AE9"/>
    <w:rsid w:val="00FC7168"/>
    <w:rsid w:val="00FC755F"/>
    <w:rsid w:val="00FC78F7"/>
    <w:rsid w:val="00FD0C73"/>
    <w:rsid w:val="00FD2A4B"/>
    <w:rsid w:val="00FD36B3"/>
    <w:rsid w:val="00FD3DD3"/>
    <w:rsid w:val="00FD4C00"/>
    <w:rsid w:val="00FD52C7"/>
    <w:rsid w:val="00FD60FF"/>
    <w:rsid w:val="00FE1393"/>
    <w:rsid w:val="00FE2B04"/>
    <w:rsid w:val="00FE2DD1"/>
    <w:rsid w:val="00FE489B"/>
    <w:rsid w:val="00FE4F3B"/>
    <w:rsid w:val="00FE6D33"/>
    <w:rsid w:val="00FE714D"/>
    <w:rsid w:val="00FE741C"/>
    <w:rsid w:val="00FF4716"/>
    <w:rsid w:val="00FF48A8"/>
    <w:rsid w:val="00FF5373"/>
    <w:rsid w:val="00FF5543"/>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chart" Target="charts/chart6.xml"/><Relationship Id="rId34" Type="http://schemas.openxmlformats.org/officeDocument/2006/relationships/image" Target="media/image19.emf"/><Relationship Id="rId42" Type="http://schemas.openxmlformats.org/officeDocument/2006/relationships/image" Target="media/image2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chart" Target="charts/chart9.xml"/><Relationship Id="rId11" Type="http://schemas.openxmlformats.org/officeDocument/2006/relationships/chart" Target="charts/chart2.xml"/><Relationship Id="rId24" Type="http://schemas.openxmlformats.org/officeDocument/2006/relationships/chart" Target="charts/chart7.xml"/><Relationship Id="rId32" Type="http://schemas.openxmlformats.org/officeDocument/2006/relationships/image" Target="media/image17.emf"/><Relationship Id="rId37" Type="http://schemas.openxmlformats.org/officeDocument/2006/relationships/chart" Target="charts/chart11.xml"/><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3.png"/><Relationship Id="rId58" Type="http://schemas.openxmlformats.org/officeDocument/2006/relationships/hyperlink" Target="https://bdm.stat.gov.p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9.emf"/><Relationship Id="rId14" Type="http://schemas.openxmlformats.org/officeDocument/2006/relationships/chart" Target="charts/chart3.xml"/><Relationship Id="rId22" Type="http://schemas.openxmlformats.org/officeDocument/2006/relationships/image" Target="media/image11.emf"/><Relationship Id="rId27" Type="http://schemas.openxmlformats.org/officeDocument/2006/relationships/chart" Target="charts/chart8.xml"/><Relationship Id="rId30" Type="http://schemas.openxmlformats.org/officeDocument/2006/relationships/image" Target="media/image16.emf"/><Relationship Id="rId35" Type="http://schemas.openxmlformats.org/officeDocument/2006/relationships/image" Target="media/image20.emf"/><Relationship Id="rId43" Type="http://schemas.openxmlformats.org/officeDocument/2006/relationships/image" Target="media/image27.png"/><Relationship Id="rId48" Type="http://schemas.openxmlformats.org/officeDocument/2006/relationships/header" Target="header2.xml"/><Relationship Id="rId56" Type="http://schemas.openxmlformats.org/officeDocument/2006/relationships/image" Target="media/image36.png"/><Relationship Id="rId64" Type="http://schemas.openxmlformats.org/officeDocument/2006/relationships/theme" Target="theme/theme1.xml"/><Relationship Id="rId8" Type="http://schemas.openxmlformats.org/officeDocument/2006/relationships/image" Target="media/image3.emf"/><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3.emf"/><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header" Target="header1.xml"/><Relationship Id="rId59" Type="http://schemas.openxmlformats.org/officeDocument/2006/relationships/hyperlink" Target="https://stat.gov.pl/en/metainformations/glossary/terms-used-in-official-statistics/2076,term.html" TargetMode="External"/><Relationship Id="rId20" Type="http://schemas.openxmlformats.org/officeDocument/2006/relationships/image" Target="media/image10.png"/><Relationship Id="rId41" Type="http://schemas.openxmlformats.org/officeDocument/2006/relationships/image" Target="media/image25.png"/><Relationship Id="rId54" Type="http://schemas.openxmlformats.org/officeDocument/2006/relationships/image" Target="media/image3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image" Target="media/image12.png"/><Relationship Id="rId28" Type="http://schemas.openxmlformats.org/officeDocument/2006/relationships/image" Target="media/image15.emf"/><Relationship Id="rId36" Type="http://schemas.openxmlformats.org/officeDocument/2006/relationships/image" Target="media/image21.png"/><Relationship Id="rId49" Type="http://schemas.openxmlformats.org/officeDocument/2006/relationships/footer" Target="footer2.xml"/><Relationship Id="rId57" Type="http://schemas.openxmlformats.org/officeDocument/2006/relationships/hyperlink" Target="https://stat.gov.pl/" TargetMode="External"/><Relationship Id="rId10" Type="http://schemas.openxmlformats.org/officeDocument/2006/relationships/chart" Target="charts/chart1.xml"/><Relationship Id="rId31" Type="http://schemas.openxmlformats.org/officeDocument/2006/relationships/chart" Target="charts/chart10.xml"/><Relationship Id="rId44" Type="http://schemas.openxmlformats.org/officeDocument/2006/relationships/image" Target="media/image28.png"/><Relationship Id="rId52" Type="http://schemas.openxmlformats.org/officeDocument/2006/relationships/image" Target="media/image32.png"/><Relationship Id="rId60" Type="http://schemas.openxmlformats.org/officeDocument/2006/relationships/image" Target="media/image37.png"/><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chart" Target="charts/chart5.xml"/><Relationship Id="rId39"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GontarzL\Desktop\55%20&amp;%2056%20&amp;%2079%20dane+wykresy%20-%2005%20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GontarzL\Desktop\Informacj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GontarzL\Desktop\55%20&amp;%2056%20&amp;%2079%20dane+wykresy%20-%2005%20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795303030303032"/>
        </c:manualLayout>
      </c:layout>
      <c:lineChart>
        <c:grouping val="standard"/>
        <c:varyColors val="0"/>
        <c:ser>
          <c:idx val="4"/>
          <c:order val="1"/>
          <c:tx>
            <c:strRef>
              <c:f>wykresy!$C$2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wykresy!$C$270:$C$275</c:f>
              <c:numCache>
                <c:formatCode>0.0</c:formatCode>
                <c:ptCount val="6"/>
                <c:pt idx="0">
                  <c:v>-6.6</c:v>
                </c:pt>
                <c:pt idx="1">
                  <c:v>-10.3</c:v>
                </c:pt>
                <c:pt idx="2">
                  <c:v>-10.1</c:v>
                </c:pt>
                <c:pt idx="3">
                  <c:v>-16.8</c:v>
                </c:pt>
                <c:pt idx="4">
                  <c:v>-13.4</c:v>
                </c:pt>
                <c:pt idx="5">
                  <c:v>-11.8</c:v>
                </c:pt>
              </c:numCache>
            </c:numRef>
          </c:val>
          <c:smooth val="0"/>
          <c:extLst xmlns:c16r2="http://schemas.microsoft.com/office/drawing/2015/06/chart">
            <c:ext xmlns:c16="http://schemas.microsoft.com/office/drawing/2014/chart" uri="{C3380CC4-5D6E-409C-BE32-E72D297353CC}">
              <c16:uniqueId val="{00000000-CC19-4352-BED8-AD9587EFF2B2}"/>
            </c:ext>
          </c:extLst>
        </c:ser>
        <c:dLbls>
          <c:showLegendKey val="0"/>
          <c:showVal val="0"/>
          <c:showCatName val="0"/>
          <c:showSerName val="0"/>
          <c:showPercent val="0"/>
          <c:showBubbleSize val="0"/>
        </c:dLbls>
        <c:marker val="1"/>
        <c:smooth val="0"/>
        <c:axId val="127627216"/>
        <c:axId val="127621232"/>
      </c:lineChart>
      <c:lineChart>
        <c:grouping val="standard"/>
        <c:varyColors val="0"/>
        <c:ser>
          <c:idx val="1"/>
          <c:order val="0"/>
          <c:tx>
            <c:strRef>
              <c:f>wykresy!$D$2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wykresy!$D$270:$D$275</c:f>
              <c:numCache>
                <c:formatCode>0.0</c:formatCode>
                <c:ptCount val="6"/>
                <c:pt idx="0">
                  <c:v>-12.2</c:v>
                </c:pt>
                <c:pt idx="1">
                  <c:v>-12.4</c:v>
                </c:pt>
                <c:pt idx="2">
                  <c:v>-10.7</c:v>
                </c:pt>
                <c:pt idx="3">
                  <c:v>-16.2</c:v>
                </c:pt>
                <c:pt idx="4">
                  <c:v>-11.5</c:v>
                </c:pt>
                <c:pt idx="5">
                  <c:v>-9.6</c:v>
                </c:pt>
              </c:numCache>
            </c:numRef>
          </c:val>
          <c:smooth val="0"/>
          <c:extLst xmlns:c16r2="http://schemas.microsoft.com/office/drawing/2015/06/chart">
            <c:ext xmlns:c16="http://schemas.microsoft.com/office/drawing/2014/chart" uri="{C3380CC4-5D6E-409C-BE32-E72D297353CC}">
              <c16:uniqueId val="{00000001-CC19-4352-BED8-AD9587EFF2B2}"/>
            </c:ext>
          </c:extLst>
        </c:ser>
        <c:ser>
          <c:idx val="0"/>
          <c:order val="2"/>
          <c:tx>
            <c:strRef>
              <c:f>wykresy!$E$2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wykresy!$E$270:$E$275</c:f>
              <c:numCache>
                <c:formatCode>0.0</c:formatCode>
                <c:ptCount val="6"/>
                <c:pt idx="0">
                  <c:v>-5.7</c:v>
                </c:pt>
                <c:pt idx="1">
                  <c:v>-7.4</c:v>
                </c:pt>
                <c:pt idx="2">
                  <c:v>-8.6999999999999993</c:v>
                </c:pt>
                <c:pt idx="3">
                  <c:v>-9.1</c:v>
                </c:pt>
                <c:pt idx="4">
                  <c:v>-8.6999999999999993</c:v>
                </c:pt>
                <c:pt idx="5">
                  <c:v>-6.9</c:v>
                </c:pt>
              </c:numCache>
            </c:numRef>
          </c:val>
          <c:smooth val="0"/>
          <c:extLst xmlns:c16r2="http://schemas.microsoft.com/office/drawing/2015/06/chart">
            <c:ext xmlns:c16="http://schemas.microsoft.com/office/drawing/2014/chart" uri="{C3380CC4-5D6E-409C-BE32-E72D297353CC}">
              <c16:uniqueId val="{00000002-CC19-4352-BED8-AD9587EFF2B2}"/>
            </c:ext>
          </c:extLst>
        </c:ser>
        <c:ser>
          <c:idx val="2"/>
          <c:order val="3"/>
          <c:tx>
            <c:strRef>
              <c:f>wykresy!$F$2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wykresy!$F$270:$F$275</c:f>
              <c:numCache>
                <c:formatCode>0.0</c:formatCode>
                <c:ptCount val="6"/>
                <c:pt idx="0">
                  <c:v>-18.7</c:v>
                </c:pt>
                <c:pt idx="1">
                  <c:v>-17.3</c:v>
                </c:pt>
                <c:pt idx="2">
                  <c:v>-12.7</c:v>
                </c:pt>
                <c:pt idx="3">
                  <c:v>-23.2</c:v>
                </c:pt>
                <c:pt idx="4">
                  <c:v>-14.3</c:v>
                </c:pt>
                <c:pt idx="5">
                  <c:v>-12.3</c:v>
                </c:pt>
              </c:numCache>
            </c:numRef>
          </c:val>
          <c:smooth val="0"/>
          <c:extLst xmlns:c16r2="http://schemas.microsoft.com/office/drawing/2015/06/chart">
            <c:ext xmlns:c16="http://schemas.microsoft.com/office/drawing/2014/chart" uri="{C3380CC4-5D6E-409C-BE32-E72D297353CC}">
              <c16:uniqueId val="{00000003-CC19-4352-BED8-AD9587EFF2B2}"/>
            </c:ext>
          </c:extLst>
        </c:ser>
        <c:dLbls>
          <c:showLegendKey val="0"/>
          <c:showVal val="0"/>
          <c:showCatName val="0"/>
          <c:showSerName val="0"/>
          <c:showPercent val="0"/>
          <c:showBubbleSize val="0"/>
        </c:dLbls>
        <c:marker val="1"/>
        <c:smooth val="0"/>
        <c:axId val="127630480"/>
        <c:axId val="127622864"/>
      </c:lineChart>
      <c:catAx>
        <c:axId val="127627216"/>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127621232"/>
        <c:crosses val="autoZero"/>
        <c:auto val="1"/>
        <c:lblAlgn val="ctr"/>
        <c:lblOffset val="100"/>
        <c:noMultiLvlLbl val="1"/>
      </c:catAx>
      <c:valAx>
        <c:axId val="127621232"/>
        <c:scaling>
          <c:orientation val="minMax"/>
          <c:max val="10"/>
          <c:min val="-30"/>
        </c:scaling>
        <c:delete val="1"/>
        <c:axPos val="l"/>
        <c:numFmt formatCode="0.0" sourceLinked="1"/>
        <c:majorTickMark val="out"/>
        <c:minorTickMark val="none"/>
        <c:tickLblPos val="nextTo"/>
        <c:crossAx val="127627216"/>
        <c:crosses val="autoZero"/>
        <c:crossBetween val="between"/>
        <c:majorUnit val="10"/>
      </c:valAx>
      <c:valAx>
        <c:axId val="127622864"/>
        <c:scaling>
          <c:orientation val="minMax"/>
          <c:max val="10"/>
          <c:min val="-3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127630480"/>
        <c:crosses val="max"/>
        <c:crossBetween val="between"/>
        <c:majorUnit val="10"/>
      </c:valAx>
      <c:catAx>
        <c:axId val="127630480"/>
        <c:scaling>
          <c:orientation val="minMax"/>
        </c:scaling>
        <c:delete val="1"/>
        <c:axPos val="b"/>
        <c:numFmt formatCode="General" sourceLinked="1"/>
        <c:majorTickMark val="out"/>
        <c:minorTickMark val="none"/>
        <c:tickLblPos val="none"/>
        <c:crossAx val="127622864"/>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339595959595964"/>
        </c:manualLayout>
      </c:layout>
      <c:lineChart>
        <c:grouping val="standard"/>
        <c:varyColors val="0"/>
        <c:ser>
          <c:idx val="4"/>
          <c:order val="0"/>
          <c:tx>
            <c:strRef>
              <c:f>WYKRESY!$C$11</c:f>
              <c:strCache>
                <c:ptCount val="1"/>
                <c:pt idx="0">
                  <c:v>niewyrównany sezonowo</c:v>
                </c:pt>
              </c:strCache>
            </c:strRef>
          </c:tx>
          <c:spPr>
            <a:ln w="19050" cap="rnd" cmpd="sng" algn="ctr">
              <a:solidFill>
                <a:srgbClr val="001D77"/>
              </a:solidFill>
              <a:prstDash val="solid"/>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WYKRESY!$EQ$11:$EV$11</c:f>
              <c:numCache>
                <c:formatCode>0.0</c:formatCode>
                <c:ptCount val="6"/>
                <c:pt idx="0">
                  <c:v>-14.2</c:v>
                </c:pt>
                <c:pt idx="1">
                  <c:v>-15.2</c:v>
                </c:pt>
                <c:pt idx="2">
                  <c:v>-11.9</c:v>
                </c:pt>
                <c:pt idx="3">
                  <c:v>-10</c:v>
                </c:pt>
                <c:pt idx="4">
                  <c:v>-2.8</c:v>
                </c:pt>
                <c:pt idx="5" formatCode="General">
                  <c:v>5.5</c:v>
                </c:pt>
              </c:numCache>
            </c:numRef>
          </c:val>
          <c:smooth val="0"/>
          <c:extLst xmlns:c16r2="http://schemas.microsoft.com/office/drawing/2015/06/chart">
            <c:ext xmlns:c16="http://schemas.microsoft.com/office/drawing/2014/chart" uri="{C3380CC4-5D6E-409C-BE32-E72D297353CC}">
              <c16:uniqueId val="{00000000-034F-4788-BB80-30E788D6438C}"/>
            </c:ext>
          </c:extLst>
        </c:ser>
        <c:ser>
          <c:idx val="0"/>
          <c:order val="1"/>
          <c:tx>
            <c:strRef>
              <c:f>WYKRESY!$C$12</c:f>
              <c:strCache>
                <c:ptCount val="1"/>
              </c:strCache>
            </c:strRef>
          </c:tx>
          <c:spPr>
            <a:ln w="12700" cap="rnd" cmpd="sng" algn="ctr">
              <a:solidFill>
                <a:srgbClr val="6677AD"/>
              </a:solidFill>
              <a:prstDash val="dash"/>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WYKRESY!$EQ$12:$EV$12</c:f>
              <c:numCache>
                <c:formatCode>0.0</c:formatCode>
                <c:ptCount val="6"/>
                <c:pt idx="0">
                  <c:v>-4.3</c:v>
                </c:pt>
                <c:pt idx="1">
                  <c:v>1.1000000000000001</c:v>
                </c:pt>
                <c:pt idx="2">
                  <c:v>-4.7</c:v>
                </c:pt>
                <c:pt idx="3">
                  <c:v>-8.6999999999999993</c:v>
                </c:pt>
                <c:pt idx="4">
                  <c:v>-3.4</c:v>
                </c:pt>
                <c:pt idx="5" formatCode="General">
                  <c:v>2.9</c:v>
                </c:pt>
              </c:numCache>
            </c:numRef>
          </c:val>
          <c:smooth val="0"/>
          <c:extLst xmlns:c16r2="http://schemas.microsoft.com/office/drawing/2015/06/chart">
            <c:ext xmlns:c16="http://schemas.microsoft.com/office/drawing/2014/chart" uri="{C3380CC4-5D6E-409C-BE32-E72D297353CC}">
              <c16:uniqueId val="{00000001-034F-4788-BB80-30E788D6438C}"/>
            </c:ext>
          </c:extLst>
        </c:ser>
        <c:dLbls>
          <c:showLegendKey val="0"/>
          <c:showVal val="0"/>
          <c:showCatName val="0"/>
          <c:showSerName val="0"/>
          <c:showPercent val="0"/>
          <c:showBubbleSize val="0"/>
        </c:dLbls>
        <c:marker val="1"/>
        <c:smooth val="0"/>
        <c:axId val="83821200"/>
        <c:axId val="83828816"/>
      </c:lineChart>
      <c:lineChart>
        <c:grouping val="standard"/>
        <c:varyColors val="0"/>
        <c:ser>
          <c:idx val="2"/>
          <c:order val="2"/>
          <c:tx>
            <c:strRef>
              <c:f>WYKRESY!$C$13</c:f>
              <c:strCache>
                <c:ptCount val="1"/>
              </c:strCache>
            </c:strRef>
          </c:tx>
          <c:spPr>
            <a:ln w="12700" cap="rnd" cmpd="sng" algn="ctr">
              <a:solidFill>
                <a:srgbClr val="001D77">
                  <a:alpha val="25000"/>
                </a:srgbClr>
              </a:solidFill>
              <a:prstDash val="sysDash"/>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WYKRESY!$EQ$13:$EV$13</c:f>
              <c:numCache>
                <c:formatCode>0.0</c:formatCode>
                <c:ptCount val="6"/>
                <c:pt idx="0">
                  <c:v>-24.1</c:v>
                </c:pt>
                <c:pt idx="1">
                  <c:v>-31.5</c:v>
                </c:pt>
                <c:pt idx="2">
                  <c:v>-19.100000000000001</c:v>
                </c:pt>
                <c:pt idx="3">
                  <c:v>-11.3</c:v>
                </c:pt>
                <c:pt idx="4">
                  <c:v>-2.1</c:v>
                </c:pt>
                <c:pt idx="5" formatCode="General">
                  <c:v>8.1</c:v>
                </c:pt>
              </c:numCache>
            </c:numRef>
          </c:val>
          <c:smooth val="0"/>
          <c:extLst xmlns:c16r2="http://schemas.microsoft.com/office/drawing/2015/06/chart">
            <c:ext xmlns:c16="http://schemas.microsoft.com/office/drawing/2014/chart" uri="{C3380CC4-5D6E-409C-BE32-E72D297353CC}">
              <c16:uniqueId val="{00000002-034F-4788-BB80-30E788D6438C}"/>
            </c:ext>
          </c:extLst>
        </c:ser>
        <c:dLbls>
          <c:showLegendKey val="0"/>
          <c:showVal val="0"/>
          <c:showCatName val="0"/>
          <c:showSerName val="0"/>
          <c:showPercent val="0"/>
          <c:showBubbleSize val="0"/>
        </c:dLbls>
        <c:marker val="1"/>
        <c:smooth val="0"/>
        <c:axId val="83819568"/>
        <c:axId val="83822288"/>
      </c:lineChart>
      <c:catAx>
        <c:axId val="83821200"/>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3828816"/>
        <c:crossesAt val="0"/>
        <c:auto val="1"/>
        <c:lblAlgn val="ctr"/>
        <c:lblOffset val="100"/>
        <c:noMultiLvlLbl val="1"/>
      </c:catAx>
      <c:valAx>
        <c:axId val="83828816"/>
        <c:scaling>
          <c:orientation val="minMax"/>
          <c:max val="20"/>
          <c:min val="-60"/>
        </c:scaling>
        <c:delete val="1"/>
        <c:axPos val="l"/>
        <c:numFmt formatCode="0.0" sourceLinked="1"/>
        <c:majorTickMark val="out"/>
        <c:minorTickMark val="none"/>
        <c:tickLblPos val="nextTo"/>
        <c:crossAx val="83821200"/>
        <c:crosses val="autoZero"/>
        <c:crossBetween val="between"/>
        <c:majorUnit val="20"/>
      </c:valAx>
      <c:valAx>
        <c:axId val="83822288"/>
        <c:scaling>
          <c:orientation val="minMax"/>
          <c:max val="20"/>
          <c:min val="-4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3819568"/>
        <c:crosses val="max"/>
        <c:crossBetween val="between"/>
        <c:majorUnit val="20"/>
      </c:valAx>
      <c:catAx>
        <c:axId val="83819568"/>
        <c:scaling>
          <c:orientation val="minMax"/>
        </c:scaling>
        <c:delete val="1"/>
        <c:axPos val="b"/>
        <c:numFmt formatCode="General" sourceLinked="1"/>
        <c:majorTickMark val="out"/>
        <c:minorTickMark val="none"/>
        <c:tickLblPos val="none"/>
        <c:crossAx val="83822288"/>
        <c:crossesAt val="-60"/>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2116464646464646"/>
          <c:w val="0.76793059332663882"/>
          <c:h val="0.65795303030303032"/>
        </c:manualLayout>
      </c:layout>
      <c:lineChart>
        <c:grouping val="standard"/>
        <c:varyColors val="0"/>
        <c:ser>
          <c:idx val="4"/>
          <c:order val="0"/>
          <c:tx>
            <c:strRef>
              <c:f>wykresy!$AE$2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wykresy!$AE$270:$AE$275</c:f>
              <c:numCache>
                <c:formatCode>0.0</c:formatCode>
                <c:ptCount val="6"/>
                <c:pt idx="0">
                  <c:v>15</c:v>
                </c:pt>
                <c:pt idx="1">
                  <c:v>16.100000000000001</c:v>
                </c:pt>
                <c:pt idx="2">
                  <c:v>17</c:v>
                </c:pt>
                <c:pt idx="3">
                  <c:v>9.4</c:v>
                </c:pt>
                <c:pt idx="4">
                  <c:v>13.9</c:v>
                </c:pt>
                <c:pt idx="5">
                  <c:v>18.399999999999999</c:v>
                </c:pt>
              </c:numCache>
            </c:numRef>
          </c:val>
          <c:smooth val="0"/>
          <c:extLst xmlns:c16r2="http://schemas.microsoft.com/office/drawing/2015/06/chart">
            <c:ext xmlns:c16="http://schemas.microsoft.com/office/drawing/2014/chart" uri="{C3380CC4-5D6E-409C-BE32-E72D297353CC}">
              <c16:uniqueId val="{00000000-C3CC-4872-AAE0-C81F618B0EEA}"/>
            </c:ext>
          </c:extLst>
        </c:ser>
        <c:dLbls>
          <c:showLegendKey val="0"/>
          <c:showVal val="0"/>
          <c:showCatName val="0"/>
          <c:showSerName val="0"/>
          <c:showPercent val="0"/>
          <c:showBubbleSize val="0"/>
        </c:dLbls>
        <c:marker val="1"/>
        <c:smooth val="0"/>
        <c:axId val="83818480"/>
        <c:axId val="83824464"/>
      </c:lineChart>
      <c:lineChart>
        <c:grouping val="standard"/>
        <c:varyColors val="0"/>
        <c:ser>
          <c:idx val="0"/>
          <c:order val="1"/>
          <c:tx>
            <c:strRef>
              <c:f>wykresy!$AF$2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wykresy!$AF$270:$AF$275</c:f>
              <c:numCache>
                <c:formatCode>0.0</c:formatCode>
                <c:ptCount val="6"/>
                <c:pt idx="0">
                  <c:v>24.1</c:v>
                </c:pt>
                <c:pt idx="1">
                  <c:v>24.5</c:v>
                </c:pt>
                <c:pt idx="2">
                  <c:v>24.7</c:v>
                </c:pt>
                <c:pt idx="3">
                  <c:v>24.6</c:v>
                </c:pt>
                <c:pt idx="4">
                  <c:v>25.5</c:v>
                </c:pt>
                <c:pt idx="5">
                  <c:v>30.4</c:v>
                </c:pt>
              </c:numCache>
            </c:numRef>
          </c:val>
          <c:smooth val="0"/>
          <c:extLst xmlns:c16r2="http://schemas.microsoft.com/office/drawing/2015/06/chart">
            <c:ext xmlns:c16="http://schemas.microsoft.com/office/drawing/2014/chart" uri="{C3380CC4-5D6E-409C-BE32-E72D297353CC}">
              <c16:uniqueId val="{00000001-C3CC-4872-AAE0-C81F618B0EEA}"/>
            </c:ext>
          </c:extLst>
        </c:ser>
        <c:ser>
          <c:idx val="2"/>
          <c:order val="2"/>
          <c:tx>
            <c:strRef>
              <c:f>wykresy!$AG$2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wykresy!$AG$270:$AG$275</c:f>
              <c:numCache>
                <c:formatCode>0.0</c:formatCode>
                <c:ptCount val="6"/>
                <c:pt idx="0">
                  <c:v>5.9</c:v>
                </c:pt>
                <c:pt idx="1">
                  <c:v>7.6</c:v>
                </c:pt>
                <c:pt idx="2">
                  <c:v>9.1999999999999993</c:v>
                </c:pt>
                <c:pt idx="3">
                  <c:v>-5.9</c:v>
                </c:pt>
                <c:pt idx="4">
                  <c:v>2.2999999999999998</c:v>
                </c:pt>
                <c:pt idx="5">
                  <c:v>6.4</c:v>
                </c:pt>
              </c:numCache>
            </c:numRef>
          </c:val>
          <c:smooth val="0"/>
          <c:extLst xmlns:c16r2="http://schemas.microsoft.com/office/drawing/2015/06/chart">
            <c:ext xmlns:c16="http://schemas.microsoft.com/office/drawing/2014/chart" uri="{C3380CC4-5D6E-409C-BE32-E72D297353CC}">
              <c16:uniqueId val="{00000002-C3CC-4872-AAE0-C81F618B0EEA}"/>
            </c:ext>
          </c:extLst>
        </c:ser>
        <c:dLbls>
          <c:showLegendKey val="0"/>
          <c:showVal val="0"/>
          <c:showCatName val="0"/>
          <c:showSerName val="0"/>
          <c:showPercent val="0"/>
          <c:showBubbleSize val="0"/>
        </c:dLbls>
        <c:marker val="1"/>
        <c:smooth val="0"/>
        <c:axId val="83832080"/>
        <c:axId val="83829360"/>
      </c:lineChart>
      <c:catAx>
        <c:axId val="83818480"/>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3824464"/>
        <c:crosses val="autoZero"/>
        <c:auto val="1"/>
        <c:lblAlgn val="ctr"/>
        <c:lblOffset val="100"/>
        <c:noMultiLvlLbl val="1"/>
      </c:catAx>
      <c:valAx>
        <c:axId val="83824464"/>
        <c:scaling>
          <c:orientation val="minMax"/>
          <c:max val="30"/>
          <c:min val="-10"/>
        </c:scaling>
        <c:delete val="1"/>
        <c:axPos val="l"/>
        <c:numFmt formatCode="0.0" sourceLinked="1"/>
        <c:majorTickMark val="out"/>
        <c:minorTickMark val="none"/>
        <c:tickLblPos val="nextTo"/>
        <c:crossAx val="83818480"/>
        <c:crosses val="autoZero"/>
        <c:crossBetween val="between"/>
        <c:majorUnit val="10"/>
      </c:valAx>
      <c:valAx>
        <c:axId val="83829360"/>
        <c:scaling>
          <c:orientation val="minMax"/>
          <c:max val="40"/>
          <c:min val="-1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3832080"/>
        <c:crosses val="max"/>
        <c:crossBetween val="between"/>
        <c:majorUnit val="10"/>
      </c:valAx>
      <c:catAx>
        <c:axId val="83832080"/>
        <c:scaling>
          <c:orientation val="minMax"/>
        </c:scaling>
        <c:delete val="1"/>
        <c:axPos val="b"/>
        <c:numFmt formatCode="General" sourceLinked="1"/>
        <c:majorTickMark val="out"/>
        <c:minorTickMark val="none"/>
        <c:tickLblPos val="none"/>
        <c:crossAx val="83829360"/>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wykresy!$D$4</c:f>
              <c:strCache>
                <c:ptCount val="1"/>
                <c:pt idx="0">
                  <c:v>non-seasonally adjusted</c:v>
                </c:pt>
              </c:strCache>
            </c:strRef>
          </c:tx>
          <c:spPr>
            <a:ln w="19050" cap="rnd">
              <a:solidFill>
                <a:srgbClr val="6677AD"/>
              </a:solidFill>
              <a:round/>
            </a:ln>
            <a:effectLst/>
          </c:spPr>
          <c:marker>
            <c:symbol val="none"/>
          </c:marker>
          <c:cat>
            <c:numRef>
              <c:f>wykresy!$B$127:$B$282</c:f>
              <c:numCache>
                <c:formatCode>General</c:formatCode>
                <c:ptCount val="156"/>
                <c:pt idx="0">
                  <c:v>2010</c:v>
                </c:pt>
                <c:pt idx="12">
                  <c:v>2011</c:v>
                </c:pt>
                <c:pt idx="24">
                  <c:v>2012</c:v>
                </c:pt>
                <c:pt idx="36">
                  <c:v>2013</c:v>
                </c:pt>
                <c:pt idx="48">
                  <c:v>2014</c:v>
                </c:pt>
                <c:pt idx="60">
                  <c:v>2015</c:v>
                </c:pt>
                <c:pt idx="72">
                  <c:v>2016</c:v>
                </c:pt>
                <c:pt idx="84">
                  <c:v>2017</c:v>
                </c:pt>
                <c:pt idx="96">
                  <c:v>2018</c:v>
                </c:pt>
                <c:pt idx="108">
                  <c:v>2019</c:v>
                </c:pt>
                <c:pt idx="120">
                  <c:v>2020</c:v>
                </c:pt>
                <c:pt idx="132" formatCode="0">
                  <c:v>2021</c:v>
                </c:pt>
                <c:pt idx="144" formatCode="0">
                  <c:v>2022</c:v>
                </c:pt>
              </c:numCache>
            </c:numRef>
          </c:cat>
          <c:val>
            <c:numRef>
              <c:f>wykresy!$D$127:$D$282</c:f>
              <c:numCache>
                <c:formatCode>0.0</c:formatCode>
                <c:ptCount val="156"/>
                <c:pt idx="0">
                  <c:v>0</c:v>
                </c:pt>
                <c:pt idx="1">
                  <c:v>3.1</c:v>
                </c:pt>
                <c:pt idx="2">
                  <c:v>7.4</c:v>
                </c:pt>
                <c:pt idx="3">
                  <c:v>9.9</c:v>
                </c:pt>
                <c:pt idx="4">
                  <c:v>7.2</c:v>
                </c:pt>
                <c:pt idx="5">
                  <c:v>6.2</c:v>
                </c:pt>
                <c:pt idx="6">
                  <c:v>6.4</c:v>
                </c:pt>
                <c:pt idx="7">
                  <c:v>8.1</c:v>
                </c:pt>
                <c:pt idx="8">
                  <c:v>7.8</c:v>
                </c:pt>
                <c:pt idx="9">
                  <c:v>4</c:v>
                </c:pt>
                <c:pt idx="10">
                  <c:v>2.7</c:v>
                </c:pt>
                <c:pt idx="11">
                  <c:v>1.4</c:v>
                </c:pt>
                <c:pt idx="12">
                  <c:v>-2.2999999999999998</c:v>
                </c:pt>
                <c:pt idx="13">
                  <c:v>2.1</c:v>
                </c:pt>
                <c:pt idx="14">
                  <c:v>3.7</c:v>
                </c:pt>
                <c:pt idx="15">
                  <c:v>4.3</c:v>
                </c:pt>
                <c:pt idx="16">
                  <c:v>4.2</c:v>
                </c:pt>
                <c:pt idx="17">
                  <c:v>3.1</c:v>
                </c:pt>
                <c:pt idx="18">
                  <c:v>3.1</c:v>
                </c:pt>
                <c:pt idx="19">
                  <c:v>3</c:v>
                </c:pt>
                <c:pt idx="20">
                  <c:v>1.1000000000000001</c:v>
                </c:pt>
                <c:pt idx="21">
                  <c:v>-1.1000000000000001</c:v>
                </c:pt>
                <c:pt idx="22">
                  <c:v>-4.2</c:v>
                </c:pt>
                <c:pt idx="23">
                  <c:v>-6.9</c:v>
                </c:pt>
                <c:pt idx="24">
                  <c:v>-5.0999999999999996</c:v>
                </c:pt>
                <c:pt idx="25">
                  <c:v>-2.1</c:v>
                </c:pt>
                <c:pt idx="26">
                  <c:v>-0.6</c:v>
                </c:pt>
                <c:pt idx="27">
                  <c:v>0.9</c:v>
                </c:pt>
                <c:pt idx="28">
                  <c:v>0.4</c:v>
                </c:pt>
                <c:pt idx="29">
                  <c:v>0.4</c:v>
                </c:pt>
                <c:pt idx="30">
                  <c:v>-3.1</c:v>
                </c:pt>
                <c:pt idx="31">
                  <c:v>-2.8</c:v>
                </c:pt>
                <c:pt idx="32">
                  <c:v>-6.1</c:v>
                </c:pt>
                <c:pt idx="33">
                  <c:v>-10.7</c:v>
                </c:pt>
                <c:pt idx="34">
                  <c:v>-9.1</c:v>
                </c:pt>
                <c:pt idx="35">
                  <c:v>-14.3</c:v>
                </c:pt>
                <c:pt idx="36">
                  <c:v>-8.9</c:v>
                </c:pt>
                <c:pt idx="37">
                  <c:v>-8</c:v>
                </c:pt>
                <c:pt idx="38">
                  <c:v>-6.4</c:v>
                </c:pt>
                <c:pt idx="39">
                  <c:v>-5.8</c:v>
                </c:pt>
                <c:pt idx="40">
                  <c:v>-1.4</c:v>
                </c:pt>
                <c:pt idx="41">
                  <c:v>-4.2</c:v>
                </c:pt>
                <c:pt idx="42">
                  <c:v>-4.0999999999999996</c:v>
                </c:pt>
                <c:pt idx="43">
                  <c:v>-0.5</c:v>
                </c:pt>
                <c:pt idx="44">
                  <c:v>-1.8</c:v>
                </c:pt>
                <c:pt idx="45">
                  <c:v>-1</c:v>
                </c:pt>
                <c:pt idx="46">
                  <c:v>-3.1</c:v>
                </c:pt>
                <c:pt idx="47">
                  <c:v>-6.4</c:v>
                </c:pt>
                <c:pt idx="48">
                  <c:v>0.5</c:v>
                </c:pt>
                <c:pt idx="49">
                  <c:v>2.5</c:v>
                </c:pt>
                <c:pt idx="50">
                  <c:v>5.0999999999999996</c:v>
                </c:pt>
                <c:pt idx="51">
                  <c:v>9.3000000000000007</c:v>
                </c:pt>
                <c:pt idx="52">
                  <c:v>6.9</c:v>
                </c:pt>
                <c:pt idx="53">
                  <c:v>6.8</c:v>
                </c:pt>
                <c:pt idx="54">
                  <c:v>4.5</c:v>
                </c:pt>
                <c:pt idx="55">
                  <c:v>5.0999999999999996</c:v>
                </c:pt>
                <c:pt idx="56">
                  <c:v>2.7</c:v>
                </c:pt>
                <c:pt idx="57">
                  <c:v>2.1</c:v>
                </c:pt>
                <c:pt idx="58">
                  <c:v>1.7</c:v>
                </c:pt>
                <c:pt idx="59">
                  <c:v>-2.5</c:v>
                </c:pt>
                <c:pt idx="60">
                  <c:v>2</c:v>
                </c:pt>
                <c:pt idx="61">
                  <c:v>3.5</c:v>
                </c:pt>
                <c:pt idx="62">
                  <c:v>6.3</c:v>
                </c:pt>
                <c:pt idx="63">
                  <c:v>8.1999999999999993</c:v>
                </c:pt>
                <c:pt idx="64">
                  <c:v>7.5</c:v>
                </c:pt>
                <c:pt idx="65">
                  <c:v>6.1</c:v>
                </c:pt>
                <c:pt idx="66">
                  <c:v>5.8</c:v>
                </c:pt>
                <c:pt idx="67">
                  <c:v>7.1</c:v>
                </c:pt>
                <c:pt idx="68">
                  <c:v>3.2</c:v>
                </c:pt>
                <c:pt idx="69">
                  <c:v>3</c:v>
                </c:pt>
                <c:pt idx="70">
                  <c:v>2.5</c:v>
                </c:pt>
                <c:pt idx="71">
                  <c:v>-1.1000000000000001</c:v>
                </c:pt>
                <c:pt idx="72">
                  <c:v>0.8</c:v>
                </c:pt>
                <c:pt idx="73">
                  <c:v>3</c:v>
                </c:pt>
                <c:pt idx="74">
                  <c:v>4.9000000000000004</c:v>
                </c:pt>
                <c:pt idx="75">
                  <c:v>5.4</c:v>
                </c:pt>
                <c:pt idx="76">
                  <c:v>5</c:v>
                </c:pt>
                <c:pt idx="77">
                  <c:v>5.2</c:v>
                </c:pt>
                <c:pt idx="78">
                  <c:v>3.1</c:v>
                </c:pt>
                <c:pt idx="79">
                  <c:v>4.8</c:v>
                </c:pt>
                <c:pt idx="80">
                  <c:v>3.3</c:v>
                </c:pt>
                <c:pt idx="81">
                  <c:v>1</c:v>
                </c:pt>
                <c:pt idx="82">
                  <c:v>-1.8</c:v>
                </c:pt>
                <c:pt idx="83">
                  <c:v>-2.6</c:v>
                </c:pt>
                <c:pt idx="84">
                  <c:v>2.7</c:v>
                </c:pt>
                <c:pt idx="85">
                  <c:v>4.5</c:v>
                </c:pt>
                <c:pt idx="86">
                  <c:v>6.4</c:v>
                </c:pt>
                <c:pt idx="87">
                  <c:v>9.6</c:v>
                </c:pt>
                <c:pt idx="88">
                  <c:v>8.1</c:v>
                </c:pt>
                <c:pt idx="89">
                  <c:v>7.5</c:v>
                </c:pt>
                <c:pt idx="90">
                  <c:v>7.4</c:v>
                </c:pt>
                <c:pt idx="91">
                  <c:v>7.4</c:v>
                </c:pt>
                <c:pt idx="92">
                  <c:v>6.3</c:v>
                </c:pt>
                <c:pt idx="93">
                  <c:v>4.5999999999999996</c:v>
                </c:pt>
                <c:pt idx="94">
                  <c:v>4.5999999999999996</c:v>
                </c:pt>
                <c:pt idx="95">
                  <c:v>3.5</c:v>
                </c:pt>
                <c:pt idx="96">
                  <c:v>16.5</c:v>
                </c:pt>
                <c:pt idx="97">
                  <c:v>16.2</c:v>
                </c:pt>
                <c:pt idx="98">
                  <c:v>18.7</c:v>
                </c:pt>
                <c:pt idx="99">
                  <c:v>16.8</c:v>
                </c:pt>
                <c:pt idx="100">
                  <c:v>15.7</c:v>
                </c:pt>
                <c:pt idx="101">
                  <c:v>13.3</c:v>
                </c:pt>
                <c:pt idx="102">
                  <c:v>12.1</c:v>
                </c:pt>
                <c:pt idx="103">
                  <c:v>9.9</c:v>
                </c:pt>
                <c:pt idx="104">
                  <c:v>8.8000000000000007</c:v>
                </c:pt>
                <c:pt idx="105">
                  <c:v>4.8</c:v>
                </c:pt>
                <c:pt idx="106">
                  <c:v>6.1</c:v>
                </c:pt>
                <c:pt idx="107">
                  <c:v>5.3</c:v>
                </c:pt>
                <c:pt idx="108">
                  <c:v>6.4</c:v>
                </c:pt>
                <c:pt idx="109">
                  <c:v>7.3</c:v>
                </c:pt>
                <c:pt idx="110">
                  <c:v>6.8</c:v>
                </c:pt>
                <c:pt idx="111">
                  <c:v>8</c:v>
                </c:pt>
                <c:pt idx="112">
                  <c:v>6.2</c:v>
                </c:pt>
                <c:pt idx="113">
                  <c:v>5.2</c:v>
                </c:pt>
                <c:pt idx="114">
                  <c:v>4.0999999999999996</c:v>
                </c:pt>
                <c:pt idx="115">
                  <c:v>4.3</c:v>
                </c:pt>
                <c:pt idx="116">
                  <c:v>0.2</c:v>
                </c:pt>
                <c:pt idx="117">
                  <c:v>-1.9</c:v>
                </c:pt>
                <c:pt idx="118">
                  <c:v>-3.3</c:v>
                </c:pt>
                <c:pt idx="119">
                  <c:v>-4.9000000000000004</c:v>
                </c:pt>
                <c:pt idx="120">
                  <c:v>3.2</c:v>
                </c:pt>
                <c:pt idx="121">
                  <c:v>1.6</c:v>
                </c:pt>
                <c:pt idx="122">
                  <c:v>-1.1000000000000001</c:v>
                </c:pt>
                <c:pt idx="123">
                  <c:v>-44.2</c:v>
                </c:pt>
                <c:pt idx="124">
                  <c:v>-34.9</c:v>
                </c:pt>
                <c:pt idx="125">
                  <c:v>-19.899999999999999</c:v>
                </c:pt>
                <c:pt idx="126">
                  <c:v>-10.5</c:v>
                </c:pt>
                <c:pt idx="127">
                  <c:v>-6.6</c:v>
                </c:pt>
                <c:pt idx="128">
                  <c:v>-6.2</c:v>
                </c:pt>
                <c:pt idx="129">
                  <c:v>-9.6999999999999993</c:v>
                </c:pt>
                <c:pt idx="130">
                  <c:v>-20.5</c:v>
                </c:pt>
                <c:pt idx="131">
                  <c:v>-14.8</c:v>
                </c:pt>
                <c:pt idx="132">
                  <c:v>-9.9</c:v>
                </c:pt>
                <c:pt idx="133">
                  <c:v>-8.3000000000000007</c:v>
                </c:pt>
                <c:pt idx="134">
                  <c:v>-6.6</c:v>
                </c:pt>
                <c:pt idx="135">
                  <c:v>-4</c:v>
                </c:pt>
                <c:pt idx="136">
                  <c:v>-0.3</c:v>
                </c:pt>
                <c:pt idx="137">
                  <c:v>-0.6</c:v>
                </c:pt>
                <c:pt idx="138">
                  <c:v>-1.4</c:v>
                </c:pt>
                <c:pt idx="139">
                  <c:v>-0.9</c:v>
                </c:pt>
                <c:pt idx="140">
                  <c:v>-3.6</c:v>
                </c:pt>
                <c:pt idx="141">
                  <c:v>-6.3</c:v>
                </c:pt>
                <c:pt idx="142">
                  <c:v>-10.5</c:v>
                </c:pt>
                <c:pt idx="143">
                  <c:v>-12.2</c:v>
                </c:pt>
                <c:pt idx="144">
                  <c:v>-12.4</c:v>
                </c:pt>
                <c:pt idx="145">
                  <c:v>-10.7</c:v>
                </c:pt>
                <c:pt idx="146">
                  <c:v>-16.2</c:v>
                </c:pt>
                <c:pt idx="147">
                  <c:v>-11.5</c:v>
                </c:pt>
                <c:pt idx="148">
                  <c:v>-9.6</c:v>
                </c:pt>
              </c:numCache>
            </c:numRef>
          </c:val>
          <c:smooth val="0"/>
          <c:extLst xmlns:c16r2="http://schemas.microsoft.com/office/drawing/2015/06/chart">
            <c:ext xmlns:c16="http://schemas.microsoft.com/office/drawing/2014/chart" uri="{C3380CC4-5D6E-409C-BE32-E72D297353CC}">
              <c16:uniqueId val="{00000000-62AE-4D19-A884-5D99054DF058}"/>
            </c:ext>
          </c:extLst>
        </c:ser>
        <c:ser>
          <c:idx val="1"/>
          <c:order val="1"/>
          <c:tx>
            <c:strRef>
              <c:f>wykresy!$C$4</c:f>
              <c:strCache>
                <c:ptCount val="1"/>
                <c:pt idx="0">
                  <c:v>seasonally adjusted</c:v>
                </c:pt>
              </c:strCache>
            </c:strRef>
          </c:tx>
          <c:spPr>
            <a:ln w="19050" cap="rnd">
              <a:solidFill>
                <a:schemeClr val="tx1">
                  <a:lumMod val="95000"/>
                  <a:lumOff val="5000"/>
                  <a:alpha val="80000"/>
                </a:schemeClr>
              </a:solidFill>
              <a:round/>
            </a:ln>
            <a:effectLst/>
          </c:spPr>
          <c:marker>
            <c:symbol val="none"/>
          </c:marker>
          <c:cat>
            <c:numRef>
              <c:f>wykresy!$B$127:$B$282</c:f>
              <c:numCache>
                <c:formatCode>General</c:formatCode>
                <c:ptCount val="156"/>
                <c:pt idx="0">
                  <c:v>2010</c:v>
                </c:pt>
                <c:pt idx="12">
                  <c:v>2011</c:v>
                </c:pt>
                <c:pt idx="24">
                  <c:v>2012</c:v>
                </c:pt>
                <c:pt idx="36">
                  <c:v>2013</c:v>
                </c:pt>
                <c:pt idx="48">
                  <c:v>2014</c:v>
                </c:pt>
                <c:pt idx="60">
                  <c:v>2015</c:v>
                </c:pt>
                <c:pt idx="72">
                  <c:v>2016</c:v>
                </c:pt>
                <c:pt idx="84">
                  <c:v>2017</c:v>
                </c:pt>
                <c:pt idx="96">
                  <c:v>2018</c:v>
                </c:pt>
                <c:pt idx="108">
                  <c:v>2019</c:v>
                </c:pt>
                <c:pt idx="120">
                  <c:v>2020</c:v>
                </c:pt>
                <c:pt idx="132" formatCode="0">
                  <c:v>2021</c:v>
                </c:pt>
                <c:pt idx="144" formatCode="0">
                  <c:v>2022</c:v>
                </c:pt>
              </c:numCache>
            </c:numRef>
          </c:cat>
          <c:val>
            <c:numRef>
              <c:f>wykresy!$C$127:$C$282</c:f>
              <c:numCache>
                <c:formatCode>0.0</c:formatCode>
                <c:ptCount val="156"/>
                <c:pt idx="0">
                  <c:v>3.1</c:v>
                </c:pt>
                <c:pt idx="1">
                  <c:v>3.7</c:v>
                </c:pt>
                <c:pt idx="2">
                  <c:v>6.4</c:v>
                </c:pt>
                <c:pt idx="3">
                  <c:v>7.1</c:v>
                </c:pt>
                <c:pt idx="4">
                  <c:v>4.4000000000000004</c:v>
                </c:pt>
                <c:pt idx="5">
                  <c:v>4.5</c:v>
                </c:pt>
                <c:pt idx="6">
                  <c:v>5</c:v>
                </c:pt>
                <c:pt idx="7">
                  <c:v>5.4</c:v>
                </c:pt>
                <c:pt idx="8">
                  <c:v>6.6</c:v>
                </c:pt>
                <c:pt idx="9">
                  <c:v>5.2</c:v>
                </c:pt>
                <c:pt idx="10">
                  <c:v>5.8</c:v>
                </c:pt>
                <c:pt idx="11">
                  <c:v>7.1</c:v>
                </c:pt>
                <c:pt idx="12">
                  <c:v>0.7</c:v>
                </c:pt>
                <c:pt idx="13">
                  <c:v>2.7</c:v>
                </c:pt>
                <c:pt idx="14">
                  <c:v>2.6</c:v>
                </c:pt>
                <c:pt idx="15">
                  <c:v>1.5</c:v>
                </c:pt>
                <c:pt idx="16">
                  <c:v>1.4</c:v>
                </c:pt>
                <c:pt idx="17">
                  <c:v>1.3</c:v>
                </c:pt>
                <c:pt idx="18">
                  <c:v>1.7</c:v>
                </c:pt>
                <c:pt idx="19">
                  <c:v>0.3</c:v>
                </c:pt>
                <c:pt idx="20">
                  <c:v>0.2</c:v>
                </c:pt>
                <c:pt idx="21">
                  <c:v>0.3</c:v>
                </c:pt>
                <c:pt idx="22">
                  <c:v>-1.1000000000000001</c:v>
                </c:pt>
                <c:pt idx="23">
                  <c:v>-1.1000000000000001</c:v>
                </c:pt>
                <c:pt idx="24">
                  <c:v>-2.2999999999999998</c:v>
                </c:pt>
                <c:pt idx="25">
                  <c:v>-1.6</c:v>
                </c:pt>
                <c:pt idx="26">
                  <c:v>-1.8</c:v>
                </c:pt>
                <c:pt idx="27">
                  <c:v>-2</c:v>
                </c:pt>
                <c:pt idx="28">
                  <c:v>-2.5</c:v>
                </c:pt>
                <c:pt idx="29">
                  <c:v>-1.6</c:v>
                </c:pt>
                <c:pt idx="30">
                  <c:v>-4.5</c:v>
                </c:pt>
                <c:pt idx="31">
                  <c:v>-5.4</c:v>
                </c:pt>
                <c:pt idx="32">
                  <c:v>-6.8</c:v>
                </c:pt>
                <c:pt idx="33">
                  <c:v>-9.1999999999999993</c:v>
                </c:pt>
                <c:pt idx="34">
                  <c:v>-6</c:v>
                </c:pt>
                <c:pt idx="35">
                  <c:v>-8.5</c:v>
                </c:pt>
                <c:pt idx="36">
                  <c:v>-6.3</c:v>
                </c:pt>
                <c:pt idx="37">
                  <c:v>-7.5</c:v>
                </c:pt>
                <c:pt idx="38">
                  <c:v>-7.6</c:v>
                </c:pt>
                <c:pt idx="39">
                  <c:v>-8.6999999999999993</c:v>
                </c:pt>
                <c:pt idx="40">
                  <c:v>-4.3</c:v>
                </c:pt>
                <c:pt idx="41">
                  <c:v>-6.2</c:v>
                </c:pt>
                <c:pt idx="42">
                  <c:v>-5.5</c:v>
                </c:pt>
                <c:pt idx="43">
                  <c:v>-3</c:v>
                </c:pt>
                <c:pt idx="44">
                  <c:v>-2.4</c:v>
                </c:pt>
                <c:pt idx="45">
                  <c:v>0.6</c:v>
                </c:pt>
                <c:pt idx="46">
                  <c:v>0</c:v>
                </c:pt>
                <c:pt idx="47">
                  <c:v>-0.5</c:v>
                </c:pt>
                <c:pt idx="48">
                  <c:v>2.9</c:v>
                </c:pt>
                <c:pt idx="49">
                  <c:v>2.9</c:v>
                </c:pt>
                <c:pt idx="50">
                  <c:v>3.8</c:v>
                </c:pt>
                <c:pt idx="51">
                  <c:v>6.3</c:v>
                </c:pt>
                <c:pt idx="52">
                  <c:v>4.0999999999999996</c:v>
                </c:pt>
                <c:pt idx="53">
                  <c:v>4.7</c:v>
                </c:pt>
                <c:pt idx="54">
                  <c:v>3.1</c:v>
                </c:pt>
                <c:pt idx="55">
                  <c:v>2.7</c:v>
                </c:pt>
                <c:pt idx="56">
                  <c:v>2.2999999999999998</c:v>
                </c:pt>
                <c:pt idx="57">
                  <c:v>3.8</c:v>
                </c:pt>
                <c:pt idx="58">
                  <c:v>4.8</c:v>
                </c:pt>
                <c:pt idx="59">
                  <c:v>3.3</c:v>
                </c:pt>
                <c:pt idx="60">
                  <c:v>4.3</c:v>
                </c:pt>
                <c:pt idx="61">
                  <c:v>3.9</c:v>
                </c:pt>
                <c:pt idx="62">
                  <c:v>5</c:v>
                </c:pt>
                <c:pt idx="63">
                  <c:v>5.2</c:v>
                </c:pt>
                <c:pt idx="64">
                  <c:v>4.8</c:v>
                </c:pt>
                <c:pt idx="65">
                  <c:v>4</c:v>
                </c:pt>
                <c:pt idx="66">
                  <c:v>4.3</c:v>
                </c:pt>
                <c:pt idx="67">
                  <c:v>4.7</c:v>
                </c:pt>
                <c:pt idx="68">
                  <c:v>2.9</c:v>
                </c:pt>
                <c:pt idx="69">
                  <c:v>4.8</c:v>
                </c:pt>
                <c:pt idx="70">
                  <c:v>5.7</c:v>
                </c:pt>
                <c:pt idx="71">
                  <c:v>4.5999999999999996</c:v>
                </c:pt>
                <c:pt idx="72">
                  <c:v>3</c:v>
                </c:pt>
                <c:pt idx="73">
                  <c:v>3.3</c:v>
                </c:pt>
                <c:pt idx="74">
                  <c:v>3.6</c:v>
                </c:pt>
                <c:pt idx="75">
                  <c:v>2.5</c:v>
                </c:pt>
                <c:pt idx="76">
                  <c:v>2.4</c:v>
                </c:pt>
                <c:pt idx="77">
                  <c:v>3.1</c:v>
                </c:pt>
                <c:pt idx="78">
                  <c:v>1.5</c:v>
                </c:pt>
                <c:pt idx="79">
                  <c:v>2.4</c:v>
                </c:pt>
                <c:pt idx="80">
                  <c:v>3</c:v>
                </c:pt>
                <c:pt idx="81">
                  <c:v>2.9</c:v>
                </c:pt>
                <c:pt idx="82">
                  <c:v>1.5</c:v>
                </c:pt>
                <c:pt idx="83">
                  <c:v>3.1</c:v>
                </c:pt>
                <c:pt idx="84">
                  <c:v>4.7</c:v>
                </c:pt>
                <c:pt idx="85">
                  <c:v>4.8</c:v>
                </c:pt>
                <c:pt idx="86">
                  <c:v>5.0999999999999996</c:v>
                </c:pt>
                <c:pt idx="87">
                  <c:v>6.8</c:v>
                </c:pt>
                <c:pt idx="88">
                  <c:v>5.6</c:v>
                </c:pt>
                <c:pt idx="89">
                  <c:v>5.3</c:v>
                </c:pt>
                <c:pt idx="90">
                  <c:v>5.7</c:v>
                </c:pt>
                <c:pt idx="91">
                  <c:v>5</c:v>
                </c:pt>
                <c:pt idx="92">
                  <c:v>6</c:v>
                </c:pt>
                <c:pt idx="93">
                  <c:v>6.6</c:v>
                </c:pt>
                <c:pt idx="94">
                  <c:v>8</c:v>
                </c:pt>
                <c:pt idx="95">
                  <c:v>9.1</c:v>
                </c:pt>
                <c:pt idx="96">
                  <c:v>18.399999999999999</c:v>
                </c:pt>
                <c:pt idx="97">
                  <c:v>16.5</c:v>
                </c:pt>
                <c:pt idx="98">
                  <c:v>17.5</c:v>
                </c:pt>
                <c:pt idx="99">
                  <c:v>14.1</c:v>
                </c:pt>
                <c:pt idx="100">
                  <c:v>13.3</c:v>
                </c:pt>
                <c:pt idx="101">
                  <c:v>11</c:v>
                </c:pt>
                <c:pt idx="102">
                  <c:v>10.199999999999999</c:v>
                </c:pt>
                <c:pt idx="103">
                  <c:v>7.5</c:v>
                </c:pt>
                <c:pt idx="104">
                  <c:v>8.4</c:v>
                </c:pt>
                <c:pt idx="105">
                  <c:v>6.9</c:v>
                </c:pt>
                <c:pt idx="106">
                  <c:v>9.5</c:v>
                </c:pt>
                <c:pt idx="107">
                  <c:v>10.8</c:v>
                </c:pt>
                <c:pt idx="108">
                  <c:v>8.1999999999999993</c:v>
                </c:pt>
                <c:pt idx="109">
                  <c:v>7.6</c:v>
                </c:pt>
                <c:pt idx="110">
                  <c:v>5.8</c:v>
                </c:pt>
                <c:pt idx="111">
                  <c:v>5.6</c:v>
                </c:pt>
                <c:pt idx="112">
                  <c:v>4</c:v>
                </c:pt>
                <c:pt idx="113">
                  <c:v>2.8</c:v>
                </c:pt>
                <c:pt idx="114">
                  <c:v>1.9</c:v>
                </c:pt>
                <c:pt idx="115">
                  <c:v>1.7</c:v>
                </c:pt>
                <c:pt idx="116">
                  <c:v>-0.3</c:v>
                </c:pt>
                <c:pt idx="117">
                  <c:v>0.1</c:v>
                </c:pt>
                <c:pt idx="118">
                  <c:v>0.2</c:v>
                </c:pt>
                <c:pt idx="119">
                  <c:v>0.7</c:v>
                </c:pt>
                <c:pt idx="120">
                  <c:v>5</c:v>
                </c:pt>
                <c:pt idx="121">
                  <c:v>2</c:v>
                </c:pt>
                <c:pt idx="122">
                  <c:v>-1.9</c:v>
                </c:pt>
                <c:pt idx="123">
                  <c:v>-46.4</c:v>
                </c:pt>
                <c:pt idx="124">
                  <c:v>-37</c:v>
                </c:pt>
                <c:pt idx="125">
                  <c:v>-22.4</c:v>
                </c:pt>
                <c:pt idx="126">
                  <c:v>-12.9</c:v>
                </c:pt>
                <c:pt idx="127">
                  <c:v>-9.5</c:v>
                </c:pt>
                <c:pt idx="128">
                  <c:v>-6.9</c:v>
                </c:pt>
                <c:pt idx="129">
                  <c:v>-7.8</c:v>
                </c:pt>
                <c:pt idx="130">
                  <c:v>-16.899999999999999</c:v>
                </c:pt>
                <c:pt idx="131">
                  <c:v>-9.1</c:v>
                </c:pt>
                <c:pt idx="132">
                  <c:v>-7.9</c:v>
                </c:pt>
                <c:pt idx="133">
                  <c:v>-7.8</c:v>
                </c:pt>
                <c:pt idx="134">
                  <c:v>-7.3</c:v>
                </c:pt>
                <c:pt idx="135">
                  <c:v>-6</c:v>
                </c:pt>
                <c:pt idx="136">
                  <c:v>-2.5</c:v>
                </c:pt>
                <c:pt idx="137">
                  <c:v>-3.2</c:v>
                </c:pt>
                <c:pt idx="138">
                  <c:v>-3.9</c:v>
                </c:pt>
                <c:pt idx="139">
                  <c:v>-3.9</c:v>
                </c:pt>
                <c:pt idx="140">
                  <c:v>-4.5</c:v>
                </c:pt>
                <c:pt idx="141">
                  <c:v>-4.5</c:v>
                </c:pt>
                <c:pt idx="142">
                  <c:v>-7</c:v>
                </c:pt>
                <c:pt idx="143">
                  <c:v>-6.6</c:v>
                </c:pt>
                <c:pt idx="144">
                  <c:v>-10.3</c:v>
                </c:pt>
                <c:pt idx="145">
                  <c:v>-10.1</c:v>
                </c:pt>
                <c:pt idx="146">
                  <c:v>-16.8</c:v>
                </c:pt>
                <c:pt idx="147">
                  <c:v>-13.4</c:v>
                </c:pt>
                <c:pt idx="148">
                  <c:v>-11.8</c:v>
                </c:pt>
              </c:numCache>
            </c:numRef>
          </c:val>
          <c:smooth val="0"/>
          <c:extLst xmlns:c16r2="http://schemas.microsoft.com/office/drawing/2015/06/chart">
            <c:ext xmlns:c16="http://schemas.microsoft.com/office/drawing/2014/chart" uri="{C3380CC4-5D6E-409C-BE32-E72D297353CC}">
              <c16:uniqueId val="{00000001-62AE-4D19-A884-5D99054DF058}"/>
            </c:ext>
          </c:extLst>
        </c:ser>
        <c:dLbls>
          <c:showLegendKey val="0"/>
          <c:showVal val="0"/>
          <c:showCatName val="0"/>
          <c:showSerName val="0"/>
          <c:showPercent val="0"/>
          <c:showBubbleSize val="0"/>
        </c:dLbls>
        <c:smooth val="0"/>
        <c:axId val="127632112"/>
        <c:axId val="127632656"/>
      </c:lineChart>
      <c:catAx>
        <c:axId val="127632112"/>
        <c:scaling>
          <c:orientation val="minMax"/>
        </c:scaling>
        <c:delete val="0"/>
        <c:axPos val="b"/>
        <c:numFmt formatCode="General" sourceLinked="1"/>
        <c:majorTickMark val="none"/>
        <c:minorTickMark val="none"/>
        <c:tickLblPos val="low"/>
        <c:spPr>
          <a:noFill/>
          <a:ln w="9525" cap="flat" cmpd="sng" algn="ctr">
            <a:solidFill>
              <a:schemeClr val="tx1">
                <a:lumMod val="95000"/>
                <a:lumOff val="5000"/>
              </a:schemeClr>
            </a:solidFill>
            <a:round/>
          </a:ln>
          <a:effectLst/>
        </c:spPr>
        <c:txPr>
          <a:bodyPr rot="-5400000" spcFirstLastPara="1" vertOverflow="ellipsis" wrap="square" anchor="t" anchorCtr="0"/>
          <a:lstStyle/>
          <a:p>
            <a:pPr>
              <a:defRPr sz="80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crossAx val="127632656"/>
        <c:crosses val="autoZero"/>
        <c:auto val="1"/>
        <c:lblAlgn val="ctr"/>
        <c:lblOffset val="100"/>
        <c:noMultiLvlLbl val="0"/>
      </c:catAx>
      <c:valAx>
        <c:axId val="127632656"/>
        <c:scaling>
          <c:orientation val="minMax"/>
          <c:max val="20"/>
          <c:min val="-5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crossAx val="127632112"/>
        <c:crosses val="autoZero"/>
        <c:crossBetween val="between"/>
        <c:majorUnit val="10"/>
      </c:valAx>
      <c:spPr>
        <a:noFill/>
        <a:ln>
          <a:noFill/>
        </a:ln>
        <a:effectLst/>
      </c:spPr>
    </c:plotArea>
    <c:legend>
      <c:legendPos val="b"/>
      <c:layout>
        <c:manualLayout>
          <c:xMode val="edge"/>
          <c:yMode val="edge"/>
          <c:x val="0.11660317922619412"/>
          <c:y val="0.67088737373737373"/>
          <c:w val="0.68784176245210737"/>
          <c:h val="0.11229797979797979"/>
        </c:manualLayout>
      </c:layout>
      <c:overlay val="1"/>
      <c:spPr>
        <a:noFill/>
        <a:ln>
          <a:noFill/>
        </a:ln>
        <a:effectLst/>
      </c:spPr>
      <c:txPr>
        <a:bodyPr rot="0" spcFirstLastPara="1" vertOverflow="ellipsis" vert="horz" wrap="square" anchor="ctr" anchorCtr="1"/>
        <a:lstStyle/>
        <a:p>
          <a:pPr>
            <a:defRPr sz="65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795303030303032"/>
        </c:manualLayout>
      </c:layout>
      <c:lineChart>
        <c:grouping val="standard"/>
        <c:varyColors val="0"/>
        <c:ser>
          <c:idx val="4"/>
          <c:order val="1"/>
          <c:tx>
            <c:strRef>
              <c:f>wykresy!$G$2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wykresy!$G$270:$G$275</c:f>
              <c:numCache>
                <c:formatCode>0.0</c:formatCode>
                <c:ptCount val="6"/>
                <c:pt idx="0">
                  <c:v>-10.7</c:v>
                </c:pt>
                <c:pt idx="1">
                  <c:v>-12.8</c:v>
                </c:pt>
                <c:pt idx="2">
                  <c:v>-12.4</c:v>
                </c:pt>
                <c:pt idx="3">
                  <c:v>-18.7</c:v>
                </c:pt>
                <c:pt idx="4">
                  <c:v>-13.4</c:v>
                </c:pt>
                <c:pt idx="5">
                  <c:v>-12.5</c:v>
                </c:pt>
              </c:numCache>
            </c:numRef>
          </c:val>
          <c:smooth val="0"/>
          <c:extLst xmlns:c16r2="http://schemas.microsoft.com/office/drawing/2015/06/chart">
            <c:ext xmlns:c16="http://schemas.microsoft.com/office/drawing/2014/chart" uri="{C3380CC4-5D6E-409C-BE32-E72D297353CC}">
              <c16:uniqueId val="{00000000-6C8C-4B3C-9088-F2A9075A98E5}"/>
            </c:ext>
          </c:extLst>
        </c:ser>
        <c:dLbls>
          <c:showLegendKey val="0"/>
          <c:showVal val="0"/>
          <c:showCatName val="0"/>
          <c:showSerName val="0"/>
          <c:showPercent val="0"/>
          <c:showBubbleSize val="0"/>
        </c:dLbls>
        <c:marker val="1"/>
        <c:smooth val="0"/>
        <c:axId val="127631024"/>
        <c:axId val="33994224"/>
      </c:lineChart>
      <c:lineChart>
        <c:grouping val="standard"/>
        <c:varyColors val="0"/>
        <c:ser>
          <c:idx val="1"/>
          <c:order val="0"/>
          <c:tx>
            <c:strRef>
              <c:f>wykresy!$H$2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wykresy!$H$270:$H$275</c:f>
              <c:numCache>
                <c:formatCode>0.0</c:formatCode>
                <c:ptCount val="6"/>
                <c:pt idx="0">
                  <c:v>-15.4</c:v>
                </c:pt>
                <c:pt idx="1">
                  <c:v>-17.100000000000001</c:v>
                </c:pt>
                <c:pt idx="2">
                  <c:v>-15.4</c:v>
                </c:pt>
                <c:pt idx="3">
                  <c:v>-20.100000000000001</c:v>
                </c:pt>
                <c:pt idx="4">
                  <c:v>-15.4</c:v>
                </c:pt>
                <c:pt idx="5">
                  <c:v>-14</c:v>
                </c:pt>
              </c:numCache>
            </c:numRef>
          </c:val>
          <c:smooth val="0"/>
          <c:extLst xmlns:c16r2="http://schemas.microsoft.com/office/drawing/2015/06/chart">
            <c:ext xmlns:c16="http://schemas.microsoft.com/office/drawing/2014/chart" uri="{C3380CC4-5D6E-409C-BE32-E72D297353CC}">
              <c16:uniqueId val="{00000001-6C8C-4B3C-9088-F2A9075A98E5}"/>
            </c:ext>
          </c:extLst>
        </c:ser>
        <c:ser>
          <c:idx val="0"/>
          <c:order val="2"/>
          <c:tx>
            <c:strRef>
              <c:f>wykresy!$I$2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wykresy!$I$270:$I$275</c:f>
              <c:numCache>
                <c:formatCode>0.0</c:formatCode>
                <c:ptCount val="6"/>
                <c:pt idx="0">
                  <c:v>-7.9</c:v>
                </c:pt>
                <c:pt idx="1">
                  <c:v>-7.3</c:v>
                </c:pt>
                <c:pt idx="2">
                  <c:v>-11.5</c:v>
                </c:pt>
                <c:pt idx="3">
                  <c:v>-13.7</c:v>
                </c:pt>
                <c:pt idx="4">
                  <c:v>-12.4</c:v>
                </c:pt>
                <c:pt idx="5">
                  <c:v>-11.2</c:v>
                </c:pt>
              </c:numCache>
            </c:numRef>
          </c:val>
          <c:smooth val="0"/>
          <c:extLst xmlns:c16r2="http://schemas.microsoft.com/office/drawing/2015/06/chart">
            <c:ext xmlns:c16="http://schemas.microsoft.com/office/drawing/2014/chart" uri="{C3380CC4-5D6E-409C-BE32-E72D297353CC}">
              <c16:uniqueId val="{00000002-6C8C-4B3C-9088-F2A9075A98E5}"/>
            </c:ext>
          </c:extLst>
        </c:ser>
        <c:ser>
          <c:idx val="2"/>
          <c:order val="3"/>
          <c:tx>
            <c:strRef>
              <c:f>wykresy!$J$2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wykresy!$J$270:$J$275</c:f>
              <c:numCache>
                <c:formatCode>0.0</c:formatCode>
                <c:ptCount val="6"/>
                <c:pt idx="0">
                  <c:v>-22.8</c:v>
                </c:pt>
                <c:pt idx="1">
                  <c:v>-26.9</c:v>
                </c:pt>
                <c:pt idx="2">
                  <c:v>-19.3</c:v>
                </c:pt>
                <c:pt idx="3">
                  <c:v>-26.5</c:v>
                </c:pt>
                <c:pt idx="4">
                  <c:v>-18.399999999999999</c:v>
                </c:pt>
                <c:pt idx="5">
                  <c:v>-16.7</c:v>
                </c:pt>
              </c:numCache>
            </c:numRef>
          </c:val>
          <c:smooth val="0"/>
          <c:extLst xmlns:c16r2="http://schemas.microsoft.com/office/drawing/2015/06/chart">
            <c:ext xmlns:c16="http://schemas.microsoft.com/office/drawing/2014/chart" uri="{C3380CC4-5D6E-409C-BE32-E72D297353CC}">
              <c16:uniqueId val="{00000003-6C8C-4B3C-9088-F2A9075A98E5}"/>
            </c:ext>
          </c:extLst>
        </c:ser>
        <c:dLbls>
          <c:showLegendKey val="0"/>
          <c:showVal val="0"/>
          <c:showCatName val="0"/>
          <c:showSerName val="0"/>
          <c:showPercent val="0"/>
          <c:showBubbleSize val="0"/>
        </c:dLbls>
        <c:marker val="1"/>
        <c:smooth val="0"/>
        <c:axId val="33986608"/>
        <c:axId val="33983344"/>
      </c:lineChart>
      <c:catAx>
        <c:axId val="127631024"/>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94224"/>
        <c:crosses val="autoZero"/>
        <c:auto val="1"/>
        <c:lblAlgn val="ctr"/>
        <c:lblOffset val="100"/>
        <c:noMultiLvlLbl val="1"/>
      </c:catAx>
      <c:valAx>
        <c:axId val="33994224"/>
        <c:scaling>
          <c:orientation val="minMax"/>
          <c:max val="10"/>
          <c:min val="-30"/>
        </c:scaling>
        <c:delete val="1"/>
        <c:axPos val="l"/>
        <c:numFmt formatCode="0.0" sourceLinked="1"/>
        <c:majorTickMark val="out"/>
        <c:minorTickMark val="none"/>
        <c:tickLblPos val="nextTo"/>
        <c:crossAx val="127631024"/>
        <c:crosses val="autoZero"/>
        <c:crossBetween val="between"/>
        <c:majorUnit val="10"/>
      </c:valAx>
      <c:valAx>
        <c:axId val="33983344"/>
        <c:scaling>
          <c:orientation val="minMax"/>
          <c:max val="10"/>
          <c:min val="-3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6608"/>
        <c:crosses val="max"/>
        <c:crossBetween val="between"/>
        <c:majorUnit val="10"/>
      </c:valAx>
      <c:catAx>
        <c:axId val="33986608"/>
        <c:scaling>
          <c:orientation val="minMax"/>
        </c:scaling>
        <c:delete val="1"/>
        <c:axPos val="b"/>
        <c:numFmt formatCode="General" sourceLinked="1"/>
        <c:majorTickMark val="out"/>
        <c:minorTickMark val="none"/>
        <c:tickLblPos val="none"/>
        <c:crossAx val="33983344"/>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wykresy!$H$4</c:f>
              <c:strCache>
                <c:ptCount val="1"/>
                <c:pt idx="0">
                  <c:v>non-seasonally adjusted</c:v>
                </c:pt>
              </c:strCache>
            </c:strRef>
          </c:tx>
          <c:spPr>
            <a:ln w="19050" cap="rnd">
              <a:solidFill>
                <a:srgbClr val="6677AD"/>
              </a:solidFill>
              <a:round/>
            </a:ln>
            <a:effectLst/>
          </c:spPr>
          <c:marker>
            <c:symbol val="none"/>
          </c:marker>
          <c:cat>
            <c:numRef>
              <c:f>wykresy!$B$127:$B$282</c:f>
              <c:numCache>
                <c:formatCode>General</c:formatCode>
                <c:ptCount val="156"/>
                <c:pt idx="0">
                  <c:v>2010</c:v>
                </c:pt>
                <c:pt idx="12">
                  <c:v>2011</c:v>
                </c:pt>
                <c:pt idx="24">
                  <c:v>2012</c:v>
                </c:pt>
                <c:pt idx="36">
                  <c:v>2013</c:v>
                </c:pt>
                <c:pt idx="48">
                  <c:v>2014</c:v>
                </c:pt>
                <c:pt idx="60">
                  <c:v>2015</c:v>
                </c:pt>
                <c:pt idx="72">
                  <c:v>2016</c:v>
                </c:pt>
                <c:pt idx="84">
                  <c:v>2017</c:v>
                </c:pt>
                <c:pt idx="96">
                  <c:v>2018</c:v>
                </c:pt>
                <c:pt idx="108">
                  <c:v>2019</c:v>
                </c:pt>
                <c:pt idx="120">
                  <c:v>2020</c:v>
                </c:pt>
                <c:pt idx="132" formatCode="0">
                  <c:v>2021</c:v>
                </c:pt>
                <c:pt idx="144" formatCode="0">
                  <c:v>2022</c:v>
                </c:pt>
              </c:numCache>
            </c:numRef>
          </c:cat>
          <c:val>
            <c:numRef>
              <c:f>wykresy!$H$127:$H$282</c:f>
              <c:numCache>
                <c:formatCode>0.0</c:formatCode>
                <c:ptCount val="156"/>
                <c:pt idx="0">
                  <c:v>-14.7</c:v>
                </c:pt>
                <c:pt idx="1">
                  <c:v>-14.7</c:v>
                </c:pt>
                <c:pt idx="2">
                  <c:v>-5.6</c:v>
                </c:pt>
                <c:pt idx="3">
                  <c:v>1.5</c:v>
                </c:pt>
                <c:pt idx="4">
                  <c:v>1.4</c:v>
                </c:pt>
                <c:pt idx="5">
                  <c:v>2</c:v>
                </c:pt>
                <c:pt idx="6">
                  <c:v>5.4</c:v>
                </c:pt>
                <c:pt idx="7">
                  <c:v>2.4</c:v>
                </c:pt>
                <c:pt idx="8">
                  <c:v>-1.4</c:v>
                </c:pt>
                <c:pt idx="9">
                  <c:v>-5.2</c:v>
                </c:pt>
                <c:pt idx="10">
                  <c:v>-8.4</c:v>
                </c:pt>
                <c:pt idx="11">
                  <c:v>-19.5</c:v>
                </c:pt>
                <c:pt idx="12">
                  <c:v>-15.3</c:v>
                </c:pt>
                <c:pt idx="13">
                  <c:v>-9</c:v>
                </c:pt>
                <c:pt idx="14">
                  <c:v>-5.3</c:v>
                </c:pt>
                <c:pt idx="15">
                  <c:v>0.7</c:v>
                </c:pt>
                <c:pt idx="16">
                  <c:v>2.7</c:v>
                </c:pt>
                <c:pt idx="17">
                  <c:v>3.6</c:v>
                </c:pt>
                <c:pt idx="18">
                  <c:v>2.4</c:v>
                </c:pt>
                <c:pt idx="19">
                  <c:v>-1.4</c:v>
                </c:pt>
                <c:pt idx="20">
                  <c:v>-4.2</c:v>
                </c:pt>
                <c:pt idx="21">
                  <c:v>-8.4</c:v>
                </c:pt>
                <c:pt idx="22">
                  <c:v>-14.9</c:v>
                </c:pt>
                <c:pt idx="23">
                  <c:v>-22.7</c:v>
                </c:pt>
                <c:pt idx="24">
                  <c:v>-20.5</c:v>
                </c:pt>
                <c:pt idx="25">
                  <c:v>-19.899999999999999</c:v>
                </c:pt>
                <c:pt idx="26">
                  <c:v>-11.8</c:v>
                </c:pt>
                <c:pt idx="27">
                  <c:v>-10.199999999999999</c:v>
                </c:pt>
                <c:pt idx="28">
                  <c:v>-10</c:v>
                </c:pt>
                <c:pt idx="29">
                  <c:v>-14.3</c:v>
                </c:pt>
                <c:pt idx="30">
                  <c:v>-13.8</c:v>
                </c:pt>
                <c:pt idx="31">
                  <c:v>-16.100000000000001</c:v>
                </c:pt>
                <c:pt idx="32">
                  <c:v>-22.2</c:v>
                </c:pt>
                <c:pt idx="33">
                  <c:v>-25.9</c:v>
                </c:pt>
                <c:pt idx="34">
                  <c:v>-29.3</c:v>
                </c:pt>
                <c:pt idx="35">
                  <c:v>-34.9</c:v>
                </c:pt>
                <c:pt idx="36">
                  <c:v>-33</c:v>
                </c:pt>
                <c:pt idx="37">
                  <c:v>-29.9</c:v>
                </c:pt>
                <c:pt idx="38">
                  <c:v>-26</c:v>
                </c:pt>
                <c:pt idx="39">
                  <c:v>-23.1</c:v>
                </c:pt>
                <c:pt idx="40">
                  <c:v>-16.8</c:v>
                </c:pt>
                <c:pt idx="41">
                  <c:v>-16.899999999999999</c:v>
                </c:pt>
                <c:pt idx="42">
                  <c:v>-14.9</c:v>
                </c:pt>
                <c:pt idx="43">
                  <c:v>-13.3</c:v>
                </c:pt>
                <c:pt idx="44">
                  <c:v>-14.8</c:v>
                </c:pt>
                <c:pt idx="45">
                  <c:v>-18.3</c:v>
                </c:pt>
                <c:pt idx="46">
                  <c:v>-22.3</c:v>
                </c:pt>
                <c:pt idx="47">
                  <c:v>-26.8</c:v>
                </c:pt>
                <c:pt idx="48">
                  <c:v>-20</c:v>
                </c:pt>
                <c:pt idx="49">
                  <c:v>-18</c:v>
                </c:pt>
                <c:pt idx="50">
                  <c:v>-11.5</c:v>
                </c:pt>
                <c:pt idx="51">
                  <c:v>-7.3</c:v>
                </c:pt>
                <c:pt idx="52">
                  <c:v>-6</c:v>
                </c:pt>
                <c:pt idx="53">
                  <c:v>-4.5</c:v>
                </c:pt>
                <c:pt idx="54">
                  <c:v>-4.3</c:v>
                </c:pt>
                <c:pt idx="55">
                  <c:v>-4</c:v>
                </c:pt>
                <c:pt idx="56">
                  <c:v>-6.9</c:v>
                </c:pt>
                <c:pt idx="57">
                  <c:v>-10.5</c:v>
                </c:pt>
                <c:pt idx="58">
                  <c:v>-13.5</c:v>
                </c:pt>
                <c:pt idx="59">
                  <c:v>-18.8</c:v>
                </c:pt>
                <c:pt idx="60">
                  <c:v>-12.8</c:v>
                </c:pt>
                <c:pt idx="61">
                  <c:v>-11.3</c:v>
                </c:pt>
                <c:pt idx="62">
                  <c:v>-6.6</c:v>
                </c:pt>
                <c:pt idx="63">
                  <c:v>-3.5</c:v>
                </c:pt>
                <c:pt idx="64">
                  <c:v>-2</c:v>
                </c:pt>
                <c:pt idx="65">
                  <c:v>-2</c:v>
                </c:pt>
                <c:pt idx="66">
                  <c:v>-1.2</c:v>
                </c:pt>
                <c:pt idx="67">
                  <c:v>-0.9</c:v>
                </c:pt>
                <c:pt idx="68">
                  <c:v>-5.3</c:v>
                </c:pt>
                <c:pt idx="69">
                  <c:v>-7.8</c:v>
                </c:pt>
                <c:pt idx="70">
                  <c:v>-11.6</c:v>
                </c:pt>
                <c:pt idx="71">
                  <c:v>-16.100000000000001</c:v>
                </c:pt>
                <c:pt idx="72">
                  <c:v>-12.7</c:v>
                </c:pt>
                <c:pt idx="73">
                  <c:v>-9.1</c:v>
                </c:pt>
                <c:pt idx="74">
                  <c:v>-6.9</c:v>
                </c:pt>
                <c:pt idx="75">
                  <c:v>-2.4</c:v>
                </c:pt>
                <c:pt idx="76">
                  <c:v>-1.1000000000000001</c:v>
                </c:pt>
                <c:pt idx="77">
                  <c:v>-1.4</c:v>
                </c:pt>
                <c:pt idx="78">
                  <c:v>-1.9</c:v>
                </c:pt>
                <c:pt idx="79">
                  <c:v>-3.3</c:v>
                </c:pt>
                <c:pt idx="80">
                  <c:v>-5.4</c:v>
                </c:pt>
                <c:pt idx="81">
                  <c:v>-9.1</c:v>
                </c:pt>
                <c:pt idx="82">
                  <c:v>-12.3</c:v>
                </c:pt>
                <c:pt idx="83">
                  <c:v>-17.399999999999999</c:v>
                </c:pt>
                <c:pt idx="84">
                  <c:v>-9.8000000000000007</c:v>
                </c:pt>
                <c:pt idx="85">
                  <c:v>-6.8</c:v>
                </c:pt>
                <c:pt idx="86">
                  <c:v>-1.4</c:v>
                </c:pt>
                <c:pt idx="87">
                  <c:v>2.7</c:v>
                </c:pt>
                <c:pt idx="88">
                  <c:v>2.5</c:v>
                </c:pt>
                <c:pt idx="89">
                  <c:v>6.4</c:v>
                </c:pt>
                <c:pt idx="90">
                  <c:v>6.3</c:v>
                </c:pt>
                <c:pt idx="91">
                  <c:v>5.2</c:v>
                </c:pt>
                <c:pt idx="92">
                  <c:v>2.7</c:v>
                </c:pt>
                <c:pt idx="93">
                  <c:v>0.4</c:v>
                </c:pt>
                <c:pt idx="94">
                  <c:v>-1.9</c:v>
                </c:pt>
                <c:pt idx="95">
                  <c:v>-6.7</c:v>
                </c:pt>
                <c:pt idx="96">
                  <c:v>0.8</c:v>
                </c:pt>
                <c:pt idx="97">
                  <c:v>3.2</c:v>
                </c:pt>
                <c:pt idx="98">
                  <c:v>5.0999999999999996</c:v>
                </c:pt>
                <c:pt idx="99">
                  <c:v>6.9</c:v>
                </c:pt>
                <c:pt idx="100">
                  <c:v>7.2</c:v>
                </c:pt>
                <c:pt idx="101">
                  <c:v>7.3</c:v>
                </c:pt>
                <c:pt idx="102">
                  <c:v>6.4</c:v>
                </c:pt>
                <c:pt idx="103">
                  <c:v>6.4</c:v>
                </c:pt>
                <c:pt idx="104">
                  <c:v>4</c:v>
                </c:pt>
                <c:pt idx="105">
                  <c:v>1.5</c:v>
                </c:pt>
                <c:pt idx="106">
                  <c:v>-0.8</c:v>
                </c:pt>
                <c:pt idx="107">
                  <c:v>-2.8</c:v>
                </c:pt>
                <c:pt idx="108">
                  <c:v>2.7</c:v>
                </c:pt>
                <c:pt idx="109">
                  <c:v>4.9000000000000004</c:v>
                </c:pt>
                <c:pt idx="110">
                  <c:v>7.3</c:v>
                </c:pt>
                <c:pt idx="111">
                  <c:v>8.9</c:v>
                </c:pt>
                <c:pt idx="112">
                  <c:v>7.7</c:v>
                </c:pt>
                <c:pt idx="113">
                  <c:v>7.8</c:v>
                </c:pt>
                <c:pt idx="114">
                  <c:v>6.2</c:v>
                </c:pt>
                <c:pt idx="115">
                  <c:v>5.6</c:v>
                </c:pt>
                <c:pt idx="116">
                  <c:v>3.2</c:v>
                </c:pt>
                <c:pt idx="117">
                  <c:v>0.7</c:v>
                </c:pt>
                <c:pt idx="118">
                  <c:v>-1.9</c:v>
                </c:pt>
                <c:pt idx="119">
                  <c:v>-4.5999999999999996</c:v>
                </c:pt>
                <c:pt idx="120">
                  <c:v>-0.7</c:v>
                </c:pt>
                <c:pt idx="121">
                  <c:v>0.1</c:v>
                </c:pt>
                <c:pt idx="122">
                  <c:v>-1.9</c:v>
                </c:pt>
                <c:pt idx="123">
                  <c:v>-47.1</c:v>
                </c:pt>
                <c:pt idx="124">
                  <c:v>-38.799999999999997</c:v>
                </c:pt>
                <c:pt idx="125">
                  <c:v>-25.9</c:v>
                </c:pt>
                <c:pt idx="126">
                  <c:v>-16.7</c:v>
                </c:pt>
                <c:pt idx="127">
                  <c:v>-15.4</c:v>
                </c:pt>
                <c:pt idx="128">
                  <c:v>-15</c:v>
                </c:pt>
                <c:pt idx="129">
                  <c:v>-16.5</c:v>
                </c:pt>
                <c:pt idx="130">
                  <c:v>-26.2</c:v>
                </c:pt>
                <c:pt idx="131">
                  <c:v>-22.6</c:v>
                </c:pt>
                <c:pt idx="132">
                  <c:v>-18.7</c:v>
                </c:pt>
                <c:pt idx="133">
                  <c:v>-17.7</c:v>
                </c:pt>
                <c:pt idx="134">
                  <c:v>-15.5</c:v>
                </c:pt>
                <c:pt idx="135">
                  <c:v>-13.7</c:v>
                </c:pt>
                <c:pt idx="136">
                  <c:v>-8.4</c:v>
                </c:pt>
                <c:pt idx="137">
                  <c:v>-5.5</c:v>
                </c:pt>
                <c:pt idx="138">
                  <c:v>-4.9000000000000004</c:v>
                </c:pt>
                <c:pt idx="139">
                  <c:v>-7</c:v>
                </c:pt>
                <c:pt idx="140">
                  <c:v>-7.9</c:v>
                </c:pt>
                <c:pt idx="141">
                  <c:v>-9.4</c:v>
                </c:pt>
                <c:pt idx="142">
                  <c:v>-11.9</c:v>
                </c:pt>
                <c:pt idx="143">
                  <c:v>-15.4</c:v>
                </c:pt>
                <c:pt idx="144">
                  <c:v>-17.100000000000001</c:v>
                </c:pt>
                <c:pt idx="145">
                  <c:v>-15.4</c:v>
                </c:pt>
                <c:pt idx="146">
                  <c:v>-20.100000000000001</c:v>
                </c:pt>
                <c:pt idx="147">
                  <c:v>-15.4</c:v>
                </c:pt>
                <c:pt idx="148">
                  <c:v>-14</c:v>
                </c:pt>
              </c:numCache>
            </c:numRef>
          </c:val>
          <c:smooth val="0"/>
          <c:extLst xmlns:c16r2="http://schemas.microsoft.com/office/drawing/2015/06/chart">
            <c:ext xmlns:c16="http://schemas.microsoft.com/office/drawing/2014/chart" uri="{C3380CC4-5D6E-409C-BE32-E72D297353CC}">
              <c16:uniqueId val="{00000000-E77C-46A4-9747-274D9D29FCDF}"/>
            </c:ext>
          </c:extLst>
        </c:ser>
        <c:ser>
          <c:idx val="1"/>
          <c:order val="1"/>
          <c:tx>
            <c:strRef>
              <c:f>wykresy!$G$4</c:f>
              <c:strCache>
                <c:ptCount val="1"/>
                <c:pt idx="0">
                  <c:v>seasonally adjusted</c:v>
                </c:pt>
              </c:strCache>
            </c:strRef>
          </c:tx>
          <c:spPr>
            <a:ln w="19050" cap="rnd">
              <a:solidFill>
                <a:schemeClr val="tx1">
                  <a:lumMod val="95000"/>
                  <a:lumOff val="5000"/>
                  <a:alpha val="80000"/>
                </a:schemeClr>
              </a:solidFill>
              <a:round/>
            </a:ln>
            <a:effectLst/>
          </c:spPr>
          <c:marker>
            <c:symbol val="none"/>
          </c:marker>
          <c:cat>
            <c:numRef>
              <c:f>wykresy!$B$127:$B$282</c:f>
              <c:numCache>
                <c:formatCode>General</c:formatCode>
                <c:ptCount val="156"/>
                <c:pt idx="0">
                  <c:v>2010</c:v>
                </c:pt>
                <c:pt idx="12">
                  <c:v>2011</c:v>
                </c:pt>
                <c:pt idx="24">
                  <c:v>2012</c:v>
                </c:pt>
                <c:pt idx="36">
                  <c:v>2013</c:v>
                </c:pt>
                <c:pt idx="48">
                  <c:v>2014</c:v>
                </c:pt>
                <c:pt idx="60">
                  <c:v>2015</c:v>
                </c:pt>
                <c:pt idx="72">
                  <c:v>2016</c:v>
                </c:pt>
                <c:pt idx="84">
                  <c:v>2017</c:v>
                </c:pt>
                <c:pt idx="96">
                  <c:v>2018</c:v>
                </c:pt>
                <c:pt idx="108">
                  <c:v>2019</c:v>
                </c:pt>
                <c:pt idx="120">
                  <c:v>2020</c:v>
                </c:pt>
                <c:pt idx="132" formatCode="0">
                  <c:v>2021</c:v>
                </c:pt>
                <c:pt idx="144" formatCode="0">
                  <c:v>2022</c:v>
                </c:pt>
              </c:numCache>
            </c:numRef>
          </c:cat>
          <c:val>
            <c:numRef>
              <c:f>wykresy!$G$127:$G$282</c:f>
              <c:numCache>
                <c:formatCode>0.0</c:formatCode>
                <c:ptCount val="156"/>
                <c:pt idx="0">
                  <c:v>-6</c:v>
                </c:pt>
                <c:pt idx="1">
                  <c:v>-4.8</c:v>
                </c:pt>
                <c:pt idx="2">
                  <c:v>-1.5</c:v>
                </c:pt>
                <c:pt idx="3">
                  <c:v>-1.9</c:v>
                </c:pt>
                <c:pt idx="4">
                  <c:v>-3.9</c:v>
                </c:pt>
                <c:pt idx="5">
                  <c:v>-4.3</c:v>
                </c:pt>
                <c:pt idx="6">
                  <c:v>-2.6</c:v>
                </c:pt>
                <c:pt idx="7">
                  <c:v>-4</c:v>
                </c:pt>
                <c:pt idx="8">
                  <c:v>-5</c:v>
                </c:pt>
                <c:pt idx="9">
                  <c:v>-5.5</c:v>
                </c:pt>
                <c:pt idx="10">
                  <c:v>-4.5</c:v>
                </c:pt>
                <c:pt idx="11">
                  <c:v>-7.5</c:v>
                </c:pt>
                <c:pt idx="12">
                  <c:v>-5.6</c:v>
                </c:pt>
                <c:pt idx="13">
                  <c:v>-2</c:v>
                </c:pt>
                <c:pt idx="14">
                  <c:v>-4.2</c:v>
                </c:pt>
                <c:pt idx="15">
                  <c:v>-3.8</c:v>
                </c:pt>
                <c:pt idx="16">
                  <c:v>-4</c:v>
                </c:pt>
                <c:pt idx="17">
                  <c:v>-3.3</c:v>
                </c:pt>
                <c:pt idx="18">
                  <c:v>-5.4</c:v>
                </c:pt>
                <c:pt idx="19">
                  <c:v>-7.1</c:v>
                </c:pt>
                <c:pt idx="20">
                  <c:v>-7</c:v>
                </c:pt>
                <c:pt idx="21">
                  <c:v>-7.9</c:v>
                </c:pt>
                <c:pt idx="22">
                  <c:v>-10.1</c:v>
                </c:pt>
                <c:pt idx="23">
                  <c:v>-10.9</c:v>
                </c:pt>
                <c:pt idx="24">
                  <c:v>-11.7</c:v>
                </c:pt>
                <c:pt idx="25">
                  <c:v>-13.9</c:v>
                </c:pt>
                <c:pt idx="26">
                  <c:v>-12.3</c:v>
                </c:pt>
                <c:pt idx="27">
                  <c:v>-14.7</c:v>
                </c:pt>
                <c:pt idx="28">
                  <c:v>-16.8</c:v>
                </c:pt>
                <c:pt idx="29">
                  <c:v>-20</c:v>
                </c:pt>
                <c:pt idx="30">
                  <c:v>-20.5</c:v>
                </c:pt>
                <c:pt idx="31">
                  <c:v>-21.7</c:v>
                </c:pt>
                <c:pt idx="32">
                  <c:v>-24.1</c:v>
                </c:pt>
                <c:pt idx="33">
                  <c:v>-24.4</c:v>
                </c:pt>
                <c:pt idx="34">
                  <c:v>-24.1</c:v>
                </c:pt>
                <c:pt idx="35">
                  <c:v>-23.8</c:v>
                </c:pt>
                <c:pt idx="36">
                  <c:v>-25.3</c:v>
                </c:pt>
                <c:pt idx="37">
                  <c:v>-24.4</c:v>
                </c:pt>
                <c:pt idx="38">
                  <c:v>-25.8</c:v>
                </c:pt>
                <c:pt idx="39">
                  <c:v>-26</c:v>
                </c:pt>
                <c:pt idx="40">
                  <c:v>-22.8</c:v>
                </c:pt>
                <c:pt idx="41">
                  <c:v>-22.3</c:v>
                </c:pt>
                <c:pt idx="42">
                  <c:v>-21.1</c:v>
                </c:pt>
                <c:pt idx="43">
                  <c:v>-19.3</c:v>
                </c:pt>
                <c:pt idx="44">
                  <c:v>-17.5</c:v>
                </c:pt>
                <c:pt idx="45">
                  <c:v>-17.100000000000001</c:v>
                </c:pt>
                <c:pt idx="46">
                  <c:v>-16.899999999999999</c:v>
                </c:pt>
                <c:pt idx="47">
                  <c:v>-16</c:v>
                </c:pt>
                <c:pt idx="48">
                  <c:v>-13.8</c:v>
                </c:pt>
                <c:pt idx="49">
                  <c:v>-13.6</c:v>
                </c:pt>
                <c:pt idx="50">
                  <c:v>-11.9</c:v>
                </c:pt>
                <c:pt idx="51">
                  <c:v>-10.9</c:v>
                </c:pt>
                <c:pt idx="52">
                  <c:v>-11.4</c:v>
                </c:pt>
                <c:pt idx="53">
                  <c:v>-9.9</c:v>
                </c:pt>
                <c:pt idx="54">
                  <c:v>-10</c:v>
                </c:pt>
                <c:pt idx="55">
                  <c:v>-9.5</c:v>
                </c:pt>
                <c:pt idx="56">
                  <c:v>-9</c:v>
                </c:pt>
                <c:pt idx="57">
                  <c:v>-8.9</c:v>
                </c:pt>
                <c:pt idx="58">
                  <c:v>-8.1</c:v>
                </c:pt>
                <c:pt idx="59">
                  <c:v>-8.1999999999999993</c:v>
                </c:pt>
                <c:pt idx="60">
                  <c:v>-7.2</c:v>
                </c:pt>
                <c:pt idx="61">
                  <c:v>-7.6</c:v>
                </c:pt>
                <c:pt idx="62">
                  <c:v>-7.1</c:v>
                </c:pt>
                <c:pt idx="63">
                  <c:v>-7.3</c:v>
                </c:pt>
                <c:pt idx="64">
                  <c:v>-7</c:v>
                </c:pt>
                <c:pt idx="65">
                  <c:v>-7.2</c:v>
                </c:pt>
                <c:pt idx="66">
                  <c:v>-6.6</c:v>
                </c:pt>
                <c:pt idx="67">
                  <c:v>-5.9</c:v>
                </c:pt>
                <c:pt idx="68">
                  <c:v>-6.8</c:v>
                </c:pt>
                <c:pt idx="69">
                  <c:v>-6</c:v>
                </c:pt>
                <c:pt idx="70">
                  <c:v>-6.3</c:v>
                </c:pt>
                <c:pt idx="71">
                  <c:v>-5.8</c:v>
                </c:pt>
                <c:pt idx="72">
                  <c:v>-7.4</c:v>
                </c:pt>
                <c:pt idx="73">
                  <c:v>-6.2</c:v>
                </c:pt>
                <c:pt idx="74">
                  <c:v>-7.5</c:v>
                </c:pt>
                <c:pt idx="75">
                  <c:v>-6.6</c:v>
                </c:pt>
                <c:pt idx="76">
                  <c:v>-6.1</c:v>
                </c:pt>
                <c:pt idx="77">
                  <c:v>-6.9</c:v>
                </c:pt>
                <c:pt idx="78">
                  <c:v>-6.9</c:v>
                </c:pt>
                <c:pt idx="79">
                  <c:v>-7.3</c:v>
                </c:pt>
                <c:pt idx="80">
                  <c:v>-6.4</c:v>
                </c:pt>
                <c:pt idx="81">
                  <c:v>-6.8</c:v>
                </c:pt>
                <c:pt idx="82">
                  <c:v>-6.6</c:v>
                </c:pt>
                <c:pt idx="83">
                  <c:v>-6.7</c:v>
                </c:pt>
                <c:pt idx="84">
                  <c:v>-5</c:v>
                </c:pt>
                <c:pt idx="85">
                  <c:v>-4.5999999999999996</c:v>
                </c:pt>
                <c:pt idx="86">
                  <c:v>-2.5</c:v>
                </c:pt>
                <c:pt idx="87">
                  <c:v>-1.4</c:v>
                </c:pt>
                <c:pt idx="88">
                  <c:v>-1.5</c:v>
                </c:pt>
                <c:pt idx="89">
                  <c:v>1</c:v>
                </c:pt>
                <c:pt idx="90">
                  <c:v>1.5</c:v>
                </c:pt>
                <c:pt idx="91">
                  <c:v>1.6</c:v>
                </c:pt>
                <c:pt idx="92">
                  <c:v>1.9</c:v>
                </c:pt>
                <c:pt idx="93">
                  <c:v>2.5</c:v>
                </c:pt>
                <c:pt idx="94">
                  <c:v>3.1</c:v>
                </c:pt>
                <c:pt idx="95">
                  <c:v>2.6</c:v>
                </c:pt>
                <c:pt idx="96">
                  <c:v>3.9</c:v>
                </c:pt>
                <c:pt idx="97">
                  <c:v>4.0999999999999996</c:v>
                </c:pt>
                <c:pt idx="98">
                  <c:v>3.7</c:v>
                </c:pt>
                <c:pt idx="99">
                  <c:v>3.5</c:v>
                </c:pt>
                <c:pt idx="100">
                  <c:v>4.2</c:v>
                </c:pt>
                <c:pt idx="101">
                  <c:v>3.3</c:v>
                </c:pt>
                <c:pt idx="102">
                  <c:v>3</c:v>
                </c:pt>
                <c:pt idx="103">
                  <c:v>3.7</c:v>
                </c:pt>
                <c:pt idx="104">
                  <c:v>3.7</c:v>
                </c:pt>
                <c:pt idx="105">
                  <c:v>3.7</c:v>
                </c:pt>
                <c:pt idx="106">
                  <c:v>3.9</c:v>
                </c:pt>
                <c:pt idx="107">
                  <c:v>4.9000000000000004</c:v>
                </c:pt>
                <c:pt idx="108">
                  <c:v>4.9000000000000004</c:v>
                </c:pt>
                <c:pt idx="109">
                  <c:v>5.0999999999999996</c:v>
                </c:pt>
                <c:pt idx="110">
                  <c:v>5.8</c:v>
                </c:pt>
                <c:pt idx="111">
                  <c:v>6.1</c:v>
                </c:pt>
                <c:pt idx="112">
                  <c:v>6</c:v>
                </c:pt>
                <c:pt idx="113">
                  <c:v>4.5</c:v>
                </c:pt>
                <c:pt idx="114">
                  <c:v>2.7</c:v>
                </c:pt>
                <c:pt idx="115">
                  <c:v>2.9</c:v>
                </c:pt>
                <c:pt idx="116">
                  <c:v>2.4</c:v>
                </c:pt>
                <c:pt idx="117">
                  <c:v>2.1</c:v>
                </c:pt>
                <c:pt idx="118">
                  <c:v>1.9</c:v>
                </c:pt>
                <c:pt idx="119">
                  <c:v>1.7</c:v>
                </c:pt>
                <c:pt idx="120">
                  <c:v>1.1000000000000001</c:v>
                </c:pt>
                <c:pt idx="121">
                  <c:v>0.3</c:v>
                </c:pt>
                <c:pt idx="122">
                  <c:v>-2.6</c:v>
                </c:pt>
                <c:pt idx="123">
                  <c:v>-47.9</c:v>
                </c:pt>
                <c:pt idx="124">
                  <c:v>-38</c:v>
                </c:pt>
                <c:pt idx="125">
                  <c:v>-28.8</c:v>
                </c:pt>
                <c:pt idx="126">
                  <c:v>-22</c:v>
                </c:pt>
                <c:pt idx="127">
                  <c:v>-19.100000000000001</c:v>
                </c:pt>
                <c:pt idx="128">
                  <c:v>-17.100000000000001</c:v>
                </c:pt>
                <c:pt idx="129">
                  <c:v>-16.3</c:v>
                </c:pt>
                <c:pt idx="130">
                  <c:v>-22.9</c:v>
                </c:pt>
                <c:pt idx="131">
                  <c:v>-16.3</c:v>
                </c:pt>
                <c:pt idx="132">
                  <c:v>-15</c:v>
                </c:pt>
                <c:pt idx="133">
                  <c:v>-15.4</c:v>
                </c:pt>
                <c:pt idx="134">
                  <c:v>-14.5</c:v>
                </c:pt>
                <c:pt idx="135">
                  <c:v>-13.1</c:v>
                </c:pt>
                <c:pt idx="136">
                  <c:v>-7.3</c:v>
                </c:pt>
                <c:pt idx="137">
                  <c:v>-9</c:v>
                </c:pt>
                <c:pt idx="138">
                  <c:v>-11.2</c:v>
                </c:pt>
                <c:pt idx="139">
                  <c:v>-11.4</c:v>
                </c:pt>
                <c:pt idx="140">
                  <c:v>-11</c:v>
                </c:pt>
                <c:pt idx="141">
                  <c:v>-10.7</c:v>
                </c:pt>
                <c:pt idx="142">
                  <c:v>-10.5</c:v>
                </c:pt>
                <c:pt idx="143">
                  <c:v>-10.7</c:v>
                </c:pt>
                <c:pt idx="144">
                  <c:v>-12.8</c:v>
                </c:pt>
                <c:pt idx="145">
                  <c:v>-12.4</c:v>
                </c:pt>
                <c:pt idx="146">
                  <c:v>-18.7</c:v>
                </c:pt>
                <c:pt idx="147">
                  <c:v>-13.4</c:v>
                </c:pt>
                <c:pt idx="148">
                  <c:v>-12.5</c:v>
                </c:pt>
              </c:numCache>
            </c:numRef>
          </c:val>
          <c:smooth val="0"/>
          <c:extLst xmlns:c16r2="http://schemas.microsoft.com/office/drawing/2015/06/chart">
            <c:ext xmlns:c16="http://schemas.microsoft.com/office/drawing/2014/chart" uri="{C3380CC4-5D6E-409C-BE32-E72D297353CC}">
              <c16:uniqueId val="{00000001-E77C-46A4-9747-274D9D29FCDF}"/>
            </c:ext>
          </c:extLst>
        </c:ser>
        <c:dLbls>
          <c:showLegendKey val="0"/>
          <c:showVal val="0"/>
          <c:showCatName val="0"/>
          <c:showSerName val="0"/>
          <c:showPercent val="0"/>
          <c:showBubbleSize val="0"/>
        </c:dLbls>
        <c:smooth val="0"/>
        <c:axId val="33993136"/>
        <c:axId val="33983888"/>
      </c:lineChart>
      <c:catAx>
        <c:axId val="33993136"/>
        <c:scaling>
          <c:orientation val="minMax"/>
        </c:scaling>
        <c:delete val="0"/>
        <c:axPos val="b"/>
        <c:numFmt formatCode="General" sourceLinked="1"/>
        <c:majorTickMark val="none"/>
        <c:minorTickMark val="none"/>
        <c:tickLblPos val="low"/>
        <c:spPr>
          <a:noFill/>
          <a:ln w="9525" cap="flat" cmpd="sng" algn="ctr">
            <a:solidFill>
              <a:schemeClr val="tx1">
                <a:lumMod val="95000"/>
                <a:lumOff val="5000"/>
              </a:schemeClr>
            </a:solidFill>
            <a:round/>
          </a:ln>
          <a:effectLst/>
        </c:spPr>
        <c:txPr>
          <a:bodyPr rot="-5400000" spcFirstLastPara="1" vertOverflow="ellipsis" wrap="square" anchor="t" anchorCtr="0"/>
          <a:lstStyle/>
          <a:p>
            <a:pPr>
              <a:defRPr sz="80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crossAx val="33983888"/>
        <c:crosses val="autoZero"/>
        <c:auto val="1"/>
        <c:lblAlgn val="ctr"/>
        <c:lblOffset val="100"/>
        <c:noMultiLvlLbl val="0"/>
      </c:catAx>
      <c:valAx>
        <c:axId val="33983888"/>
        <c:scaling>
          <c:orientation val="minMax"/>
          <c:max val="10"/>
          <c:min val="-5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crossAx val="33993136"/>
        <c:crosses val="autoZero"/>
        <c:crossBetween val="between"/>
        <c:majorUnit val="10"/>
      </c:valAx>
      <c:spPr>
        <a:noFill/>
        <a:ln>
          <a:noFill/>
        </a:ln>
        <a:effectLst/>
      </c:spPr>
    </c:plotArea>
    <c:legend>
      <c:legendPos val="b"/>
      <c:layout>
        <c:manualLayout>
          <c:xMode val="edge"/>
          <c:yMode val="edge"/>
          <c:x val="0.11659072444662456"/>
          <c:y val="0.67730151515151515"/>
          <c:w val="0.59052375478927199"/>
          <c:h val="0.1507828282828283"/>
        </c:manualLayout>
      </c:layout>
      <c:overlay val="1"/>
      <c:spPr>
        <a:noFill/>
        <a:ln>
          <a:noFill/>
        </a:ln>
        <a:effectLst/>
      </c:spPr>
      <c:txPr>
        <a:bodyPr rot="0" spcFirstLastPara="1" vertOverflow="ellipsis" vert="horz" wrap="square" anchor="ctr" anchorCtr="1"/>
        <a:lstStyle/>
        <a:p>
          <a:pPr>
            <a:defRPr sz="650" b="0" i="0" u="none" strike="noStrike" kern="1200" baseline="0">
              <a:solidFill>
                <a:schemeClr val="tx1">
                  <a:lumMod val="95000"/>
                  <a:lumOff val="5000"/>
                </a:schemeClr>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795303030303032"/>
        </c:manualLayout>
      </c:layout>
      <c:lineChart>
        <c:grouping val="standard"/>
        <c:varyColors val="0"/>
        <c:ser>
          <c:idx val="4"/>
          <c:order val="1"/>
          <c:tx>
            <c:strRef>
              <c:f>wykresy!$K$2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wykresy!$K$270:$K$275</c:f>
              <c:numCache>
                <c:formatCode>0.0</c:formatCode>
                <c:ptCount val="6"/>
                <c:pt idx="0">
                  <c:v>2.4</c:v>
                </c:pt>
                <c:pt idx="1">
                  <c:v>1.2</c:v>
                </c:pt>
                <c:pt idx="2">
                  <c:v>1.5</c:v>
                </c:pt>
                <c:pt idx="3">
                  <c:v>-3.3</c:v>
                </c:pt>
                <c:pt idx="4">
                  <c:v>0.6</c:v>
                </c:pt>
                <c:pt idx="5">
                  <c:v>-0.3</c:v>
                </c:pt>
              </c:numCache>
            </c:numRef>
          </c:val>
          <c:smooth val="0"/>
          <c:extLst xmlns:c16r2="http://schemas.microsoft.com/office/drawing/2015/06/chart">
            <c:ext xmlns:c16="http://schemas.microsoft.com/office/drawing/2014/chart" uri="{C3380CC4-5D6E-409C-BE32-E72D297353CC}">
              <c16:uniqueId val="{00000000-9EB6-4DEB-8811-2B87DAB37A4E}"/>
            </c:ext>
          </c:extLst>
        </c:ser>
        <c:dLbls>
          <c:showLegendKey val="0"/>
          <c:showVal val="0"/>
          <c:showCatName val="0"/>
          <c:showSerName val="0"/>
          <c:showPercent val="0"/>
          <c:showBubbleSize val="0"/>
        </c:dLbls>
        <c:marker val="1"/>
        <c:smooth val="0"/>
        <c:axId val="33995312"/>
        <c:axId val="33981168"/>
      </c:lineChart>
      <c:lineChart>
        <c:grouping val="standard"/>
        <c:varyColors val="0"/>
        <c:ser>
          <c:idx val="1"/>
          <c:order val="0"/>
          <c:tx>
            <c:strRef>
              <c:f>wykresy!$L$2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wykresy!$L$270:$L$275</c:f>
              <c:numCache>
                <c:formatCode>0.0</c:formatCode>
                <c:ptCount val="6"/>
                <c:pt idx="0">
                  <c:v>-0.9</c:v>
                </c:pt>
                <c:pt idx="1">
                  <c:v>-1.5</c:v>
                </c:pt>
                <c:pt idx="2">
                  <c:v>-1.5</c:v>
                </c:pt>
                <c:pt idx="3">
                  <c:v>-5.2</c:v>
                </c:pt>
                <c:pt idx="4">
                  <c:v>0.9</c:v>
                </c:pt>
                <c:pt idx="5">
                  <c:v>0.4</c:v>
                </c:pt>
              </c:numCache>
            </c:numRef>
          </c:val>
          <c:smooth val="0"/>
          <c:extLst xmlns:c16r2="http://schemas.microsoft.com/office/drawing/2015/06/chart">
            <c:ext xmlns:c16="http://schemas.microsoft.com/office/drawing/2014/chart" uri="{C3380CC4-5D6E-409C-BE32-E72D297353CC}">
              <c16:uniqueId val="{00000001-9EB6-4DEB-8811-2B87DAB37A4E}"/>
            </c:ext>
          </c:extLst>
        </c:ser>
        <c:ser>
          <c:idx val="0"/>
          <c:order val="2"/>
          <c:tx>
            <c:strRef>
              <c:f>wykresy!$M$2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wykresy!$M$270:$M$275</c:f>
              <c:numCache>
                <c:formatCode>0.0</c:formatCode>
                <c:ptCount val="6"/>
                <c:pt idx="0">
                  <c:v>11</c:v>
                </c:pt>
                <c:pt idx="1">
                  <c:v>13.3</c:v>
                </c:pt>
                <c:pt idx="2">
                  <c:v>8.1999999999999993</c:v>
                </c:pt>
                <c:pt idx="3">
                  <c:v>6.8</c:v>
                </c:pt>
                <c:pt idx="4">
                  <c:v>9.9</c:v>
                </c:pt>
                <c:pt idx="5">
                  <c:v>9.6</c:v>
                </c:pt>
              </c:numCache>
            </c:numRef>
          </c:val>
          <c:smooth val="0"/>
          <c:extLst xmlns:c16r2="http://schemas.microsoft.com/office/drawing/2015/06/chart">
            <c:ext xmlns:c16="http://schemas.microsoft.com/office/drawing/2014/chart" uri="{C3380CC4-5D6E-409C-BE32-E72D297353CC}">
              <c16:uniqueId val="{00000002-9EB6-4DEB-8811-2B87DAB37A4E}"/>
            </c:ext>
          </c:extLst>
        </c:ser>
        <c:ser>
          <c:idx val="2"/>
          <c:order val="3"/>
          <c:tx>
            <c:strRef>
              <c:f>wykresy!$N$2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wykresy!$N$270:$N$275</c:f>
              <c:numCache>
                <c:formatCode>0.0</c:formatCode>
                <c:ptCount val="6"/>
                <c:pt idx="0">
                  <c:v>-12.8</c:v>
                </c:pt>
                <c:pt idx="1">
                  <c:v>-16.3</c:v>
                </c:pt>
                <c:pt idx="2">
                  <c:v>-11.2</c:v>
                </c:pt>
                <c:pt idx="3">
                  <c:v>-17.2</c:v>
                </c:pt>
                <c:pt idx="4">
                  <c:v>-8.1</c:v>
                </c:pt>
                <c:pt idx="5">
                  <c:v>-8.8000000000000007</c:v>
                </c:pt>
              </c:numCache>
            </c:numRef>
          </c:val>
          <c:smooth val="0"/>
          <c:extLst xmlns:c16r2="http://schemas.microsoft.com/office/drawing/2015/06/chart">
            <c:ext xmlns:c16="http://schemas.microsoft.com/office/drawing/2014/chart" uri="{C3380CC4-5D6E-409C-BE32-E72D297353CC}">
              <c16:uniqueId val="{00000003-9EB6-4DEB-8811-2B87DAB37A4E}"/>
            </c:ext>
          </c:extLst>
        </c:ser>
        <c:dLbls>
          <c:showLegendKey val="0"/>
          <c:showVal val="0"/>
          <c:showCatName val="0"/>
          <c:showSerName val="0"/>
          <c:showPercent val="0"/>
          <c:showBubbleSize val="0"/>
        </c:dLbls>
        <c:marker val="1"/>
        <c:smooth val="0"/>
        <c:axId val="33984432"/>
        <c:axId val="33982800"/>
      </c:lineChart>
      <c:catAx>
        <c:axId val="33995312"/>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1168"/>
        <c:crosses val="autoZero"/>
        <c:auto val="1"/>
        <c:lblAlgn val="ctr"/>
        <c:lblOffset val="100"/>
        <c:noMultiLvlLbl val="1"/>
      </c:catAx>
      <c:valAx>
        <c:axId val="33981168"/>
        <c:scaling>
          <c:orientation val="minMax"/>
          <c:max val="20"/>
          <c:min val="-20"/>
        </c:scaling>
        <c:delete val="1"/>
        <c:axPos val="l"/>
        <c:numFmt formatCode="0.0" sourceLinked="1"/>
        <c:majorTickMark val="out"/>
        <c:minorTickMark val="none"/>
        <c:tickLblPos val="nextTo"/>
        <c:crossAx val="33995312"/>
        <c:crosses val="autoZero"/>
        <c:crossBetween val="between"/>
        <c:majorUnit val="5"/>
      </c:valAx>
      <c:valAx>
        <c:axId val="33982800"/>
        <c:scaling>
          <c:orientation val="minMax"/>
          <c:max val="20"/>
          <c:min val="-2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4432"/>
        <c:crosses val="max"/>
        <c:crossBetween val="between"/>
        <c:majorUnit val="10"/>
      </c:valAx>
      <c:catAx>
        <c:axId val="33984432"/>
        <c:scaling>
          <c:orientation val="minMax"/>
        </c:scaling>
        <c:delete val="1"/>
        <c:axPos val="b"/>
        <c:numFmt formatCode="General" sourceLinked="1"/>
        <c:majorTickMark val="out"/>
        <c:minorTickMark val="none"/>
        <c:tickLblPos val="none"/>
        <c:crossAx val="33982800"/>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795303030303032"/>
        </c:manualLayout>
      </c:layout>
      <c:lineChart>
        <c:grouping val="standard"/>
        <c:varyColors val="0"/>
        <c:ser>
          <c:idx val="1"/>
          <c:order val="0"/>
          <c:tx>
            <c:strRef>
              <c:f>wykresy!$P$2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wykresy!$P$270:$P$275</c:f>
              <c:numCache>
                <c:formatCode>0.0</c:formatCode>
                <c:ptCount val="6"/>
                <c:pt idx="0">
                  <c:v>-6.2</c:v>
                </c:pt>
                <c:pt idx="1">
                  <c:v>-10.5</c:v>
                </c:pt>
                <c:pt idx="2">
                  <c:v>-7.5</c:v>
                </c:pt>
                <c:pt idx="3">
                  <c:v>-13.2</c:v>
                </c:pt>
                <c:pt idx="4">
                  <c:v>-7.5</c:v>
                </c:pt>
                <c:pt idx="5">
                  <c:v>-5.7</c:v>
                </c:pt>
              </c:numCache>
            </c:numRef>
          </c:val>
          <c:smooth val="0"/>
          <c:extLst xmlns:c16r2="http://schemas.microsoft.com/office/drawing/2015/06/chart">
            <c:ext xmlns:c16="http://schemas.microsoft.com/office/drawing/2014/chart" uri="{C3380CC4-5D6E-409C-BE32-E72D297353CC}">
              <c16:uniqueId val="{00000001-A6EC-44C9-BEFB-23D6A353AF1C}"/>
            </c:ext>
          </c:extLst>
        </c:ser>
        <c:ser>
          <c:idx val="4"/>
          <c:order val="1"/>
          <c:tx>
            <c:strRef>
              <c:f>wykresy!$O$2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wykresy!$O$270:$O$275</c:f>
              <c:numCache>
                <c:formatCode>0.0</c:formatCode>
                <c:ptCount val="6"/>
                <c:pt idx="0">
                  <c:v>-4.2</c:v>
                </c:pt>
                <c:pt idx="1">
                  <c:v>-7.5</c:v>
                </c:pt>
                <c:pt idx="2">
                  <c:v>-6</c:v>
                </c:pt>
                <c:pt idx="3">
                  <c:v>-12.8</c:v>
                </c:pt>
                <c:pt idx="4">
                  <c:v>-6.5</c:v>
                </c:pt>
                <c:pt idx="5">
                  <c:v>-7</c:v>
                </c:pt>
              </c:numCache>
            </c:numRef>
          </c:val>
          <c:smooth val="0"/>
          <c:extLst xmlns:c16r2="http://schemas.microsoft.com/office/drawing/2015/06/chart">
            <c:ext xmlns:c16="http://schemas.microsoft.com/office/drawing/2014/chart" uri="{C3380CC4-5D6E-409C-BE32-E72D297353CC}">
              <c16:uniqueId val="{00000000-A6EC-44C9-BEFB-23D6A353AF1C}"/>
            </c:ext>
          </c:extLst>
        </c:ser>
        <c:ser>
          <c:idx val="0"/>
          <c:order val="2"/>
          <c:tx>
            <c:strRef>
              <c:f>wykresy!$Q$2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wykresy!$Q$270:$Q$275</c:f>
              <c:numCache>
                <c:formatCode>0.0</c:formatCode>
                <c:ptCount val="6"/>
                <c:pt idx="0">
                  <c:v>0.3</c:v>
                </c:pt>
                <c:pt idx="1">
                  <c:v>1.1000000000000001</c:v>
                </c:pt>
                <c:pt idx="2">
                  <c:v>-0.4</c:v>
                </c:pt>
                <c:pt idx="3">
                  <c:v>-3.4</c:v>
                </c:pt>
                <c:pt idx="4">
                  <c:v>-2.6</c:v>
                </c:pt>
                <c:pt idx="5">
                  <c:v>-0.9</c:v>
                </c:pt>
              </c:numCache>
            </c:numRef>
          </c:val>
          <c:smooth val="0"/>
          <c:extLst xmlns:c16r2="http://schemas.microsoft.com/office/drawing/2015/06/chart">
            <c:ext xmlns:c16="http://schemas.microsoft.com/office/drawing/2014/chart" uri="{C3380CC4-5D6E-409C-BE32-E72D297353CC}">
              <c16:uniqueId val="{00000002-A6EC-44C9-BEFB-23D6A353AF1C}"/>
            </c:ext>
          </c:extLst>
        </c:ser>
        <c:dLbls>
          <c:showLegendKey val="0"/>
          <c:showVal val="0"/>
          <c:showCatName val="0"/>
          <c:showSerName val="0"/>
          <c:showPercent val="0"/>
          <c:showBubbleSize val="0"/>
        </c:dLbls>
        <c:marker val="1"/>
        <c:smooth val="0"/>
        <c:axId val="33984976"/>
        <c:axId val="33985520"/>
      </c:lineChart>
      <c:lineChart>
        <c:grouping val="standard"/>
        <c:varyColors val="0"/>
        <c:ser>
          <c:idx val="2"/>
          <c:order val="3"/>
          <c:tx>
            <c:strRef>
              <c:f>wykresy!$R$2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wykresy!$R$270:$R$275</c:f>
              <c:numCache>
                <c:formatCode>0.0</c:formatCode>
                <c:ptCount val="6"/>
                <c:pt idx="0">
                  <c:v>-12.7</c:v>
                </c:pt>
                <c:pt idx="1">
                  <c:v>-22</c:v>
                </c:pt>
                <c:pt idx="2">
                  <c:v>-14.5</c:v>
                </c:pt>
                <c:pt idx="3">
                  <c:v>-23</c:v>
                </c:pt>
                <c:pt idx="4">
                  <c:v>-12.3</c:v>
                </c:pt>
                <c:pt idx="5">
                  <c:v>-10.5</c:v>
                </c:pt>
              </c:numCache>
            </c:numRef>
          </c:val>
          <c:smooth val="0"/>
          <c:extLst xmlns:c16r2="http://schemas.microsoft.com/office/drawing/2015/06/chart">
            <c:ext xmlns:c16="http://schemas.microsoft.com/office/drawing/2014/chart" uri="{C3380CC4-5D6E-409C-BE32-E72D297353CC}">
              <c16:uniqueId val="{00000003-A6EC-44C9-BEFB-23D6A353AF1C}"/>
            </c:ext>
          </c:extLst>
        </c:ser>
        <c:dLbls>
          <c:showLegendKey val="0"/>
          <c:showVal val="0"/>
          <c:showCatName val="0"/>
          <c:showSerName val="0"/>
          <c:showPercent val="0"/>
          <c:showBubbleSize val="0"/>
        </c:dLbls>
        <c:marker val="1"/>
        <c:smooth val="0"/>
        <c:axId val="33989872"/>
        <c:axId val="33986064"/>
      </c:lineChart>
      <c:catAx>
        <c:axId val="33984976"/>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5520"/>
        <c:crosses val="autoZero"/>
        <c:auto val="1"/>
        <c:lblAlgn val="ctr"/>
        <c:lblOffset val="100"/>
        <c:noMultiLvlLbl val="1"/>
      </c:catAx>
      <c:valAx>
        <c:axId val="33985520"/>
        <c:scaling>
          <c:orientation val="minMax"/>
          <c:max val="10"/>
          <c:min val="-30"/>
        </c:scaling>
        <c:delete val="1"/>
        <c:axPos val="l"/>
        <c:numFmt formatCode="0.0" sourceLinked="1"/>
        <c:majorTickMark val="out"/>
        <c:minorTickMark val="none"/>
        <c:tickLblPos val="nextTo"/>
        <c:crossAx val="33984976"/>
        <c:crossesAt val="1"/>
        <c:crossBetween val="between"/>
        <c:majorUnit val="10"/>
      </c:valAx>
      <c:valAx>
        <c:axId val="33986064"/>
        <c:scaling>
          <c:orientation val="minMax"/>
          <c:max val="10"/>
          <c:min val="-3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9872"/>
        <c:crosses val="max"/>
        <c:crossBetween val="between"/>
        <c:majorUnit val="10"/>
      </c:valAx>
      <c:catAx>
        <c:axId val="33989872"/>
        <c:scaling>
          <c:orientation val="minMax"/>
        </c:scaling>
        <c:delete val="1"/>
        <c:axPos val="b"/>
        <c:numFmt formatCode="General" sourceLinked="1"/>
        <c:majorTickMark val="out"/>
        <c:minorTickMark val="none"/>
        <c:tickLblPos val="none"/>
        <c:crossAx val="33986064"/>
        <c:crossesAt val="0"/>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795303030303032"/>
        </c:manualLayout>
      </c:layout>
      <c:lineChart>
        <c:grouping val="standard"/>
        <c:varyColors val="0"/>
        <c:ser>
          <c:idx val="4"/>
          <c:order val="1"/>
          <c:tx>
            <c:strRef>
              <c:f>wykresy!$S$2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wykresy!$S$270:$S$275</c:f>
              <c:numCache>
                <c:formatCode>0.0</c:formatCode>
                <c:ptCount val="6"/>
                <c:pt idx="0">
                  <c:v>0.7</c:v>
                </c:pt>
                <c:pt idx="1">
                  <c:v>-3.1</c:v>
                </c:pt>
                <c:pt idx="2">
                  <c:v>-4.7</c:v>
                </c:pt>
                <c:pt idx="3">
                  <c:v>-14.2</c:v>
                </c:pt>
                <c:pt idx="4">
                  <c:v>-6.1</c:v>
                </c:pt>
                <c:pt idx="5">
                  <c:v>-7.5</c:v>
                </c:pt>
              </c:numCache>
            </c:numRef>
          </c:val>
          <c:smooth val="0"/>
          <c:extLst xmlns:c16r2="http://schemas.microsoft.com/office/drawing/2015/06/chart">
            <c:ext xmlns:c16="http://schemas.microsoft.com/office/drawing/2014/chart" uri="{C3380CC4-5D6E-409C-BE32-E72D297353CC}">
              <c16:uniqueId val="{00000000-0C89-411F-B2C1-E5134567F0D1}"/>
            </c:ext>
          </c:extLst>
        </c:ser>
        <c:dLbls>
          <c:showLegendKey val="0"/>
          <c:showVal val="0"/>
          <c:showCatName val="0"/>
          <c:showSerName val="0"/>
          <c:showPercent val="0"/>
          <c:showBubbleSize val="0"/>
        </c:dLbls>
        <c:marker val="1"/>
        <c:smooth val="0"/>
        <c:axId val="33987152"/>
        <c:axId val="33990960"/>
      </c:lineChart>
      <c:lineChart>
        <c:grouping val="standard"/>
        <c:varyColors val="0"/>
        <c:ser>
          <c:idx val="1"/>
          <c:order val="0"/>
          <c:tx>
            <c:strRef>
              <c:f>wykresy!$T$2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wykresy!$T$270:$T$275</c:f>
              <c:numCache>
                <c:formatCode>0.0</c:formatCode>
                <c:ptCount val="6"/>
                <c:pt idx="0">
                  <c:v>-2.9</c:v>
                </c:pt>
                <c:pt idx="1">
                  <c:v>-6</c:v>
                </c:pt>
                <c:pt idx="2">
                  <c:v>-5.7</c:v>
                </c:pt>
                <c:pt idx="3">
                  <c:v>-15.2</c:v>
                </c:pt>
                <c:pt idx="4">
                  <c:v>-5.8</c:v>
                </c:pt>
                <c:pt idx="5">
                  <c:v>-6.1</c:v>
                </c:pt>
              </c:numCache>
            </c:numRef>
          </c:val>
          <c:smooth val="0"/>
          <c:extLst xmlns:c16r2="http://schemas.microsoft.com/office/drawing/2015/06/chart">
            <c:ext xmlns:c16="http://schemas.microsoft.com/office/drawing/2014/chart" uri="{C3380CC4-5D6E-409C-BE32-E72D297353CC}">
              <c16:uniqueId val="{00000001-0C89-411F-B2C1-E5134567F0D1}"/>
            </c:ext>
          </c:extLst>
        </c:ser>
        <c:ser>
          <c:idx val="0"/>
          <c:order val="2"/>
          <c:tx>
            <c:strRef>
              <c:f>wykresy!$U$2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wykresy!$U$270:$U$275</c:f>
              <c:numCache>
                <c:formatCode>0.0</c:formatCode>
                <c:ptCount val="6"/>
                <c:pt idx="0">
                  <c:v>6.5</c:v>
                </c:pt>
                <c:pt idx="1">
                  <c:v>3.9</c:v>
                </c:pt>
                <c:pt idx="2">
                  <c:v>1.4</c:v>
                </c:pt>
                <c:pt idx="3">
                  <c:v>-2</c:v>
                </c:pt>
                <c:pt idx="4">
                  <c:v>1.6</c:v>
                </c:pt>
                <c:pt idx="5">
                  <c:v>1.7</c:v>
                </c:pt>
              </c:numCache>
            </c:numRef>
          </c:val>
          <c:smooth val="0"/>
          <c:extLst xmlns:c16r2="http://schemas.microsoft.com/office/drawing/2015/06/chart">
            <c:ext xmlns:c16="http://schemas.microsoft.com/office/drawing/2014/chart" uri="{C3380CC4-5D6E-409C-BE32-E72D297353CC}">
              <c16:uniqueId val="{00000002-0C89-411F-B2C1-E5134567F0D1}"/>
            </c:ext>
          </c:extLst>
        </c:ser>
        <c:ser>
          <c:idx val="2"/>
          <c:order val="3"/>
          <c:tx>
            <c:strRef>
              <c:f>wykresy!$V$2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wykresy!$V$270:$V$275</c:f>
              <c:numCache>
                <c:formatCode>0.0</c:formatCode>
                <c:ptCount val="6"/>
                <c:pt idx="0">
                  <c:v>-12.2</c:v>
                </c:pt>
                <c:pt idx="1">
                  <c:v>-15.8</c:v>
                </c:pt>
                <c:pt idx="2">
                  <c:v>-12.7</c:v>
                </c:pt>
                <c:pt idx="3">
                  <c:v>-28.3</c:v>
                </c:pt>
                <c:pt idx="4">
                  <c:v>-13.2</c:v>
                </c:pt>
                <c:pt idx="5">
                  <c:v>-13.8</c:v>
                </c:pt>
              </c:numCache>
            </c:numRef>
          </c:val>
          <c:smooth val="0"/>
          <c:extLst xmlns:c16r2="http://schemas.microsoft.com/office/drawing/2015/06/chart">
            <c:ext xmlns:c16="http://schemas.microsoft.com/office/drawing/2014/chart" uri="{C3380CC4-5D6E-409C-BE32-E72D297353CC}">
              <c16:uniqueId val="{00000003-0C89-411F-B2C1-E5134567F0D1}"/>
            </c:ext>
          </c:extLst>
        </c:ser>
        <c:dLbls>
          <c:showLegendKey val="0"/>
          <c:showVal val="0"/>
          <c:showCatName val="0"/>
          <c:showSerName val="0"/>
          <c:showPercent val="0"/>
          <c:showBubbleSize val="0"/>
        </c:dLbls>
        <c:marker val="1"/>
        <c:smooth val="0"/>
        <c:axId val="33989328"/>
        <c:axId val="33987696"/>
      </c:lineChart>
      <c:catAx>
        <c:axId val="33987152"/>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90960"/>
        <c:crosses val="autoZero"/>
        <c:auto val="1"/>
        <c:lblAlgn val="ctr"/>
        <c:lblOffset val="100"/>
        <c:noMultiLvlLbl val="1"/>
      </c:catAx>
      <c:valAx>
        <c:axId val="33990960"/>
        <c:scaling>
          <c:orientation val="minMax"/>
          <c:max val="20"/>
          <c:min val="-20"/>
        </c:scaling>
        <c:delete val="1"/>
        <c:axPos val="l"/>
        <c:numFmt formatCode="0.0" sourceLinked="1"/>
        <c:majorTickMark val="out"/>
        <c:minorTickMark val="none"/>
        <c:tickLblPos val="nextTo"/>
        <c:crossAx val="33987152"/>
        <c:crosses val="autoZero"/>
        <c:crossBetween val="between"/>
        <c:majorUnit val="10"/>
      </c:valAx>
      <c:valAx>
        <c:axId val="33987696"/>
        <c:scaling>
          <c:orientation val="minMax"/>
          <c:max val="10"/>
          <c:min val="-3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3989328"/>
        <c:crosses val="max"/>
        <c:crossBetween val="between"/>
        <c:majorUnit val="10"/>
      </c:valAx>
      <c:catAx>
        <c:axId val="33989328"/>
        <c:scaling>
          <c:orientation val="minMax"/>
        </c:scaling>
        <c:delete val="1"/>
        <c:axPos val="b"/>
        <c:numFmt formatCode="General" sourceLinked="1"/>
        <c:majorTickMark val="out"/>
        <c:minorTickMark val="none"/>
        <c:tickLblPos val="none"/>
        <c:crossAx val="33987696"/>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5339595959595964"/>
        </c:manualLayout>
      </c:layout>
      <c:lineChart>
        <c:grouping val="standard"/>
        <c:varyColors val="0"/>
        <c:ser>
          <c:idx val="4"/>
          <c:order val="1"/>
          <c:tx>
            <c:strRef>
              <c:f>wykresy!$W$2</c:f>
              <c:strCache>
                <c:ptCount val="1"/>
                <c:pt idx="0">
                  <c:v>Wskaźnik ogólnego klimatu koniunktury - wyrównany sezonowo</c:v>
                </c:pt>
              </c:strCache>
            </c:strRef>
          </c:tx>
          <c:spPr>
            <a:ln w="19050" cap="rnd" cmpd="sng" algn="ctr">
              <a:solidFill>
                <a:schemeClr val="tx1">
                  <a:lumMod val="95000"/>
                  <a:lumOff val="5000"/>
                  <a:alpha val="80000"/>
                </a:schemeClr>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wykresy!$W$270:$W$275</c:f>
              <c:numCache>
                <c:formatCode>0.0</c:formatCode>
                <c:ptCount val="6"/>
                <c:pt idx="0">
                  <c:v>-11.3</c:v>
                </c:pt>
                <c:pt idx="1">
                  <c:v>-12.7</c:v>
                </c:pt>
                <c:pt idx="2">
                  <c:v>-12</c:v>
                </c:pt>
                <c:pt idx="3">
                  <c:v>-11.8</c:v>
                </c:pt>
                <c:pt idx="4">
                  <c:v>-6.1</c:v>
                </c:pt>
                <c:pt idx="5">
                  <c:v>-1.8</c:v>
                </c:pt>
              </c:numCache>
            </c:numRef>
          </c:val>
          <c:smooth val="0"/>
          <c:extLst xmlns:c16r2="http://schemas.microsoft.com/office/drawing/2015/06/chart">
            <c:ext xmlns:c16="http://schemas.microsoft.com/office/drawing/2014/chart" uri="{C3380CC4-5D6E-409C-BE32-E72D297353CC}">
              <c16:uniqueId val="{00000000-9B36-436B-9954-1C15BD6BB25C}"/>
            </c:ext>
          </c:extLst>
        </c:ser>
        <c:dLbls>
          <c:showLegendKey val="0"/>
          <c:showVal val="0"/>
          <c:showCatName val="0"/>
          <c:showSerName val="0"/>
          <c:showPercent val="0"/>
          <c:showBubbleSize val="0"/>
        </c:dLbls>
        <c:marker val="1"/>
        <c:smooth val="0"/>
        <c:axId val="81835504"/>
        <c:axId val="81837136"/>
      </c:lineChart>
      <c:lineChart>
        <c:grouping val="standard"/>
        <c:varyColors val="0"/>
        <c:ser>
          <c:idx val="1"/>
          <c:order val="0"/>
          <c:tx>
            <c:strRef>
              <c:f>wykresy!$X$2</c:f>
              <c:strCache>
                <c:ptCount val="1"/>
                <c:pt idx="0">
                  <c:v>Wskaźnik ogólnego klimatu koniunktury - niewyrównany sezonowo</c:v>
                </c:pt>
              </c:strCache>
            </c:strRef>
          </c:tx>
          <c:spPr>
            <a:ln w="19050" cap="rnd" cmpd="sng" algn="ctr">
              <a:solidFill>
                <a:srgbClr val="6677AD"/>
              </a:solidFill>
              <a:prstDash val="solid"/>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wykresy!$X$270:$X$275</c:f>
              <c:numCache>
                <c:formatCode>0.0</c:formatCode>
                <c:ptCount val="6"/>
                <c:pt idx="0">
                  <c:v>-19.600000000000001</c:v>
                </c:pt>
                <c:pt idx="1">
                  <c:v>-19.100000000000001</c:v>
                </c:pt>
                <c:pt idx="2">
                  <c:v>-15.8</c:v>
                </c:pt>
                <c:pt idx="3">
                  <c:v>-13.4</c:v>
                </c:pt>
                <c:pt idx="4">
                  <c:v>-4</c:v>
                </c:pt>
                <c:pt idx="5">
                  <c:v>5.4</c:v>
                </c:pt>
              </c:numCache>
            </c:numRef>
          </c:val>
          <c:smooth val="0"/>
          <c:extLst xmlns:c16r2="http://schemas.microsoft.com/office/drawing/2015/06/chart">
            <c:ext xmlns:c16="http://schemas.microsoft.com/office/drawing/2014/chart" uri="{C3380CC4-5D6E-409C-BE32-E72D297353CC}">
              <c16:uniqueId val="{00000001-9B36-436B-9954-1C15BD6BB25C}"/>
            </c:ext>
          </c:extLst>
        </c:ser>
        <c:ser>
          <c:idx val="0"/>
          <c:order val="2"/>
          <c:tx>
            <c:strRef>
              <c:f>wykresy!$Y$2</c:f>
              <c:strCache>
                <c:ptCount val="1"/>
                <c:pt idx="0">
                  <c:v>Bieżąca ogólna sytuacja gospodarcza - niewyrównany sezonowo</c:v>
                </c:pt>
              </c:strCache>
            </c:strRef>
          </c:tx>
          <c:spPr>
            <a:ln w="12700" cap="rnd" cmpd="sng" algn="ctr">
              <a:solidFill>
                <a:srgbClr val="6677AD"/>
              </a:solidFill>
              <a:prstDash val="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wykresy!$Y$270:$Y$275</c:f>
              <c:numCache>
                <c:formatCode>0.0</c:formatCode>
                <c:ptCount val="6"/>
                <c:pt idx="0">
                  <c:v>-8.9</c:v>
                </c:pt>
                <c:pt idx="1">
                  <c:v>-10.5</c:v>
                </c:pt>
                <c:pt idx="2">
                  <c:v>-14.4</c:v>
                </c:pt>
                <c:pt idx="3">
                  <c:v>-14.4</c:v>
                </c:pt>
                <c:pt idx="4">
                  <c:v>-9.9</c:v>
                </c:pt>
                <c:pt idx="5">
                  <c:v>-3.8</c:v>
                </c:pt>
              </c:numCache>
            </c:numRef>
          </c:val>
          <c:smooth val="0"/>
          <c:extLst xmlns:c16r2="http://schemas.microsoft.com/office/drawing/2015/06/chart">
            <c:ext xmlns:c16="http://schemas.microsoft.com/office/drawing/2014/chart" uri="{C3380CC4-5D6E-409C-BE32-E72D297353CC}">
              <c16:uniqueId val="{00000002-9B36-436B-9954-1C15BD6BB25C}"/>
            </c:ext>
          </c:extLst>
        </c:ser>
        <c:ser>
          <c:idx val="2"/>
          <c:order val="3"/>
          <c:tx>
            <c:strRef>
              <c:f>wykresy!$Z$2</c:f>
              <c:strCache>
                <c:ptCount val="1"/>
                <c:pt idx="0">
                  <c:v>Przewidywana ogólna sytuacja gospodarcza - niewyrównany sezonowo</c:v>
                </c:pt>
              </c:strCache>
            </c:strRef>
          </c:tx>
          <c:spPr>
            <a:ln w="12700" cap="rnd" cmpd="sng" algn="ctr">
              <a:solidFill>
                <a:srgbClr val="001D77">
                  <a:alpha val="25000"/>
                </a:srgbClr>
              </a:solidFill>
              <a:prstDash val="sysDash"/>
              <a:round/>
            </a:ln>
            <a:effectLst/>
          </c:spPr>
          <c:marker>
            <c:symbol val="none"/>
          </c:marker>
          <c:cat>
            <c:strRef>
              <c:f>wykresy!$A$270:$A$275</c:f>
              <c:strCache>
                <c:ptCount val="6"/>
                <c:pt idx="0">
                  <c:v>12 2021</c:v>
                </c:pt>
                <c:pt idx="1">
                  <c:v>01 2022</c:v>
                </c:pt>
                <c:pt idx="2">
                  <c:v>02 2022</c:v>
                </c:pt>
                <c:pt idx="3">
                  <c:v>03 2022</c:v>
                </c:pt>
                <c:pt idx="4">
                  <c:v>04 2022</c:v>
                </c:pt>
                <c:pt idx="5">
                  <c:v>05 2022</c:v>
                </c:pt>
              </c:strCache>
            </c:strRef>
          </c:cat>
          <c:val>
            <c:numRef>
              <c:f>wykresy!$Z$270:$Z$275</c:f>
              <c:numCache>
                <c:formatCode>0.0</c:formatCode>
                <c:ptCount val="6"/>
                <c:pt idx="0">
                  <c:v>-30.2</c:v>
                </c:pt>
                <c:pt idx="1">
                  <c:v>-27.7</c:v>
                </c:pt>
                <c:pt idx="2">
                  <c:v>-17.100000000000001</c:v>
                </c:pt>
                <c:pt idx="3">
                  <c:v>-12.3</c:v>
                </c:pt>
                <c:pt idx="4">
                  <c:v>2</c:v>
                </c:pt>
                <c:pt idx="5">
                  <c:v>14.5</c:v>
                </c:pt>
              </c:numCache>
            </c:numRef>
          </c:val>
          <c:smooth val="0"/>
          <c:extLst xmlns:c16r2="http://schemas.microsoft.com/office/drawing/2015/06/chart">
            <c:ext xmlns:c16="http://schemas.microsoft.com/office/drawing/2014/chart" uri="{C3380CC4-5D6E-409C-BE32-E72D297353CC}">
              <c16:uniqueId val="{00000003-9B36-436B-9954-1C15BD6BB25C}"/>
            </c:ext>
          </c:extLst>
        </c:ser>
        <c:dLbls>
          <c:showLegendKey val="0"/>
          <c:showVal val="0"/>
          <c:showCatName val="0"/>
          <c:showSerName val="0"/>
          <c:showPercent val="0"/>
          <c:showBubbleSize val="0"/>
        </c:dLbls>
        <c:marker val="1"/>
        <c:smooth val="0"/>
        <c:axId val="81837680"/>
        <c:axId val="81838768"/>
      </c:lineChart>
      <c:catAx>
        <c:axId val="81835504"/>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1837136"/>
        <c:crosses val="autoZero"/>
        <c:auto val="1"/>
        <c:lblAlgn val="ctr"/>
        <c:lblOffset val="100"/>
        <c:noMultiLvlLbl val="1"/>
      </c:catAx>
      <c:valAx>
        <c:axId val="81837136"/>
        <c:scaling>
          <c:orientation val="minMax"/>
          <c:max val="10"/>
          <c:min val="-40"/>
        </c:scaling>
        <c:delete val="1"/>
        <c:axPos val="l"/>
        <c:numFmt formatCode="0.0" sourceLinked="1"/>
        <c:majorTickMark val="out"/>
        <c:minorTickMark val="none"/>
        <c:tickLblPos val="nextTo"/>
        <c:crossAx val="81835504"/>
        <c:crosses val="autoZero"/>
        <c:crossBetween val="between"/>
        <c:majorUnit val="10"/>
      </c:valAx>
      <c:valAx>
        <c:axId val="81838768"/>
        <c:scaling>
          <c:orientation val="minMax"/>
          <c:max val="20"/>
          <c:min val="-4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1837680"/>
        <c:crosses val="max"/>
        <c:crossBetween val="between"/>
        <c:majorUnit val="10"/>
      </c:valAx>
      <c:catAx>
        <c:axId val="81837680"/>
        <c:scaling>
          <c:orientation val="minMax"/>
        </c:scaling>
        <c:delete val="1"/>
        <c:axPos val="b"/>
        <c:numFmt formatCode="General" sourceLinked="1"/>
        <c:majorTickMark val="out"/>
        <c:minorTickMark val="none"/>
        <c:tickLblPos val="none"/>
        <c:crossAx val="81838768"/>
        <c:crosses val="autoZero"/>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manualLayout>
          <c:layoutTarget val="inner"/>
          <c:xMode val="edge"/>
          <c:yMode val="edge"/>
          <c:x val="6.2388874777749556E-2"/>
          <c:y val="0.11475050505050502"/>
          <c:w val="0.76793059332663882"/>
          <c:h val="0.64794343434343438"/>
        </c:manualLayout>
      </c:layout>
      <c:lineChart>
        <c:grouping val="standard"/>
        <c:varyColors val="0"/>
        <c:ser>
          <c:idx val="4"/>
          <c:order val="0"/>
          <c:tx>
            <c:strRef>
              <c:f>WYKRESY!$C$5</c:f>
              <c:strCache>
                <c:ptCount val="1"/>
                <c:pt idx="0">
                  <c:v>niewyrównany sezonowo</c:v>
                </c:pt>
              </c:strCache>
            </c:strRef>
          </c:tx>
          <c:spPr>
            <a:ln w="19050" cap="rnd" cmpd="sng" algn="ctr">
              <a:solidFill>
                <a:srgbClr val="001D77"/>
              </a:solidFill>
              <a:prstDash val="solid"/>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WYKRESY!$EQ$5:$EV$5</c:f>
              <c:numCache>
                <c:formatCode>0.0</c:formatCode>
                <c:ptCount val="6"/>
                <c:pt idx="0">
                  <c:v>-27.5</c:v>
                </c:pt>
                <c:pt idx="1">
                  <c:v>-26.3</c:v>
                </c:pt>
                <c:pt idx="2">
                  <c:v>-20.9</c:v>
                </c:pt>
                <c:pt idx="3">
                  <c:v>-15.8</c:v>
                </c:pt>
                <c:pt idx="4">
                  <c:v>-7.2</c:v>
                </c:pt>
                <c:pt idx="5" formatCode="General">
                  <c:v>5.2</c:v>
                </c:pt>
              </c:numCache>
            </c:numRef>
          </c:val>
          <c:smooth val="0"/>
          <c:extLst xmlns:c16r2="http://schemas.microsoft.com/office/drawing/2015/06/chart">
            <c:ext xmlns:c16="http://schemas.microsoft.com/office/drawing/2014/chart" uri="{C3380CC4-5D6E-409C-BE32-E72D297353CC}">
              <c16:uniqueId val="{00000000-83F1-422C-A792-DAE63F31E19A}"/>
            </c:ext>
          </c:extLst>
        </c:ser>
        <c:dLbls>
          <c:showLegendKey val="0"/>
          <c:showVal val="0"/>
          <c:showCatName val="0"/>
          <c:showSerName val="0"/>
          <c:showPercent val="0"/>
          <c:showBubbleSize val="0"/>
        </c:dLbls>
        <c:marker val="1"/>
        <c:smooth val="0"/>
        <c:axId val="34097040"/>
        <c:axId val="34097584"/>
      </c:lineChart>
      <c:lineChart>
        <c:grouping val="standard"/>
        <c:varyColors val="0"/>
        <c:ser>
          <c:idx val="0"/>
          <c:order val="1"/>
          <c:tx>
            <c:strRef>
              <c:f>WYKRESY!$C$6</c:f>
              <c:strCache>
                <c:ptCount val="1"/>
              </c:strCache>
            </c:strRef>
          </c:tx>
          <c:spPr>
            <a:ln w="12700" cap="rnd" cmpd="sng" algn="ctr">
              <a:solidFill>
                <a:srgbClr val="6677AD"/>
              </a:solidFill>
              <a:prstDash val="dash"/>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WYKRESY!$EQ$6:$EV$6</c:f>
              <c:numCache>
                <c:formatCode>0.0</c:formatCode>
                <c:ptCount val="6"/>
                <c:pt idx="0">
                  <c:v>-16.2</c:v>
                </c:pt>
                <c:pt idx="1">
                  <c:v>-28</c:v>
                </c:pt>
                <c:pt idx="2">
                  <c:v>-29.3</c:v>
                </c:pt>
                <c:pt idx="3">
                  <c:v>-21.2</c:v>
                </c:pt>
                <c:pt idx="4">
                  <c:v>-20.6</c:v>
                </c:pt>
                <c:pt idx="5" formatCode="General">
                  <c:v>-13.9</c:v>
                </c:pt>
              </c:numCache>
            </c:numRef>
          </c:val>
          <c:smooth val="0"/>
          <c:extLst xmlns:c16r2="http://schemas.microsoft.com/office/drawing/2015/06/chart">
            <c:ext xmlns:c16="http://schemas.microsoft.com/office/drawing/2014/chart" uri="{C3380CC4-5D6E-409C-BE32-E72D297353CC}">
              <c16:uniqueId val="{00000001-83F1-422C-A792-DAE63F31E19A}"/>
            </c:ext>
          </c:extLst>
        </c:ser>
        <c:ser>
          <c:idx val="2"/>
          <c:order val="2"/>
          <c:tx>
            <c:strRef>
              <c:f>WYKRESY!$C$7</c:f>
              <c:strCache>
                <c:ptCount val="1"/>
              </c:strCache>
            </c:strRef>
          </c:tx>
          <c:spPr>
            <a:ln w="12700" cap="rnd" cmpd="sng" algn="ctr">
              <a:solidFill>
                <a:srgbClr val="001D77">
                  <a:alpha val="25000"/>
                </a:srgbClr>
              </a:solidFill>
              <a:prstDash val="sysDash"/>
              <a:round/>
            </a:ln>
            <a:effectLst/>
          </c:spPr>
          <c:marker>
            <c:symbol val="none"/>
          </c:marker>
          <c:cat>
            <c:strRef>
              <c:f>WYKRESY!$EQ$3:$EV$3</c:f>
              <c:strCache>
                <c:ptCount val="6"/>
                <c:pt idx="0">
                  <c:v>12 2021</c:v>
                </c:pt>
                <c:pt idx="1">
                  <c:v>01 2022</c:v>
                </c:pt>
                <c:pt idx="2">
                  <c:v>02 2022</c:v>
                </c:pt>
                <c:pt idx="3">
                  <c:v>03 2022</c:v>
                </c:pt>
                <c:pt idx="4">
                  <c:v>04 2022</c:v>
                </c:pt>
                <c:pt idx="5">
                  <c:v>05 2022</c:v>
                </c:pt>
              </c:strCache>
            </c:strRef>
          </c:cat>
          <c:val>
            <c:numRef>
              <c:f>WYKRESY!$EQ$7:$EV$7</c:f>
              <c:numCache>
                <c:formatCode>0.0</c:formatCode>
                <c:ptCount val="6"/>
                <c:pt idx="0">
                  <c:v>-38.799999999999997</c:v>
                </c:pt>
                <c:pt idx="1">
                  <c:v>-24.6</c:v>
                </c:pt>
                <c:pt idx="2">
                  <c:v>-12.4</c:v>
                </c:pt>
                <c:pt idx="3">
                  <c:v>-10.3</c:v>
                </c:pt>
                <c:pt idx="4">
                  <c:v>6.3</c:v>
                </c:pt>
                <c:pt idx="5" formatCode="General">
                  <c:v>24.2</c:v>
                </c:pt>
              </c:numCache>
            </c:numRef>
          </c:val>
          <c:smooth val="0"/>
          <c:extLst xmlns:c16r2="http://schemas.microsoft.com/office/drawing/2015/06/chart">
            <c:ext xmlns:c16="http://schemas.microsoft.com/office/drawing/2014/chart" uri="{C3380CC4-5D6E-409C-BE32-E72D297353CC}">
              <c16:uniqueId val="{00000002-83F1-422C-A792-DAE63F31E19A}"/>
            </c:ext>
          </c:extLst>
        </c:ser>
        <c:dLbls>
          <c:showLegendKey val="0"/>
          <c:showVal val="0"/>
          <c:showCatName val="0"/>
          <c:showSerName val="0"/>
          <c:showPercent val="0"/>
          <c:showBubbleSize val="0"/>
        </c:dLbls>
        <c:marker val="1"/>
        <c:smooth val="0"/>
        <c:axId val="83827728"/>
        <c:axId val="2101841248"/>
      </c:lineChart>
      <c:catAx>
        <c:axId val="34097040"/>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34097584"/>
        <c:crossesAt val="0"/>
        <c:auto val="1"/>
        <c:lblAlgn val="ctr"/>
        <c:lblOffset val="100"/>
        <c:noMultiLvlLbl val="1"/>
      </c:catAx>
      <c:valAx>
        <c:axId val="34097584"/>
        <c:scaling>
          <c:orientation val="minMax"/>
          <c:max val="20"/>
          <c:min val="-60"/>
        </c:scaling>
        <c:delete val="1"/>
        <c:axPos val="l"/>
        <c:numFmt formatCode="0.0" sourceLinked="1"/>
        <c:majorTickMark val="out"/>
        <c:minorTickMark val="none"/>
        <c:tickLblPos val="nextTo"/>
        <c:crossAx val="34097040"/>
        <c:crosses val="autoZero"/>
        <c:crossBetween val="between"/>
        <c:majorUnit val="20"/>
      </c:valAx>
      <c:valAx>
        <c:axId val="2101841248"/>
        <c:scaling>
          <c:orientation val="minMax"/>
          <c:max val="40"/>
          <c:min val="-60"/>
        </c:scaling>
        <c:delete val="0"/>
        <c:axPos val="r"/>
        <c:numFmt formatCode="0"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Arial" pitchFamily="34" charset="0"/>
              </a:defRPr>
            </a:pPr>
            <a:endParaRPr lang="pl-PL"/>
          </a:p>
        </c:txPr>
        <c:crossAx val="83827728"/>
        <c:crosses val="max"/>
        <c:crossBetween val="between"/>
        <c:majorUnit val="20"/>
      </c:valAx>
      <c:catAx>
        <c:axId val="83827728"/>
        <c:scaling>
          <c:orientation val="minMax"/>
        </c:scaling>
        <c:delete val="1"/>
        <c:axPos val="b"/>
        <c:numFmt formatCode="General" sourceLinked="1"/>
        <c:majorTickMark val="out"/>
        <c:minorTickMark val="none"/>
        <c:tickLblPos val="none"/>
        <c:crossAx val="2101841248"/>
        <c:crossesAt val="0"/>
        <c:auto val="1"/>
        <c:lblAlgn val="ctr"/>
        <c:lblOffset val="100"/>
        <c:noMultiLvlLbl val="1"/>
      </c:catAx>
      <c:spPr>
        <a:solidFill>
          <a:schemeClr val="bg1">
            <a:lumMod val="95000"/>
          </a:schemeClr>
        </a:solidFill>
        <a:ln>
          <a:solidFill>
            <a:schemeClr val="bg1">
              <a:lumMod val="85000"/>
              <a:alpha val="50000"/>
            </a:schemeClr>
          </a:solidFill>
        </a:ln>
        <a:effectLst/>
      </c:spPr>
    </c:plotArea>
    <c:plotVisOnly val="1"/>
    <c:dispBlanksAs val="gap"/>
    <c:showDLblsOverMax val="0"/>
  </c:chart>
  <c:spPr>
    <a:noFill/>
    <a:ln w="6350" cap="flat" cmpd="sng" algn="ctr">
      <a:noFill/>
      <a:prstDash val="solid"/>
      <a:round/>
    </a:ln>
    <a:effectLst/>
  </c:spPr>
  <c:txPr>
    <a:bodyPr/>
    <a:lstStyle/>
    <a:p>
      <a:pPr>
        <a:defRPr sz="800">
          <a:latin typeface="Fira Sans" panose="020B0503050000020004" pitchFamily="34" charset="0"/>
          <a:ea typeface="Fira Sans" panose="020B0503050000020004" pitchFamily="34" charset="0"/>
          <a:cs typeface="Arial"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- 05.2022.docx.docx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F14A189-F7F7-445E-8F81-02903ADBA1B5}"/>
</file>

<file path=customXml/itemProps2.xml><?xml version="1.0" encoding="utf-8"?>
<ds:datastoreItem xmlns:ds="http://schemas.openxmlformats.org/officeDocument/2006/customXml" ds:itemID="{DD0D6AE8-FF7C-47E3-A4A1-97C434534D66}"/>
</file>

<file path=customXml/itemProps3.xml><?xml version="1.0" encoding="utf-8"?>
<ds:datastoreItem xmlns:ds="http://schemas.openxmlformats.org/officeDocument/2006/customXml" ds:itemID="{09D72447-90CD-459A-B3DD-BBE18E8722FF}"/>
</file>

<file path=docProps/app.xml><?xml version="1.0" encoding="utf-8"?>
<Properties xmlns="http://schemas.openxmlformats.org/officeDocument/2006/extended-properties" xmlns:vt="http://schemas.openxmlformats.org/officeDocument/2006/docPropsVTypes">
  <Template>Normal</Template>
  <TotalTime>463</TotalTime>
  <Pages>8</Pages>
  <Words>1620</Words>
  <Characters>9721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2021-06-18T07:35:00Z</cp:lastPrinted>
  <dcterms:created xsi:type="dcterms:W3CDTF">2022-02-09T06:46:00Z</dcterms:created>
  <dcterms:modified xsi:type="dcterms:W3CDTF">2022-05-17T11:03:00Z</dcterms:modified>
</cp:coreProperties>
</file>