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EE0D4C">
        <w:rPr>
          <w:lang w:val="en-GB"/>
        </w:rPr>
        <w:t>June</w:t>
      </w:r>
      <w:r w:rsidR="00530E37" w:rsidRPr="00E71AE6">
        <w:rPr>
          <w:lang w:val="en-GB"/>
        </w:rPr>
        <w:t xml:space="preserve"> 2022</w:t>
      </w:r>
    </w:p>
    <w:p w:rsidR="0098135C" w:rsidRPr="00D17623" w:rsidRDefault="00500DE2" w:rsidP="008945AB">
      <w:pPr>
        <w:pStyle w:val="tytuinformacji"/>
        <w:rPr>
          <w:sz w:val="32"/>
          <w:szCs w:val="32"/>
          <w:lang w:val="en-GB"/>
        </w:rPr>
      </w:pPr>
      <w:r w:rsidRPr="00D17623">
        <w:rPr>
          <w:sz w:val="32"/>
          <w:szCs w:val="32"/>
          <w:lang w:val="en-GB"/>
        </w:rPr>
        <w:t xml:space="preserve">Impact of </w:t>
      </w:r>
      <w:r w:rsidR="00FE4F3B">
        <w:rPr>
          <w:sz w:val="32"/>
          <w:szCs w:val="32"/>
          <w:lang w:val="en-GB"/>
        </w:rPr>
        <w:t xml:space="preserve">war in Ukraine </w:t>
      </w:r>
      <w:r w:rsidR="0021378D" w:rsidRPr="00D17623">
        <w:rPr>
          <w:sz w:val="32"/>
          <w:szCs w:val="32"/>
          <w:lang w:val="en-GB"/>
        </w:rPr>
        <w:t>on </w:t>
      </w:r>
      <w:r w:rsidR="00374D34" w:rsidRPr="00D17623">
        <w:rPr>
          <w:sz w:val="32"/>
          <w:szCs w:val="32"/>
          <w:lang w:val="en-GB"/>
        </w:rPr>
        <w:t>business tendency –</w:t>
      </w:r>
      <w:r w:rsidR="00FE4F3B">
        <w:rPr>
          <w:sz w:val="32"/>
          <w:szCs w:val="32"/>
          <w:lang w:val="en-GB"/>
        </w:rPr>
        <w:t xml:space="preserve"> </w:t>
      </w: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1F69F1" w:rsidRPr="001F69F1">
        <w:rPr>
          <w:sz w:val="32"/>
          <w:szCs w:val="32"/>
          <w:lang w:val="en-GB"/>
        </w:rPr>
        <w:t xml:space="preserve"> </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CD59E9" w:rsidRPr="00B17BDC" w:rsidRDefault="00CD59E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CD59E9" w:rsidRPr="00B17BDC" w:rsidRDefault="00CD59E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2" w:name="_Hlk95285979"/>
                      <w:r w:rsidRPr="00B17BDC">
                        <w:rPr>
                          <w:rFonts w:ascii="Fira Sans" w:eastAsia="Times New Roman" w:hAnsi="Fira Sans" w:cs="Times New Roman"/>
                          <w:bCs/>
                          <w:color w:val="001D77"/>
                          <w:sz w:val="18"/>
                          <w:szCs w:val="18"/>
                          <w:lang w:val="en-US" w:eastAsia="pl-PL"/>
                        </w:rPr>
                        <w:t xml:space="preserve">and its components </w:t>
                      </w:r>
                      <w:bookmarkEnd w:id="2"/>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1067C8" w:rsidP="00E71AE6">
      <w:pPr>
        <w:pStyle w:val="LID"/>
        <w:spacing w:before="360" w:after="120"/>
        <w:rPr>
          <w:noProof w:val="0"/>
          <w:lang w:val="en-GB"/>
        </w:rPr>
      </w:pPr>
      <w:r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4C3"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13.0&#10;general business climate indicator in manufacturing is at a low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CD59E9" w:rsidRPr="00544C35" w:rsidRDefault="00CD59E9"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13.0</w:t>
                            </w:r>
                          </w:p>
                          <w:p w:rsidR="00CD59E9" w:rsidRPr="00544C35" w:rsidRDefault="00CD59E9"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3.0&#10;general business climate indicator in manufacturing is at a lower level than the one reported last month" style="position:absolute;margin-left:0;margin-top:8.1pt;width:173.55pt;height:83.45pt;z-index:253178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" fillcolor="#001d77" stroked="f">
                <v:stroke joinstyle="miter"/>
                <v:textbox>
                  <w:txbxContent>
                    <w:p w:rsidR="00CD59E9" w:rsidRPr="00544C35" w:rsidRDefault="00CD59E9"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13.0</w:t>
                      </w:r>
                    </w:p>
                    <w:p w:rsidR="00CD59E9" w:rsidRPr="00544C35" w:rsidRDefault="00CD59E9"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EE0D4C">
        <w:rPr>
          <w:noProof w:val="0"/>
          <w:lang w:val="en-GB"/>
        </w:rPr>
        <w:t>June</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C26423">
        <w:rPr>
          <w:noProof w:val="0"/>
          <w:lang w:val="en-GB"/>
        </w:rPr>
        <w:t>lower</w:t>
      </w:r>
      <w:r w:rsidR="00A243A9">
        <w:rPr>
          <w:noProof w:val="0"/>
          <w:lang w:val="en-GB"/>
        </w:rPr>
        <w:t xml:space="preserve"> or similar</w:t>
      </w:r>
      <w:r w:rsidR="00667B73" w:rsidRPr="00D17623">
        <w:rPr>
          <w:noProof w:val="0"/>
          <w:lang w:val="en-GB"/>
        </w:rPr>
        <w:t xml:space="preserve"> </w:t>
      </w:r>
      <w:r w:rsidR="00391B65">
        <w:rPr>
          <w:noProof w:val="0"/>
          <w:lang w:val="en-GB"/>
        </w:rPr>
        <w:t xml:space="preserve">level </w:t>
      </w:r>
      <w:r w:rsidR="00A243A9">
        <w:rPr>
          <w:noProof w:val="0"/>
          <w:lang w:val="en-GB"/>
        </w:rPr>
        <w:t>as compared to</w:t>
      </w:r>
      <w:r w:rsidR="00C159B4" w:rsidRPr="00D17623">
        <w:rPr>
          <w:noProof w:val="0"/>
          <w:lang w:val="en-GB"/>
        </w:rPr>
        <w:t xml:space="preserve"> the previous month. </w:t>
      </w:r>
      <w:r w:rsidR="004F2061" w:rsidRPr="00D17623">
        <w:rPr>
          <w:noProof w:val="0"/>
          <w:lang w:val="en-GB"/>
        </w:rPr>
        <w:t xml:space="preserve">In </w:t>
      </w:r>
      <w:r w:rsidR="00B72095">
        <w:rPr>
          <w:noProof w:val="0"/>
          <w:lang w:val="en-GB"/>
        </w:rPr>
        <w:t>most</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296F29">
        <w:rPr>
          <w:noProof w:val="0"/>
          <w:lang w:val="en-GB"/>
        </w:rPr>
        <w:t>deteriorate</w:t>
      </w:r>
      <w:r w:rsidR="00A42E86">
        <w:rPr>
          <w:noProof w:val="0"/>
          <w:lang w:val="en-GB"/>
        </w:rPr>
        <w:t>, whereas “</w:t>
      </w:r>
      <w:r w:rsidR="00B425E9">
        <w:rPr>
          <w:noProof w:val="0"/>
          <w:lang w:val="en-GB"/>
        </w:rPr>
        <w:t>diagnostic</w:t>
      </w:r>
      <w:r w:rsidR="00A42E86">
        <w:rPr>
          <w:noProof w:val="0"/>
          <w:lang w:val="en-GB"/>
        </w:rPr>
        <w:t>” ones do not change</w:t>
      </w:r>
      <w:r w:rsidR="004F2061" w:rsidRPr="00D17623">
        <w:rPr>
          <w:noProof w:val="0"/>
          <w:lang w:val="en-GB"/>
        </w:rPr>
        <w:t xml:space="preserve">. </w:t>
      </w:r>
    </w:p>
    <w:p w:rsidR="00A22F17" w:rsidRPr="00D17623" w:rsidRDefault="00884578" w:rsidP="00E71AE6">
      <w:pPr>
        <w:pStyle w:val="LID"/>
        <w:spacing w:after="120"/>
        <w:rPr>
          <w:noProof w:val="0"/>
          <w:lang w:val="en-GB"/>
        </w:rPr>
      </w:pPr>
      <w:r w:rsidRPr="00D17623">
        <w:rPr>
          <w:noProof w:val="0"/>
          <w:lang w:val="en-GB"/>
        </w:rPr>
        <w:t>T</w:t>
      </w:r>
      <w:r w:rsidR="00A22F17" w:rsidRPr="00D17623">
        <w:rPr>
          <w:noProof w:val="0"/>
          <w:lang w:val="en-GB"/>
        </w:rPr>
        <w:t xml:space="preserve">he </w:t>
      </w:r>
      <w:r w:rsidR="00DB4AE9">
        <w:rPr>
          <w:noProof w:val="0"/>
          <w:lang w:val="en-GB"/>
        </w:rPr>
        <w:t xml:space="preserve">most </w:t>
      </w:r>
      <w:r w:rsidR="008851C8" w:rsidRPr="00D17623">
        <w:rPr>
          <w:noProof w:val="0"/>
          <w:lang w:val="en-GB"/>
        </w:rPr>
        <w:t>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two sections –</w:t>
      </w:r>
      <w:r w:rsidR="00B72095" w:rsidRPr="00B72095">
        <w:rPr>
          <w:noProof w:val="0"/>
          <w:lang w:val="en-GB"/>
        </w:rPr>
        <w:t xml:space="preserve"> </w:t>
      </w:r>
      <w:r w:rsidR="00B72095">
        <w:rPr>
          <w:noProof w:val="0"/>
          <w:lang w:val="en-GB"/>
        </w:rPr>
        <w:t>f</w:t>
      </w:r>
      <w:r w:rsidR="00B72095" w:rsidRPr="002B3910">
        <w:rPr>
          <w:noProof w:val="0"/>
          <w:lang w:val="en-GB"/>
        </w:rPr>
        <w:t>inancial and insurance activities</w:t>
      </w:r>
      <w:r w:rsidR="00B72095" w:rsidRPr="00B72095">
        <w:rPr>
          <w:noProof w:val="0"/>
          <w:lang w:val="en-GB"/>
        </w:rPr>
        <w:t xml:space="preserve"> </w:t>
      </w:r>
      <w:r w:rsidR="002B3910">
        <w:rPr>
          <w:noProof w:val="0"/>
          <w:lang w:val="en-GB"/>
        </w:rPr>
        <w:t>as well as</w:t>
      </w:r>
      <w:r w:rsidR="00DB4AE9" w:rsidRPr="00DB4AE9">
        <w:rPr>
          <w:noProof w:val="0"/>
          <w:lang w:val="en-GB"/>
        </w:rPr>
        <w:t xml:space="preserve"> </w:t>
      </w:r>
      <w:r w:rsidR="00B72095"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054779">
        <w:rPr>
          <w:noProof w:val="0"/>
          <w:lang w:val="en-GB"/>
        </w:rPr>
        <w:t>section</w:t>
      </w:r>
      <w:r w:rsidR="0071403A">
        <w:rPr>
          <w:noProof w:val="0"/>
          <w:lang w:val="en-GB"/>
        </w:rPr>
        <w:t>s of construction and manufacturing</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E71AE6" w:rsidRDefault="0053037B" w:rsidP="00E71AE6">
      <w:pPr>
        <w:spacing w:before="240" w:after="120"/>
        <w:ind w:left="1134"/>
        <w:rPr>
          <w:rFonts w:ascii="Fira Sans" w:hAnsi="Fira Sans"/>
          <w:strike/>
          <w:sz w:val="19"/>
          <w:szCs w:val="19"/>
          <w:lang w:val="en-GB"/>
        </w:rPr>
      </w:pPr>
      <w:r w:rsidRPr="0053037B">
        <w:rPr>
          <w:noProof/>
          <w:lang w:eastAsia="pl-PL"/>
        </w:rPr>
        <w:drawing>
          <wp:anchor distT="0" distB="0" distL="114300" distR="114300" simplePos="0" relativeHeight="253316096" behindDoc="0" locked="0" layoutInCell="1" allowOverlap="1">
            <wp:simplePos x="0" y="0"/>
            <wp:positionH relativeFrom="column">
              <wp:posOffset>5358765</wp:posOffset>
            </wp:positionH>
            <wp:positionV relativeFrom="paragraph">
              <wp:posOffset>286385</wp:posOffset>
            </wp:positionV>
            <wp:extent cx="1543050" cy="1838325"/>
            <wp:effectExtent l="0" t="0" r="0" b="9525"/>
            <wp:wrapSquare wrapText="bothSides"/>
            <wp:docPr id="29" name="Obraz 29"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37B">
        <w:rPr>
          <w:noProof/>
          <w:lang w:eastAsia="pl-PL"/>
        </w:rPr>
        <w:drawing>
          <wp:anchor distT="0" distB="0" distL="114300" distR="114300" simplePos="0" relativeHeight="253315072" behindDoc="0" locked="0" layoutInCell="1" allowOverlap="1">
            <wp:simplePos x="0" y="0"/>
            <wp:positionH relativeFrom="column">
              <wp:posOffset>0</wp:posOffset>
            </wp:positionH>
            <wp:positionV relativeFrom="paragraph">
              <wp:posOffset>462915</wp:posOffset>
            </wp:positionV>
            <wp:extent cx="4981575" cy="1657350"/>
            <wp:effectExtent l="0" t="0" r="0" b="0"/>
            <wp:wrapSquare wrapText="bothSides"/>
            <wp:docPr id="28" name="Obraz 28"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1228CF">
        <w:rPr>
          <w:rFonts w:ascii="Fira Sans" w:hAnsi="Fira Sans"/>
          <w:sz w:val="19"/>
          <w:szCs w:val="19"/>
          <w:lang w:val="en-GB" w:eastAsia="pl-PL"/>
        </w:rPr>
        <w:t>13.0</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1228CF">
        <w:rPr>
          <w:rFonts w:ascii="Fira Sans" w:hAnsi="Fira Sans"/>
          <w:sz w:val="19"/>
          <w:szCs w:val="19"/>
          <w:lang w:val="en-GB" w:eastAsia="pl-PL"/>
        </w:rPr>
        <w:t>lower</w:t>
      </w:r>
      <w:r w:rsidR="002E5E9C">
        <w:rPr>
          <w:rFonts w:ascii="Fira Sans" w:hAnsi="Fira Sans"/>
          <w:sz w:val="19"/>
          <w:szCs w:val="19"/>
          <w:lang w:val="en-GB" w:eastAsia="pl-PL"/>
        </w:rPr>
        <w:t xml:space="preserve">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EE0D4C">
        <w:rPr>
          <w:rFonts w:ascii="Fira Sans" w:hAnsi="Fira Sans"/>
          <w:sz w:val="19"/>
          <w:szCs w:val="19"/>
          <w:lang w:val="en-GB" w:eastAsia="pl-PL"/>
        </w:rPr>
        <w:t>May</w:t>
      </w:r>
      <w:r w:rsidR="00224708" w:rsidRPr="00E71AE6">
        <w:rPr>
          <w:rFonts w:ascii="Fira Sans" w:hAnsi="Fira Sans"/>
          <w:sz w:val="19"/>
          <w:szCs w:val="19"/>
          <w:lang w:val="en-GB" w:eastAsia="pl-PL"/>
        </w:rPr>
        <w:t xml:space="preserve"> (minus </w:t>
      </w:r>
      <w:r w:rsidR="002F770E">
        <w:rPr>
          <w:rFonts w:ascii="Fira Sans" w:hAnsi="Fira Sans"/>
          <w:sz w:val="19"/>
          <w:szCs w:val="19"/>
          <w:lang w:val="en-GB" w:eastAsia="pl-PL"/>
        </w:rPr>
        <w:t>9.6</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72390</wp:posOffset>
            </wp:positionH>
            <wp:positionV relativeFrom="paragraph">
              <wp:posOffset>1756410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1228CF" w:rsidP="00C4555A">
      <w:pPr>
        <w:spacing w:before="120" w:after="120"/>
        <w:ind w:left="1134" w:hanging="1134"/>
        <w:rPr>
          <w:rFonts w:ascii="Fira Sans" w:hAnsi="Fira Sans"/>
          <w:strike/>
          <w:spacing w:val="-4"/>
          <w:sz w:val="19"/>
          <w:szCs w:val="19"/>
          <w:lang w:val="en-US"/>
        </w:rPr>
      </w:pPr>
      <w:r w:rsidRPr="0053037B">
        <w:rPr>
          <w:noProof/>
          <w:lang w:eastAsia="pl-PL"/>
        </w:rPr>
        <w:drawing>
          <wp:anchor distT="0" distB="0" distL="114300" distR="114300" simplePos="0" relativeHeight="253317120" behindDoc="0" locked="0" layoutInCell="1" allowOverlap="1">
            <wp:simplePos x="0" y="0"/>
            <wp:positionH relativeFrom="column">
              <wp:posOffset>0</wp:posOffset>
            </wp:positionH>
            <wp:positionV relativeFrom="paragraph">
              <wp:posOffset>491490</wp:posOffset>
            </wp:positionV>
            <wp:extent cx="4981575" cy="1657350"/>
            <wp:effectExtent l="0" t="0" r="0" b="0"/>
            <wp:wrapSquare wrapText="bothSides"/>
            <wp:docPr id="30" name="Obraz 30"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37B" w:rsidRPr="0053037B">
        <w:rPr>
          <w:noProof/>
          <w:lang w:eastAsia="pl-PL"/>
        </w:rPr>
        <w:drawing>
          <wp:anchor distT="0" distB="0" distL="114300" distR="114300" simplePos="0" relativeHeight="253318144" behindDoc="0" locked="0" layoutInCell="1" allowOverlap="1">
            <wp:simplePos x="0" y="0"/>
            <wp:positionH relativeFrom="column">
              <wp:posOffset>5362575</wp:posOffset>
            </wp:positionH>
            <wp:positionV relativeFrom="paragraph">
              <wp:posOffset>212090</wp:posOffset>
            </wp:positionV>
            <wp:extent cx="1543050" cy="1838325"/>
            <wp:effectExtent l="0" t="0" r="0" b="9525"/>
            <wp:wrapSquare wrapText="bothSides"/>
            <wp:docPr id="31" name="Obraz 31"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EE0D4C">
        <w:rPr>
          <w:rFonts w:ascii="Fira Sans" w:hAnsi="Fira Sans"/>
          <w:sz w:val="19"/>
          <w:szCs w:val="19"/>
          <w:lang w:val="en-GB" w:eastAsia="pl-PL"/>
        </w:rPr>
        <w:t>June</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CD4A33">
        <w:rPr>
          <w:rFonts w:ascii="Fira Sans" w:hAnsi="Fira Sans"/>
          <w:sz w:val="19"/>
          <w:szCs w:val="19"/>
          <w:lang w:val="en-GB" w:eastAsia="pl-PL"/>
        </w:rPr>
        <w:t>1</w:t>
      </w:r>
      <w:r>
        <w:rPr>
          <w:rFonts w:ascii="Fira Sans" w:hAnsi="Fira Sans"/>
          <w:sz w:val="19"/>
          <w:szCs w:val="19"/>
          <w:lang w:val="en-GB" w:eastAsia="pl-PL"/>
        </w:rPr>
        <w:t>5.5</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Pr>
          <w:rFonts w:ascii="Fira Sans" w:hAnsi="Fira Sans"/>
          <w:sz w:val="19"/>
          <w:szCs w:val="19"/>
          <w:lang w:val="en-GB" w:eastAsia="pl-PL"/>
        </w:rPr>
        <w:t>slightly lower</w:t>
      </w:r>
      <w:r w:rsidR="00CD4A33">
        <w:rPr>
          <w:rFonts w:ascii="Fira Sans" w:hAnsi="Fira Sans"/>
          <w:sz w:val="19"/>
          <w:szCs w:val="19"/>
          <w:lang w:val="en-GB" w:eastAsia="pl-PL"/>
        </w:rPr>
        <w:t xml:space="preserve"> </w:t>
      </w:r>
      <w:r>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E925F9">
        <w:rPr>
          <w:rFonts w:ascii="Fira Sans" w:hAnsi="Fira Sans"/>
          <w:sz w:val="19"/>
          <w:szCs w:val="19"/>
          <w:lang w:val="en-GB" w:eastAsia="pl-PL"/>
        </w:rPr>
        <w:t>1</w:t>
      </w:r>
      <w:r w:rsidR="002F770E">
        <w:rPr>
          <w:rFonts w:ascii="Fira Sans" w:hAnsi="Fira Sans"/>
          <w:sz w:val="19"/>
          <w:szCs w:val="19"/>
          <w:lang w:val="en-GB" w:eastAsia="pl-PL"/>
        </w:rPr>
        <w:t>4.0</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2704"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6063D8" w:rsidP="004206E0">
      <w:pPr>
        <w:spacing w:before="120" w:after="120"/>
        <w:ind w:left="1134"/>
        <w:rPr>
          <w:rFonts w:ascii="Fira Sans" w:hAnsi="Fira Sans"/>
          <w:strike/>
          <w:sz w:val="19"/>
          <w:szCs w:val="19"/>
          <w:lang w:val="en-GB"/>
        </w:rPr>
      </w:pPr>
      <w:r w:rsidRPr="006063D8">
        <w:rPr>
          <w:noProof/>
          <w:lang w:eastAsia="pl-PL"/>
        </w:rPr>
        <w:drawing>
          <wp:anchor distT="0" distB="0" distL="114300" distR="114300" simplePos="0" relativeHeight="253320192" behindDoc="0" locked="0" layoutInCell="1" allowOverlap="1">
            <wp:simplePos x="0" y="0"/>
            <wp:positionH relativeFrom="column">
              <wp:posOffset>5372100</wp:posOffset>
            </wp:positionH>
            <wp:positionV relativeFrom="paragraph">
              <wp:posOffset>244475</wp:posOffset>
            </wp:positionV>
            <wp:extent cx="1543050" cy="1838325"/>
            <wp:effectExtent l="0" t="0" r="0" b="9525"/>
            <wp:wrapSquare wrapText="bothSides"/>
            <wp:docPr id="48" name="Obraz 48"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63D8">
        <w:rPr>
          <w:noProof/>
          <w:lang w:eastAsia="pl-PL"/>
        </w:rPr>
        <w:drawing>
          <wp:anchor distT="0" distB="0" distL="114300" distR="114300" simplePos="0" relativeHeight="253319168" behindDoc="0" locked="0" layoutInCell="1" allowOverlap="1">
            <wp:simplePos x="0" y="0"/>
            <wp:positionH relativeFrom="column">
              <wp:posOffset>3810</wp:posOffset>
            </wp:positionH>
            <wp:positionV relativeFrom="paragraph">
              <wp:posOffset>417195</wp:posOffset>
            </wp:positionV>
            <wp:extent cx="4981575" cy="1657350"/>
            <wp:effectExtent l="0" t="0" r="0" b="0"/>
            <wp:wrapSquare wrapText="bothSides"/>
            <wp:docPr id="32" name="Obraz 32"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CC1AEE">
        <w:rPr>
          <w:rFonts w:ascii="Fira Sans" w:hAnsi="Fira Sans"/>
          <w:sz w:val="19"/>
          <w:szCs w:val="19"/>
          <w:lang w:val="en-GB"/>
        </w:rPr>
        <w:t>2.5</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CC1AEE">
        <w:rPr>
          <w:rFonts w:ascii="Fira Sans" w:hAnsi="Fira Sans"/>
          <w:sz w:val="19"/>
          <w:szCs w:val="19"/>
          <w:lang w:val="en-GB" w:eastAsia="pl-PL"/>
        </w:rPr>
        <w:t>lower than</w:t>
      </w:r>
      <w:r w:rsidR="008B54DB" w:rsidRPr="00E71AE6">
        <w:rPr>
          <w:rFonts w:ascii="Fira Sans" w:hAnsi="Fira Sans"/>
          <w:sz w:val="19"/>
          <w:szCs w:val="19"/>
          <w:lang w:val="en-GB" w:eastAsia="pl-PL"/>
        </w:rPr>
        <w:t xml:space="preserve"> the one reported in </w:t>
      </w:r>
      <w:r w:rsidR="00EE0D4C">
        <w:rPr>
          <w:rFonts w:ascii="Fira Sans" w:hAnsi="Fira Sans"/>
          <w:sz w:val="19"/>
          <w:szCs w:val="19"/>
          <w:lang w:val="en-GB" w:eastAsia="pl-PL"/>
        </w:rPr>
        <w:t>May</w:t>
      </w:r>
      <w:r w:rsidR="008B54DB" w:rsidRPr="00E71AE6">
        <w:rPr>
          <w:rFonts w:ascii="Fira Sans" w:hAnsi="Fira Sans"/>
          <w:sz w:val="19"/>
          <w:szCs w:val="19"/>
          <w:lang w:val="en-GB" w:eastAsia="pl-PL"/>
        </w:rPr>
        <w:t xml:space="preserve"> (</w:t>
      </w:r>
      <w:r w:rsidR="00E925F9">
        <w:rPr>
          <w:rFonts w:ascii="Fira Sans" w:hAnsi="Fira Sans"/>
          <w:sz w:val="19"/>
          <w:szCs w:val="19"/>
          <w:lang w:val="en-GB" w:eastAsia="pl-PL"/>
        </w:rPr>
        <w:t>plus</w:t>
      </w:r>
      <w:r w:rsidR="008B54DB" w:rsidRPr="00E71AE6">
        <w:rPr>
          <w:rFonts w:ascii="Fira Sans" w:hAnsi="Fira Sans"/>
          <w:sz w:val="19"/>
          <w:szCs w:val="19"/>
          <w:lang w:val="en-GB" w:eastAsia="pl-PL"/>
        </w:rPr>
        <w:t xml:space="preserve"> </w:t>
      </w:r>
      <w:r w:rsidR="00E925F9">
        <w:rPr>
          <w:rFonts w:ascii="Fira Sans" w:hAnsi="Fira Sans"/>
          <w:sz w:val="19"/>
          <w:szCs w:val="19"/>
          <w:lang w:val="en-GB" w:eastAsia="pl-PL"/>
        </w:rPr>
        <w:t>0.</w:t>
      </w:r>
      <w:r w:rsidR="002F770E">
        <w:rPr>
          <w:rFonts w:ascii="Fira Sans" w:hAnsi="Fira Sans"/>
          <w:sz w:val="19"/>
          <w:szCs w:val="19"/>
          <w:lang w:val="en-GB" w:eastAsia="pl-PL"/>
        </w:rPr>
        <w:t>4</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E011CF" w:rsidRPr="00E71AE6" w:rsidRDefault="00054273"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0</wp:posOffset>
            </wp:positionH>
            <wp:positionV relativeFrom="paragraph">
              <wp:posOffset>24489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6063D8" w:rsidP="00E011CF">
      <w:pPr>
        <w:spacing w:before="120" w:after="120"/>
        <w:rPr>
          <w:rFonts w:ascii="Fira Sans" w:hAnsi="Fira Sans"/>
          <w:strike/>
          <w:spacing w:val="-4"/>
          <w:sz w:val="19"/>
          <w:szCs w:val="19"/>
          <w:lang w:val="en-GB"/>
        </w:rPr>
      </w:pPr>
      <w:r w:rsidRPr="006063D8">
        <w:rPr>
          <w:noProof/>
          <w:lang w:eastAsia="pl-PL"/>
        </w:rPr>
        <w:drawing>
          <wp:anchor distT="0" distB="0" distL="114300" distR="114300" simplePos="0" relativeHeight="253322240" behindDoc="0" locked="0" layoutInCell="1" allowOverlap="1">
            <wp:simplePos x="0" y="0"/>
            <wp:positionH relativeFrom="column">
              <wp:posOffset>5370830</wp:posOffset>
            </wp:positionH>
            <wp:positionV relativeFrom="paragraph">
              <wp:posOffset>189230</wp:posOffset>
            </wp:positionV>
            <wp:extent cx="1543050" cy="1838325"/>
            <wp:effectExtent l="0" t="0" r="0" b="9525"/>
            <wp:wrapSquare wrapText="bothSides"/>
            <wp:docPr id="50" name="Obraz 50"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63D8">
        <w:rPr>
          <w:noProof/>
          <w:lang w:eastAsia="pl-PL"/>
        </w:rPr>
        <w:drawing>
          <wp:anchor distT="0" distB="0" distL="114300" distR="114300" simplePos="0" relativeHeight="253321216" behindDoc="0" locked="0" layoutInCell="1" allowOverlap="1">
            <wp:simplePos x="0" y="0"/>
            <wp:positionH relativeFrom="column">
              <wp:posOffset>0</wp:posOffset>
            </wp:positionH>
            <wp:positionV relativeFrom="paragraph">
              <wp:posOffset>370205</wp:posOffset>
            </wp:positionV>
            <wp:extent cx="4981575" cy="1657350"/>
            <wp:effectExtent l="0" t="0" r="0" b="0"/>
            <wp:wrapSquare wrapText="bothSides"/>
            <wp:docPr id="49" name="Obraz 49"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EE0D4C">
        <w:rPr>
          <w:rFonts w:ascii="Fira Sans" w:hAnsi="Fira Sans"/>
          <w:sz w:val="19"/>
          <w:szCs w:val="19"/>
          <w:lang w:val="en-GB"/>
        </w:rPr>
        <w:t>June</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CC1AEE">
        <w:rPr>
          <w:rFonts w:ascii="Fira Sans" w:hAnsi="Fira Sans"/>
          <w:sz w:val="19"/>
          <w:szCs w:val="19"/>
          <w:lang w:val="en-GB"/>
        </w:rPr>
        <w:t>6.2</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CC1AEE">
        <w:rPr>
          <w:rFonts w:ascii="Fira Sans" w:hAnsi="Fira Sans"/>
          <w:sz w:val="19"/>
          <w:szCs w:val="19"/>
          <w:lang w:val="en-GB"/>
        </w:rPr>
        <w:t>similar</w:t>
      </w:r>
      <w:r w:rsidR="00877459">
        <w:rPr>
          <w:rFonts w:ascii="Fira Sans" w:hAnsi="Fira Sans"/>
          <w:sz w:val="19"/>
          <w:szCs w:val="19"/>
          <w:lang w:val="en-GB"/>
        </w:rPr>
        <w:t xml:space="preserve"> </w:t>
      </w:r>
      <w:r w:rsidR="00CC1AEE">
        <w:rPr>
          <w:rFonts w:ascii="Fira Sans" w:hAnsi="Fira Sans"/>
          <w:sz w:val="19"/>
          <w:szCs w:val="19"/>
          <w:lang w:val="en-GB"/>
        </w:rPr>
        <w:t>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2F770E">
        <w:rPr>
          <w:rFonts w:ascii="Fira Sans" w:hAnsi="Fira Sans"/>
          <w:sz w:val="19"/>
          <w:szCs w:val="19"/>
          <w:lang w:val="en-GB"/>
        </w:rPr>
        <w:t>5.7</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Default="00FD47C1" w:rsidP="00E011CF">
      <w:pPr>
        <w:spacing w:before="120" w:after="120"/>
        <w:rPr>
          <w:rFonts w:ascii="Fira Sans" w:hAnsi="Fira Sans"/>
          <w:strike/>
          <w:sz w:val="19"/>
          <w:szCs w:val="19"/>
          <w:lang w:val="en-GB"/>
        </w:rPr>
      </w:pPr>
      <w:r w:rsidRPr="00FD47C1">
        <w:rPr>
          <w:noProof/>
          <w:lang w:eastAsia="pl-PL"/>
        </w:rPr>
        <w:drawing>
          <wp:anchor distT="0" distB="0" distL="114300" distR="114300" simplePos="0" relativeHeight="253324288" behindDoc="0" locked="0" layoutInCell="1" allowOverlap="1">
            <wp:simplePos x="0" y="0"/>
            <wp:positionH relativeFrom="column">
              <wp:posOffset>5372100</wp:posOffset>
            </wp:positionH>
            <wp:positionV relativeFrom="paragraph">
              <wp:posOffset>161925</wp:posOffset>
            </wp:positionV>
            <wp:extent cx="1543050" cy="1838325"/>
            <wp:effectExtent l="0" t="0" r="0" b="9525"/>
            <wp:wrapSquare wrapText="bothSides"/>
            <wp:docPr id="53" name="Obraz 53"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7C1">
        <w:rPr>
          <w:noProof/>
          <w:lang w:eastAsia="pl-PL"/>
        </w:rPr>
        <w:drawing>
          <wp:anchor distT="0" distB="0" distL="114300" distR="114300" simplePos="0" relativeHeight="253323264" behindDoc="0" locked="0" layoutInCell="1" allowOverlap="1">
            <wp:simplePos x="0" y="0"/>
            <wp:positionH relativeFrom="column">
              <wp:posOffset>0</wp:posOffset>
            </wp:positionH>
            <wp:positionV relativeFrom="paragraph">
              <wp:posOffset>342900</wp:posOffset>
            </wp:positionV>
            <wp:extent cx="4981575" cy="1657350"/>
            <wp:effectExtent l="0" t="0" r="0" b="0"/>
            <wp:wrapSquare wrapText="bothSides"/>
            <wp:docPr id="51" name="Obraz 51"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0A7741">
        <w:rPr>
          <w:rFonts w:ascii="Fira Sans" w:hAnsi="Fira Sans"/>
          <w:sz w:val="19"/>
          <w:szCs w:val="19"/>
          <w:lang w:val="en-GB"/>
        </w:rPr>
        <w:t>5.7</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EE0D4C">
        <w:rPr>
          <w:rFonts w:ascii="Fira Sans" w:hAnsi="Fira Sans"/>
          <w:sz w:val="19"/>
          <w:szCs w:val="19"/>
          <w:lang w:val="en-GB"/>
        </w:rPr>
        <w:t>May</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2F770E">
        <w:rPr>
          <w:rFonts w:ascii="Fira Sans" w:hAnsi="Fira Sans"/>
          <w:sz w:val="19"/>
          <w:szCs w:val="19"/>
          <w:lang w:val="en-GB"/>
        </w:rPr>
        <w:t>6.1</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6016"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8B302F" w:rsidP="00E011CF">
      <w:pPr>
        <w:spacing w:before="120" w:after="120"/>
        <w:rPr>
          <w:rFonts w:ascii="Fira Sans" w:hAnsi="Fira Sans"/>
          <w:strike/>
          <w:spacing w:val="-4"/>
          <w:sz w:val="19"/>
          <w:szCs w:val="19"/>
          <w:lang w:val="en-GB"/>
        </w:rPr>
      </w:pPr>
      <w:r w:rsidRPr="008B302F">
        <w:rPr>
          <w:noProof/>
          <w:lang w:eastAsia="pl-PL"/>
        </w:rPr>
        <w:drawing>
          <wp:anchor distT="0" distB="0" distL="114300" distR="114300" simplePos="0" relativeHeight="253326336" behindDoc="0" locked="0" layoutInCell="1" allowOverlap="1">
            <wp:simplePos x="0" y="0"/>
            <wp:positionH relativeFrom="column">
              <wp:posOffset>5334000</wp:posOffset>
            </wp:positionH>
            <wp:positionV relativeFrom="paragraph">
              <wp:posOffset>525780</wp:posOffset>
            </wp:positionV>
            <wp:extent cx="1543050" cy="1838325"/>
            <wp:effectExtent l="0" t="0" r="0" b="9525"/>
            <wp:wrapSquare wrapText="bothSides"/>
            <wp:docPr id="55" name="Obraz 55"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02F">
        <w:rPr>
          <w:noProof/>
          <w:lang w:eastAsia="pl-PL"/>
        </w:rPr>
        <w:drawing>
          <wp:anchor distT="0" distB="0" distL="114300" distR="114300" simplePos="0" relativeHeight="253325312" behindDoc="0" locked="0" layoutInCell="1" allowOverlap="1">
            <wp:simplePos x="0" y="0"/>
            <wp:positionH relativeFrom="column">
              <wp:posOffset>0</wp:posOffset>
            </wp:positionH>
            <wp:positionV relativeFrom="paragraph">
              <wp:posOffset>714375</wp:posOffset>
            </wp:positionV>
            <wp:extent cx="4981575" cy="1657350"/>
            <wp:effectExtent l="0" t="0" r="0" b="0"/>
            <wp:wrapSquare wrapText="bothSides"/>
            <wp:docPr id="54" name="Obraz 54"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EE0D4C">
        <w:rPr>
          <w:rFonts w:ascii="Fira Sans" w:hAnsi="Fira Sans"/>
          <w:sz w:val="19"/>
          <w:szCs w:val="19"/>
          <w:lang w:val="en-GB"/>
        </w:rPr>
        <w:t>June</w:t>
      </w:r>
      <w:r w:rsidR="0094569E" w:rsidRPr="00D17623">
        <w:rPr>
          <w:rFonts w:ascii="Fira Sans" w:hAnsi="Fira Sans"/>
          <w:sz w:val="19"/>
          <w:szCs w:val="19"/>
          <w:lang w:val="en-GB"/>
        </w:rPr>
        <w:t xml:space="preserve"> general business climate indicator (NSA) takes the value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3B2F25">
        <w:rPr>
          <w:rFonts w:ascii="Fira Sans" w:hAnsi="Fira Sans"/>
          <w:sz w:val="19"/>
          <w:szCs w:val="19"/>
          <w:lang w:val="en-GB"/>
        </w:rPr>
        <w:t>1.7</w:t>
      </w:r>
      <w:r w:rsidR="0094569E" w:rsidRPr="00D17623">
        <w:rPr>
          <w:rFonts w:ascii="Fira Sans" w:hAnsi="Fira Sans"/>
          <w:sz w:val="19"/>
          <w:szCs w:val="19"/>
          <w:lang w:val="en-GB"/>
        </w:rPr>
        <w:t xml:space="preserve"> versus </w:t>
      </w:r>
      <w:r w:rsidR="003B2F25">
        <w:rPr>
          <w:rFonts w:ascii="Fira Sans" w:hAnsi="Fira Sans"/>
          <w:sz w:val="19"/>
          <w:szCs w:val="19"/>
          <w:lang w:val="en-GB"/>
        </w:rPr>
        <w:t>plus</w:t>
      </w:r>
      <w:r w:rsidR="0094569E" w:rsidRPr="00D17623">
        <w:rPr>
          <w:rFonts w:ascii="Fira Sans" w:hAnsi="Fira Sans"/>
          <w:sz w:val="19"/>
          <w:szCs w:val="19"/>
          <w:lang w:val="en-GB"/>
        </w:rPr>
        <w:t xml:space="preserve"> </w:t>
      </w:r>
      <w:r w:rsidR="002F770E">
        <w:rPr>
          <w:rFonts w:ascii="Fira Sans" w:hAnsi="Fira Sans"/>
          <w:sz w:val="19"/>
          <w:szCs w:val="19"/>
          <w:lang w:val="en-GB"/>
        </w:rPr>
        <w:t>5.4</w:t>
      </w:r>
      <w:r w:rsidR="0094569E" w:rsidRPr="00D17623">
        <w:rPr>
          <w:rFonts w:ascii="Fira Sans" w:hAnsi="Fira Sans"/>
          <w:sz w:val="19"/>
          <w:szCs w:val="19"/>
          <w:lang w:val="en-GB"/>
        </w:rPr>
        <w:t xml:space="preserve"> in </w:t>
      </w:r>
      <w:r w:rsidR="00EE0D4C">
        <w:rPr>
          <w:rFonts w:ascii="Fira Sans" w:hAnsi="Fira Sans"/>
          <w:sz w:val="19"/>
          <w:szCs w:val="19"/>
          <w:lang w:val="en-GB"/>
        </w:rPr>
        <w:t>May</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formulate favourable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3B2F25">
        <w:rPr>
          <w:rFonts w:ascii="Fira Sans" w:hAnsi="Fira Sans"/>
          <w:sz w:val="19"/>
          <w:szCs w:val="19"/>
          <w:lang w:val="en-GB"/>
        </w:rPr>
        <w:t>3.7</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3B2F25">
        <w:rPr>
          <w:rFonts w:ascii="Fira Sans" w:hAnsi="Fira Sans"/>
          <w:sz w:val="19"/>
          <w:szCs w:val="19"/>
          <w:lang w:val="en-GB"/>
        </w:rPr>
        <w:t>whereas</w:t>
      </w:r>
      <w:r w:rsidR="00B26873">
        <w:rPr>
          <w:rFonts w:ascii="Fira Sans" w:hAnsi="Fira Sans"/>
          <w:sz w:val="19"/>
          <w:szCs w:val="19"/>
          <w:lang w:val="en-GB"/>
        </w:rPr>
        <w:t xml:space="preserve"> firms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 xml:space="preserve">report negative ones </w:t>
      </w:r>
      <w:r w:rsidR="0094569E" w:rsidRPr="00D17623">
        <w:rPr>
          <w:rFonts w:ascii="Fira Sans" w:hAnsi="Fira Sans"/>
          <w:sz w:val="19"/>
          <w:szCs w:val="19"/>
          <w:lang w:val="en-GB"/>
        </w:rPr>
        <w:t>(</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3B2F25">
        <w:rPr>
          <w:rFonts w:ascii="Fira Sans" w:hAnsi="Fira Sans"/>
          <w:sz w:val="19"/>
          <w:szCs w:val="19"/>
          <w:lang w:val="en-GB"/>
        </w:rPr>
        <w:t>1.0</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EE034C" w:rsidP="00FD60FF">
      <w:pPr>
        <w:spacing w:before="120" w:after="120"/>
        <w:ind w:firstLine="1134"/>
        <w:rPr>
          <w:rFonts w:ascii="Fira Sans SemiBold" w:eastAsia="Times New Roman" w:hAnsi="Fira Sans SemiBold" w:cs="Times New Roman"/>
          <w:bCs/>
          <w:color w:val="001D77"/>
          <w:sz w:val="19"/>
          <w:szCs w:val="24"/>
          <w:lang w:val="en-US" w:eastAsia="pl-PL"/>
        </w:rPr>
      </w:pPr>
      <w:r w:rsidRPr="00EE034C">
        <w:rPr>
          <w:noProof/>
          <w:lang w:eastAsia="pl-PL"/>
        </w:rPr>
        <w:drawing>
          <wp:anchor distT="0" distB="0" distL="114300" distR="114300" simplePos="0" relativeHeight="253328384" behindDoc="0" locked="0" layoutInCell="1" allowOverlap="1">
            <wp:simplePos x="0" y="0"/>
            <wp:positionH relativeFrom="column">
              <wp:posOffset>5334000</wp:posOffset>
            </wp:positionH>
            <wp:positionV relativeFrom="paragraph">
              <wp:posOffset>1694180</wp:posOffset>
            </wp:positionV>
            <wp:extent cx="1543050" cy="1838325"/>
            <wp:effectExtent l="0" t="0" r="0" b="9525"/>
            <wp:wrapSquare wrapText="bothSides"/>
            <wp:docPr id="61" name="Obraz 61"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34C">
        <w:rPr>
          <w:noProof/>
          <w:lang w:eastAsia="pl-PL"/>
        </w:rPr>
        <w:drawing>
          <wp:anchor distT="0" distB="0" distL="114300" distR="114300" simplePos="0" relativeHeight="253327360" behindDoc="0" locked="0" layoutInCell="1" allowOverlap="1">
            <wp:simplePos x="0" y="0"/>
            <wp:positionH relativeFrom="column">
              <wp:posOffset>0</wp:posOffset>
            </wp:positionH>
            <wp:positionV relativeFrom="paragraph">
              <wp:posOffset>1865630</wp:posOffset>
            </wp:positionV>
            <wp:extent cx="4981575" cy="1666875"/>
            <wp:effectExtent l="0" t="0" r="0" b="0"/>
            <wp:wrapSquare wrapText="bothSides"/>
            <wp:docPr id="58" name="Obraz 58"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EE034C" w:rsidRDefault="00EE034C"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5" w:name="_Hlk95286257"/>
      <w:r w:rsidRPr="00EE034C">
        <w:rPr>
          <w:noProof/>
          <w:lang w:eastAsia="pl-PL"/>
        </w:rPr>
        <w:drawing>
          <wp:anchor distT="0" distB="0" distL="114300" distR="114300" simplePos="0" relativeHeight="253330432" behindDoc="0" locked="0" layoutInCell="1" allowOverlap="1">
            <wp:simplePos x="0" y="0"/>
            <wp:positionH relativeFrom="column">
              <wp:posOffset>5334000</wp:posOffset>
            </wp:positionH>
            <wp:positionV relativeFrom="paragraph">
              <wp:posOffset>1637030</wp:posOffset>
            </wp:positionV>
            <wp:extent cx="1543050" cy="1847850"/>
            <wp:effectExtent l="0" t="0" r="0" b="0"/>
            <wp:wrapSquare wrapText="bothSides"/>
            <wp:docPr id="192" name="Obraz 192"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34C">
        <w:rPr>
          <w:noProof/>
          <w:lang w:eastAsia="pl-PL"/>
        </w:rPr>
        <w:drawing>
          <wp:anchor distT="0" distB="0" distL="114300" distR="114300" simplePos="0" relativeHeight="253329408" behindDoc="0" locked="0" layoutInCell="1" allowOverlap="1">
            <wp:simplePos x="0" y="0"/>
            <wp:positionH relativeFrom="column">
              <wp:posOffset>0</wp:posOffset>
            </wp:positionH>
            <wp:positionV relativeFrom="paragraph">
              <wp:posOffset>1808480</wp:posOffset>
            </wp:positionV>
            <wp:extent cx="4981575" cy="1666875"/>
            <wp:effectExtent l="0" t="0" r="0" b="0"/>
            <wp:wrapSquare wrapText="bothSides"/>
            <wp:docPr id="62" name="Obraz 62"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5"/>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6"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6105A6" w:rsidP="00A705DB">
      <w:pPr>
        <w:spacing w:before="120" w:after="120"/>
        <w:ind w:left="1134" w:hanging="1191"/>
        <w:rPr>
          <w:rFonts w:ascii="Fira Sans" w:hAnsi="Fira Sans"/>
          <w:b/>
          <w:strike/>
          <w:spacing w:val="-2"/>
          <w:sz w:val="19"/>
          <w:szCs w:val="19"/>
          <w:lang w:val="en-GB"/>
        </w:rPr>
      </w:pPr>
      <w:r w:rsidRPr="006105A6">
        <w:rPr>
          <w:noProof/>
          <w:lang w:eastAsia="pl-PL"/>
        </w:rPr>
        <w:drawing>
          <wp:anchor distT="0" distB="0" distL="114300" distR="114300" simplePos="0" relativeHeight="253332480" behindDoc="0" locked="0" layoutInCell="1" allowOverlap="1">
            <wp:simplePos x="0" y="0"/>
            <wp:positionH relativeFrom="column">
              <wp:posOffset>5370830</wp:posOffset>
            </wp:positionH>
            <wp:positionV relativeFrom="paragraph">
              <wp:posOffset>208280</wp:posOffset>
            </wp:positionV>
            <wp:extent cx="1543050" cy="1838325"/>
            <wp:effectExtent l="0" t="0" r="0" b="9525"/>
            <wp:wrapSquare wrapText="bothSides"/>
            <wp:docPr id="194" name="Obraz 194"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5A6">
        <w:rPr>
          <w:noProof/>
          <w:lang w:eastAsia="pl-PL"/>
        </w:rPr>
        <w:drawing>
          <wp:anchor distT="0" distB="0" distL="114300" distR="114300" simplePos="0" relativeHeight="253331456" behindDoc="0" locked="0" layoutInCell="1" allowOverlap="1">
            <wp:simplePos x="0" y="0"/>
            <wp:positionH relativeFrom="column">
              <wp:posOffset>19050</wp:posOffset>
            </wp:positionH>
            <wp:positionV relativeFrom="paragraph">
              <wp:posOffset>384810</wp:posOffset>
            </wp:positionV>
            <wp:extent cx="4981575" cy="1657350"/>
            <wp:effectExtent l="0" t="0" r="0" b="0"/>
            <wp:wrapSquare wrapText="bothSides"/>
            <wp:docPr id="193" name="Obraz 193"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8469B9">
        <w:rPr>
          <w:rFonts w:ascii="Fira Sans" w:hAnsi="Fira Sans"/>
          <w:sz w:val="19"/>
          <w:szCs w:val="19"/>
          <w:lang w:val="en-GB"/>
        </w:rPr>
        <w:t>1</w:t>
      </w:r>
      <w:r w:rsidR="000D09AD">
        <w:rPr>
          <w:rFonts w:ascii="Fira Sans" w:hAnsi="Fira Sans"/>
          <w:sz w:val="19"/>
          <w:szCs w:val="19"/>
          <w:lang w:val="en-GB"/>
        </w:rPr>
        <w:t>1.6</w:t>
      </w:r>
      <w:r w:rsidR="00A87B62">
        <w:rPr>
          <w:rFonts w:ascii="Fira Sans" w:hAnsi="Fira Sans"/>
          <w:sz w:val="19"/>
          <w:szCs w:val="19"/>
          <w:lang w:val="en-GB"/>
        </w:rPr>
        <w:t>)</w:t>
      </w:r>
      <w:r w:rsidR="00084578">
        <w:rPr>
          <w:rFonts w:ascii="Fira Sans" w:hAnsi="Fira Sans"/>
          <w:sz w:val="19"/>
          <w:szCs w:val="19"/>
          <w:lang w:val="en-GB"/>
        </w:rPr>
        <w:t xml:space="preserve"> – </w:t>
      </w:r>
      <w:r w:rsidR="008469B9">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EE0D4C">
        <w:rPr>
          <w:rFonts w:ascii="Fira Sans" w:hAnsi="Fira Sans"/>
          <w:sz w:val="19"/>
          <w:szCs w:val="19"/>
          <w:lang w:val="en-GB"/>
        </w:rPr>
        <w:t>May</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E925F9">
        <w:rPr>
          <w:rFonts w:ascii="Fira Sans" w:hAnsi="Fira Sans"/>
          <w:sz w:val="19"/>
          <w:szCs w:val="19"/>
          <w:lang w:val="en-GB"/>
        </w:rPr>
        <w:t>1</w:t>
      </w:r>
      <w:r w:rsidR="002F770E">
        <w:rPr>
          <w:rFonts w:ascii="Fira Sans" w:hAnsi="Fira Sans"/>
          <w:sz w:val="19"/>
          <w:szCs w:val="19"/>
          <w:lang w:val="en-GB"/>
        </w:rPr>
        <w:t>2.8</w:t>
      </w:r>
      <w:r w:rsidR="0094569E" w:rsidRPr="00D17623">
        <w:rPr>
          <w:rFonts w:ascii="Fira Sans" w:hAnsi="Fira Sans"/>
          <w:sz w:val="19"/>
          <w:szCs w:val="19"/>
          <w:lang w:val="en-GB"/>
        </w:rPr>
        <w:t>).</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32345D" w:rsidRDefault="00E011CF" w:rsidP="002A6C3E">
      <w:pPr>
        <w:spacing w:before="480" w:after="120"/>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6105A6" w:rsidP="00D54A29">
      <w:pPr>
        <w:spacing w:before="120" w:after="120"/>
        <w:ind w:left="1134" w:hanging="1134"/>
        <w:rPr>
          <w:rFonts w:ascii="Fira Sans" w:hAnsi="Fira Sans"/>
          <w:strike/>
          <w:spacing w:val="-4"/>
          <w:sz w:val="19"/>
          <w:szCs w:val="19"/>
          <w:lang w:val="en-GB"/>
        </w:rPr>
      </w:pPr>
      <w:r w:rsidRPr="006105A6">
        <w:rPr>
          <w:noProof/>
          <w:lang w:eastAsia="pl-PL"/>
        </w:rPr>
        <w:drawing>
          <wp:anchor distT="0" distB="0" distL="114300" distR="114300" simplePos="0" relativeHeight="253334528" behindDoc="0" locked="0" layoutInCell="1" allowOverlap="1">
            <wp:simplePos x="0" y="0"/>
            <wp:positionH relativeFrom="column">
              <wp:posOffset>5372100</wp:posOffset>
            </wp:positionH>
            <wp:positionV relativeFrom="paragraph">
              <wp:posOffset>175895</wp:posOffset>
            </wp:positionV>
            <wp:extent cx="1543050" cy="1838325"/>
            <wp:effectExtent l="0" t="0" r="0" b="9525"/>
            <wp:wrapSquare wrapText="bothSides"/>
            <wp:docPr id="196" name="Obraz 196"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5A6">
        <w:rPr>
          <w:noProof/>
          <w:lang w:eastAsia="pl-PL"/>
        </w:rPr>
        <w:drawing>
          <wp:anchor distT="0" distB="0" distL="114300" distR="114300" simplePos="0" relativeHeight="253333504" behindDoc="0" locked="0" layoutInCell="1" allowOverlap="1">
            <wp:simplePos x="0" y="0"/>
            <wp:positionH relativeFrom="column">
              <wp:posOffset>19050</wp:posOffset>
            </wp:positionH>
            <wp:positionV relativeFrom="paragraph">
              <wp:posOffset>366395</wp:posOffset>
            </wp:positionV>
            <wp:extent cx="4981575" cy="1657350"/>
            <wp:effectExtent l="0" t="0" r="0" b="0"/>
            <wp:wrapSquare wrapText="bothSides"/>
            <wp:docPr id="195" name="Obraz 195"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EE0D4C">
        <w:rPr>
          <w:rFonts w:ascii="Fira Sans" w:hAnsi="Fira Sans"/>
          <w:sz w:val="19"/>
          <w:szCs w:val="19"/>
          <w:lang w:val="en-GB"/>
        </w:rPr>
        <w:t>June</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8469B9">
        <w:rPr>
          <w:rFonts w:ascii="Fira Sans" w:hAnsi="Fira Sans"/>
          <w:sz w:val="19"/>
          <w:szCs w:val="19"/>
          <w:lang w:val="en-GB"/>
        </w:rPr>
        <w:t>1</w:t>
      </w:r>
      <w:r w:rsidR="000D09AD">
        <w:rPr>
          <w:rFonts w:ascii="Fira Sans" w:hAnsi="Fira Sans"/>
          <w:sz w:val="19"/>
          <w:szCs w:val="19"/>
          <w:lang w:val="en-GB"/>
        </w:rPr>
        <w:t>4.1</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0D09AD">
        <w:rPr>
          <w:rFonts w:ascii="Fira Sans" w:hAnsi="Fira Sans"/>
          <w:sz w:val="19"/>
          <w:szCs w:val="19"/>
          <w:lang w:val="en-GB"/>
        </w:rPr>
        <w:t>lower</w:t>
      </w:r>
      <w:r w:rsidR="000639B8">
        <w:rPr>
          <w:rFonts w:ascii="Fira Sans" w:hAnsi="Fira Sans"/>
          <w:sz w:val="19"/>
          <w:szCs w:val="19"/>
          <w:lang w:val="en-GB"/>
        </w:rPr>
        <w:t xml:space="preserve">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w:t>
      </w:r>
      <w:r w:rsidR="00E925F9">
        <w:rPr>
          <w:rFonts w:ascii="Fira Sans" w:hAnsi="Fira Sans"/>
          <w:sz w:val="19"/>
          <w:szCs w:val="19"/>
          <w:lang w:val="en-GB"/>
        </w:rPr>
        <w:t>1</w:t>
      </w:r>
      <w:r w:rsidR="002F770E">
        <w:rPr>
          <w:rFonts w:ascii="Fira Sans" w:hAnsi="Fira Sans"/>
          <w:sz w:val="19"/>
          <w:szCs w:val="19"/>
          <w:lang w:val="en-GB"/>
        </w:rPr>
        <w:t>8.4</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 xml:space="preserve">Table 1. </w:t>
      </w:r>
      <w:bookmarkStart w:id="8" w:name="_Hlk95286680"/>
      <w:r w:rsidR="003A6C49">
        <w:rPr>
          <w:rFonts w:ascii="Fira Sans" w:hAnsi="Fira Sans"/>
          <w:spacing w:val="-2"/>
          <w:szCs w:val="19"/>
          <w:lang w:val="en-GB"/>
        </w:rPr>
        <w:t>General b</w:t>
      </w:r>
      <w:r w:rsidRPr="00D17623">
        <w:rPr>
          <w:rFonts w:ascii="Fira Sans" w:hAnsi="Fira Sans"/>
          <w:spacing w:val="-2"/>
          <w:szCs w:val="19"/>
          <w:lang w:val="en-GB"/>
        </w:rPr>
        <w:t xml:space="preserve">usiness climate indicators </w:t>
      </w:r>
      <w:bookmarkStart w:id="9" w:name="_Hlk95286692"/>
      <w:bookmarkEnd w:id="8"/>
      <w:r w:rsidRPr="00D17623">
        <w:rPr>
          <w:rFonts w:ascii="Fira Sans" w:hAnsi="Fira Sans"/>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7F7893"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7F7893" w:rsidRPr="00D17623" w:rsidRDefault="007F7893" w:rsidP="007F789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36576" behindDoc="0" locked="0" layoutInCell="1" allowOverlap="1" wp14:anchorId="151E1C1B" wp14:editId="3F28F267">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-2,9</w:t>
            </w:r>
          </w:p>
        </w:tc>
        <w:tc>
          <w:tcPr>
            <w:tcW w:w="851" w:type="dxa"/>
            <w:tcBorders>
              <w:top w:val="single" w:sz="12" w:space="0" w:color="001D77"/>
              <w:bottom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-12,1</w:t>
            </w:r>
          </w:p>
        </w:tc>
        <w:tc>
          <w:tcPr>
            <w:tcW w:w="850" w:type="dxa"/>
            <w:tcBorders>
              <w:top w:val="single" w:sz="12" w:space="0" w:color="001D77"/>
              <w:bottom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-15,2</w:t>
            </w:r>
          </w:p>
        </w:tc>
        <w:tc>
          <w:tcPr>
            <w:tcW w:w="1115" w:type="dxa"/>
            <w:tcBorders>
              <w:top w:val="single" w:sz="12"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2,3</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-13,0</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2,3</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-6,9</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-1,3</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-17,1</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5,9</w:t>
            </w:r>
          </w:p>
        </w:tc>
      </w:tr>
      <w:tr w:rsidR="007F789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37600" behindDoc="0" locked="0" layoutInCell="1" allowOverlap="1" wp14:anchorId="20E834E8" wp14:editId="074279C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-14,7</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-17,4</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-2,7</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-14,0</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-15,5</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-2,7</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-11,2</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-12,5</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-6,0</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-2,1</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-16,7</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-18,4</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0,6</w:t>
            </w:r>
          </w:p>
        </w:tc>
      </w:tr>
      <w:tr w:rsidR="007F789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38624" behindDoc="0" locked="0" layoutInCell="1" allowOverlap="1" wp14:anchorId="1C479F4B" wp14:editId="02B6B05B">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-4,5</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3,9</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-2,5</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3,9</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14,2</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8,6</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9,1</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-13,6</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-1,3</w:t>
            </w:r>
          </w:p>
        </w:tc>
      </w:tr>
      <w:tr w:rsidR="007F789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39648" behindDoc="0" locked="0" layoutInCell="1" allowOverlap="1" wp14:anchorId="359837B3" wp14:editId="2B9DA10D">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-4,2</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-5,7</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-6,2</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-4,2</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-2,1</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-3,7</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-12,8</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-4,7</w:t>
            </w:r>
          </w:p>
        </w:tc>
      </w:tr>
      <w:tr w:rsidR="007F789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F7893" w:rsidRPr="00D17623" w:rsidRDefault="007F7893" w:rsidP="007F7893">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40672" behindDoc="0" locked="0" layoutInCell="1" allowOverlap="1" wp14:anchorId="59384417" wp14:editId="5E99146C">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-0,4</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5,9</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-5,7</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-0,4</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0,7</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-13,8</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-13,8</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-1,5</w:t>
            </w:r>
          </w:p>
        </w:tc>
      </w:tr>
      <w:tr w:rsidR="007F7893"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F7893" w:rsidRPr="00D17623" w:rsidRDefault="007F7893" w:rsidP="007F7893">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41696" behindDoc="0" locked="0" layoutInCell="1" allowOverlap="1" wp14:anchorId="31B16CEB" wp14:editId="7EAC4C9B">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-7,6</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-0,2</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5,4</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-0,2</w:t>
            </w:r>
          </w:p>
        </w:tc>
      </w:tr>
      <w:tr w:rsidR="007F7893" w:rsidRPr="00D17623" w:rsidTr="00F8129D">
        <w:trPr>
          <w:trHeight w:hRule="exact" w:val="369"/>
        </w:trPr>
        <w:tc>
          <w:tcPr>
            <w:tcW w:w="1418" w:type="dxa"/>
            <w:vMerge/>
            <w:tcBorders>
              <w:top w:val="single" w:sz="4" w:space="0" w:color="001D77"/>
              <w:left w:val="nil"/>
              <w:bottom w:val="single" w:sz="4" w:space="0" w:color="001D77"/>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-32,6</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-2,3</w:t>
            </w:r>
          </w:p>
        </w:tc>
      </w:tr>
      <w:tr w:rsidR="007F7893" w:rsidRPr="00D17623" w:rsidTr="00F8129D">
        <w:trPr>
          <w:trHeight w:hRule="exact" w:val="369"/>
        </w:trPr>
        <w:tc>
          <w:tcPr>
            <w:tcW w:w="1418" w:type="dxa"/>
            <w:vMerge/>
            <w:tcBorders>
              <w:top w:val="single" w:sz="4" w:space="0" w:color="001D77"/>
              <w:left w:val="nil"/>
              <w:bottom w:val="single" w:sz="4" w:space="0" w:color="auto"/>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38,8</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14,5</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6,8</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2,0</w:t>
            </w:r>
          </w:p>
        </w:tc>
      </w:tr>
      <w:tr w:rsidR="007F7893" w:rsidRPr="00D17623" w:rsidTr="00F8129D">
        <w:trPr>
          <w:trHeight w:hRule="exact" w:val="369"/>
        </w:trPr>
        <w:tc>
          <w:tcPr>
            <w:tcW w:w="1418" w:type="dxa"/>
            <w:vMerge w:val="restart"/>
            <w:tcBorders>
              <w:left w:val="nil"/>
              <w:right w:val="nil"/>
            </w:tcBorders>
          </w:tcPr>
          <w:p w:rsidR="007F7893" w:rsidRPr="00D17623" w:rsidRDefault="007F7893" w:rsidP="007F7893">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42720" behindDoc="0" locked="0" layoutInCell="1" allowOverlap="1" wp14:anchorId="3303E353" wp14:editId="3734BB4C">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14,3</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11,7</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18,6</w:t>
            </w:r>
          </w:p>
        </w:tc>
      </w:tr>
      <w:tr w:rsidR="007F7893" w:rsidRPr="00D17623" w:rsidTr="00F8129D">
        <w:trPr>
          <w:trHeight w:hRule="exact" w:val="369"/>
        </w:trPr>
        <w:tc>
          <w:tcPr>
            <w:tcW w:w="1418" w:type="dxa"/>
            <w:vMerge/>
            <w:tcBorders>
              <w:left w:val="nil"/>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14,2</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11,6</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18,6</w:t>
            </w:r>
          </w:p>
        </w:tc>
      </w:tr>
      <w:tr w:rsidR="007F7893" w:rsidRPr="00D17623" w:rsidTr="00F8129D">
        <w:trPr>
          <w:trHeight w:hRule="exact" w:val="369"/>
        </w:trPr>
        <w:tc>
          <w:tcPr>
            <w:tcW w:w="1418" w:type="dxa"/>
            <w:vMerge/>
            <w:tcBorders>
              <w:left w:val="nil"/>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25,4</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26,8</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25,8</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26,0</w:t>
            </w:r>
          </w:p>
        </w:tc>
      </w:tr>
      <w:tr w:rsidR="007F7893" w:rsidRPr="00D17623" w:rsidTr="00F8129D">
        <w:trPr>
          <w:trHeight w:hRule="exact" w:val="369"/>
        </w:trPr>
        <w:tc>
          <w:tcPr>
            <w:tcW w:w="1418" w:type="dxa"/>
            <w:vMerge/>
            <w:tcBorders>
              <w:left w:val="nil"/>
              <w:bottom w:val="single" w:sz="4" w:space="0" w:color="auto"/>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11,1</w:t>
            </w:r>
          </w:p>
        </w:tc>
      </w:tr>
      <w:tr w:rsidR="007F7893" w:rsidRPr="00D17623" w:rsidTr="00F8129D">
        <w:trPr>
          <w:trHeight w:val="369"/>
        </w:trPr>
        <w:tc>
          <w:tcPr>
            <w:tcW w:w="1418" w:type="dxa"/>
            <w:vMerge w:val="restart"/>
            <w:tcBorders>
              <w:left w:val="nil"/>
              <w:bottom w:val="nil"/>
              <w:right w:val="nil"/>
            </w:tcBorders>
          </w:tcPr>
          <w:p w:rsidR="007F7893" w:rsidRPr="00D17623" w:rsidRDefault="007F7893" w:rsidP="007F7893">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43744" behindDoc="0" locked="0" layoutInCell="1" allowOverlap="1" wp14:anchorId="7D022BC5" wp14:editId="57562A9D">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w:t>
            </w:r>
          </w:p>
        </w:tc>
      </w:tr>
      <w:tr w:rsidR="007F7893" w:rsidRPr="00D17623" w:rsidTr="00F8129D">
        <w:trPr>
          <w:trHeight w:val="369"/>
        </w:trPr>
        <w:tc>
          <w:tcPr>
            <w:tcW w:w="1418" w:type="dxa"/>
            <w:vMerge/>
            <w:tcBorders>
              <w:left w:val="nil"/>
              <w:bottom w:val="nil"/>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10,3</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18,4</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26,5</w:t>
            </w:r>
          </w:p>
        </w:tc>
      </w:tr>
      <w:tr w:rsidR="007F7893" w:rsidRPr="00D17623" w:rsidTr="00F8129D">
        <w:trPr>
          <w:trHeight w:val="369"/>
        </w:trPr>
        <w:tc>
          <w:tcPr>
            <w:tcW w:w="1418" w:type="dxa"/>
            <w:vMerge/>
            <w:tcBorders>
              <w:left w:val="nil"/>
              <w:bottom w:val="nil"/>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17,7</w:t>
            </w:r>
          </w:p>
        </w:tc>
        <w:tc>
          <w:tcPr>
            <w:tcW w:w="851"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30,4</w:t>
            </w:r>
          </w:p>
        </w:tc>
        <w:tc>
          <w:tcPr>
            <w:tcW w:w="850" w:type="dxa"/>
            <w:tcBorders>
              <w:top w:val="single" w:sz="4" w:space="0" w:color="001D77"/>
              <w:left w:val="single" w:sz="4" w:space="0" w:color="001D77"/>
              <w:bottom w:val="single" w:sz="4" w:space="0" w:color="001D77"/>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29,2</w:t>
            </w:r>
          </w:p>
        </w:tc>
        <w:tc>
          <w:tcPr>
            <w:tcW w:w="1115" w:type="dxa"/>
            <w:tcBorders>
              <w:top w:val="single" w:sz="4" w:space="0" w:color="001D77"/>
              <w:left w:val="single" w:sz="4" w:space="0" w:color="001D77"/>
              <w:bottom w:val="single" w:sz="4" w:space="0" w:color="001D77"/>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33,0</w:t>
            </w:r>
          </w:p>
        </w:tc>
      </w:tr>
      <w:tr w:rsidR="007F7893" w:rsidRPr="00D17623" w:rsidTr="00F8129D">
        <w:trPr>
          <w:trHeight w:val="354"/>
        </w:trPr>
        <w:tc>
          <w:tcPr>
            <w:tcW w:w="1418" w:type="dxa"/>
            <w:vMerge/>
            <w:tcBorders>
              <w:left w:val="nil"/>
              <w:bottom w:val="nil"/>
              <w:right w:val="nil"/>
            </w:tcBorders>
          </w:tcPr>
          <w:p w:rsidR="007F7893" w:rsidRPr="00D17623" w:rsidRDefault="007F7893" w:rsidP="007F7893">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7F7893" w:rsidRPr="00D17623" w:rsidRDefault="007F7893" w:rsidP="007F7893">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2,9</w:t>
            </w:r>
          </w:p>
        </w:tc>
        <w:tc>
          <w:tcPr>
            <w:tcW w:w="851" w:type="dxa"/>
            <w:tcBorders>
              <w:top w:val="single" w:sz="4" w:space="0" w:color="001D77"/>
              <w:left w:val="single" w:sz="4" w:space="0" w:color="001D77"/>
              <w:bottom w:val="nil"/>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6,4</w:t>
            </w:r>
          </w:p>
        </w:tc>
        <w:tc>
          <w:tcPr>
            <w:tcW w:w="850" w:type="dxa"/>
            <w:tcBorders>
              <w:top w:val="single" w:sz="4" w:space="0" w:color="001D77"/>
              <w:left w:val="single" w:sz="4" w:space="0" w:color="001D77"/>
              <w:bottom w:val="nil"/>
              <w:right w:val="single" w:sz="4" w:space="0" w:color="001D77"/>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b/>
                <w:color w:val="000000"/>
                <w:sz w:val="12"/>
                <w:szCs w:val="12"/>
              </w:rPr>
            </w:pPr>
            <w:r w:rsidRPr="00BA23D2">
              <w:rPr>
                <w:rFonts w:ascii="Fira Sans" w:hAnsi="Fira Sans" w:cs="Fira Sans"/>
                <w:b/>
                <w:color w:val="000000"/>
                <w:sz w:val="12"/>
                <w:szCs w:val="12"/>
              </w:rPr>
              <w:t>-1,0</w:t>
            </w:r>
          </w:p>
        </w:tc>
        <w:tc>
          <w:tcPr>
            <w:tcW w:w="1115" w:type="dxa"/>
            <w:tcBorders>
              <w:top w:val="single" w:sz="4" w:space="0" w:color="001D77"/>
              <w:left w:val="single" w:sz="4" w:space="0" w:color="001D77"/>
              <w:bottom w:val="nil"/>
              <w:right w:val="nil"/>
            </w:tcBorders>
            <w:vAlign w:val="center"/>
          </w:tcPr>
          <w:p w:rsidR="007F7893" w:rsidRPr="00BA23D2" w:rsidRDefault="007F7893" w:rsidP="007F7893">
            <w:pPr>
              <w:autoSpaceDE w:val="0"/>
              <w:autoSpaceDN w:val="0"/>
              <w:adjustRightInd w:val="0"/>
              <w:spacing w:before="40" w:after="40" w:line="259" w:lineRule="auto"/>
              <w:jc w:val="right"/>
              <w:rPr>
                <w:rFonts w:ascii="Fira Sans" w:hAnsi="Fira Sans" w:cs="Fira Sans"/>
                <w:color w:val="000000"/>
                <w:sz w:val="12"/>
                <w:szCs w:val="12"/>
              </w:rPr>
            </w:pPr>
            <w:r w:rsidRPr="00BA23D2">
              <w:rPr>
                <w:rFonts w:ascii="Fira Sans" w:hAnsi="Fira Sans" w:cs="Fira Sans"/>
                <w:color w:val="000000"/>
                <w:sz w:val="12"/>
                <w:szCs w:val="12"/>
              </w:rPr>
              <w:t>19,9</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Impact of </w:t>
      </w:r>
      <w:r w:rsidR="00E93307">
        <w:rPr>
          <w:color w:val="auto"/>
          <w:sz w:val="32"/>
          <w:szCs w:val="32"/>
          <w:lang w:val="en-GB"/>
        </w:rPr>
        <w:t xml:space="preserve">war in Ukraine </w:t>
      </w:r>
      <w:r w:rsidR="00A36444" w:rsidRPr="00D17623">
        <w:rPr>
          <w:color w:val="auto"/>
          <w:sz w:val="32"/>
          <w:szCs w:val="32"/>
          <w:lang w:val="en-GB"/>
        </w:rPr>
        <w:t>on business tendency</w:t>
      </w:r>
      <w:r w:rsidR="00E93307">
        <w:rPr>
          <w:color w:val="auto"/>
          <w:sz w:val="32"/>
          <w:szCs w:val="32"/>
          <w:lang w:val="en-GB"/>
        </w:rPr>
        <w:t xml:space="preserve"> </w:t>
      </w: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ED6C70" w:rsidTr="000949DE">
        <w:tc>
          <w:tcPr>
            <w:tcW w:w="8044" w:type="dxa"/>
            <w:shd w:val="clear" w:color="auto" w:fill="C4CBF5"/>
          </w:tcPr>
          <w:p w:rsidR="00672E47" w:rsidRPr="00D17623" w:rsidRDefault="003A65E0" w:rsidP="00F245FF">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on investments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bookmarkStart w:id="12" w:name="_Hlk95286970"/>
      <w:r w:rsidRPr="00D17623">
        <w:rPr>
          <w:rFonts w:ascii="Fira Sans" w:hAnsi="Fira Sans"/>
          <w:spacing w:val="-2"/>
          <w:szCs w:val="19"/>
          <w:lang w:val="en-GB"/>
        </w:rPr>
        <w:t xml:space="preserve">Table 2. Survey data </w:t>
      </w:r>
      <w:r w:rsidR="002C0522">
        <w:rPr>
          <w:rFonts w:ascii="Fira Sans" w:hAnsi="Fira Sans"/>
          <w:spacing w:val="-2"/>
          <w:szCs w:val="19"/>
          <w:lang w:val="en-GB"/>
        </w:rPr>
        <w:t>concerning the</w:t>
      </w:r>
      <w:r w:rsidRPr="00D17623">
        <w:rPr>
          <w:rFonts w:ascii="Fira Sans" w:hAnsi="Fira Sans"/>
          <w:spacing w:val="-2"/>
          <w:szCs w:val="19"/>
          <w:lang w:val="en-GB"/>
        </w:rPr>
        <w:t xml:space="preserve"> impact of </w:t>
      </w:r>
      <w:r w:rsidR="003C53E9">
        <w:rPr>
          <w:rFonts w:ascii="Fira Sans" w:hAnsi="Fira Sans"/>
          <w:spacing w:val="-2"/>
          <w:szCs w:val="19"/>
          <w:lang w:val="en-GB"/>
        </w:rPr>
        <w:t xml:space="preserve">war in Ukraine </w:t>
      </w:r>
      <w:r w:rsidRPr="00D17623">
        <w:rPr>
          <w:rFonts w:ascii="Fira Sans" w:hAnsi="Fira Sans"/>
          <w:spacing w:val="-2"/>
          <w:szCs w:val="19"/>
          <w:lang w:val="en-GB"/>
        </w:rPr>
        <w:t>on business tendency</w:t>
      </w:r>
      <w:bookmarkEnd w:id="12"/>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war in Ukraine on business tendency"/>
        <w:tblDescription w:val="Survey data concerning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ED6C70" w:rsidTr="004D5FCA">
        <w:tc>
          <w:tcPr>
            <w:tcW w:w="2552" w:type="dxa"/>
            <w:tcBorders>
              <w:top w:val="nil"/>
              <w:left w:val="nil"/>
              <w:bottom w:val="single" w:sz="2" w:space="0" w:color="001D77"/>
              <w:right w:val="single" w:sz="2" w:space="0" w:color="001D77"/>
            </w:tcBorders>
            <w:vAlign w:val="center"/>
          </w:tcPr>
          <w:p w:rsidR="00835F14" w:rsidRPr="006B3A7A" w:rsidRDefault="005705CB"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0320"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4D5FCA">
            <w:pPr>
              <w:spacing w:line="259" w:lineRule="auto"/>
              <w:jc w:val="center"/>
              <w:rPr>
                <w:rFonts w:ascii="Fira Sans" w:hAnsi="Fira Sans"/>
                <w:sz w:val="12"/>
                <w:szCs w:val="12"/>
              </w:rPr>
            </w:pP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4D5FC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ED6C70"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F74048" w:rsidRDefault="00F74048"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835F14" w:rsidRPr="00ED6C70"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F74048" w:rsidRDefault="00835F14" w:rsidP="004D5FCA">
            <w:pPr>
              <w:spacing w:line="240" w:lineRule="auto"/>
              <w:rPr>
                <w:rFonts w:ascii="Fira Sans" w:hAnsi="Fira Sans"/>
                <w:b/>
                <w:sz w:val="14"/>
                <w:szCs w:val="14"/>
                <w:lang w:val="en-US"/>
              </w:rPr>
            </w:pPr>
          </w:p>
        </w:tc>
      </w:tr>
      <w:tr w:rsidR="00835F14" w:rsidRPr="00ED6C70" w:rsidTr="004D5FCA">
        <w:tc>
          <w:tcPr>
            <w:tcW w:w="8096" w:type="dxa"/>
            <w:gridSpan w:val="7"/>
            <w:tcBorders>
              <w:top w:val="nil"/>
              <w:left w:val="nil"/>
              <w:bottom w:val="single" w:sz="4" w:space="0" w:color="001D77"/>
              <w:right w:val="nil"/>
            </w:tcBorders>
          </w:tcPr>
          <w:p w:rsidR="00835F14" w:rsidRPr="005705CB" w:rsidRDefault="005705CB" w:rsidP="004D5FCA">
            <w:pPr>
              <w:tabs>
                <w:tab w:val="left" w:pos="176"/>
              </w:tabs>
              <w:spacing w:before="60" w:after="60"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00944FF4" w:rsidRPr="00944FF4">
              <w:rPr>
                <w:rFonts w:ascii="Fira Sans" w:hAnsi="Fira Sans"/>
                <w:b/>
                <w:sz w:val="14"/>
                <w:szCs w:val="14"/>
                <w:lang w:val="en-US"/>
              </w:rPr>
              <w:t>Negative effects of the ongoing war in Ukraine and its impact on your business activity in the current month will be</w:t>
            </w:r>
            <w:r w:rsidR="00944FF4">
              <w:rPr>
                <w:rFonts w:ascii="Fira Sans" w:hAnsi="Fira Sans"/>
                <w:b/>
                <w:sz w:val="14"/>
                <w:szCs w:val="14"/>
                <w:lang w:val="en-US"/>
              </w:rPr>
              <w:t>:</w:t>
            </w:r>
          </w:p>
        </w:tc>
      </w:tr>
      <w:tr w:rsidR="00944FF4" w:rsidRPr="006B3A7A" w:rsidTr="00CD59E9">
        <w:tc>
          <w:tcPr>
            <w:tcW w:w="2552" w:type="dxa"/>
            <w:tcBorders>
              <w:top w:val="single" w:sz="2" w:space="0" w:color="001D77"/>
              <w:left w:val="nil"/>
              <w:bottom w:val="single" w:sz="2" w:space="0" w:color="001D77"/>
              <w:right w:val="single" w:sz="2" w:space="0" w:color="001D77"/>
            </w:tcBorders>
            <w:vAlign w:val="center"/>
          </w:tcPr>
          <w:p w:rsidR="00944FF4" w:rsidRPr="00D17623" w:rsidRDefault="00944FF4" w:rsidP="00944FF4">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12,4</w:t>
            </w:r>
          </w:p>
        </w:tc>
        <w:tc>
          <w:tcPr>
            <w:tcW w:w="907"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13,5</w:t>
            </w:r>
          </w:p>
        </w:tc>
        <w:tc>
          <w:tcPr>
            <w:tcW w:w="924"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14,6</w:t>
            </w:r>
          </w:p>
        </w:tc>
        <w:tc>
          <w:tcPr>
            <w:tcW w:w="959"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12,6</w:t>
            </w:r>
          </w:p>
        </w:tc>
        <w:tc>
          <w:tcPr>
            <w:tcW w:w="952"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14,7</w:t>
            </w:r>
          </w:p>
        </w:tc>
        <w:tc>
          <w:tcPr>
            <w:tcW w:w="955" w:type="dxa"/>
            <w:tcBorders>
              <w:top w:val="single" w:sz="4" w:space="0" w:color="001D77"/>
              <w:left w:val="single" w:sz="4" w:space="0" w:color="001D77"/>
              <w:bottom w:val="single" w:sz="2" w:space="0" w:color="001D77"/>
              <w:right w:val="nil"/>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10,7</w:t>
            </w:r>
          </w:p>
        </w:tc>
      </w:tr>
      <w:tr w:rsidR="00944FF4" w:rsidRPr="006B3A7A" w:rsidTr="00CD59E9">
        <w:tc>
          <w:tcPr>
            <w:tcW w:w="2552" w:type="dxa"/>
            <w:tcBorders>
              <w:top w:val="single" w:sz="2" w:space="0" w:color="001D77"/>
              <w:left w:val="nil"/>
              <w:bottom w:val="single" w:sz="2" w:space="0" w:color="001D77"/>
              <w:right w:val="single" w:sz="2" w:space="0" w:color="001D77"/>
            </w:tcBorders>
            <w:vAlign w:val="center"/>
          </w:tcPr>
          <w:p w:rsidR="00944FF4" w:rsidRPr="00D17623" w:rsidRDefault="00944FF4" w:rsidP="00944FF4">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62,4</w:t>
            </w:r>
          </w:p>
        </w:tc>
        <w:tc>
          <w:tcPr>
            <w:tcW w:w="907"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51,8</w:t>
            </w:r>
          </w:p>
        </w:tc>
        <w:tc>
          <w:tcPr>
            <w:tcW w:w="924"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54,2</w:t>
            </w:r>
          </w:p>
        </w:tc>
        <w:tc>
          <w:tcPr>
            <w:tcW w:w="959"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70,9</w:t>
            </w:r>
          </w:p>
        </w:tc>
        <w:tc>
          <w:tcPr>
            <w:tcW w:w="952"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49,3</w:t>
            </w:r>
          </w:p>
        </w:tc>
        <w:tc>
          <w:tcPr>
            <w:tcW w:w="955" w:type="dxa"/>
            <w:tcBorders>
              <w:top w:val="single" w:sz="4" w:space="0" w:color="001D77"/>
              <w:left w:val="single" w:sz="4" w:space="0" w:color="001D77"/>
              <w:bottom w:val="single" w:sz="4" w:space="0" w:color="001D77"/>
              <w:right w:val="nil"/>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52,1</w:t>
            </w:r>
          </w:p>
        </w:tc>
      </w:tr>
      <w:tr w:rsidR="00944FF4" w:rsidRPr="006B3A7A" w:rsidTr="00CD59E9">
        <w:tc>
          <w:tcPr>
            <w:tcW w:w="2552" w:type="dxa"/>
            <w:tcBorders>
              <w:top w:val="single" w:sz="2" w:space="0" w:color="001D77"/>
              <w:left w:val="nil"/>
              <w:bottom w:val="single" w:sz="2" w:space="0" w:color="001D77"/>
              <w:right w:val="single" w:sz="2" w:space="0" w:color="001D77"/>
            </w:tcBorders>
            <w:vAlign w:val="center"/>
          </w:tcPr>
          <w:p w:rsidR="00944FF4" w:rsidRPr="00D17623" w:rsidRDefault="00944FF4" w:rsidP="00944FF4">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22,8</w:t>
            </w:r>
          </w:p>
        </w:tc>
        <w:tc>
          <w:tcPr>
            <w:tcW w:w="907"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24,0</w:t>
            </w:r>
          </w:p>
        </w:tc>
        <w:tc>
          <w:tcPr>
            <w:tcW w:w="924"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26,3</w:t>
            </w:r>
          </w:p>
        </w:tc>
        <w:tc>
          <w:tcPr>
            <w:tcW w:w="959"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12,0</w:t>
            </w:r>
          </w:p>
        </w:tc>
        <w:tc>
          <w:tcPr>
            <w:tcW w:w="952" w:type="dxa"/>
            <w:tcBorders>
              <w:top w:val="single" w:sz="4" w:space="0" w:color="001D77"/>
              <w:left w:val="single" w:sz="4" w:space="0" w:color="001D77"/>
              <w:bottom w:val="single" w:sz="4"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25,2</w:t>
            </w:r>
          </w:p>
        </w:tc>
        <w:tc>
          <w:tcPr>
            <w:tcW w:w="955" w:type="dxa"/>
            <w:tcBorders>
              <w:top w:val="single" w:sz="4" w:space="0" w:color="001D77"/>
              <w:left w:val="single" w:sz="4" w:space="0" w:color="001D77"/>
              <w:bottom w:val="single" w:sz="4" w:space="0" w:color="001D77"/>
              <w:right w:val="nil"/>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29,5</w:t>
            </w:r>
          </w:p>
        </w:tc>
      </w:tr>
      <w:tr w:rsidR="00944FF4" w:rsidRPr="006B3A7A" w:rsidTr="00CD59E9">
        <w:tc>
          <w:tcPr>
            <w:tcW w:w="2552" w:type="dxa"/>
            <w:tcBorders>
              <w:top w:val="single" w:sz="2" w:space="0" w:color="001D77"/>
              <w:left w:val="nil"/>
              <w:bottom w:val="single" w:sz="2" w:space="0" w:color="001D77"/>
              <w:right w:val="single" w:sz="2" w:space="0" w:color="001D77"/>
            </w:tcBorders>
            <w:vAlign w:val="center"/>
          </w:tcPr>
          <w:p w:rsidR="00944FF4" w:rsidRPr="00D17623" w:rsidRDefault="00944FF4" w:rsidP="00944FF4">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2,4</w:t>
            </w:r>
          </w:p>
        </w:tc>
        <w:tc>
          <w:tcPr>
            <w:tcW w:w="907"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10,7</w:t>
            </w:r>
          </w:p>
        </w:tc>
        <w:tc>
          <w:tcPr>
            <w:tcW w:w="924"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4,9</w:t>
            </w:r>
          </w:p>
        </w:tc>
        <w:tc>
          <w:tcPr>
            <w:tcW w:w="959"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4,5</w:t>
            </w:r>
          </w:p>
        </w:tc>
        <w:tc>
          <w:tcPr>
            <w:tcW w:w="952"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10,8</w:t>
            </w:r>
          </w:p>
        </w:tc>
        <w:tc>
          <w:tcPr>
            <w:tcW w:w="955" w:type="dxa"/>
            <w:tcBorders>
              <w:top w:val="single" w:sz="4" w:space="0" w:color="001D77"/>
              <w:left w:val="single" w:sz="4" w:space="0" w:color="001D77"/>
              <w:bottom w:val="single" w:sz="2" w:space="0" w:color="001D77"/>
              <w:right w:val="nil"/>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7,7</w:t>
            </w:r>
          </w:p>
        </w:tc>
      </w:tr>
      <w:tr w:rsidR="00944FF4" w:rsidRPr="00944FF4" w:rsidTr="00CD59E9">
        <w:tc>
          <w:tcPr>
            <w:tcW w:w="2552" w:type="dxa"/>
            <w:tcBorders>
              <w:top w:val="single" w:sz="2" w:space="0" w:color="001D77"/>
              <w:left w:val="nil"/>
              <w:bottom w:val="single" w:sz="2" w:space="0" w:color="001D77"/>
              <w:right w:val="single" w:sz="2" w:space="0" w:color="001D77"/>
            </w:tcBorders>
            <w:vAlign w:val="center"/>
          </w:tcPr>
          <w:p w:rsidR="00944FF4" w:rsidRPr="00D17623" w:rsidRDefault="00944FF4" w:rsidP="00944FF4">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74,8</w:t>
            </w:r>
          </w:p>
        </w:tc>
        <w:tc>
          <w:tcPr>
            <w:tcW w:w="907"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65,3</w:t>
            </w:r>
          </w:p>
        </w:tc>
        <w:tc>
          <w:tcPr>
            <w:tcW w:w="924"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68,8</w:t>
            </w:r>
          </w:p>
        </w:tc>
        <w:tc>
          <w:tcPr>
            <w:tcW w:w="959"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83,5</w:t>
            </w:r>
          </w:p>
        </w:tc>
        <w:tc>
          <w:tcPr>
            <w:tcW w:w="952"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64,0</w:t>
            </w:r>
          </w:p>
        </w:tc>
        <w:tc>
          <w:tcPr>
            <w:tcW w:w="955" w:type="dxa"/>
            <w:tcBorders>
              <w:top w:val="single" w:sz="4" w:space="0" w:color="001D77"/>
              <w:left w:val="single" w:sz="4" w:space="0" w:color="001D77"/>
              <w:bottom w:val="single" w:sz="2" w:space="0" w:color="001D77"/>
              <w:right w:val="nil"/>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62,8</w:t>
            </w:r>
          </w:p>
        </w:tc>
      </w:tr>
      <w:tr w:rsidR="00944FF4" w:rsidRPr="006B3A7A" w:rsidTr="00CD59E9">
        <w:tc>
          <w:tcPr>
            <w:tcW w:w="2552" w:type="dxa"/>
            <w:tcBorders>
              <w:top w:val="single" w:sz="2" w:space="0" w:color="001D77"/>
              <w:left w:val="nil"/>
              <w:bottom w:val="single" w:sz="2" w:space="0" w:color="001D77"/>
              <w:right w:val="single" w:sz="2" w:space="0" w:color="001D77"/>
            </w:tcBorders>
            <w:vAlign w:val="center"/>
          </w:tcPr>
          <w:p w:rsidR="00944FF4" w:rsidRPr="00D17623" w:rsidRDefault="00944FF4" w:rsidP="00944FF4">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25,2</w:t>
            </w:r>
          </w:p>
        </w:tc>
        <w:tc>
          <w:tcPr>
            <w:tcW w:w="907"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34,7</w:t>
            </w:r>
          </w:p>
        </w:tc>
        <w:tc>
          <w:tcPr>
            <w:tcW w:w="924"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31,2</w:t>
            </w:r>
          </w:p>
        </w:tc>
        <w:tc>
          <w:tcPr>
            <w:tcW w:w="959"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16,5</w:t>
            </w:r>
          </w:p>
        </w:tc>
        <w:tc>
          <w:tcPr>
            <w:tcW w:w="952" w:type="dxa"/>
            <w:tcBorders>
              <w:top w:val="single" w:sz="4" w:space="0" w:color="001D77"/>
              <w:left w:val="single" w:sz="4" w:space="0" w:color="001D77"/>
              <w:bottom w:val="single" w:sz="2" w:space="0" w:color="001D77"/>
              <w:right w:val="single" w:sz="4" w:space="0" w:color="001D77"/>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36,0</w:t>
            </w:r>
          </w:p>
        </w:tc>
        <w:tc>
          <w:tcPr>
            <w:tcW w:w="955" w:type="dxa"/>
            <w:tcBorders>
              <w:top w:val="single" w:sz="4" w:space="0" w:color="001D77"/>
              <w:left w:val="single" w:sz="4" w:space="0" w:color="001D77"/>
              <w:bottom w:val="single" w:sz="2" w:space="0" w:color="001D77"/>
              <w:right w:val="nil"/>
            </w:tcBorders>
            <w:vAlign w:val="center"/>
          </w:tcPr>
          <w:p w:rsidR="00944FF4" w:rsidRPr="003818EB" w:rsidRDefault="00944FF4" w:rsidP="00944FF4">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37,2</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ED6C70" w:rsidTr="004D5FCA">
        <w:tc>
          <w:tcPr>
            <w:tcW w:w="8096" w:type="dxa"/>
            <w:gridSpan w:val="7"/>
            <w:tcBorders>
              <w:top w:val="single" w:sz="4" w:space="0" w:color="C4CBF5"/>
              <w:left w:val="nil"/>
              <w:bottom w:val="single" w:sz="4" w:space="0" w:color="001D77"/>
              <w:right w:val="nil"/>
            </w:tcBorders>
          </w:tcPr>
          <w:p w:rsidR="00835F14" w:rsidRPr="005705CB" w:rsidRDefault="005705CB" w:rsidP="004D5FCA">
            <w:pPr>
              <w:tabs>
                <w:tab w:val="left" w:pos="176"/>
              </w:tabs>
              <w:spacing w:before="60" w:after="60"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00944FF4" w:rsidRPr="00944FF4">
              <w:rPr>
                <w:rFonts w:ascii="Fira Sans" w:hAnsi="Fira Sans"/>
                <w:b/>
                <w:sz w:val="14"/>
                <w:szCs w:val="14"/>
                <w:lang w:val="en-US"/>
              </w:rPr>
              <w:t>Out of negative effects of the ongoing war in Ukraine reported in the previous month, which of them relate to your company the most:</w:t>
            </w:r>
          </w:p>
        </w:tc>
      </w:tr>
      <w:tr w:rsidR="00A118DA" w:rsidRPr="006B3A7A" w:rsidTr="00CD59E9">
        <w:tc>
          <w:tcPr>
            <w:tcW w:w="2552" w:type="dxa"/>
            <w:tcBorders>
              <w:top w:val="single" w:sz="2" w:space="0" w:color="001D77"/>
              <w:left w:val="nil"/>
              <w:bottom w:val="single" w:sz="2" w:space="0" w:color="001D77"/>
              <w:right w:val="single" w:sz="4" w:space="0" w:color="001D77"/>
            </w:tcBorders>
            <w:vAlign w:val="center"/>
          </w:tcPr>
          <w:p w:rsidR="00A118DA" w:rsidRPr="003A29E9" w:rsidRDefault="00A118DA" w:rsidP="00A118DA">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24,6</w:t>
            </w:r>
          </w:p>
        </w:tc>
        <w:tc>
          <w:tcPr>
            <w:tcW w:w="907" w:type="dxa"/>
            <w:tcBorders>
              <w:top w:val="single" w:sz="4"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16,4</w:t>
            </w:r>
          </w:p>
        </w:tc>
        <w:tc>
          <w:tcPr>
            <w:tcW w:w="924" w:type="dxa"/>
            <w:tcBorders>
              <w:top w:val="single" w:sz="4"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21,9</w:t>
            </w:r>
          </w:p>
        </w:tc>
        <w:tc>
          <w:tcPr>
            <w:tcW w:w="959" w:type="dxa"/>
            <w:tcBorders>
              <w:top w:val="single" w:sz="4"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20,9</w:t>
            </w:r>
          </w:p>
        </w:tc>
        <w:tc>
          <w:tcPr>
            <w:tcW w:w="952" w:type="dxa"/>
            <w:tcBorders>
              <w:top w:val="single" w:sz="4"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17,5</w:t>
            </w:r>
          </w:p>
        </w:tc>
        <w:tc>
          <w:tcPr>
            <w:tcW w:w="955" w:type="dxa"/>
            <w:tcBorders>
              <w:top w:val="single" w:sz="4"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33,9</w:t>
            </w:r>
          </w:p>
        </w:tc>
      </w:tr>
      <w:tr w:rsidR="00A118DA" w:rsidRPr="006B3A7A" w:rsidTr="00CD59E9">
        <w:tc>
          <w:tcPr>
            <w:tcW w:w="2552" w:type="dxa"/>
            <w:tcBorders>
              <w:top w:val="single" w:sz="2" w:space="0" w:color="001D77"/>
              <w:left w:val="nil"/>
              <w:bottom w:val="single" w:sz="2" w:space="0" w:color="001D77"/>
              <w:right w:val="single" w:sz="4" w:space="0" w:color="001D77"/>
            </w:tcBorders>
            <w:vAlign w:val="center"/>
          </w:tcPr>
          <w:p w:rsidR="00A118DA" w:rsidRPr="0013372C" w:rsidRDefault="00A118DA" w:rsidP="00A118DA">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increase in costs</w:t>
            </w:r>
          </w:p>
        </w:tc>
        <w:tc>
          <w:tcPr>
            <w:tcW w:w="84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Pr>
                <w:rFonts w:ascii="Fira Sans" w:hAnsi="Fira Sans"/>
                <w:sz w:val="12"/>
                <w:szCs w:val="12"/>
              </w:rPr>
              <w:t xml:space="preserve"> </w:t>
            </w:r>
            <w:r w:rsidRPr="003818EB">
              <w:rPr>
                <w:rFonts w:ascii="Fira Sans" w:hAnsi="Fira Sans"/>
                <w:sz w:val="12"/>
                <w:szCs w:val="12"/>
              </w:rPr>
              <w:t>68,4</w:t>
            </w:r>
          </w:p>
        </w:tc>
        <w:tc>
          <w:tcPr>
            <w:tcW w:w="90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81,1</w:t>
            </w:r>
          </w:p>
        </w:tc>
        <w:tc>
          <w:tcPr>
            <w:tcW w:w="924"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69,5</w:t>
            </w:r>
          </w:p>
        </w:tc>
        <w:tc>
          <w:tcPr>
            <w:tcW w:w="959"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73,6</w:t>
            </w:r>
          </w:p>
        </w:tc>
        <w:tc>
          <w:tcPr>
            <w:tcW w:w="952"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79,2</w:t>
            </w:r>
          </w:p>
        </w:tc>
        <w:tc>
          <w:tcPr>
            <w:tcW w:w="955" w:type="dxa"/>
            <w:tcBorders>
              <w:top w:val="single" w:sz="2"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88,4</w:t>
            </w:r>
          </w:p>
        </w:tc>
      </w:tr>
      <w:tr w:rsidR="00A118DA" w:rsidRPr="006B3A7A" w:rsidTr="00CD59E9">
        <w:tc>
          <w:tcPr>
            <w:tcW w:w="2552" w:type="dxa"/>
            <w:tcBorders>
              <w:top w:val="single" w:sz="2" w:space="0" w:color="001D77"/>
              <w:left w:val="nil"/>
              <w:bottom w:val="single" w:sz="2" w:space="0" w:color="001D77"/>
              <w:right w:val="single" w:sz="4" w:space="0" w:color="001D77"/>
            </w:tcBorders>
            <w:vAlign w:val="center"/>
          </w:tcPr>
          <w:p w:rsidR="00A118DA" w:rsidRPr="0013372C" w:rsidRDefault="00A118DA" w:rsidP="00A118DA">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disruption in supply chain</w:t>
            </w:r>
          </w:p>
        </w:tc>
        <w:tc>
          <w:tcPr>
            <w:tcW w:w="84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57,0</w:t>
            </w:r>
          </w:p>
        </w:tc>
        <w:tc>
          <w:tcPr>
            <w:tcW w:w="90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54,4</w:t>
            </w:r>
          </w:p>
        </w:tc>
        <w:tc>
          <w:tcPr>
            <w:tcW w:w="924"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47,6</w:t>
            </w:r>
          </w:p>
        </w:tc>
        <w:tc>
          <w:tcPr>
            <w:tcW w:w="959"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38,8</w:t>
            </w:r>
          </w:p>
        </w:tc>
        <w:tc>
          <w:tcPr>
            <w:tcW w:w="952"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31,9</w:t>
            </w:r>
          </w:p>
        </w:tc>
        <w:tc>
          <w:tcPr>
            <w:tcW w:w="955" w:type="dxa"/>
            <w:tcBorders>
              <w:top w:val="single" w:sz="2"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17,3</w:t>
            </w:r>
          </w:p>
        </w:tc>
      </w:tr>
      <w:tr w:rsidR="00A118DA" w:rsidRPr="00A118DA" w:rsidTr="00CD59E9">
        <w:tc>
          <w:tcPr>
            <w:tcW w:w="2552" w:type="dxa"/>
            <w:tcBorders>
              <w:top w:val="single" w:sz="2" w:space="0" w:color="001D77"/>
              <w:left w:val="nil"/>
              <w:bottom w:val="single" w:sz="2" w:space="0" w:color="001D77"/>
              <w:right w:val="single" w:sz="4" w:space="0" w:color="001D77"/>
            </w:tcBorders>
            <w:vAlign w:val="center"/>
          </w:tcPr>
          <w:p w:rsidR="00A118DA" w:rsidRPr="003A29E9" w:rsidRDefault="00A118DA" w:rsidP="00A118DA">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organisational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2,5</w:t>
            </w:r>
          </w:p>
        </w:tc>
        <w:tc>
          <w:tcPr>
            <w:tcW w:w="90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8,6</w:t>
            </w:r>
          </w:p>
        </w:tc>
        <w:tc>
          <w:tcPr>
            <w:tcW w:w="924"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4,2</w:t>
            </w:r>
          </w:p>
        </w:tc>
        <w:tc>
          <w:tcPr>
            <w:tcW w:w="959"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1,6</w:t>
            </w:r>
          </w:p>
        </w:tc>
        <w:tc>
          <w:tcPr>
            <w:tcW w:w="952"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10,2</w:t>
            </w:r>
          </w:p>
        </w:tc>
        <w:tc>
          <w:tcPr>
            <w:tcW w:w="955" w:type="dxa"/>
            <w:tcBorders>
              <w:top w:val="single" w:sz="2"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13,7</w:t>
            </w:r>
          </w:p>
        </w:tc>
      </w:tr>
      <w:tr w:rsidR="00A118DA" w:rsidRPr="006B3A7A" w:rsidTr="00CD59E9">
        <w:tc>
          <w:tcPr>
            <w:tcW w:w="2552" w:type="dxa"/>
            <w:tcBorders>
              <w:top w:val="single" w:sz="2" w:space="0" w:color="001D77"/>
              <w:left w:val="nil"/>
              <w:bottom w:val="single" w:sz="2" w:space="0" w:color="001D77"/>
              <w:right w:val="single" w:sz="4" w:space="0" w:color="001D77"/>
            </w:tcBorders>
            <w:vAlign w:val="center"/>
          </w:tcPr>
          <w:p w:rsidR="00A118DA" w:rsidRPr="0013372C" w:rsidRDefault="00A118DA" w:rsidP="00A118DA">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problems with current financing</w:t>
            </w:r>
          </w:p>
        </w:tc>
        <w:tc>
          <w:tcPr>
            <w:tcW w:w="84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3,5</w:t>
            </w:r>
          </w:p>
        </w:tc>
        <w:tc>
          <w:tcPr>
            <w:tcW w:w="90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9,3</w:t>
            </w:r>
          </w:p>
        </w:tc>
        <w:tc>
          <w:tcPr>
            <w:tcW w:w="924"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5,6</w:t>
            </w:r>
          </w:p>
        </w:tc>
        <w:tc>
          <w:tcPr>
            <w:tcW w:w="959"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5,6</w:t>
            </w:r>
          </w:p>
        </w:tc>
        <w:tc>
          <w:tcPr>
            <w:tcW w:w="952"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10,7</w:t>
            </w:r>
          </w:p>
        </w:tc>
        <w:tc>
          <w:tcPr>
            <w:tcW w:w="955" w:type="dxa"/>
            <w:tcBorders>
              <w:top w:val="single" w:sz="2"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11,6</w:t>
            </w:r>
          </w:p>
        </w:tc>
      </w:tr>
      <w:tr w:rsidR="00A118DA" w:rsidRPr="006B3A7A" w:rsidTr="00CD59E9">
        <w:tc>
          <w:tcPr>
            <w:tcW w:w="2552" w:type="dxa"/>
            <w:tcBorders>
              <w:top w:val="single" w:sz="2" w:space="0" w:color="001D77"/>
              <w:left w:val="nil"/>
              <w:bottom w:val="single" w:sz="2" w:space="0" w:color="001D77"/>
              <w:right w:val="single" w:sz="4" w:space="0" w:color="001D77"/>
            </w:tcBorders>
            <w:vAlign w:val="center"/>
          </w:tcPr>
          <w:p w:rsidR="00A118DA" w:rsidRPr="0013372C" w:rsidRDefault="00A118DA" w:rsidP="00A118DA">
            <w:pPr>
              <w:autoSpaceDE w:val="0"/>
              <w:autoSpaceDN w:val="0"/>
              <w:adjustRightInd w:val="0"/>
              <w:spacing w:before="40" w:after="40" w:line="259" w:lineRule="auto"/>
              <w:rPr>
                <w:rFonts w:ascii="Fira Sans" w:hAnsi="Fira Sans"/>
                <w:sz w:val="12"/>
                <w:szCs w:val="12"/>
              </w:rPr>
            </w:pPr>
            <w:r w:rsidRPr="003A29E9">
              <w:rPr>
                <w:rFonts w:ascii="Fira Sans" w:hAnsi="Fira Sans"/>
                <w:sz w:val="12"/>
                <w:szCs w:val="12"/>
              </w:rPr>
              <w:t>surplus stocks</w:t>
            </w:r>
          </w:p>
        </w:tc>
        <w:tc>
          <w:tcPr>
            <w:tcW w:w="84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9,5</w:t>
            </w:r>
          </w:p>
        </w:tc>
        <w:tc>
          <w:tcPr>
            <w:tcW w:w="90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2,2</w:t>
            </w:r>
          </w:p>
        </w:tc>
        <w:tc>
          <w:tcPr>
            <w:tcW w:w="924"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6,6</w:t>
            </w:r>
          </w:p>
        </w:tc>
        <w:tc>
          <w:tcPr>
            <w:tcW w:w="959"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6,2</w:t>
            </w:r>
          </w:p>
        </w:tc>
        <w:tc>
          <w:tcPr>
            <w:tcW w:w="952"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0,0</w:t>
            </w:r>
          </w:p>
        </w:tc>
        <w:tc>
          <w:tcPr>
            <w:tcW w:w="955" w:type="dxa"/>
            <w:tcBorders>
              <w:top w:val="single" w:sz="2"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1,1</w:t>
            </w:r>
          </w:p>
        </w:tc>
      </w:tr>
      <w:tr w:rsidR="00A118DA" w:rsidRPr="006B3A7A" w:rsidTr="00CD4695">
        <w:tc>
          <w:tcPr>
            <w:tcW w:w="2552" w:type="dxa"/>
            <w:tcBorders>
              <w:top w:val="single" w:sz="2" w:space="0" w:color="001D77"/>
              <w:left w:val="nil"/>
              <w:bottom w:val="single" w:sz="2" w:space="0" w:color="001D77"/>
              <w:right w:val="single" w:sz="4" w:space="0" w:color="001D77"/>
            </w:tcBorders>
            <w:vAlign w:val="center"/>
          </w:tcPr>
          <w:p w:rsidR="00A118DA" w:rsidRPr="003A29E9" w:rsidRDefault="00A118DA" w:rsidP="00A118DA">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13,2</w:t>
            </w:r>
          </w:p>
        </w:tc>
        <w:tc>
          <w:tcPr>
            <w:tcW w:w="907"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w:t>
            </w:r>
          </w:p>
        </w:tc>
        <w:tc>
          <w:tcPr>
            <w:tcW w:w="924"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15,3</w:t>
            </w:r>
          </w:p>
        </w:tc>
        <w:tc>
          <w:tcPr>
            <w:tcW w:w="959"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7,5</w:t>
            </w:r>
          </w:p>
        </w:tc>
        <w:tc>
          <w:tcPr>
            <w:tcW w:w="952" w:type="dxa"/>
            <w:tcBorders>
              <w:top w:val="single" w:sz="2" w:space="0" w:color="001D77"/>
              <w:left w:val="single" w:sz="4" w:space="0" w:color="001D77"/>
              <w:bottom w:val="single" w:sz="2" w:space="0" w:color="001D77"/>
              <w:right w:val="single" w:sz="4" w:space="0" w:color="001D77"/>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8,8</w:t>
            </w:r>
          </w:p>
        </w:tc>
        <w:tc>
          <w:tcPr>
            <w:tcW w:w="955" w:type="dxa"/>
            <w:tcBorders>
              <w:top w:val="single" w:sz="2" w:space="0" w:color="001D77"/>
              <w:left w:val="single" w:sz="4" w:space="0" w:color="001D77"/>
              <w:bottom w:val="single" w:sz="2" w:space="0" w:color="001D77"/>
              <w:right w:val="nil"/>
            </w:tcBorders>
            <w:vAlign w:val="center"/>
          </w:tcPr>
          <w:p w:rsidR="00A118DA" w:rsidRPr="003818EB" w:rsidRDefault="00A118DA" w:rsidP="00A118DA">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0,0</w:t>
            </w:r>
          </w:p>
        </w:tc>
      </w:tr>
      <w:tr w:rsidR="00835F14" w:rsidRPr="00707E9E"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4D5FCA">
            <w:pPr>
              <w:spacing w:line="240" w:lineRule="auto"/>
              <w:rPr>
                <w:rFonts w:ascii="Fira Sans" w:hAnsi="Fira Sans"/>
                <w:b/>
                <w:sz w:val="14"/>
                <w:szCs w:val="14"/>
                <w:lang w:val="en-US"/>
              </w:rPr>
            </w:pPr>
          </w:p>
        </w:tc>
      </w:tr>
      <w:tr w:rsidR="00835F14" w:rsidRPr="00ED6C70" w:rsidTr="004D5FCA">
        <w:tc>
          <w:tcPr>
            <w:tcW w:w="8096" w:type="dxa"/>
            <w:gridSpan w:val="7"/>
            <w:tcBorders>
              <w:top w:val="single" w:sz="4" w:space="0" w:color="C4CBF5"/>
              <w:left w:val="nil"/>
              <w:bottom w:val="single" w:sz="4" w:space="0" w:color="001D77"/>
              <w:right w:val="nil"/>
            </w:tcBorders>
          </w:tcPr>
          <w:p w:rsidR="00835F14" w:rsidRPr="00ED6C70" w:rsidRDefault="00EB6211" w:rsidP="004D5FCA">
            <w:pPr>
              <w:spacing w:after="60" w:line="259" w:lineRule="auto"/>
              <w:ind w:left="178" w:hanging="142"/>
              <w:rPr>
                <w:rFonts w:ascii="Fira Sans" w:hAnsi="Fira Sans"/>
                <w:b/>
                <w:sz w:val="14"/>
                <w:szCs w:val="14"/>
                <w:lang w:val="en-US"/>
              </w:rPr>
            </w:pPr>
            <w:r w:rsidRPr="00EB6211">
              <w:rPr>
                <w:rFonts w:ascii="Fira Sans" w:hAnsi="Fira Sans"/>
                <w:b/>
                <w:sz w:val="14"/>
                <w:szCs w:val="14"/>
                <w:lang w:val="en-US"/>
              </w:rPr>
              <w:t xml:space="preserve">3. </w:t>
            </w:r>
            <w:r w:rsidR="00F74048" w:rsidRPr="00EB5011">
              <w:rPr>
                <w:rFonts w:ascii="Fira Sans" w:hAnsi="Fira Sans"/>
                <w:b/>
                <w:sz w:val="14"/>
                <w:szCs w:val="14"/>
                <w:lang w:val="en-US"/>
              </w:rPr>
              <w:t xml:space="preserve">If your company employs workers from Ukraine, did you report </w:t>
            </w:r>
            <w:r w:rsidR="00F74048">
              <w:rPr>
                <w:rFonts w:ascii="Fira Sans" w:hAnsi="Fira Sans"/>
                <w:b/>
                <w:sz w:val="14"/>
                <w:szCs w:val="14"/>
                <w:lang w:val="en-US"/>
              </w:rPr>
              <w:t xml:space="preserve">in the last month </w:t>
            </w:r>
            <w:r w:rsidR="00F74048" w:rsidRPr="00EB5011">
              <w:rPr>
                <w:rFonts w:ascii="Fira Sans" w:hAnsi="Fira Sans"/>
                <w:b/>
                <w:sz w:val="14"/>
                <w:szCs w:val="14"/>
                <w:lang w:val="en-US"/>
              </w:rPr>
              <w:t>one of the following situations connected with the ongoing war:</w:t>
            </w:r>
            <w:r w:rsidR="00F74048">
              <w:rPr>
                <w:rStyle w:val="Odwoanieprzypisudolnego"/>
                <w:rFonts w:ascii="Fira Sans" w:hAnsi="Fira Sans"/>
                <w:b/>
                <w:sz w:val="14"/>
                <w:szCs w:val="14"/>
              </w:rPr>
              <w:footnoteReference w:id="4"/>
            </w:r>
          </w:p>
        </w:tc>
      </w:tr>
      <w:tr w:rsidR="00F74048" w:rsidRPr="006B3A7A" w:rsidTr="004D5FCA">
        <w:tc>
          <w:tcPr>
            <w:tcW w:w="2552" w:type="dxa"/>
            <w:tcBorders>
              <w:top w:val="single" w:sz="2" w:space="0" w:color="001D77"/>
              <w:left w:val="nil"/>
              <w:bottom w:val="single" w:sz="2" w:space="0" w:color="001D77"/>
              <w:right w:val="single" w:sz="2" w:space="0" w:color="001D77"/>
            </w:tcBorders>
            <w:vAlign w:val="center"/>
          </w:tcPr>
          <w:p w:rsidR="00F74048" w:rsidRPr="00EB5011" w:rsidRDefault="00F74048" w:rsidP="00F74048">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34,9</w:t>
            </w:r>
          </w:p>
        </w:tc>
        <w:tc>
          <w:tcPr>
            <w:tcW w:w="90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26,9</w:t>
            </w:r>
          </w:p>
        </w:tc>
        <w:tc>
          <w:tcPr>
            <w:tcW w:w="924"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13,1</w:t>
            </w:r>
          </w:p>
        </w:tc>
        <w:tc>
          <w:tcPr>
            <w:tcW w:w="959"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21,3</w:t>
            </w:r>
          </w:p>
        </w:tc>
        <w:tc>
          <w:tcPr>
            <w:tcW w:w="952"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30,7</w:t>
            </w:r>
          </w:p>
        </w:tc>
        <w:tc>
          <w:tcPr>
            <w:tcW w:w="955" w:type="dxa"/>
            <w:tcBorders>
              <w:top w:val="single" w:sz="4" w:space="0" w:color="001D77"/>
              <w:left w:val="single" w:sz="4" w:space="0" w:color="001D77"/>
              <w:bottom w:val="single" w:sz="2"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45,7</w:t>
            </w:r>
          </w:p>
        </w:tc>
      </w:tr>
      <w:tr w:rsidR="00F74048" w:rsidRPr="006B3A7A" w:rsidTr="004D5FCA">
        <w:tc>
          <w:tcPr>
            <w:tcW w:w="2552" w:type="dxa"/>
            <w:tcBorders>
              <w:top w:val="single" w:sz="2" w:space="0" w:color="001D77"/>
              <w:left w:val="nil"/>
              <w:bottom w:val="single" w:sz="2" w:space="0" w:color="001D77"/>
              <w:right w:val="single" w:sz="2" w:space="0" w:color="001D77"/>
            </w:tcBorders>
            <w:vAlign w:val="center"/>
          </w:tcPr>
          <w:p w:rsidR="00F74048" w:rsidRPr="0013372C" w:rsidRDefault="00F74048" w:rsidP="00F7404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34,2</w:t>
            </w:r>
          </w:p>
        </w:tc>
        <w:tc>
          <w:tcPr>
            <w:tcW w:w="907"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19,6</w:t>
            </w:r>
          </w:p>
        </w:tc>
        <w:tc>
          <w:tcPr>
            <w:tcW w:w="924"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13,0</w:t>
            </w:r>
          </w:p>
        </w:tc>
        <w:tc>
          <w:tcPr>
            <w:tcW w:w="959"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21,0</w:t>
            </w:r>
          </w:p>
        </w:tc>
        <w:tc>
          <w:tcPr>
            <w:tcW w:w="952"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25,3</w:t>
            </w:r>
          </w:p>
        </w:tc>
        <w:tc>
          <w:tcPr>
            <w:tcW w:w="955" w:type="dxa"/>
            <w:tcBorders>
              <w:top w:val="single" w:sz="4" w:space="0" w:color="001D77"/>
              <w:left w:val="single" w:sz="4" w:space="0" w:color="001D77"/>
              <w:bottom w:val="single" w:sz="4"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32,4</w:t>
            </w:r>
          </w:p>
        </w:tc>
      </w:tr>
      <w:tr w:rsidR="00F74048" w:rsidRPr="006B3A7A" w:rsidTr="004D5FCA">
        <w:tc>
          <w:tcPr>
            <w:tcW w:w="2552" w:type="dxa"/>
            <w:tcBorders>
              <w:top w:val="single" w:sz="2" w:space="0" w:color="001D77"/>
              <w:left w:val="nil"/>
              <w:bottom w:val="single" w:sz="2" w:space="0" w:color="001D77"/>
              <w:right w:val="single" w:sz="2" w:space="0" w:color="001D77"/>
            </w:tcBorders>
            <w:vAlign w:val="center"/>
          </w:tcPr>
          <w:p w:rsidR="00F74048" w:rsidRPr="0013372C" w:rsidRDefault="00F74048" w:rsidP="00F7404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7,3</w:t>
            </w:r>
          </w:p>
        </w:tc>
        <w:tc>
          <w:tcPr>
            <w:tcW w:w="924"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0,3</w:t>
            </w:r>
          </w:p>
        </w:tc>
        <w:tc>
          <w:tcPr>
            <w:tcW w:w="952" w:type="dxa"/>
            <w:tcBorders>
              <w:top w:val="single" w:sz="4" w:space="0" w:color="001D77"/>
              <w:left w:val="single" w:sz="4" w:space="0" w:color="001D77"/>
              <w:bottom w:val="single" w:sz="4"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5,4</w:t>
            </w:r>
          </w:p>
        </w:tc>
        <w:tc>
          <w:tcPr>
            <w:tcW w:w="955" w:type="dxa"/>
            <w:tcBorders>
              <w:top w:val="single" w:sz="4" w:space="0" w:color="001D77"/>
              <w:left w:val="single" w:sz="4" w:space="0" w:color="001D77"/>
              <w:bottom w:val="single" w:sz="4"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13,3</w:t>
            </w:r>
          </w:p>
        </w:tc>
      </w:tr>
      <w:tr w:rsidR="00F74048" w:rsidRPr="006B3A7A" w:rsidTr="004D5FCA">
        <w:tc>
          <w:tcPr>
            <w:tcW w:w="2552" w:type="dxa"/>
            <w:tcBorders>
              <w:top w:val="single" w:sz="2" w:space="0" w:color="001D77"/>
              <w:left w:val="nil"/>
              <w:bottom w:val="single" w:sz="2" w:space="0" w:color="001D77"/>
              <w:right w:val="single" w:sz="4" w:space="0" w:color="001D77"/>
            </w:tcBorders>
            <w:vAlign w:val="center"/>
          </w:tcPr>
          <w:p w:rsidR="00F74048" w:rsidRPr="00EB5011" w:rsidRDefault="00F74048" w:rsidP="00F74048">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35,0</w:t>
            </w:r>
          </w:p>
        </w:tc>
        <w:tc>
          <w:tcPr>
            <w:tcW w:w="90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20,0</w:t>
            </w:r>
          </w:p>
        </w:tc>
        <w:tc>
          <w:tcPr>
            <w:tcW w:w="924"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15,0</w:t>
            </w:r>
          </w:p>
        </w:tc>
        <w:tc>
          <w:tcPr>
            <w:tcW w:w="959"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27,2</w:t>
            </w:r>
          </w:p>
        </w:tc>
        <w:tc>
          <w:tcPr>
            <w:tcW w:w="952"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27,4</w:t>
            </w:r>
          </w:p>
        </w:tc>
        <w:tc>
          <w:tcPr>
            <w:tcW w:w="955" w:type="dxa"/>
            <w:tcBorders>
              <w:top w:val="single" w:sz="4" w:space="0" w:color="001D77"/>
              <w:left w:val="single" w:sz="4" w:space="0" w:color="001D77"/>
              <w:bottom w:val="single" w:sz="2"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54,2</w:t>
            </w:r>
          </w:p>
        </w:tc>
      </w:tr>
      <w:tr w:rsidR="00F74048" w:rsidRPr="006B3A7A" w:rsidTr="004D5FCA">
        <w:tc>
          <w:tcPr>
            <w:tcW w:w="2552" w:type="dxa"/>
            <w:tcBorders>
              <w:top w:val="single" w:sz="2" w:space="0" w:color="001D77"/>
              <w:left w:val="nil"/>
              <w:bottom w:val="single" w:sz="2" w:space="0" w:color="001D77"/>
              <w:right w:val="single" w:sz="4" w:space="0" w:color="001D77"/>
            </w:tcBorders>
            <w:vAlign w:val="center"/>
          </w:tcPr>
          <w:p w:rsidR="00F74048" w:rsidRPr="0013372C" w:rsidRDefault="00F74048" w:rsidP="00F7404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33,3</w:t>
            </w:r>
          </w:p>
        </w:tc>
        <w:tc>
          <w:tcPr>
            <w:tcW w:w="90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19,4</w:t>
            </w:r>
          </w:p>
        </w:tc>
        <w:tc>
          <w:tcPr>
            <w:tcW w:w="924"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14,7</w:t>
            </w:r>
          </w:p>
        </w:tc>
        <w:tc>
          <w:tcPr>
            <w:tcW w:w="959"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23,8</w:t>
            </w:r>
          </w:p>
        </w:tc>
        <w:tc>
          <w:tcPr>
            <w:tcW w:w="952"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25,7</w:t>
            </w:r>
          </w:p>
        </w:tc>
        <w:tc>
          <w:tcPr>
            <w:tcW w:w="955" w:type="dxa"/>
            <w:tcBorders>
              <w:top w:val="single" w:sz="4" w:space="0" w:color="001D77"/>
              <w:left w:val="single" w:sz="4" w:space="0" w:color="001D77"/>
              <w:bottom w:val="single" w:sz="2"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38,6</w:t>
            </w:r>
          </w:p>
        </w:tc>
      </w:tr>
      <w:tr w:rsidR="00F74048" w:rsidRPr="006B3A7A" w:rsidTr="004D5FCA">
        <w:tc>
          <w:tcPr>
            <w:tcW w:w="2552" w:type="dxa"/>
            <w:tcBorders>
              <w:top w:val="single" w:sz="2" w:space="0" w:color="001D77"/>
              <w:left w:val="nil"/>
              <w:bottom w:val="single" w:sz="2" w:space="0" w:color="001D77"/>
              <w:right w:val="single" w:sz="4" w:space="0" w:color="001D77"/>
            </w:tcBorders>
            <w:vAlign w:val="center"/>
          </w:tcPr>
          <w:p w:rsidR="00F74048" w:rsidRPr="0013372C" w:rsidRDefault="00F74048" w:rsidP="00F7404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serious</w:t>
            </w:r>
          </w:p>
        </w:tc>
        <w:tc>
          <w:tcPr>
            <w:tcW w:w="84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1,7</w:t>
            </w:r>
          </w:p>
        </w:tc>
        <w:tc>
          <w:tcPr>
            <w:tcW w:w="90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0,6</w:t>
            </w:r>
          </w:p>
        </w:tc>
        <w:tc>
          <w:tcPr>
            <w:tcW w:w="924"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0,3</w:t>
            </w:r>
          </w:p>
        </w:tc>
        <w:tc>
          <w:tcPr>
            <w:tcW w:w="959"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3,4</w:t>
            </w:r>
          </w:p>
        </w:tc>
        <w:tc>
          <w:tcPr>
            <w:tcW w:w="952"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1,7</w:t>
            </w:r>
          </w:p>
        </w:tc>
        <w:tc>
          <w:tcPr>
            <w:tcW w:w="955" w:type="dxa"/>
            <w:tcBorders>
              <w:top w:val="single" w:sz="4" w:space="0" w:color="001D77"/>
              <w:left w:val="single" w:sz="4" w:space="0" w:color="001D77"/>
              <w:bottom w:val="single" w:sz="2"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15,6</w:t>
            </w:r>
          </w:p>
        </w:tc>
      </w:tr>
      <w:tr w:rsidR="00F74048" w:rsidRPr="006B3A7A" w:rsidTr="004D5FCA">
        <w:tc>
          <w:tcPr>
            <w:tcW w:w="2552" w:type="dxa"/>
            <w:tcBorders>
              <w:top w:val="single" w:sz="2" w:space="0" w:color="001D77"/>
              <w:left w:val="nil"/>
              <w:bottom w:val="single" w:sz="2" w:space="0" w:color="001D77"/>
              <w:right w:val="single" w:sz="4" w:space="0" w:color="001D77"/>
            </w:tcBorders>
            <w:vAlign w:val="center"/>
          </w:tcPr>
          <w:p w:rsidR="00F74048" w:rsidRPr="0013372C" w:rsidRDefault="00F74048" w:rsidP="00F74048">
            <w:pPr>
              <w:autoSpaceDE w:val="0"/>
              <w:autoSpaceDN w:val="0"/>
              <w:adjustRightInd w:val="0"/>
              <w:spacing w:before="40" w:after="40" w:line="259" w:lineRule="auto"/>
              <w:rPr>
                <w:rFonts w:ascii="Fira Sans" w:hAnsi="Fira Sans"/>
                <w:sz w:val="12"/>
                <w:szCs w:val="12"/>
              </w:rPr>
            </w:pPr>
            <w:r w:rsidRPr="00EB5011">
              <w:rPr>
                <w:rFonts w:ascii="Fira Sans" w:hAnsi="Fira Sans"/>
                <w:sz w:val="12"/>
                <w:szCs w:val="12"/>
              </w:rPr>
              <w:t>does not concern</w:t>
            </w:r>
          </w:p>
        </w:tc>
        <w:tc>
          <w:tcPr>
            <w:tcW w:w="84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57,5</w:t>
            </w:r>
          </w:p>
        </w:tc>
        <w:tc>
          <w:tcPr>
            <w:tcW w:w="907"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71,0</w:t>
            </w:r>
          </w:p>
        </w:tc>
        <w:tc>
          <w:tcPr>
            <w:tcW w:w="924"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80,5</w:t>
            </w:r>
          </w:p>
        </w:tc>
        <w:tc>
          <w:tcPr>
            <w:tcW w:w="959"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69,3</w:t>
            </w:r>
          </w:p>
        </w:tc>
        <w:tc>
          <w:tcPr>
            <w:tcW w:w="952" w:type="dxa"/>
            <w:tcBorders>
              <w:top w:val="single" w:sz="4" w:space="0" w:color="001D77"/>
              <w:left w:val="single" w:sz="4" w:space="0" w:color="001D77"/>
              <w:bottom w:val="single" w:sz="2" w:space="0" w:color="001D77"/>
              <w:right w:val="single" w:sz="4" w:space="0" w:color="001D77"/>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66,3</w:t>
            </w:r>
          </w:p>
        </w:tc>
        <w:tc>
          <w:tcPr>
            <w:tcW w:w="955" w:type="dxa"/>
            <w:tcBorders>
              <w:top w:val="single" w:sz="4" w:space="0" w:color="001D77"/>
              <w:left w:val="single" w:sz="4" w:space="0" w:color="001D77"/>
              <w:bottom w:val="single" w:sz="2" w:space="0" w:color="001D77"/>
              <w:right w:val="nil"/>
            </w:tcBorders>
            <w:vAlign w:val="center"/>
          </w:tcPr>
          <w:p w:rsidR="00F74048" w:rsidRPr="003818EB" w:rsidRDefault="00F74048" w:rsidP="00F74048">
            <w:pPr>
              <w:autoSpaceDE w:val="0"/>
              <w:autoSpaceDN w:val="0"/>
              <w:adjustRightInd w:val="0"/>
              <w:spacing w:before="40" w:after="40" w:line="259" w:lineRule="auto"/>
              <w:jc w:val="right"/>
              <w:rPr>
                <w:rFonts w:ascii="Fira Sans" w:hAnsi="Fira Sans"/>
                <w:sz w:val="12"/>
                <w:szCs w:val="12"/>
              </w:rPr>
            </w:pPr>
            <w:r w:rsidRPr="003818EB">
              <w:rPr>
                <w:rFonts w:ascii="Fira Sans" w:hAnsi="Fira Sans"/>
                <w:sz w:val="12"/>
                <w:szCs w:val="12"/>
              </w:rPr>
              <w:t>45,2</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527444" w:rsidRPr="00D17623" w:rsidRDefault="00527444" w:rsidP="00527444">
      <w:pPr>
        <w:pStyle w:val="Nagwek1"/>
        <w:rPr>
          <w:rFonts w:ascii="Fira Sans" w:hAnsi="Fira Sans"/>
          <w:spacing w:val="-2"/>
          <w:szCs w:val="19"/>
          <w:lang w:val="en-GB"/>
        </w:rPr>
      </w:pPr>
      <w:r w:rsidRPr="00D17623">
        <w:rPr>
          <w:rFonts w:ascii="Fira Sans" w:hAnsi="Fira Sans"/>
          <w:spacing w:val="-2"/>
          <w:szCs w:val="19"/>
          <w:lang w:val="en-GB"/>
        </w:rPr>
        <w:lastRenderedPageBreak/>
        <w:t xml:space="preserve">Table 2. Survey data </w:t>
      </w:r>
      <w:r>
        <w:rPr>
          <w:rFonts w:ascii="Fira Sans" w:hAnsi="Fira Sans"/>
          <w:spacing w:val="-2"/>
          <w:szCs w:val="19"/>
          <w:lang w:val="en-GB"/>
        </w:rPr>
        <w:t>concerning the</w:t>
      </w:r>
      <w:r w:rsidRPr="00D17623">
        <w:rPr>
          <w:rFonts w:ascii="Fira Sans" w:hAnsi="Fira Sans"/>
          <w:spacing w:val="-2"/>
          <w:szCs w:val="19"/>
          <w:lang w:val="en-GB"/>
        </w:rPr>
        <w:t xml:space="preserve"> impact of </w:t>
      </w:r>
      <w:r w:rsidR="003C53E9">
        <w:rPr>
          <w:rFonts w:ascii="Fira Sans" w:hAnsi="Fira Sans"/>
          <w:spacing w:val="-2"/>
          <w:szCs w:val="19"/>
          <w:lang w:val="en-GB"/>
        </w:rPr>
        <w:t xml:space="preserve">war in Ukraine </w:t>
      </w:r>
      <w:r w:rsidRPr="00D17623">
        <w:rPr>
          <w:rFonts w:ascii="Fira Sans" w:hAnsi="Fira Sans"/>
          <w:spacing w:val="-2"/>
          <w:szCs w:val="19"/>
          <w:lang w:val="en-GB"/>
        </w:rPr>
        <w:t>on business tendency</w:t>
      </w:r>
      <w:r>
        <w:rPr>
          <w:rFonts w:ascii="Fira Sans" w:hAnsi="Fira Sans"/>
          <w:spacing w:val="-2"/>
          <w:szCs w:val="19"/>
          <w:lang w:val="en-GB"/>
        </w:rPr>
        <w:t xml:space="preserve"> (cont.)</w:t>
      </w:r>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war in Ukraine on business tendency (cont.)"/>
        <w:tblDescription w:val="Survey data concerning the impact of war in Ukraine on business tendency in manufacturing, construction, wholesale trade, retail trade, transportation and storage, accommodation and food service activities. Data for the current month."/>
      </w:tblPr>
      <w:tblGrid>
        <w:gridCol w:w="2443"/>
        <w:gridCol w:w="956"/>
        <w:gridCol w:w="907"/>
        <w:gridCol w:w="924"/>
        <w:gridCol w:w="959"/>
        <w:gridCol w:w="952"/>
        <w:gridCol w:w="955"/>
      </w:tblGrid>
      <w:tr w:rsidR="00527444" w:rsidRPr="00ED6C70" w:rsidTr="004D5FCA">
        <w:tc>
          <w:tcPr>
            <w:tcW w:w="2443" w:type="dxa"/>
            <w:tcBorders>
              <w:top w:val="nil"/>
              <w:left w:val="nil"/>
              <w:bottom w:val="single" w:sz="2" w:space="0" w:color="001D77"/>
              <w:right w:val="single" w:sz="2" w:space="0" w:color="001D77"/>
            </w:tcBorders>
            <w:vAlign w:val="center"/>
          </w:tcPr>
          <w:p w:rsidR="00527444" w:rsidRPr="0059047B" w:rsidRDefault="008168E4"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956"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7488" behindDoc="0" locked="0" layoutInCell="1" allowOverlap="1" wp14:anchorId="4E572136" wp14:editId="7FA1FF76">
                  <wp:simplePos x="0" y="0"/>
                  <wp:positionH relativeFrom="column">
                    <wp:posOffset>635</wp:posOffset>
                  </wp:positionH>
                  <wp:positionV relativeFrom="paragraph">
                    <wp:posOffset>108585</wp:posOffset>
                  </wp:positionV>
                  <wp:extent cx="514350" cy="51435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527444" w:rsidRPr="00A042C8" w:rsidRDefault="008168E4"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8512" behindDoc="0" locked="0" layoutInCell="1" allowOverlap="1" wp14:anchorId="04D252D3" wp14:editId="13C00CFF">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527444" w:rsidRPr="00A042C8" w:rsidRDefault="008168E4" w:rsidP="004D5FCA">
            <w:pPr>
              <w:spacing w:line="259" w:lineRule="auto"/>
              <w:jc w:val="center"/>
              <w:rPr>
                <w:rFonts w:ascii="Fira Sans" w:hAnsi="Fira Sans"/>
                <w:sz w:val="12"/>
                <w:szCs w:val="12"/>
              </w:rPr>
            </w:pPr>
            <w:r w:rsidRPr="008168E4">
              <w:rPr>
                <w:rFonts w:ascii="Fira Sans" w:hAnsi="Fira Sans"/>
                <w:sz w:val="12"/>
                <w:szCs w:val="12"/>
              </w:rPr>
              <w:t>Construc-tion</w:t>
            </w:r>
          </w:p>
        </w:tc>
        <w:tc>
          <w:tcPr>
            <w:tcW w:w="924"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9536" behindDoc="0" locked="0" layoutInCell="1" allowOverlap="1" wp14:anchorId="49BF49C9" wp14:editId="4A7E71DF">
                  <wp:simplePos x="0" y="0"/>
                  <wp:positionH relativeFrom="column">
                    <wp:posOffset>0</wp:posOffset>
                  </wp:positionH>
                  <wp:positionV relativeFrom="paragraph">
                    <wp:posOffset>108585</wp:posOffset>
                  </wp:positionV>
                  <wp:extent cx="402590" cy="40259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527444" w:rsidRDefault="00527444" w:rsidP="004D5FCA">
            <w:pPr>
              <w:spacing w:line="259" w:lineRule="auto"/>
              <w:jc w:val="center"/>
              <w:rPr>
                <w:rFonts w:ascii="Fira Sans" w:hAnsi="Fira Sans"/>
                <w:sz w:val="12"/>
                <w:szCs w:val="12"/>
              </w:rPr>
            </w:pPr>
          </w:p>
          <w:p w:rsidR="00527444" w:rsidRPr="00A042C8" w:rsidRDefault="008168E4"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0560" behindDoc="0" locked="0" layoutInCell="1" allowOverlap="1" wp14:anchorId="6FE34749" wp14:editId="7D329C19">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527444" w:rsidRPr="00A042C8" w:rsidRDefault="008168E4" w:rsidP="004D5FCA">
            <w:pPr>
              <w:spacing w:line="259" w:lineRule="auto"/>
              <w:jc w:val="center"/>
              <w:rPr>
                <w:rFonts w:ascii="Fira Sans" w:hAnsi="Fira Sans"/>
                <w:sz w:val="12"/>
                <w:szCs w:val="12"/>
              </w:rPr>
            </w:pPr>
            <w:r w:rsidRPr="008168E4">
              <w:rPr>
                <w:rFonts w:ascii="Fira Sans" w:hAnsi="Fira Sans"/>
                <w:sz w:val="12"/>
                <w:szCs w:val="12"/>
              </w:rPr>
              <w:t>Retail trade</w:t>
            </w:r>
          </w:p>
        </w:tc>
        <w:tc>
          <w:tcPr>
            <w:tcW w:w="952"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1584" behindDoc="0" locked="0" layoutInCell="1" allowOverlap="1" wp14:anchorId="199B7088" wp14:editId="7B38D836">
                  <wp:simplePos x="0" y="0"/>
                  <wp:positionH relativeFrom="column">
                    <wp:posOffset>-5715</wp:posOffset>
                  </wp:positionH>
                  <wp:positionV relativeFrom="paragraph">
                    <wp:posOffset>108585</wp:posOffset>
                  </wp:positionV>
                  <wp:extent cx="492760" cy="492760"/>
                  <wp:effectExtent l="0" t="0" r="2540" b="254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527444" w:rsidRPr="00A042C8" w:rsidRDefault="008168E4"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527444" w:rsidRPr="008168E4" w:rsidRDefault="00527444" w:rsidP="004D5FCA">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252608" behindDoc="0" locked="0" layoutInCell="1" allowOverlap="1" wp14:anchorId="4ECB8268" wp14:editId="7056B41C">
                  <wp:simplePos x="0" y="0"/>
                  <wp:positionH relativeFrom="column">
                    <wp:posOffset>-1905</wp:posOffset>
                  </wp:positionH>
                  <wp:positionV relativeFrom="paragraph">
                    <wp:posOffset>108585</wp:posOffset>
                  </wp:positionV>
                  <wp:extent cx="447675" cy="447675"/>
                  <wp:effectExtent l="0" t="0" r="9525" b="9525"/>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527444" w:rsidRPr="008168E4" w:rsidRDefault="008168E4"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527444" w:rsidRPr="00707E9E" w:rsidTr="004D5FCA">
        <w:tc>
          <w:tcPr>
            <w:tcW w:w="8096" w:type="dxa"/>
            <w:gridSpan w:val="7"/>
            <w:tcBorders>
              <w:top w:val="single" w:sz="4" w:space="0" w:color="C4CBF5"/>
              <w:left w:val="nil"/>
              <w:bottom w:val="nil"/>
              <w:right w:val="nil"/>
            </w:tcBorders>
            <w:shd w:val="clear" w:color="auto" w:fill="F2F2F2" w:themeFill="background1" w:themeFillShade="F2"/>
          </w:tcPr>
          <w:p w:rsidR="00527444" w:rsidRPr="00527444" w:rsidRDefault="00527444" w:rsidP="00B86E84">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 xml:space="preserve">QUESTIONS ON </w:t>
            </w:r>
            <w:r w:rsidR="00B86E84">
              <w:rPr>
                <w:rFonts w:ascii="Fira Sans" w:hAnsi="Fira Sans"/>
                <w:b/>
                <w:sz w:val="14"/>
                <w:szCs w:val="14"/>
                <w:lang w:val="en-US"/>
              </w:rPr>
              <w:t>INVESTMENTS</w:t>
            </w:r>
          </w:p>
        </w:tc>
      </w:tr>
      <w:tr w:rsidR="00527444" w:rsidRPr="00707E9E"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527444" w:rsidRDefault="00527444" w:rsidP="004D5FCA">
            <w:pPr>
              <w:spacing w:line="240" w:lineRule="auto"/>
              <w:rPr>
                <w:rFonts w:ascii="Fira Sans" w:hAnsi="Fira Sans"/>
                <w:b/>
                <w:sz w:val="14"/>
                <w:szCs w:val="14"/>
                <w:lang w:val="en-US"/>
              </w:rPr>
            </w:pPr>
          </w:p>
        </w:tc>
      </w:tr>
      <w:tr w:rsidR="00527444" w:rsidRPr="00ED6C70" w:rsidTr="004D5FCA">
        <w:tc>
          <w:tcPr>
            <w:tcW w:w="8096" w:type="dxa"/>
            <w:gridSpan w:val="7"/>
            <w:tcBorders>
              <w:top w:val="single" w:sz="4" w:space="0" w:color="C4CBF5"/>
              <w:left w:val="nil"/>
              <w:bottom w:val="single" w:sz="4" w:space="0" w:color="001D77"/>
              <w:right w:val="nil"/>
            </w:tcBorders>
          </w:tcPr>
          <w:p w:rsidR="00527444" w:rsidRPr="00703187" w:rsidRDefault="00B86E84" w:rsidP="004D5FCA">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4</w:t>
            </w:r>
            <w:r w:rsidR="00703187" w:rsidRPr="00703187">
              <w:rPr>
                <w:rFonts w:ascii="Fira Sans" w:hAnsi="Fira Sans"/>
                <w:b/>
                <w:sz w:val="14"/>
                <w:szCs w:val="14"/>
                <w:lang w:val="en-US"/>
              </w:rPr>
              <w:t xml:space="preserve">. </w:t>
            </w:r>
            <w:r w:rsidRPr="00B86E84">
              <w:rPr>
                <w:rFonts w:ascii="Fira Sans" w:hAnsi="Fira Sans"/>
                <w:b/>
                <w:sz w:val="14"/>
                <w:szCs w:val="14"/>
                <w:lang w:val="en-US"/>
              </w:rPr>
              <w:t>What are your current predictions on your company’s level of investments in 2022 with reference to investments made in 2021?</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26,8</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37,9</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20,1</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33,4</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28,0</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36,5</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ind w:firstLine="176"/>
              <w:rPr>
                <w:rFonts w:ascii="Fira Sans" w:hAnsi="Fira Sans"/>
                <w:sz w:val="12"/>
                <w:szCs w:val="12"/>
                <w:lang w:val="en-GB"/>
              </w:rPr>
            </w:pPr>
            <w:r w:rsidRPr="00D17623">
              <w:rPr>
                <w:rFonts w:ascii="Fira Sans" w:hAnsi="Fira Sans"/>
                <w:sz w:val="12"/>
                <w:szCs w:val="12"/>
                <w:lang w:val="en-GB"/>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17,1</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24,9</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9,1</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9,1</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14,4</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20,8</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ind w:firstLine="176"/>
              <w:rPr>
                <w:rFonts w:ascii="Fira Sans" w:hAnsi="Fira Sans"/>
                <w:sz w:val="12"/>
                <w:szCs w:val="12"/>
                <w:lang w:val="en-GB"/>
              </w:rPr>
            </w:pPr>
            <w:r w:rsidRPr="00D17623">
              <w:rPr>
                <w:rFonts w:ascii="Fira Sans" w:hAnsi="Fira Sans"/>
                <w:sz w:val="12"/>
                <w:szCs w:val="12"/>
                <w:lang w:val="en-GB"/>
              </w:rPr>
              <w:t>serious</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9,7</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13,0</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11,0</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24,3</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13,6</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15,7</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41,6</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43,9</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64,3</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51,5</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49,2</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33,7</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31,6</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18,2</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15,6</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15,1</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22,8</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29,8</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ind w:firstLine="176"/>
              <w:rPr>
                <w:rFonts w:ascii="Fira Sans" w:hAnsi="Fira Sans"/>
                <w:sz w:val="12"/>
                <w:szCs w:val="12"/>
                <w:lang w:val="en-GB"/>
              </w:rPr>
            </w:pPr>
            <w:r w:rsidRPr="00D17623">
              <w:rPr>
                <w:rFonts w:ascii="Fira Sans" w:hAnsi="Fira Sans"/>
                <w:sz w:val="12"/>
                <w:szCs w:val="12"/>
                <w:lang w:val="en-GB"/>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16,3</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14,7</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10,1</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9,8</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17,5</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21,1</w:t>
            </w:r>
          </w:p>
        </w:tc>
      </w:tr>
      <w:tr w:rsidR="00B86E84" w:rsidRPr="0059047B" w:rsidTr="004D5FCA">
        <w:tc>
          <w:tcPr>
            <w:tcW w:w="2443" w:type="dxa"/>
            <w:tcBorders>
              <w:top w:val="single" w:sz="2" w:space="0" w:color="001D77"/>
              <w:left w:val="nil"/>
              <w:bottom w:val="single" w:sz="2" w:space="0" w:color="001D77"/>
              <w:right w:val="single" w:sz="2" w:space="0" w:color="001D77"/>
            </w:tcBorders>
            <w:vAlign w:val="center"/>
          </w:tcPr>
          <w:p w:rsidR="00B86E84" w:rsidRPr="00D17623" w:rsidRDefault="00B86E84" w:rsidP="00B86E84">
            <w:pPr>
              <w:spacing w:before="40" w:line="259" w:lineRule="auto"/>
              <w:ind w:firstLine="176"/>
              <w:rPr>
                <w:rFonts w:ascii="Fira Sans" w:hAnsi="Fira Sans"/>
                <w:sz w:val="12"/>
                <w:szCs w:val="12"/>
                <w:lang w:val="en-GB"/>
              </w:rPr>
            </w:pPr>
            <w:r w:rsidRPr="00D17623">
              <w:rPr>
                <w:rFonts w:ascii="Fira Sans" w:hAnsi="Fira Sans"/>
                <w:sz w:val="12"/>
                <w:szCs w:val="12"/>
                <w:lang w:val="en-GB"/>
              </w:rPr>
              <w:t>serious</w:t>
            </w:r>
          </w:p>
        </w:tc>
        <w:tc>
          <w:tcPr>
            <w:tcW w:w="956" w:type="dxa"/>
            <w:tcBorders>
              <w:top w:val="single" w:sz="4" w:space="0" w:color="001D77"/>
              <w:left w:val="single" w:sz="2"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15,3</w:t>
            </w:r>
          </w:p>
        </w:tc>
        <w:tc>
          <w:tcPr>
            <w:tcW w:w="907"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5,5</w:t>
            </w:r>
          </w:p>
        </w:tc>
        <w:tc>
          <w:tcPr>
            <w:tcW w:w="959"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5,3</w:t>
            </w:r>
          </w:p>
        </w:tc>
        <w:tc>
          <w:tcPr>
            <w:tcW w:w="952" w:type="dxa"/>
            <w:tcBorders>
              <w:top w:val="single" w:sz="4" w:space="0" w:color="001D77"/>
              <w:left w:val="single" w:sz="4" w:space="0" w:color="001D77"/>
              <w:bottom w:val="single" w:sz="4" w:space="0" w:color="001D77"/>
              <w:right w:val="single" w:sz="4" w:space="0" w:color="001D77"/>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5,3</w:t>
            </w:r>
          </w:p>
        </w:tc>
        <w:tc>
          <w:tcPr>
            <w:tcW w:w="955" w:type="dxa"/>
            <w:tcBorders>
              <w:top w:val="single" w:sz="4" w:space="0" w:color="001D77"/>
              <w:left w:val="single" w:sz="4" w:space="0" w:color="001D77"/>
              <w:bottom w:val="single" w:sz="4" w:space="0" w:color="001D77"/>
              <w:right w:val="nil"/>
            </w:tcBorders>
            <w:vAlign w:val="center"/>
          </w:tcPr>
          <w:p w:rsidR="00B86E84" w:rsidRPr="003818EB" w:rsidRDefault="00B86E84" w:rsidP="00B86E84">
            <w:pPr>
              <w:spacing w:before="40" w:after="40" w:line="259" w:lineRule="auto"/>
              <w:jc w:val="right"/>
              <w:rPr>
                <w:rFonts w:ascii="Fira Sans" w:hAnsi="Fira Sans"/>
                <w:sz w:val="12"/>
                <w:szCs w:val="12"/>
              </w:rPr>
            </w:pPr>
            <w:r w:rsidRPr="003818EB">
              <w:rPr>
                <w:rFonts w:ascii="Fira Sans" w:hAnsi="Fira Sans"/>
                <w:sz w:val="12"/>
                <w:szCs w:val="12"/>
              </w:rPr>
              <w:t>8,7</w:t>
            </w:r>
          </w:p>
        </w:tc>
      </w:tr>
      <w:tr w:rsidR="00527444" w:rsidRPr="0059047B"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C75009" w:rsidRDefault="00527444" w:rsidP="004D5FCA">
            <w:pPr>
              <w:spacing w:line="240" w:lineRule="auto"/>
              <w:rPr>
                <w:rFonts w:ascii="Fira Sans" w:hAnsi="Fira Sans"/>
                <w:b/>
                <w:sz w:val="14"/>
                <w:szCs w:val="14"/>
              </w:rPr>
            </w:pPr>
          </w:p>
        </w:tc>
      </w:tr>
      <w:tr w:rsidR="00527444" w:rsidRPr="00ED6C70" w:rsidTr="004D5FCA">
        <w:tc>
          <w:tcPr>
            <w:tcW w:w="8096" w:type="dxa"/>
            <w:gridSpan w:val="7"/>
            <w:tcBorders>
              <w:top w:val="single" w:sz="4" w:space="0" w:color="C4CBF5"/>
              <w:left w:val="nil"/>
              <w:bottom w:val="single" w:sz="4" w:space="0" w:color="001D77"/>
              <w:right w:val="nil"/>
            </w:tcBorders>
          </w:tcPr>
          <w:p w:rsidR="00527444" w:rsidRPr="003A29E9" w:rsidRDefault="00B86E84" w:rsidP="004D5FCA">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5</w:t>
            </w:r>
            <w:r w:rsidR="003A29E9" w:rsidRPr="003A29E9">
              <w:rPr>
                <w:rFonts w:ascii="Fira Sans" w:hAnsi="Fira Sans"/>
                <w:b/>
                <w:sz w:val="14"/>
                <w:szCs w:val="14"/>
                <w:lang w:val="en-US"/>
              </w:rPr>
              <w:t xml:space="preserve">. </w:t>
            </w:r>
            <w:r w:rsidRPr="00B86E84">
              <w:rPr>
                <w:rFonts w:ascii="Fira Sans" w:hAnsi="Fira Sans"/>
                <w:b/>
                <w:sz w:val="14"/>
                <w:szCs w:val="14"/>
                <w:lang w:val="en-US"/>
              </w:rPr>
              <w:t>Which of the following factors have the biggest impact on limiting of your company’s investments in the current year?</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3A29E9" w:rsidRDefault="00C11BC4" w:rsidP="00C11BC4">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54,5</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65,5</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49,6</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64,3</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51,7</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64,2</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B86E84"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9,7</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13,3</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8,9</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7,5</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17,3</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12,7</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B86E84"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11,3</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11,1</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9,1</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16,9</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9,5</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3,2</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3A29E9"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9,2</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25,6</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6,7</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20,2</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25,1</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32,7</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13372C" w:rsidRDefault="00C11BC4" w:rsidP="00C11BC4">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broken supply chains</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19,2</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21,0</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13,8</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10,6</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10,0</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4,4</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13372C" w:rsidRDefault="00C11BC4" w:rsidP="00C11BC4">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high inflation</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53,2</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77,6</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58,4</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72,8</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57,6</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75,1</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3A29E9"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22,9</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41,1</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37,2</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45,3</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33,2</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22,3</w:t>
            </w:r>
          </w:p>
        </w:tc>
      </w:tr>
      <w:tr w:rsidR="00C11BC4" w:rsidRPr="0059047B" w:rsidTr="004D5FCA">
        <w:tc>
          <w:tcPr>
            <w:tcW w:w="2443" w:type="dxa"/>
            <w:tcBorders>
              <w:top w:val="single" w:sz="2" w:space="0" w:color="001D77"/>
              <w:left w:val="nil"/>
              <w:bottom w:val="single" w:sz="2" w:space="0" w:color="001D77"/>
              <w:right w:val="single" w:sz="2" w:space="0" w:color="001D77"/>
            </w:tcBorders>
            <w:vAlign w:val="center"/>
          </w:tcPr>
          <w:p w:rsidR="00C11BC4" w:rsidRPr="003A29E9"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42,2</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51,0</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41,8</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61,1</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44,8</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43,4</w:t>
            </w:r>
          </w:p>
        </w:tc>
      </w:tr>
      <w:tr w:rsidR="00C11BC4" w:rsidRPr="00B86E84" w:rsidTr="004D5FCA">
        <w:tc>
          <w:tcPr>
            <w:tcW w:w="2443" w:type="dxa"/>
            <w:tcBorders>
              <w:top w:val="single" w:sz="2" w:space="0" w:color="001D77"/>
              <w:left w:val="nil"/>
              <w:bottom w:val="single" w:sz="2" w:space="0" w:color="001D77"/>
              <w:right w:val="single" w:sz="2" w:space="0" w:color="001D77"/>
            </w:tcBorders>
            <w:vAlign w:val="center"/>
          </w:tcPr>
          <w:p w:rsidR="00C11BC4" w:rsidRPr="003A29E9"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13,3</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11,0</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7,7</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11,2</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12,2</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17,1</w:t>
            </w:r>
          </w:p>
        </w:tc>
      </w:tr>
      <w:tr w:rsidR="00C11BC4" w:rsidRPr="00B86E84" w:rsidTr="004D5FCA">
        <w:tc>
          <w:tcPr>
            <w:tcW w:w="2443" w:type="dxa"/>
            <w:tcBorders>
              <w:top w:val="single" w:sz="2" w:space="0" w:color="001D77"/>
              <w:left w:val="nil"/>
              <w:bottom w:val="single" w:sz="2" w:space="0" w:color="001D77"/>
              <w:right w:val="single" w:sz="2" w:space="0" w:color="001D77"/>
            </w:tcBorders>
            <w:vAlign w:val="center"/>
          </w:tcPr>
          <w:p w:rsidR="00C11BC4" w:rsidRPr="003A29E9" w:rsidRDefault="00C11BC4" w:rsidP="00C11BC4">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956" w:type="dxa"/>
            <w:tcBorders>
              <w:top w:val="single" w:sz="4" w:space="0" w:color="001D77"/>
              <w:left w:val="single" w:sz="2"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18,0</w:t>
            </w:r>
          </w:p>
        </w:tc>
        <w:tc>
          <w:tcPr>
            <w:tcW w:w="907"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7,4</w:t>
            </w:r>
          </w:p>
        </w:tc>
        <w:tc>
          <w:tcPr>
            <w:tcW w:w="924"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15,7</w:t>
            </w:r>
          </w:p>
        </w:tc>
        <w:tc>
          <w:tcPr>
            <w:tcW w:w="959"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5,3</w:t>
            </w:r>
          </w:p>
        </w:tc>
        <w:tc>
          <w:tcPr>
            <w:tcW w:w="952" w:type="dxa"/>
            <w:tcBorders>
              <w:top w:val="single" w:sz="4" w:space="0" w:color="001D77"/>
              <w:left w:val="single" w:sz="4" w:space="0" w:color="001D77"/>
              <w:bottom w:val="single" w:sz="4" w:space="0" w:color="001D77"/>
              <w:right w:val="single" w:sz="4" w:space="0" w:color="001D77"/>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12,9</w:t>
            </w:r>
          </w:p>
        </w:tc>
        <w:tc>
          <w:tcPr>
            <w:tcW w:w="955" w:type="dxa"/>
            <w:tcBorders>
              <w:top w:val="single" w:sz="4" w:space="0" w:color="001D77"/>
              <w:left w:val="single" w:sz="4" w:space="0" w:color="001D77"/>
              <w:bottom w:val="single" w:sz="4" w:space="0" w:color="001D77"/>
              <w:right w:val="nil"/>
            </w:tcBorders>
            <w:vAlign w:val="center"/>
          </w:tcPr>
          <w:p w:rsidR="00C11BC4" w:rsidRPr="003818EB" w:rsidRDefault="00C11BC4" w:rsidP="00C11BC4">
            <w:pPr>
              <w:spacing w:before="40" w:after="40" w:line="259" w:lineRule="auto"/>
              <w:jc w:val="right"/>
              <w:rPr>
                <w:rFonts w:ascii="Fira Sans" w:hAnsi="Fira Sans" w:cs="Fira Sans"/>
                <w:color w:val="000000"/>
                <w:sz w:val="12"/>
                <w:szCs w:val="12"/>
              </w:rPr>
            </w:pPr>
            <w:r w:rsidRPr="003818EB">
              <w:rPr>
                <w:rFonts w:ascii="Fira Sans" w:hAnsi="Fira Sans" w:cs="Fira Sans"/>
                <w:color w:val="000000"/>
                <w:sz w:val="12"/>
                <w:szCs w:val="12"/>
              </w:rPr>
              <w:t>5,7</w:t>
            </w:r>
          </w:p>
        </w:tc>
      </w:tr>
    </w:tbl>
    <w:p w:rsidR="00527444" w:rsidRDefault="00527444"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073A9C" w:rsidRDefault="00073A9C"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AB6D9B" w:rsidRPr="008E60B5" w:rsidRDefault="006121D3" w:rsidP="00404022">
      <w:pPr>
        <w:spacing w:after="0"/>
        <w:rPr>
          <w:rFonts w:ascii="Fira Sans" w:hAnsi="Fira Sans"/>
          <w:sz w:val="14"/>
          <w:szCs w:val="14"/>
          <w:lang w:val="en-GB"/>
        </w:rPr>
        <w:sectPr w:rsidR="00AB6D9B" w:rsidRPr="008E60B5"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r w:rsidR="00E011CF"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ED6C70"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@StatPoland</w:t>
            </w:r>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@GlownyUrzadStatystyczny</w:t>
            </w:r>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gus_stat</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glownyurzadstatystycznygus</w:t>
            </w:r>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sz w:val="20"/>
                <w:lang w:val="en-US"/>
              </w:rPr>
              <w:t>glownyurzadstatystyczny</w:t>
            </w:r>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0B3C91"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Business tendency</w:t>
              </w:r>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59E9" w:rsidRPr="00697405" w:rsidRDefault="00CD59E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CD59E9" w:rsidRPr="00697405" w:rsidRDefault="00CD59E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C91" w:rsidRDefault="000B3C91" w:rsidP="000662E2">
      <w:pPr>
        <w:spacing w:after="0" w:line="240" w:lineRule="auto"/>
      </w:pPr>
      <w:r>
        <w:separator/>
      </w:r>
    </w:p>
  </w:endnote>
  <w:endnote w:type="continuationSeparator" w:id="0">
    <w:p w:rsidR="000B3C91" w:rsidRDefault="000B3C9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altName w:val="Corbel"/>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CD59E9" w:rsidRPr="00B7359B" w:rsidRDefault="00CD59E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69699F">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CD59E9" w:rsidRPr="002B1A65" w:rsidRDefault="00CD59E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69699F">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CD59E9" w:rsidRDefault="00CD59E9" w:rsidP="000A013E">
        <w:pPr>
          <w:pStyle w:val="Stopka"/>
          <w:jc w:val="center"/>
        </w:pPr>
        <w:r>
          <w:fldChar w:fldCharType="begin"/>
        </w:r>
        <w:r>
          <w:instrText>PAGE   \* MERGEFORMAT</w:instrText>
        </w:r>
        <w:r>
          <w:fldChar w:fldCharType="separate"/>
        </w:r>
        <w:r w:rsidR="0069699F">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C91" w:rsidRDefault="000B3C91" w:rsidP="000662E2">
      <w:pPr>
        <w:spacing w:after="0" w:line="240" w:lineRule="auto"/>
      </w:pPr>
      <w:r>
        <w:separator/>
      </w:r>
    </w:p>
  </w:footnote>
  <w:footnote w:type="continuationSeparator" w:id="0">
    <w:p w:rsidR="000B3C91" w:rsidRDefault="000B3C91" w:rsidP="000662E2">
      <w:pPr>
        <w:spacing w:after="0" w:line="240" w:lineRule="auto"/>
      </w:pPr>
      <w:r>
        <w:continuationSeparator/>
      </w:r>
    </w:p>
  </w:footnote>
  <w:footnote w:id="1">
    <w:p w:rsidR="00CD59E9" w:rsidRPr="00D12470" w:rsidRDefault="00CD59E9"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CD59E9" w:rsidRPr="00ED5DE8" w:rsidRDefault="00CD59E9"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CD59E9" w:rsidRPr="00ED5DE8" w:rsidRDefault="00CD59E9"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CD59E9" w:rsidRPr="008C1F32" w:rsidRDefault="00CD59E9" w:rsidP="00C27D7C">
      <w:pPr>
        <w:pStyle w:val="Tekstprzypisudolnego"/>
        <w:spacing w:before="120"/>
        <w:rPr>
          <w:lang w:val="en-US"/>
        </w:rPr>
      </w:pPr>
    </w:p>
  </w:footnote>
  <w:footnote w:id="4">
    <w:p w:rsidR="00F74048" w:rsidRPr="00CC44CE" w:rsidRDefault="00F74048" w:rsidP="00F74048">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9E9" w:rsidRDefault="00CD59E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CD59E9" w:rsidRDefault="00CD59E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9E9" w:rsidRDefault="00CD59E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59E9" w:rsidRPr="000201D2" w:rsidRDefault="00CD59E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CD59E9" w:rsidRPr="000201D2" w:rsidRDefault="00CD59E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CD59E9" w:rsidRDefault="00CD59E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3.06.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CD59E9" w:rsidRPr="000201D2" w:rsidRDefault="00CD59E9" w:rsidP="00F37172">
                          <w:pPr>
                            <w:jc w:val="both"/>
                            <w:rPr>
                              <w:rFonts w:ascii="Fira Sans SemiBold" w:hAnsi="Fira Sans SemiBold"/>
                              <w:color w:val="001D77"/>
                              <w:sz w:val="19"/>
                              <w:szCs w:val="19"/>
                            </w:rPr>
                          </w:pPr>
                          <w:r>
                            <w:rPr>
                              <w:rFonts w:ascii="Fira Sans SemiBold" w:hAnsi="Fira Sans SemiBold"/>
                              <w:color w:val="001D77"/>
                              <w:sz w:val="19"/>
                              <w:szCs w:val="19"/>
                            </w:rPr>
                            <w:t>23.06.2022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3.06.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xo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tmkXE6qsqqS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cje8aB4CAAARBAAADgAAAAAAAAAAAAAAAAAuAgAAZHJzL2Uyb0RvYy54bWxQSwEC&#10;LQAUAAYACAAAACEAQ80d/90AAAAKAQAADwAAAAAAAAAAAAAAAAB4BAAAZHJzL2Rvd25yZXYueG1s&#10;UEsFBgAAAAAEAAQA8wAAAIIFAAAAAA==&#10;" filled="f" stroked="f">
              <v:textbox>
                <w:txbxContent>
                  <w:p w:rsidR="00CD59E9" w:rsidRPr="000201D2" w:rsidRDefault="00CD59E9" w:rsidP="00F37172">
                    <w:pPr>
                      <w:jc w:val="both"/>
                      <w:rPr>
                        <w:rFonts w:ascii="Fira Sans SemiBold" w:hAnsi="Fira Sans SemiBold"/>
                        <w:color w:val="001D77"/>
                        <w:sz w:val="19"/>
                        <w:szCs w:val="19"/>
                      </w:rPr>
                    </w:pPr>
                    <w:r>
                      <w:rPr>
                        <w:rFonts w:ascii="Fira Sans SemiBold" w:hAnsi="Fira Sans SemiBold"/>
                        <w:color w:val="001D77"/>
                        <w:sz w:val="19"/>
                        <w:szCs w:val="19"/>
                      </w:rPr>
                      <w:t>23.06.2022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9E9" w:rsidRDefault="00CD59E9">
    <w:pPr>
      <w:pStyle w:val="Nagwek"/>
    </w:pPr>
  </w:p>
  <w:p w:rsidR="00CD59E9" w:rsidRDefault="00CD59E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25pt;height:125.45pt;visibility:visible;mso-wrap-style:square" o:bullet="t">
        <v:imagedata r:id="rId1" o:title=""/>
      </v:shape>
    </w:pict>
  </w:numPicBullet>
  <w:numPicBullet w:numPicBulletId="1">
    <w:pict>
      <v:shape id="_x0000_i1029" type="#_x0000_t75" style="width:123.8pt;height:125.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2A1D"/>
    <w:rsid w:val="000534A5"/>
    <w:rsid w:val="00054273"/>
    <w:rsid w:val="0005463C"/>
    <w:rsid w:val="00054779"/>
    <w:rsid w:val="000569FC"/>
    <w:rsid w:val="00057B5C"/>
    <w:rsid w:val="00057BCF"/>
    <w:rsid w:val="00057CA1"/>
    <w:rsid w:val="00061635"/>
    <w:rsid w:val="00061E17"/>
    <w:rsid w:val="00062856"/>
    <w:rsid w:val="00062C3F"/>
    <w:rsid w:val="000639B8"/>
    <w:rsid w:val="00064531"/>
    <w:rsid w:val="0006559D"/>
    <w:rsid w:val="000662E2"/>
    <w:rsid w:val="00066883"/>
    <w:rsid w:val="00070CAD"/>
    <w:rsid w:val="0007237F"/>
    <w:rsid w:val="0007255E"/>
    <w:rsid w:val="00073A9C"/>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FED"/>
    <w:rsid w:val="00096571"/>
    <w:rsid w:val="00096BB4"/>
    <w:rsid w:val="000978F0"/>
    <w:rsid w:val="000A013E"/>
    <w:rsid w:val="000A0C17"/>
    <w:rsid w:val="000A0EB1"/>
    <w:rsid w:val="000A20AE"/>
    <w:rsid w:val="000A388D"/>
    <w:rsid w:val="000A6754"/>
    <w:rsid w:val="000A7081"/>
    <w:rsid w:val="000A7741"/>
    <w:rsid w:val="000B0727"/>
    <w:rsid w:val="000B1421"/>
    <w:rsid w:val="000B3C9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28CF"/>
    <w:rsid w:val="00123319"/>
    <w:rsid w:val="00123A2C"/>
    <w:rsid w:val="001244A5"/>
    <w:rsid w:val="00124C05"/>
    <w:rsid w:val="00130002"/>
    <w:rsid w:val="00130296"/>
    <w:rsid w:val="001303CA"/>
    <w:rsid w:val="001316F2"/>
    <w:rsid w:val="001325C6"/>
    <w:rsid w:val="00133B51"/>
    <w:rsid w:val="00134060"/>
    <w:rsid w:val="00134852"/>
    <w:rsid w:val="00134D2F"/>
    <w:rsid w:val="00134F39"/>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7B1"/>
    <w:rsid w:val="00155A33"/>
    <w:rsid w:val="001564E6"/>
    <w:rsid w:val="00156B91"/>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48E3"/>
    <w:rsid w:val="001A5C5E"/>
    <w:rsid w:val="001A5DA3"/>
    <w:rsid w:val="001A698E"/>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3B9B"/>
    <w:rsid w:val="001D477A"/>
    <w:rsid w:val="001D4B1F"/>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17D"/>
    <w:rsid w:val="001F135A"/>
    <w:rsid w:val="001F1BE1"/>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72E5"/>
    <w:rsid w:val="00207ECF"/>
    <w:rsid w:val="00207ED8"/>
    <w:rsid w:val="0021045E"/>
    <w:rsid w:val="002105E1"/>
    <w:rsid w:val="00211044"/>
    <w:rsid w:val="002112C0"/>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96C9A"/>
    <w:rsid w:val="00296F29"/>
    <w:rsid w:val="002A09BC"/>
    <w:rsid w:val="002A0BF6"/>
    <w:rsid w:val="002A2FF1"/>
    <w:rsid w:val="002A37B7"/>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C0845"/>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5545"/>
    <w:rsid w:val="00495D50"/>
    <w:rsid w:val="0049621B"/>
    <w:rsid w:val="00497E9D"/>
    <w:rsid w:val="00497FA0"/>
    <w:rsid w:val="004A04D5"/>
    <w:rsid w:val="004A569A"/>
    <w:rsid w:val="004A592F"/>
    <w:rsid w:val="004A599C"/>
    <w:rsid w:val="004A5DE8"/>
    <w:rsid w:val="004A640B"/>
    <w:rsid w:val="004A6BD3"/>
    <w:rsid w:val="004A6CC2"/>
    <w:rsid w:val="004B02E3"/>
    <w:rsid w:val="004B04D8"/>
    <w:rsid w:val="004B059E"/>
    <w:rsid w:val="004B0752"/>
    <w:rsid w:val="004B0F9D"/>
    <w:rsid w:val="004B1FEA"/>
    <w:rsid w:val="004B35CD"/>
    <w:rsid w:val="004B4C59"/>
    <w:rsid w:val="004B50F3"/>
    <w:rsid w:val="004B5159"/>
    <w:rsid w:val="004B54B6"/>
    <w:rsid w:val="004B7384"/>
    <w:rsid w:val="004C0840"/>
    <w:rsid w:val="004C0E8B"/>
    <w:rsid w:val="004C1895"/>
    <w:rsid w:val="004C21B2"/>
    <w:rsid w:val="004C5A76"/>
    <w:rsid w:val="004C5EFD"/>
    <w:rsid w:val="004C693A"/>
    <w:rsid w:val="004C6D40"/>
    <w:rsid w:val="004C70F3"/>
    <w:rsid w:val="004C7599"/>
    <w:rsid w:val="004C78D7"/>
    <w:rsid w:val="004C7CC1"/>
    <w:rsid w:val="004D0716"/>
    <w:rsid w:val="004D1AF6"/>
    <w:rsid w:val="004D211A"/>
    <w:rsid w:val="004D30A4"/>
    <w:rsid w:val="004D3A23"/>
    <w:rsid w:val="004D3C1E"/>
    <w:rsid w:val="004D4BCB"/>
    <w:rsid w:val="004D4C95"/>
    <w:rsid w:val="004D5FCA"/>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2408"/>
    <w:rsid w:val="005828BF"/>
    <w:rsid w:val="00582FF7"/>
    <w:rsid w:val="005835B6"/>
    <w:rsid w:val="0058396B"/>
    <w:rsid w:val="0058585A"/>
    <w:rsid w:val="005864BA"/>
    <w:rsid w:val="00587477"/>
    <w:rsid w:val="005916D7"/>
    <w:rsid w:val="00593254"/>
    <w:rsid w:val="005960D9"/>
    <w:rsid w:val="005965F1"/>
    <w:rsid w:val="005A0ADE"/>
    <w:rsid w:val="005A0F86"/>
    <w:rsid w:val="005A19C5"/>
    <w:rsid w:val="005A1C1A"/>
    <w:rsid w:val="005A50E2"/>
    <w:rsid w:val="005A5136"/>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F3A"/>
    <w:rsid w:val="006044FF"/>
    <w:rsid w:val="00605F33"/>
    <w:rsid w:val="006063D8"/>
    <w:rsid w:val="00606660"/>
    <w:rsid w:val="0060688F"/>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3C18"/>
    <w:rsid w:val="00685217"/>
    <w:rsid w:val="00686AD5"/>
    <w:rsid w:val="00690BEE"/>
    <w:rsid w:val="00692138"/>
    <w:rsid w:val="006932A5"/>
    <w:rsid w:val="00694612"/>
    <w:rsid w:val="00694F1E"/>
    <w:rsid w:val="00695688"/>
    <w:rsid w:val="00695D66"/>
    <w:rsid w:val="006966AD"/>
    <w:rsid w:val="0069699F"/>
    <w:rsid w:val="00696B4B"/>
    <w:rsid w:val="006A0351"/>
    <w:rsid w:val="006A0CAE"/>
    <w:rsid w:val="006A0D2F"/>
    <w:rsid w:val="006A10B2"/>
    <w:rsid w:val="006A280D"/>
    <w:rsid w:val="006A41E2"/>
    <w:rsid w:val="006A66EB"/>
    <w:rsid w:val="006B05FA"/>
    <w:rsid w:val="006B0E9E"/>
    <w:rsid w:val="006B1492"/>
    <w:rsid w:val="006B2029"/>
    <w:rsid w:val="006B2281"/>
    <w:rsid w:val="006B2B4A"/>
    <w:rsid w:val="006B2D75"/>
    <w:rsid w:val="006B3239"/>
    <w:rsid w:val="006B3857"/>
    <w:rsid w:val="006B5AE4"/>
    <w:rsid w:val="006B5E8A"/>
    <w:rsid w:val="006B6F94"/>
    <w:rsid w:val="006B7C5E"/>
    <w:rsid w:val="006C4904"/>
    <w:rsid w:val="006C5224"/>
    <w:rsid w:val="006C5C81"/>
    <w:rsid w:val="006C6228"/>
    <w:rsid w:val="006D3133"/>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182B"/>
    <w:rsid w:val="006F2A38"/>
    <w:rsid w:val="006F2AEC"/>
    <w:rsid w:val="006F36A8"/>
    <w:rsid w:val="006F45AD"/>
    <w:rsid w:val="006F4B1B"/>
    <w:rsid w:val="006F57E5"/>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3032"/>
    <w:rsid w:val="007655EB"/>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125"/>
    <w:rsid w:val="007B659E"/>
    <w:rsid w:val="007B7014"/>
    <w:rsid w:val="007C0B03"/>
    <w:rsid w:val="007C14FB"/>
    <w:rsid w:val="007C150C"/>
    <w:rsid w:val="007C26C0"/>
    <w:rsid w:val="007C2857"/>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25FD"/>
    <w:rsid w:val="0083401E"/>
    <w:rsid w:val="00834AD3"/>
    <w:rsid w:val="00834C1D"/>
    <w:rsid w:val="00834E2D"/>
    <w:rsid w:val="0083594E"/>
    <w:rsid w:val="00835AC9"/>
    <w:rsid w:val="00835F14"/>
    <w:rsid w:val="00835F27"/>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4F19"/>
    <w:rsid w:val="008650AE"/>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302F"/>
    <w:rsid w:val="008B54DB"/>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24B0"/>
    <w:rsid w:val="009A40B0"/>
    <w:rsid w:val="009A45B4"/>
    <w:rsid w:val="009A5C20"/>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BBC"/>
    <w:rsid w:val="009E2E91"/>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13DD"/>
    <w:rsid w:val="00A22043"/>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3D67"/>
    <w:rsid w:val="00B14952"/>
    <w:rsid w:val="00B14BCC"/>
    <w:rsid w:val="00B1589E"/>
    <w:rsid w:val="00B15C99"/>
    <w:rsid w:val="00B16354"/>
    <w:rsid w:val="00B1703C"/>
    <w:rsid w:val="00B170F4"/>
    <w:rsid w:val="00B170FA"/>
    <w:rsid w:val="00B17BDC"/>
    <w:rsid w:val="00B17C65"/>
    <w:rsid w:val="00B201D6"/>
    <w:rsid w:val="00B20DC0"/>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BF53F0"/>
    <w:rsid w:val="00C0181D"/>
    <w:rsid w:val="00C030DE"/>
    <w:rsid w:val="00C04116"/>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1AEE"/>
    <w:rsid w:val="00CC2037"/>
    <w:rsid w:val="00CC2AD4"/>
    <w:rsid w:val="00CC3523"/>
    <w:rsid w:val="00CC44CE"/>
    <w:rsid w:val="00CC45BC"/>
    <w:rsid w:val="00CC4D5F"/>
    <w:rsid w:val="00CC4F14"/>
    <w:rsid w:val="00CC5331"/>
    <w:rsid w:val="00CC5D7D"/>
    <w:rsid w:val="00CC6160"/>
    <w:rsid w:val="00CC65E6"/>
    <w:rsid w:val="00CC739E"/>
    <w:rsid w:val="00CC769F"/>
    <w:rsid w:val="00CC7CC1"/>
    <w:rsid w:val="00CD110A"/>
    <w:rsid w:val="00CD1DBD"/>
    <w:rsid w:val="00CD2740"/>
    <w:rsid w:val="00CD4A33"/>
    <w:rsid w:val="00CD58B7"/>
    <w:rsid w:val="00CD59E9"/>
    <w:rsid w:val="00CE05F5"/>
    <w:rsid w:val="00CE06F1"/>
    <w:rsid w:val="00CE1B5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283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4076C"/>
    <w:rsid w:val="00D41C37"/>
    <w:rsid w:val="00D41CB1"/>
    <w:rsid w:val="00D424E9"/>
    <w:rsid w:val="00D42A84"/>
    <w:rsid w:val="00D45C50"/>
    <w:rsid w:val="00D4628A"/>
    <w:rsid w:val="00D4628E"/>
    <w:rsid w:val="00D467AE"/>
    <w:rsid w:val="00D46DAF"/>
    <w:rsid w:val="00D475CA"/>
    <w:rsid w:val="00D50F65"/>
    <w:rsid w:val="00D527B6"/>
    <w:rsid w:val="00D54A29"/>
    <w:rsid w:val="00D5738A"/>
    <w:rsid w:val="00D608CF"/>
    <w:rsid w:val="00D6120F"/>
    <w:rsid w:val="00D616D2"/>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B4AE9"/>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5AC2"/>
    <w:rsid w:val="00DE6052"/>
    <w:rsid w:val="00DE6C7D"/>
    <w:rsid w:val="00DE7506"/>
    <w:rsid w:val="00DF0556"/>
    <w:rsid w:val="00DF1B27"/>
    <w:rsid w:val="00DF2D55"/>
    <w:rsid w:val="00DF3B68"/>
    <w:rsid w:val="00DF516E"/>
    <w:rsid w:val="00DF5991"/>
    <w:rsid w:val="00DF6A12"/>
    <w:rsid w:val="00DF7B76"/>
    <w:rsid w:val="00E00298"/>
    <w:rsid w:val="00E00AB5"/>
    <w:rsid w:val="00E011CF"/>
    <w:rsid w:val="00E01436"/>
    <w:rsid w:val="00E017C4"/>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73D"/>
    <w:rsid w:val="00E64818"/>
    <w:rsid w:val="00E664C5"/>
    <w:rsid w:val="00E671A2"/>
    <w:rsid w:val="00E67904"/>
    <w:rsid w:val="00E7165D"/>
    <w:rsid w:val="00E7180B"/>
    <w:rsid w:val="00E71AE6"/>
    <w:rsid w:val="00E71CE1"/>
    <w:rsid w:val="00E7221A"/>
    <w:rsid w:val="00E72C42"/>
    <w:rsid w:val="00E732B6"/>
    <w:rsid w:val="00E73560"/>
    <w:rsid w:val="00E74945"/>
    <w:rsid w:val="00E74B3C"/>
    <w:rsid w:val="00E75CDF"/>
    <w:rsid w:val="00E7604D"/>
    <w:rsid w:val="00E76851"/>
    <w:rsid w:val="00E76D26"/>
    <w:rsid w:val="00E77CC5"/>
    <w:rsid w:val="00E81B58"/>
    <w:rsid w:val="00E81C6F"/>
    <w:rsid w:val="00E875D3"/>
    <w:rsid w:val="00E90D24"/>
    <w:rsid w:val="00E925F9"/>
    <w:rsid w:val="00E93307"/>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24B6"/>
    <w:rsid w:val="00EE2508"/>
    <w:rsid w:val="00EE29B6"/>
    <w:rsid w:val="00EE4180"/>
    <w:rsid w:val="00EE41D5"/>
    <w:rsid w:val="00EE5FD2"/>
    <w:rsid w:val="00EE7023"/>
    <w:rsid w:val="00EF0B51"/>
    <w:rsid w:val="00EF1428"/>
    <w:rsid w:val="00EF4652"/>
    <w:rsid w:val="00EF5060"/>
    <w:rsid w:val="00EF6153"/>
    <w:rsid w:val="00F026D9"/>
    <w:rsid w:val="00F037A4"/>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483"/>
    <w:rsid w:val="00F37D5F"/>
    <w:rsid w:val="00F4061B"/>
    <w:rsid w:val="00F40BB4"/>
    <w:rsid w:val="00F40E98"/>
    <w:rsid w:val="00F4273C"/>
    <w:rsid w:val="00F428D9"/>
    <w:rsid w:val="00F438CE"/>
    <w:rsid w:val="00F4477E"/>
    <w:rsid w:val="00F45721"/>
    <w:rsid w:val="00F45D68"/>
    <w:rsid w:val="00F46E35"/>
    <w:rsid w:val="00F47728"/>
    <w:rsid w:val="00F5014A"/>
    <w:rsid w:val="00F50B11"/>
    <w:rsid w:val="00F51079"/>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048"/>
    <w:rsid w:val="00F7419C"/>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55F"/>
    <w:rsid w:val="00FC78F7"/>
    <w:rsid w:val="00FD0C73"/>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4.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bdm.stat.gov.p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header" Target="header2.xml"/><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footer" Target="footer2.xml"/><Relationship Id="rId57" Type="http://schemas.openxmlformats.org/officeDocument/2006/relationships/hyperlink" Target="https://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image" Target="media/image46.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- 06.2022.docx.docx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9FF3-76AB-4B75-8204-B01B68AA74E9}">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33E7BEDB-3C23-4B04-80FB-A968ED5B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2D6C7-AF42-4801-805F-DDCD6787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1480</Words>
  <Characters>8883</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June 2022</dc:title>
  <dc:subject/>
  <dc:creator>Statistics Poland</dc:creator>
  <cp:keywords/>
  <dc:description/>
  <cp:lastModifiedBy>Putkowska Beata</cp:lastModifiedBy>
  <cp:revision>3</cp:revision>
  <cp:lastPrinted>2021-06-18T07:35:00Z</cp:lastPrinted>
  <dcterms:created xsi:type="dcterms:W3CDTF">2022-02-09T06:46:00Z</dcterms:created>
  <dcterms:modified xsi:type="dcterms:W3CDTF">2022-06-23T07:06:00Z</dcterms:modified>
</cp:coreProperties>
</file>