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4D3D83" w14:textId="2E164394" w:rsidR="00690129" w:rsidRPr="007D728A" w:rsidRDefault="00EA2D7E" w:rsidP="007D728A">
      <w:pPr>
        <w:pStyle w:val="Tytuinfomacjisygnalnej"/>
        <w:rPr>
          <w:lang w:val="en-GB"/>
        </w:rPr>
      </w:pPr>
      <w:bookmarkStart w:id="0" w:name="_Hlk129602225"/>
      <w:bookmarkStart w:id="1" w:name="OLE_LINK2"/>
      <w:bookmarkStart w:id="2" w:name="OLE_LINK3"/>
      <w:bookmarkStart w:id="3" w:name="OLE_LINK4"/>
      <w:bookmarkStart w:id="4" w:name="OLE_LINK5"/>
      <w:bookmarkStart w:id="5" w:name="OLE_LINK6"/>
      <w:bookmarkStart w:id="6" w:name="OLE_LINK7"/>
      <w:bookmarkEnd w:id="0"/>
      <w:r>
        <w:rPr>
          <w:noProof/>
          <w:shd w:val="clear" w:color="auto" w:fill="auto"/>
          <w:lang w:val="en-GB"/>
        </w:rPr>
        <mc:AlternateContent>
          <mc:Choice Requires="wps">
            <w:drawing>
              <wp:anchor distT="0" distB="0" distL="114300" distR="114300" simplePos="0" relativeHeight="251776000" behindDoc="0" locked="0" layoutInCell="1" allowOverlap="1" wp14:anchorId="7F15DC4A" wp14:editId="46736842">
                <wp:simplePos x="0" y="0"/>
                <wp:positionH relativeFrom="column">
                  <wp:posOffset>5219205</wp:posOffset>
                </wp:positionH>
                <wp:positionV relativeFrom="paragraph">
                  <wp:posOffset>60729</wp:posOffset>
                </wp:positionV>
                <wp:extent cx="860961" cy="575953"/>
                <wp:effectExtent l="0" t="0" r="0" b="0"/>
                <wp:wrapNone/>
                <wp:docPr id="41" name="Prostokąt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0961" cy="5759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C63C8B" w14:textId="768146C7" w:rsidR="00823FDB" w:rsidRDefault="00823FDB" w:rsidP="00EA2D7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F15DC4A" id="Prostokąt 41" o:spid="_x0000_s1026" style="position:absolute;margin-left:410.95pt;margin-top:4.8pt;width:67.8pt;height:45.35pt;z-index:251776000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" filled="f" stroked="f" strokeweight="1pt">
                <v:textbox style="mso-fit-shape-to-text:t">
                  <w:txbxContent>
                    <w:p w14:paraId="4DC63C8B" w14:textId="768146C7" w:rsidR="00823FDB" w:rsidRDefault="00823FDB" w:rsidP="00EA2D7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600D19" w:rsidRPr="007D728A">
        <w:rPr>
          <w:lang w:val="en-GB"/>
        </w:rPr>
        <w:t>Foreign trade turnover of goods in total and by countries</w:t>
      </w:r>
      <w:r w:rsidR="00690129" w:rsidRPr="007D728A">
        <w:rPr>
          <w:lang w:val="en-GB"/>
        </w:rPr>
        <w:t xml:space="preserve"> </w:t>
      </w:r>
      <w:r w:rsidR="00600D19" w:rsidRPr="007D728A">
        <w:rPr>
          <w:lang w:val="en-GB"/>
        </w:rPr>
        <w:t xml:space="preserve">in </w:t>
      </w:r>
      <w:r w:rsidR="00C830AF">
        <w:rPr>
          <w:lang w:val="en-GB"/>
        </w:rPr>
        <w:t>January - September</w:t>
      </w:r>
      <w:r w:rsidR="00F71863">
        <w:rPr>
          <w:lang w:val="en-GB"/>
        </w:rPr>
        <w:t xml:space="preserve"> </w:t>
      </w:r>
      <w:r w:rsidR="004649BA" w:rsidRPr="007D728A">
        <w:rPr>
          <w:lang w:val="en-GB"/>
        </w:rPr>
        <w:t>20</w:t>
      </w:r>
      <w:r w:rsidR="00DD1BA4" w:rsidRPr="007D728A">
        <w:rPr>
          <w:lang w:val="en-GB"/>
        </w:rPr>
        <w:t>2</w:t>
      </w:r>
      <w:r w:rsidR="00A2774F">
        <w:rPr>
          <w:lang w:val="en-GB"/>
        </w:rPr>
        <w:t>3</w:t>
      </w:r>
    </w:p>
    <w:p w14:paraId="27F3C078" w14:textId="14F508AD" w:rsidR="005916D7" w:rsidRPr="00713E1D" w:rsidRDefault="007D728A" w:rsidP="005A5483">
      <w:pPr>
        <w:pStyle w:val="Lead"/>
        <w:ind w:left="3686" w:hanging="146"/>
        <w:rPr>
          <w:color w:val="001D77"/>
          <w:spacing w:val="-10"/>
          <w:lang w:val="en-GB"/>
        </w:rPr>
      </w:pPr>
      <w:r w:rsidRPr="005B65A4">
        <mc:AlternateContent>
          <mc:Choice Requires="wps">
            <w:drawing>
              <wp:anchor distT="45720" distB="45720" distL="114300" distR="114300" simplePos="0" relativeHeight="251758592" behindDoc="0" locked="0" layoutInCell="1" allowOverlap="1" wp14:anchorId="6D417B72" wp14:editId="0DD9082D">
                <wp:simplePos x="0" y="0"/>
                <wp:positionH relativeFrom="margin">
                  <wp:posOffset>29210</wp:posOffset>
                </wp:positionH>
                <wp:positionV relativeFrom="paragraph">
                  <wp:posOffset>33020</wp:posOffset>
                </wp:positionV>
                <wp:extent cx="2220595" cy="1299845"/>
                <wp:effectExtent l="0" t="0" r="8255" b="0"/>
                <wp:wrapSquare wrapText="bothSides"/>
                <wp:docPr id="6" name="Pole tekstowe 2" descr="The balance in foreign trade turnover in January - September 2023  amounted to PLN 43.8 bn. 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20595" cy="129984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D8A326F" w14:textId="0FC53B1D" w:rsidR="00823FDB" w:rsidRPr="007D728A" w:rsidRDefault="00823FDB" w:rsidP="007D728A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1"/>
                            </w:r>
                            <w:r w:rsidRPr="007D728A">
                              <w:rPr>
                                <w:rFonts w:ascii="Fira Sans SemiBold" w:hAnsi="Fira Sans SemiBold"/>
                                <w:color w:val="FFFFFF"/>
                                <w:sz w:val="60"/>
                                <w:szCs w:val="60"/>
                              </w:rPr>
                              <w:t xml:space="preserve"> </w:t>
                            </w:r>
                            <w:r>
                              <w:rPr>
                                <w:rStyle w:val="WartowskanikaZnak"/>
                              </w:rPr>
                              <w:t>43.8</w:t>
                            </w:r>
                            <w:r w:rsidRPr="002704DA">
                              <w:rPr>
                                <w:rStyle w:val="WartowskanikaZnak"/>
                              </w:rPr>
                              <w:t xml:space="preserve"> </w:t>
                            </w:r>
                            <w:proofErr w:type="spellStart"/>
                            <w:r w:rsidRPr="008C09C1">
                              <w:rPr>
                                <w:rStyle w:val="WartowskanikaZnak"/>
                              </w:rPr>
                              <w:t>bn</w:t>
                            </w:r>
                            <w:proofErr w:type="spellEnd"/>
                          </w:p>
                          <w:p w14:paraId="29BD9083" w14:textId="77777777" w:rsidR="00823FDB" w:rsidRPr="008C09C1" w:rsidRDefault="00823FDB" w:rsidP="007D728A">
                            <w:pPr>
                              <w:pStyle w:val="Opiswskanika"/>
                              <w:ind w:firstLine="708"/>
                            </w:pPr>
                            <w:r w:rsidRPr="008C09C1">
                              <w:t>balance in PLN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417B72" id="Pole tekstowe 2" o:spid="_x0000_s1027" alt="The balance in foreign trade turnover in January - September 2023  amounted to PLN 43.8 bn. " style="position:absolute;left:0;text-align:left;margin-left:2.3pt;margin-top:2.6pt;width:174.85pt;height:102.35pt;z-index:2517585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" fillcolor="#001d77" stroked="f">
                <v:stroke joinstyle="miter"/>
                <v:textbox>
                  <w:txbxContent>
                    <w:p w14:paraId="2D8A326F" w14:textId="0FC53B1D" w:rsidR="00823FDB" w:rsidRPr="007D728A" w:rsidRDefault="00823FDB" w:rsidP="007D728A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1"/>
                      </w:r>
                      <w:r w:rsidRPr="007D728A">
                        <w:rPr>
                          <w:rFonts w:ascii="Fira Sans SemiBold" w:hAnsi="Fira Sans SemiBold"/>
                          <w:color w:val="FFFFFF"/>
                          <w:sz w:val="60"/>
                          <w:szCs w:val="60"/>
                        </w:rPr>
                        <w:t xml:space="preserve"> </w:t>
                      </w:r>
                      <w:r>
                        <w:rPr>
                          <w:rStyle w:val="WartowskanikaZnak"/>
                        </w:rPr>
                        <w:t>43.8</w:t>
                      </w:r>
                      <w:r w:rsidRPr="002704DA">
                        <w:rPr>
                          <w:rStyle w:val="WartowskanikaZnak"/>
                        </w:rPr>
                        <w:t xml:space="preserve"> </w:t>
                      </w:r>
                      <w:proofErr w:type="spellStart"/>
                      <w:r w:rsidRPr="008C09C1">
                        <w:rPr>
                          <w:rStyle w:val="WartowskanikaZnak"/>
                        </w:rPr>
                        <w:t>bn</w:t>
                      </w:r>
                      <w:proofErr w:type="spellEnd"/>
                    </w:p>
                    <w:p w14:paraId="29BD9083" w14:textId="77777777" w:rsidR="00823FDB" w:rsidRPr="008C09C1" w:rsidRDefault="00823FDB" w:rsidP="007D728A">
                      <w:pPr>
                        <w:pStyle w:val="Opiswskanika"/>
                        <w:ind w:firstLine="708"/>
                      </w:pPr>
                      <w:r w:rsidRPr="008C09C1">
                        <w:t>balance in PLN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393761" w:rsidRPr="005B65A4"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6CD542A" wp14:editId="5E228EFC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33C439" w14:textId="77777777" w:rsidR="00823FDB" w:rsidRPr="005C1756" w:rsidRDefault="00823FDB" w:rsidP="00277A82">
                            <w:pPr>
                              <w:pStyle w:val="tekstzboku"/>
                              <w:spacing w:after="120"/>
                              <w:rPr>
                                <w:color w:val="0020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CD542A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" filled="f" stroked="f">
                <v:textbox>
                  <w:txbxContent>
                    <w:p w14:paraId="1533C439" w14:textId="77777777" w:rsidR="00823FDB" w:rsidRPr="005C1756" w:rsidRDefault="00823FDB" w:rsidP="00277A82">
                      <w:pPr>
                        <w:pStyle w:val="tekstzboku"/>
                        <w:spacing w:after="120"/>
                        <w:rPr>
                          <w:color w:val="002060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E046FE" w:rsidRPr="005B65A4">
        <w:rPr>
          <w:lang w:val="en-GB"/>
        </w:rPr>
        <w:t>Foreign trade turnover</w:t>
      </w:r>
      <w:r w:rsidR="000C2149" w:rsidRPr="005B65A4">
        <w:rPr>
          <w:rStyle w:val="Odwoanieprzypisudolnego"/>
          <w:rFonts w:cs="Arial"/>
          <w:noProof w:val="0"/>
          <w:sz w:val="16"/>
          <w:szCs w:val="16"/>
          <w:lang w:eastAsia="en-US"/>
        </w:rPr>
        <w:footnoteReference w:id="1"/>
      </w:r>
      <w:r w:rsidR="00E046FE" w:rsidRPr="005B65A4">
        <w:rPr>
          <w:lang w:val="en-GB"/>
        </w:rPr>
        <w:t xml:space="preserve"> </w:t>
      </w:r>
      <w:r w:rsidR="00670E27" w:rsidRPr="005B65A4">
        <w:rPr>
          <w:lang w:val="en-GB"/>
        </w:rPr>
        <w:t xml:space="preserve">in </w:t>
      </w:r>
      <w:r w:rsidR="00C830AF">
        <w:rPr>
          <w:lang w:val="en-GB"/>
        </w:rPr>
        <w:t>January - September</w:t>
      </w:r>
      <w:r w:rsidR="00F71863" w:rsidRPr="005B65A4">
        <w:rPr>
          <w:lang w:val="en-GB"/>
        </w:rPr>
        <w:t xml:space="preserve"> </w:t>
      </w:r>
      <w:r w:rsidR="00AD1C11" w:rsidRPr="005B65A4">
        <w:rPr>
          <w:lang w:val="en-GB"/>
        </w:rPr>
        <w:t>202</w:t>
      </w:r>
      <w:r w:rsidR="00A2774F" w:rsidRPr="005B65A4">
        <w:rPr>
          <w:lang w:val="en-GB"/>
        </w:rPr>
        <w:t>3</w:t>
      </w:r>
      <w:r w:rsidR="00AD1C11" w:rsidRPr="005B65A4">
        <w:rPr>
          <w:lang w:val="en-GB"/>
        </w:rPr>
        <w:t xml:space="preserve"> </w:t>
      </w:r>
      <w:r w:rsidR="00277011" w:rsidRPr="005B65A4">
        <w:rPr>
          <w:lang w:val="en-GB"/>
        </w:rPr>
        <w:t xml:space="preserve">in </w:t>
      </w:r>
      <w:r w:rsidR="00E046FE" w:rsidRPr="005B65A4">
        <w:rPr>
          <w:lang w:val="en-GB"/>
        </w:rPr>
        <w:t>exports at current prices amounted to PLN</w:t>
      </w:r>
      <w:r w:rsidR="009A5C86" w:rsidRPr="005B65A4">
        <w:rPr>
          <w:lang w:val="en-GB"/>
        </w:rPr>
        <w:t xml:space="preserve"> </w:t>
      </w:r>
      <w:r w:rsidR="00584B4F" w:rsidRPr="00584B4F">
        <w:rPr>
          <w:lang w:val="en-GB"/>
        </w:rPr>
        <w:t>1</w:t>
      </w:r>
      <w:r w:rsidR="00584B4F">
        <w:rPr>
          <w:lang w:val="en-GB"/>
        </w:rPr>
        <w:t> </w:t>
      </w:r>
      <w:r w:rsidR="009D7F72">
        <w:rPr>
          <w:lang w:val="en-GB"/>
        </w:rPr>
        <w:t>204</w:t>
      </w:r>
      <w:r w:rsidR="00584B4F">
        <w:rPr>
          <w:lang w:val="en-GB"/>
        </w:rPr>
        <w:t>.</w:t>
      </w:r>
      <w:r w:rsidR="009D7F72">
        <w:rPr>
          <w:lang w:val="en-GB"/>
        </w:rPr>
        <w:t>2</w:t>
      </w:r>
      <w:r w:rsidR="00584B4F" w:rsidRPr="00584B4F">
        <w:rPr>
          <w:lang w:val="en-GB"/>
        </w:rPr>
        <w:t xml:space="preserve"> </w:t>
      </w:r>
      <w:r w:rsidR="00070820" w:rsidRPr="005B65A4">
        <w:rPr>
          <w:lang w:val="en-GB"/>
        </w:rPr>
        <w:t>bn</w:t>
      </w:r>
      <w:r w:rsidR="00E046FE" w:rsidRPr="005B65A4">
        <w:rPr>
          <w:lang w:val="en-GB"/>
        </w:rPr>
        <w:t xml:space="preserve">, while </w:t>
      </w:r>
      <w:r w:rsidR="0012796B" w:rsidRPr="005B65A4">
        <w:rPr>
          <w:lang w:val="en-GB"/>
        </w:rPr>
        <w:t xml:space="preserve">in </w:t>
      </w:r>
      <w:r w:rsidR="00E046FE" w:rsidRPr="005B65A4">
        <w:rPr>
          <w:lang w:val="en-GB"/>
        </w:rPr>
        <w:t xml:space="preserve">imports </w:t>
      </w:r>
      <w:r w:rsidR="0012796B" w:rsidRPr="005B65A4">
        <w:rPr>
          <w:lang w:val="en-GB"/>
        </w:rPr>
        <w:t>-</w:t>
      </w:r>
      <w:r w:rsidR="00E046FE" w:rsidRPr="005B65A4">
        <w:rPr>
          <w:lang w:val="en-GB"/>
        </w:rPr>
        <w:t xml:space="preserve"> PLN </w:t>
      </w:r>
      <w:r w:rsidR="00194452" w:rsidRPr="00194452">
        <w:rPr>
          <w:lang w:val="en-US"/>
        </w:rPr>
        <w:t>1</w:t>
      </w:r>
      <w:r w:rsidR="0063605D">
        <w:rPr>
          <w:lang w:val="en-US"/>
        </w:rPr>
        <w:t> </w:t>
      </w:r>
      <w:r w:rsidR="00194452" w:rsidRPr="00194452">
        <w:rPr>
          <w:lang w:val="en-US"/>
        </w:rPr>
        <w:t>160</w:t>
      </w:r>
      <w:r w:rsidR="0063605D">
        <w:rPr>
          <w:lang w:val="en-US"/>
        </w:rPr>
        <w:t>.</w:t>
      </w:r>
      <w:r w:rsidR="00194452" w:rsidRPr="00194452">
        <w:rPr>
          <w:lang w:val="en-US"/>
        </w:rPr>
        <w:t xml:space="preserve">5 </w:t>
      </w:r>
      <w:r w:rsidR="00070820" w:rsidRPr="005B65A4">
        <w:rPr>
          <w:lang w:val="en-GB"/>
        </w:rPr>
        <w:t>bn</w:t>
      </w:r>
      <w:r w:rsidR="00690129" w:rsidRPr="005B65A4">
        <w:rPr>
          <w:lang w:val="en-GB"/>
        </w:rPr>
        <w:t xml:space="preserve">. </w:t>
      </w:r>
      <w:r w:rsidR="00E046FE" w:rsidRPr="005B65A4">
        <w:rPr>
          <w:lang w:val="en-GB"/>
        </w:rPr>
        <w:t xml:space="preserve">The </w:t>
      </w:r>
      <w:r w:rsidR="00A2774F" w:rsidRPr="005B65A4">
        <w:rPr>
          <w:lang w:val="en-GB"/>
        </w:rPr>
        <w:t>positive</w:t>
      </w:r>
      <w:r w:rsidR="00E046FE" w:rsidRPr="005B65A4">
        <w:rPr>
          <w:lang w:val="en-GB"/>
        </w:rPr>
        <w:t xml:space="preserve"> balance reached the level of PLN</w:t>
      </w:r>
      <w:r w:rsidR="00690129" w:rsidRPr="005B65A4">
        <w:rPr>
          <w:lang w:val="en-GB"/>
        </w:rPr>
        <w:t xml:space="preserve"> </w:t>
      </w:r>
      <w:r w:rsidR="00194452" w:rsidRPr="00194452">
        <w:rPr>
          <w:lang w:val="en-US"/>
        </w:rPr>
        <w:t>43</w:t>
      </w:r>
      <w:r w:rsidR="0063605D">
        <w:rPr>
          <w:lang w:val="en-US"/>
        </w:rPr>
        <w:t>.</w:t>
      </w:r>
      <w:r w:rsidR="00194452" w:rsidRPr="00194452">
        <w:rPr>
          <w:lang w:val="en-US"/>
        </w:rPr>
        <w:t xml:space="preserve">8 </w:t>
      </w:r>
      <w:r w:rsidR="00070820" w:rsidRPr="005B65A4">
        <w:rPr>
          <w:lang w:val="en-GB"/>
        </w:rPr>
        <w:t>bn</w:t>
      </w:r>
      <w:r w:rsidR="00690129" w:rsidRPr="005B65A4">
        <w:rPr>
          <w:lang w:val="en-GB"/>
        </w:rPr>
        <w:t xml:space="preserve">, </w:t>
      </w:r>
      <w:r w:rsidR="00E046FE" w:rsidRPr="005B65A4">
        <w:rPr>
          <w:lang w:val="en-GB"/>
        </w:rPr>
        <w:t>while</w:t>
      </w:r>
      <w:r w:rsidR="009345D6" w:rsidRPr="005B65A4">
        <w:rPr>
          <w:lang w:val="en-GB"/>
        </w:rPr>
        <w:t xml:space="preserve"> in</w:t>
      </w:r>
      <w:r w:rsidR="00E046FE" w:rsidRPr="005B65A4">
        <w:rPr>
          <w:lang w:val="en-GB"/>
        </w:rPr>
        <w:t xml:space="preserve"> </w:t>
      </w:r>
      <w:r w:rsidR="004649BA" w:rsidRPr="005B65A4">
        <w:rPr>
          <w:lang w:val="en-GB"/>
        </w:rPr>
        <w:t>the same period</w:t>
      </w:r>
      <w:r w:rsidR="005B53FF" w:rsidRPr="005B65A4">
        <w:rPr>
          <w:lang w:val="en-GB"/>
        </w:rPr>
        <w:t xml:space="preserve"> of </w:t>
      </w:r>
      <w:r w:rsidR="00DD1BA4" w:rsidRPr="005B65A4">
        <w:rPr>
          <w:lang w:val="en-GB"/>
        </w:rPr>
        <w:t>202</w:t>
      </w:r>
      <w:r w:rsidR="00A2774F" w:rsidRPr="005B65A4">
        <w:rPr>
          <w:lang w:val="en-GB"/>
        </w:rPr>
        <w:t>2</w:t>
      </w:r>
      <w:r w:rsidR="004649BA" w:rsidRPr="005B65A4">
        <w:rPr>
          <w:lang w:val="en-GB"/>
        </w:rPr>
        <w:t xml:space="preserve"> year</w:t>
      </w:r>
      <w:r w:rsidR="006E3560" w:rsidRPr="005B65A4">
        <w:rPr>
          <w:lang w:val="en-GB"/>
        </w:rPr>
        <w:t xml:space="preserve"> was </w:t>
      </w:r>
      <w:r w:rsidR="00A2774F" w:rsidRPr="005B65A4">
        <w:rPr>
          <w:lang w:val="en-GB"/>
        </w:rPr>
        <w:t>negative</w:t>
      </w:r>
      <w:r w:rsidR="006E3560" w:rsidRPr="005B65A4">
        <w:rPr>
          <w:lang w:val="en-GB"/>
        </w:rPr>
        <w:t xml:space="preserve"> and</w:t>
      </w:r>
      <w:r w:rsidR="004649BA" w:rsidRPr="005B65A4">
        <w:rPr>
          <w:lang w:val="en-GB"/>
        </w:rPr>
        <w:t xml:space="preserve"> amounted to</w:t>
      </w:r>
      <w:r w:rsidR="00AD1CDE" w:rsidRPr="005B65A4">
        <w:rPr>
          <w:lang w:val="en-GB"/>
        </w:rPr>
        <w:t xml:space="preserve"> </w:t>
      </w:r>
      <w:r w:rsidR="00E046FE" w:rsidRPr="005B65A4">
        <w:rPr>
          <w:lang w:val="en-GB"/>
        </w:rPr>
        <w:t xml:space="preserve">PLN </w:t>
      </w:r>
      <w:r w:rsidR="00194452" w:rsidRPr="00194452">
        <w:rPr>
          <w:lang w:val="en-US"/>
        </w:rPr>
        <w:t>70</w:t>
      </w:r>
      <w:r w:rsidR="0063605D">
        <w:rPr>
          <w:lang w:val="en-US"/>
        </w:rPr>
        <w:t>.</w:t>
      </w:r>
      <w:r w:rsidR="00194452" w:rsidRPr="00194452">
        <w:rPr>
          <w:lang w:val="en-US"/>
        </w:rPr>
        <w:t xml:space="preserve">5 </w:t>
      </w:r>
      <w:r w:rsidR="00070820" w:rsidRPr="005B65A4">
        <w:rPr>
          <w:lang w:val="en-GB"/>
        </w:rPr>
        <w:t>bn</w:t>
      </w:r>
      <w:r w:rsidR="00C45082" w:rsidRPr="005B65A4">
        <w:rPr>
          <w:lang w:val="en-GB"/>
        </w:rPr>
        <w:t>.</w:t>
      </w:r>
      <w:r w:rsidR="004B64A7" w:rsidRPr="005B65A4">
        <w:rPr>
          <w:lang w:val="en-GB"/>
        </w:rPr>
        <w:t xml:space="preserve"> </w:t>
      </w:r>
      <w:r w:rsidR="00E046FE" w:rsidRPr="005B65A4">
        <w:rPr>
          <w:lang w:val="en-GB"/>
        </w:rPr>
        <w:t>In comparison to</w:t>
      </w:r>
      <w:r w:rsidR="00DD1BA4" w:rsidRPr="005B65A4">
        <w:rPr>
          <w:lang w:val="en-GB"/>
        </w:rPr>
        <w:t xml:space="preserve"> the corresponding period of </w:t>
      </w:r>
      <w:r w:rsidR="00EC45CC" w:rsidRPr="005B65A4">
        <w:rPr>
          <w:lang w:val="en-GB"/>
        </w:rPr>
        <w:t>last year</w:t>
      </w:r>
      <w:r w:rsidR="00DC5C7C" w:rsidRPr="005B65A4">
        <w:rPr>
          <w:lang w:val="en-GB"/>
        </w:rPr>
        <w:t xml:space="preserve"> </w:t>
      </w:r>
      <w:r w:rsidR="00E046FE" w:rsidRPr="005B65A4">
        <w:rPr>
          <w:lang w:val="en-GB"/>
        </w:rPr>
        <w:t>exports</w:t>
      </w:r>
      <w:r w:rsidR="005313E7" w:rsidRPr="005B65A4">
        <w:rPr>
          <w:lang w:val="en-GB"/>
        </w:rPr>
        <w:t xml:space="preserve"> </w:t>
      </w:r>
      <w:r w:rsidR="00542848" w:rsidRPr="00713E1D">
        <w:rPr>
          <w:spacing w:val="-10"/>
          <w:lang w:val="en-GB"/>
        </w:rPr>
        <w:t xml:space="preserve">increased by </w:t>
      </w:r>
      <w:r w:rsidR="00194452" w:rsidRPr="00194452">
        <w:rPr>
          <w:spacing w:val="-10"/>
          <w:lang w:val="en-GB"/>
        </w:rPr>
        <w:t>1</w:t>
      </w:r>
      <w:r w:rsidR="0063605D">
        <w:rPr>
          <w:spacing w:val="-10"/>
          <w:lang w:val="en-GB"/>
        </w:rPr>
        <w:t>.</w:t>
      </w:r>
      <w:r w:rsidR="00194452" w:rsidRPr="00194452">
        <w:rPr>
          <w:spacing w:val="-10"/>
          <w:lang w:val="en-GB"/>
        </w:rPr>
        <w:t xml:space="preserve">7 </w:t>
      </w:r>
      <w:r w:rsidR="00226B65" w:rsidRPr="00226B65">
        <w:rPr>
          <w:spacing w:val="-4"/>
          <w:lang w:val="en-GB"/>
        </w:rPr>
        <w:t>%</w:t>
      </w:r>
      <w:r w:rsidR="00FB5AAC" w:rsidRPr="00713E1D">
        <w:rPr>
          <w:spacing w:val="-10"/>
          <w:lang w:val="en-GB"/>
        </w:rPr>
        <w:t>,</w:t>
      </w:r>
      <w:r w:rsidR="00871AF8" w:rsidRPr="00713E1D">
        <w:rPr>
          <w:spacing w:val="-10"/>
          <w:lang w:val="en-GB"/>
        </w:rPr>
        <w:t xml:space="preserve"> while </w:t>
      </w:r>
      <w:r w:rsidR="005313E7" w:rsidRPr="00713E1D">
        <w:rPr>
          <w:spacing w:val="-10"/>
          <w:lang w:val="en-GB"/>
        </w:rPr>
        <w:t>im</w:t>
      </w:r>
      <w:r w:rsidR="004B64A7" w:rsidRPr="00713E1D">
        <w:rPr>
          <w:spacing w:val="-10"/>
          <w:lang w:val="en-GB"/>
        </w:rPr>
        <w:t>port</w:t>
      </w:r>
      <w:r w:rsidR="00E046FE" w:rsidRPr="00713E1D">
        <w:rPr>
          <w:spacing w:val="-10"/>
          <w:lang w:val="en-GB"/>
        </w:rPr>
        <w:t>s</w:t>
      </w:r>
      <w:r w:rsidR="00B43730" w:rsidRPr="00713E1D">
        <w:rPr>
          <w:spacing w:val="-10"/>
          <w:lang w:val="en-GB"/>
        </w:rPr>
        <w:t xml:space="preserve"> decreased</w:t>
      </w:r>
      <w:r w:rsidR="009D19FF" w:rsidRPr="00713E1D">
        <w:rPr>
          <w:spacing w:val="-10"/>
          <w:lang w:val="en-GB"/>
        </w:rPr>
        <w:t xml:space="preserve"> </w:t>
      </w:r>
      <w:r w:rsidR="00E046FE" w:rsidRPr="00713E1D">
        <w:rPr>
          <w:spacing w:val="-10"/>
          <w:lang w:val="en-GB"/>
        </w:rPr>
        <w:t>by</w:t>
      </w:r>
      <w:r w:rsidR="00107393">
        <w:rPr>
          <w:spacing w:val="-10"/>
          <w:lang w:val="en-GB"/>
        </w:rPr>
        <w:t xml:space="preserve"> </w:t>
      </w:r>
      <w:r w:rsidR="00194452" w:rsidRPr="00194452">
        <w:rPr>
          <w:spacing w:val="-10"/>
          <w:lang w:val="en-GB"/>
        </w:rPr>
        <w:t>7</w:t>
      </w:r>
      <w:r w:rsidR="0063605D">
        <w:rPr>
          <w:spacing w:val="-10"/>
          <w:lang w:val="en-GB"/>
        </w:rPr>
        <w:t>.</w:t>
      </w:r>
      <w:r w:rsidR="00194452" w:rsidRPr="00194452">
        <w:rPr>
          <w:spacing w:val="-10"/>
          <w:lang w:val="en-GB"/>
        </w:rPr>
        <w:t xml:space="preserve">5 </w:t>
      </w:r>
      <w:r w:rsidR="004B64A7" w:rsidRPr="00713E1D">
        <w:rPr>
          <w:spacing w:val="-10"/>
          <w:lang w:val="en-GB"/>
        </w:rPr>
        <w:t>%</w:t>
      </w:r>
      <w:r w:rsidR="005313E7" w:rsidRPr="00713E1D">
        <w:rPr>
          <w:spacing w:val="-10"/>
          <w:lang w:val="en-GB"/>
        </w:rPr>
        <w:t>.</w:t>
      </w:r>
    </w:p>
    <w:p w14:paraId="4D2B9642" w14:textId="77777777" w:rsidR="005313E7" w:rsidRPr="007D728A" w:rsidRDefault="005313E7" w:rsidP="00633014">
      <w:pPr>
        <w:pStyle w:val="LID"/>
        <w:rPr>
          <w:rFonts w:cs="Arial"/>
          <w:lang w:val="en-GB"/>
        </w:rPr>
      </w:pPr>
    </w:p>
    <w:p w14:paraId="40523861" w14:textId="77777777" w:rsidR="00C22105" w:rsidRPr="00070820" w:rsidRDefault="009227A6" w:rsidP="005A5483">
      <w:pPr>
        <w:pStyle w:val="Nagwek1"/>
        <w:spacing w:before="360"/>
        <w:jc w:val="both"/>
        <w:rPr>
          <w:lang w:val="en-US"/>
        </w:rPr>
      </w:pPr>
      <w:r w:rsidRPr="00645281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0F2C727E" wp14:editId="37310612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3E99D" w14:textId="77777777" w:rsidR="00823FDB" w:rsidRPr="00070820" w:rsidRDefault="00823FDB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2C727E" id="_x0000_s1029" type="#_x0000_t202" style="position:absolute;left:0;text-align:left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" filled="f" stroked="f">
                <v:textbox>
                  <w:txbxContent>
                    <w:p w14:paraId="0983E99D" w14:textId="77777777" w:rsidR="00823FDB" w:rsidRPr="00070820" w:rsidRDefault="00823FDB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0A6A65" w:rsidRPr="00B5363E">
        <w:rPr>
          <w:rFonts w:ascii="Fira Sans" w:hAnsi="Fira Sans"/>
          <w:b/>
          <w:szCs w:val="19"/>
          <w:lang w:val="en-GB"/>
        </w:rPr>
        <w:t>Foreign trade turnover expressed in US dollars and in EUR</w:t>
      </w:r>
    </w:p>
    <w:p w14:paraId="1A467C05" w14:textId="70613F32" w:rsidR="00E73C91" w:rsidRPr="00071ED2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071ED2">
        <w:rPr>
          <w:rFonts w:eastAsia="Times New Roman" w:cs="Times New Roman"/>
          <w:szCs w:val="19"/>
          <w:lang w:val="en-GB" w:eastAsia="pl-PL"/>
        </w:rPr>
        <w:t xml:space="preserve">Exports expressed in USD amounted to </w:t>
      </w:r>
      <w:r w:rsidR="00194452" w:rsidRPr="00071ED2">
        <w:rPr>
          <w:rFonts w:eastAsia="Times New Roman" w:cs="Times New Roman"/>
          <w:szCs w:val="19"/>
          <w:lang w:val="en-US" w:eastAsia="pl-PL"/>
        </w:rPr>
        <w:t>284</w:t>
      </w:r>
      <w:r w:rsidR="0063605D" w:rsidRPr="00071ED2">
        <w:rPr>
          <w:rFonts w:eastAsia="Times New Roman" w:cs="Times New Roman"/>
          <w:szCs w:val="19"/>
          <w:lang w:val="en-US" w:eastAsia="pl-PL"/>
        </w:rPr>
        <w:t>.</w:t>
      </w:r>
      <w:r w:rsidR="00194452" w:rsidRPr="00071ED2">
        <w:rPr>
          <w:rFonts w:eastAsia="Times New Roman" w:cs="Times New Roman"/>
          <w:szCs w:val="19"/>
          <w:lang w:val="en-US" w:eastAsia="pl-PL"/>
        </w:rPr>
        <w:t>5</w:t>
      </w:r>
      <w:r w:rsidR="009D6A6F" w:rsidRPr="00071ED2">
        <w:rPr>
          <w:rFonts w:eastAsia="Times New Roman" w:cs="Times New Roman"/>
          <w:szCs w:val="19"/>
          <w:lang w:val="en-US" w:eastAsia="pl-PL"/>
        </w:rPr>
        <w:t xml:space="preserve"> </w:t>
      </w:r>
      <w:r w:rsidRPr="00071ED2">
        <w:rPr>
          <w:rFonts w:eastAsia="Times New Roman" w:cs="Times New Roman"/>
          <w:szCs w:val="19"/>
          <w:lang w:val="en-GB" w:eastAsia="pl-PL"/>
        </w:rPr>
        <w:t xml:space="preserve">bn, while imports amounted to USD </w:t>
      </w:r>
      <w:r w:rsidR="00194452" w:rsidRPr="00071ED2">
        <w:rPr>
          <w:rFonts w:eastAsia="Times New Roman" w:cs="Times New Roman"/>
          <w:szCs w:val="19"/>
          <w:lang w:val="en-GB" w:eastAsia="pl-PL"/>
        </w:rPr>
        <w:t xml:space="preserve">274,2 </w:t>
      </w:r>
      <w:r w:rsidRPr="00071ED2">
        <w:rPr>
          <w:rFonts w:eastAsia="Times New Roman" w:cs="Times New Roman"/>
          <w:szCs w:val="19"/>
          <w:lang w:val="en-GB" w:eastAsia="pl-PL"/>
        </w:rPr>
        <w:t xml:space="preserve">bn (an increase in exports of </w:t>
      </w:r>
      <w:r w:rsidR="00194452" w:rsidRPr="00071ED2">
        <w:rPr>
          <w:rFonts w:eastAsia="Times New Roman" w:cs="Times New Roman"/>
          <w:szCs w:val="19"/>
          <w:lang w:val="en-GB" w:eastAsia="pl-PL"/>
        </w:rPr>
        <w:t>3,8</w:t>
      </w:r>
      <w:r w:rsidRPr="00071ED2">
        <w:rPr>
          <w:rFonts w:eastAsia="Times New Roman" w:cs="Times New Roman"/>
          <w:szCs w:val="19"/>
          <w:lang w:val="en-GB" w:eastAsia="pl-PL"/>
        </w:rPr>
        <w:t xml:space="preserve">% and </w:t>
      </w:r>
      <w:r w:rsidR="00A2774F" w:rsidRPr="00071ED2">
        <w:rPr>
          <w:rFonts w:eastAsia="Times New Roman" w:cs="Times New Roman"/>
          <w:szCs w:val="19"/>
          <w:lang w:val="en-GB" w:eastAsia="pl-PL"/>
        </w:rPr>
        <w:t xml:space="preserve">decrease </w:t>
      </w:r>
      <w:r w:rsidRPr="00071ED2">
        <w:rPr>
          <w:rFonts w:eastAsia="Times New Roman" w:cs="Times New Roman"/>
          <w:szCs w:val="19"/>
          <w:lang w:val="en-GB" w:eastAsia="pl-PL"/>
        </w:rPr>
        <w:t>in imports of </w:t>
      </w:r>
      <w:r w:rsidR="00194452" w:rsidRPr="00071ED2">
        <w:rPr>
          <w:rFonts w:eastAsia="Times New Roman" w:cs="Times New Roman"/>
          <w:szCs w:val="19"/>
          <w:lang w:val="en-GB" w:eastAsia="pl-PL"/>
        </w:rPr>
        <w:t>5</w:t>
      </w:r>
      <w:r w:rsidR="0063605D" w:rsidRPr="00071ED2">
        <w:rPr>
          <w:rFonts w:eastAsia="Times New Roman" w:cs="Times New Roman"/>
          <w:szCs w:val="19"/>
          <w:lang w:val="en-GB" w:eastAsia="pl-PL"/>
        </w:rPr>
        <w:t>.</w:t>
      </w:r>
      <w:r w:rsidR="00194452" w:rsidRPr="00071ED2">
        <w:rPr>
          <w:rFonts w:eastAsia="Times New Roman" w:cs="Times New Roman"/>
          <w:szCs w:val="19"/>
          <w:lang w:val="en-GB" w:eastAsia="pl-PL"/>
        </w:rPr>
        <w:t>6</w:t>
      </w:r>
      <w:r w:rsidRPr="00071ED2">
        <w:rPr>
          <w:rFonts w:eastAsia="Times New Roman" w:cs="Times New Roman"/>
          <w:szCs w:val="19"/>
          <w:lang w:val="en-GB" w:eastAsia="pl-PL"/>
        </w:rPr>
        <w:t xml:space="preserve">%). The </w:t>
      </w:r>
      <w:r w:rsidR="00A2774F" w:rsidRPr="00071ED2">
        <w:rPr>
          <w:rFonts w:eastAsia="Times New Roman" w:cs="Times New Roman"/>
          <w:szCs w:val="19"/>
          <w:lang w:val="en-GB" w:eastAsia="pl-PL"/>
        </w:rPr>
        <w:t>positive</w:t>
      </w:r>
      <w:r w:rsidRPr="00071ED2">
        <w:rPr>
          <w:rFonts w:eastAsia="Times New Roman" w:cs="Times New Roman"/>
          <w:szCs w:val="19"/>
          <w:lang w:val="en-GB" w:eastAsia="pl-PL"/>
        </w:rPr>
        <w:t xml:space="preserve"> balance reached the level of USD </w:t>
      </w:r>
      <w:r w:rsidR="00194452" w:rsidRPr="00071ED2">
        <w:rPr>
          <w:rFonts w:eastAsia="Times New Roman" w:cs="Times New Roman"/>
          <w:szCs w:val="19"/>
          <w:lang w:val="en-GB" w:eastAsia="pl-PL"/>
        </w:rPr>
        <w:t>10</w:t>
      </w:r>
      <w:r w:rsidR="0063605D" w:rsidRPr="00071ED2">
        <w:rPr>
          <w:rFonts w:eastAsia="Times New Roman" w:cs="Times New Roman"/>
          <w:szCs w:val="19"/>
          <w:lang w:val="en-GB" w:eastAsia="pl-PL"/>
        </w:rPr>
        <w:t>.</w:t>
      </w:r>
      <w:r w:rsidR="00194452" w:rsidRPr="00071ED2">
        <w:rPr>
          <w:rFonts w:eastAsia="Times New Roman" w:cs="Times New Roman"/>
          <w:szCs w:val="19"/>
          <w:lang w:val="en-GB" w:eastAsia="pl-PL"/>
        </w:rPr>
        <w:t xml:space="preserve">3 </w:t>
      </w:r>
      <w:r w:rsidRPr="00071ED2">
        <w:rPr>
          <w:rFonts w:eastAsia="Times New Roman" w:cs="Times New Roman"/>
          <w:szCs w:val="19"/>
          <w:lang w:val="en-GB" w:eastAsia="pl-PL"/>
        </w:rPr>
        <w:t>bn, while in the same period of 202</w:t>
      </w:r>
      <w:r w:rsidR="00941346" w:rsidRPr="00071ED2">
        <w:rPr>
          <w:rFonts w:eastAsia="Times New Roman" w:cs="Times New Roman"/>
          <w:szCs w:val="19"/>
          <w:lang w:val="en-GB" w:eastAsia="pl-PL"/>
        </w:rPr>
        <w:t>2</w:t>
      </w:r>
      <w:r w:rsidRPr="00071ED2">
        <w:rPr>
          <w:rFonts w:eastAsia="Times New Roman" w:cs="Times New Roman"/>
          <w:szCs w:val="19"/>
          <w:lang w:val="en-GB" w:eastAsia="pl-PL"/>
        </w:rPr>
        <w:t xml:space="preserve"> year was </w:t>
      </w:r>
      <w:r w:rsidR="00941346" w:rsidRPr="00071ED2">
        <w:rPr>
          <w:rFonts w:eastAsia="Times New Roman" w:cs="Times New Roman"/>
          <w:szCs w:val="19"/>
          <w:lang w:val="en-GB" w:eastAsia="pl-PL"/>
        </w:rPr>
        <w:t>nega</w:t>
      </w:r>
      <w:r w:rsidRPr="00071ED2">
        <w:rPr>
          <w:rFonts w:eastAsia="Times New Roman" w:cs="Times New Roman"/>
          <w:szCs w:val="19"/>
          <w:lang w:val="en-GB" w:eastAsia="pl-PL"/>
        </w:rPr>
        <w:t xml:space="preserve">tive and amounted to USD </w:t>
      </w:r>
      <w:r w:rsidR="00194452" w:rsidRPr="00071ED2">
        <w:rPr>
          <w:rFonts w:eastAsia="Times New Roman" w:cs="Times New Roman"/>
          <w:szCs w:val="19"/>
          <w:lang w:val="en-GB" w:eastAsia="pl-PL"/>
        </w:rPr>
        <w:t>16</w:t>
      </w:r>
      <w:r w:rsidR="0063605D" w:rsidRPr="00071ED2">
        <w:rPr>
          <w:rFonts w:eastAsia="Times New Roman" w:cs="Times New Roman"/>
          <w:szCs w:val="19"/>
          <w:lang w:val="en-GB" w:eastAsia="pl-PL"/>
        </w:rPr>
        <w:t>.</w:t>
      </w:r>
      <w:r w:rsidR="00194452" w:rsidRPr="00071ED2">
        <w:rPr>
          <w:rFonts w:eastAsia="Times New Roman" w:cs="Times New Roman"/>
          <w:szCs w:val="19"/>
          <w:lang w:val="en-GB" w:eastAsia="pl-PL"/>
        </w:rPr>
        <w:t xml:space="preserve">3 </w:t>
      </w:r>
      <w:r w:rsidRPr="00071ED2">
        <w:rPr>
          <w:rFonts w:eastAsia="Times New Roman" w:cs="Times New Roman"/>
          <w:szCs w:val="19"/>
          <w:lang w:val="en-GB" w:eastAsia="pl-PL"/>
        </w:rPr>
        <w:t xml:space="preserve">bn. </w:t>
      </w:r>
    </w:p>
    <w:p w14:paraId="1D107EC5" w14:textId="4C9C949D" w:rsidR="00E73C91" w:rsidRPr="00275799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071ED2">
        <w:rPr>
          <w:rFonts w:eastAsia="Times New Roman" w:cs="Times New Roman"/>
          <w:szCs w:val="19"/>
          <w:lang w:val="en-GB" w:eastAsia="pl-PL"/>
        </w:rPr>
        <w:t xml:space="preserve">Exports expressed in EUR amounted to </w:t>
      </w:r>
      <w:r w:rsidR="00194452" w:rsidRPr="00071ED2">
        <w:rPr>
          <w:rFonts w:eastAsia="Times New Roman" w:cs="Times New Roman"/>
          <w:szCs w:val="19"/>
          <w:lang w:val="en-GB" w:eastAsia="pl-PL"/>
        </w:rPr>
        <w:t>262</w:t>
      </w:r>
      <w:r w:rsidR="0063605D" w:rsidRPr="00071ED2">
        <w:rPr>
          <w:rFonts w:eastAsia="Times New Roman" w:cs="Times New Roman"/>
          <w:szCs w:val="19"/>
          <w:lang w:val="en-GB" w:eastAsia="pl-PL"/>
        </w:rPr>
        <w:t>.</w:t>
      </w:r>
      <w:r w:rsidR="00194452" w:rsidRPr="00071ED2">
        <w:rPr>
          <w:rFonts w:eastAsia="Times New Roman" w:cs="Times New Roman"/>
          <w:szCs w:val="19"/>
          <w:lang w:val="en-GB" w:eastAsia="pl-PL"/>
        </w:rPr>
        <w:t xml:space="preserve">2 </w:t>
      </w:r>
      <w:r w:rsidRPr="00071ED2">
        <w:rPr>
          <w:rFonts w:eastAsia="Times New Roman" w:cs="Times New Roman"/>
          <w:szCs w:val="19"/>
          <w:lang w:val="en-GB" w:eastAsia="pl-PL"/>
        </w:rPr>
        <w:t xml:space="preserve">bn, while imports amounted to EUR </w:t>
      </w:r>
      <w:r w:rsidR="00194452" w:rsidRPr="00071ED2">
        <w:rPr>
          <w:rFonts w:eastAsia="Times New Roman" w:cs="Times New Roman"/>
          <w:szCs w:val="19"/>
          <w:lang w:val="en-GB" w:eastAsia="pl-PL"/>
        </w:rPr>
        <w:t>252</w:t>
      </w:r>
      <w:r w:rsidR="0063605D" w:rsidRPr="00071ED2">
        <w:rPr>
          <w:rFonts w:eastAsia="Times New Roman" w:cs="Times New Roman"/>
          <w:szCs w:val="19"/>
          <w:lang w:val="en-GB" w:eastAsia="pl-PL"/>
        </w:rPr>
        <w:t>.</w:t>
      </w:r>
      <w:r w:rsidR="00194452" w:rsidRPr="00071ED2">
        <w:rPr>
          <w:rFonts w:eastAsia="Times New Roman" w:cs="Times New Roman"/>
          <w:szCs w:val="19"/>
          <w:lang w:val="en-GB" w:eastAsia="pl-PL"/>
        </w:rPr>
        <w:t xml:space="preserve">7 </w:t>
      </w:r>
      <w:r w:rsidRPr="00071ED2">
        <w:rPr>
          <w:rFonts w:eastAsia="Times New Roman" w:cs="Times New Roman"/>
          <w:szCs w:val="19"/>
          <w:lang w:val="en-GB" w:eastAsia="pl-PL"/>
        </w:rPr>
        <w:t xml:space="preserve">bn (an increase in exports of </w:t>
      </w:r>
      <w:r w:rsidR="00194452" w:rsidRPr="00071ED2">
        <w:rPr>
          <w:rFonts w:eastAsia="Times New Roman" w:cs="Times New Roman"/>
          <w:szCs w:val="19"/>
          <w:lang w:val="en-GB" w:eastAsia="pl-PL"/>
        </w:rPr>
        <w:t>3</w:t>
      </w:r>
      <w:r w:rsidR="0063605D" w:rsidRPr="00071ED2">
        <w:rPr>
          <w:rFonts w:eastAsia="Times New Roman" w:cs="Times New Roman"/>
          <w:szCs w:val="19"/>
          <w:lang w:val="en-GB" w:eastAsia="pl-PL"/>
        </w:rPr>
        <w:t>.</w:t>
      </w:r>
      <w:r w:rsidR="00194452" w:rsidRPr="00071ED2">
        <w:rPr>
          <w:rFonts w:eastAsia="Times New Roman" w:cs="Times New Roman"/>
          <w:szCs w:val="19"/>
          <w:lang w:val="en-GB" w:eastAsia="pl-PL"/>
        </w:rPr>
        <w:t>0</w:t>
      </w:r>
      <w:r w:rsidRPr="00071ED2">
        <w:rPr>
          <w:rFonts w:eastAsia="Times New Roman" w:cs="Times New Roman"/>
          <w:szCs w:val="19"/>
          <w:lang w:val="en-GB" w:eastAsia="pl-PL"/>
        </w:rPr>
        <w:t>% and</w:t>
      </w:r>
      <w:r w:rsidR="007C1C52" w:rsidRPr="00071ED2">
        <w:rPr>
          <w:rFonts w:eastAsia="Times New Roman" w:cs="Times New Roman"/>
          <w:szCs w:val="19"/>
          <w:lang w:val="en-GB" w:eastAsia="pl-PL"/>
        </w:rPr>
        <w:t xml:space="preserve"> decrease</w:t>
      </w:r>
      <w:r w:rsidRPr="00071ED2">
        <w:rPr>
          <w:rFonts w:eastAsia="Times New Roman" w:cs="Times New Roman"/>
          <w:szCs w:val="19"/>
          <w:lang w:val="en-GB" w:eastAsia="pl-PL"/>
        </w:rPr>
        <w:t xml:space="preserve"> in imports of </w:t>
      </w:r>
      <w:r w:rsidR="00194452" w:rsidRPr="00071ED2">
        <w:rPr>
          <w:rFonts w:eastAsia="Times New Roman" w:cs="Times New Roman"/>
          <w:szCs w:val="19"/>
          <w:lang w:val="en-GB" w:eastAsia="pl-PL"/>
        </w:rPr>
        <w:t>6</w:t>
      </w:r>
      <w:r w:rsidR="0063605D" w:rsidRPr="00071ED2">
        <w:rPr>
          <w:rFonts w:eastAsia="Times New Roman" w:cs="Times New Roman"/>
          <w:szCs w:val="19"/>
          <w:lang w:val="en-GB" w:eastAsia="pl-PL"/>
        </w:rPr>
        <w:t>.</w:t>
      </w:r>
      <w:r w:rsidR="00194452" w:rsidRPr="00071ED2">
        <w:rPr>
          <w:rFonts w:eastAsia="Times New Roman" w:cs="Times New Roman"/>
          <w:szCs w:val="19"/>
          <w:lang w:val="en-GB" w:eastAsia="pl-PL"/>
        </w:rPr>
        <w:t>4</w:t>
      </w:r>
      <w:r w:rsidRPr="00071ED2">
        <w:rPr>
          <w:rFonts w:eastAsia="Times New Roman" w:cs="Times New Roman"/>
          <w:szCs w:val="19"/>
          <w:lang w:val="en-GB" w:eastAsia="pl-PL"/>
        </w:rPr>
        <w:t xml:space="preserve">%). The </w:t>
      </w:r>
      <w:r w:rsidR="00941346" w:rsidRPr="00071ED2">
        <w:rPr>
          <w:rFonts w:eastAsia="Times New Roman" w:cs="Times New Roman"/>
          <w:szCs w:val="19"/>
          <w:lang w:val="en-GB" w:eastAsia="pl-PL"/>
        </w:rPr>
        <w:t>posi</w:t>
      </w:r>
      <w:r w:rsidRPr="00071ED2">
        <w:rPr>
          <w:rFonts w:eastAsia="Times New Roman" w:cs="Times New Roman"/>
          <w:szCs w:val="19"/>
          <w:lang w:val="en-GB" w:eastAsia="pl-PL"/>
        </w:rPr>
        <w:t xml:space="preserve">tive balance reached EUR </w:t>
      </w:r>
      <w:r w:rsidR="00194452" w:rsidRPr="00071ED2">
        <w:rPr>
          <w:rFonts w:eastAsia="Times New Roman" w:cs="Times New Roman"/>
          <w:szCs w:val="19"/>
          <w:lang w:val="en-GB" w:eastAsia="pl-PL"/>
        </w:rPr>
        <w:t>9</w:t>
      </w:r>
      <w:r w:rsidR="0063605D" w:rsidRPr="00071ED2">
        <w:rPr>
          <w:rFonts w:eastAsia="Times New Roman" w:cs="Times New Roman"/>
          <w:szCs w:val="19"/>
          <w:lang w:val="en-GB" w:eastAsia="pl-PL"/>
        </w:rPr>
        <w:t>.</w:t>
      </w:r>
      <w:r w:rsidR="00194452" w:rsidRPr="00071ED2">
        <w:rPr>
          <w:rFonts w:eastAsia="Times New Roman" w:cs="Times New Roman"/>
          <w:szCs w:val="19"/>
          <w:lang w:val="en-GB" w:eastAsia="pl-PL"/>
        </w:rPr>
        <w:t xml:space="preserve">5 </w:t>
      </w:r>
      <w:r w:rsidRPr="00071ED2">
        <w:rPr>
          <w:rFonts w:eastAsia="Times New Roman" w:cs="Times New Roman"/>
          <w:szCs w:val="19"/>
          <w:lang w:val="en-GB" w:eastAsia="pl-PL"/>
        </w:rPr>
        <w:t xml:space="preserve">bn, compared to a </w:t>
      </w:r>
      <w:r w:rsidR="00941346" w:rsidRPr="00071ED2">
        <w:rPr>
          <w:rFonts w:eastAsia="Times New Roman" w:cs="Times New Roman"/>
          <w:szCs w:val="19"/>
          <w:lang w:val="en-GB" w:eastAsia="pl-PL"/>
        </w:rPr>
        <w:t>nega</w:t>
      </w:r>
      <w:r w:rsidRPr="00071ED2">
        <w:rPr>
          <w:rFonts w:eastAsia="Times New Roman" w:cs="Times New Roman"/>
          <w:szCs w:val="19"/>
          <w:lang w:val="en-GB" w:eastAsia="pl-PL"/>
        </w:rPr>
        <w:t>tive balance of EUR </w:t>
      </w:r>
      <w:r w:rsidR="00194452" w:rsidRPr="00071ED2">
        <w:rPr>
          <w:rFonts w:eastAsia="Times New Roman" w:cs="Times New Roman"/>
          <w:szCs w:val="19"/>
          <w:lang w:val="en-GB" w:eastAsia="pl-PL"/>
        </w:rPr>
        <w:t>15</w:t>
      </w:r>
      <w:r w:rsidR="0063605D" w:rsidRPr="00071ED2">
        <w:rPr>
          <w:rFonts w:eastAsia="Times New Roman" w:cs="Times New Roman"/>
          <w:szCs w:val="19"/>
          <w:lang w:val="en-GB" w:eastAsia="pl-PL"/>
        </w:rPr>
        <w:t>.</w:t>
      </w:r>
      <w:r w:rsidR="00194452" w:rsidRPr="00071ED2">
        <w:rPr>
          <w:rFonts w:eastAsia="Times New Roman" w:cs="Times New Roman"/>
          <w:szCs w:val="19"/>
          <w:lang w:val="en-GB" w:eastAsia="pl-PL"/>
        </w:rPr>
        <w:t xml:space="preserve">2 </w:t>
      </w:r>
      <w:r w:rsidRPr="00071ED2">
        <w:rPr>
          <w:rFonts w:eastAsia="Times New Roman" w:cs="Times New Roman"/>
          <w:szCs w:val="19"/>
          <w:lang w:val="en-GB" w:eastAsia="pl-PL"/>
        </w:rPr>
        <w:t>bn in the same period of 202</w:t>
      </w:r>
      <w:r w:rsidR="00941346" w:rsidRPr="00071ED2">
        <w:rPr>
          <w:rFonts w:eastAsia="Times New Roman" w:cs="Times New Roman"/>
          <w:szCs w:val="19"/>
          <w:lang w:val="en-GB" w:eastAsia="pl-PL"/>
        </w:rPr>
        <w:t>2</w:t>
      </w:r>
      <w:r w:rsidRPr="00071ED2">
        <w:rPr>
          <w:rFonts w:eastAsia="Times New Roman" w:cs="Times New Roman"/>
          <w:szCs w:val="19"/>
          <w:lang w:val="en-GB" w:eastAsia="pl-PL"/>
        </w:rPr>
        <w:t>.</w:t>
      </w:r>
    </w:p>
    <w:p w14:paraId="76388F73" w14:textId="77777777" w:rsidR="00F802BE" w:rsidRPr="00070820" w:rsidRDefault="00F802BE" w:rsidP="00645281">
      <w:pPr>
        <w:pStyle w:val="Nagwek1"/>
        <w:spacing w:before="360"/>
        <w:rPr>
          <w:lang w:val="en-US"/>
        </w:rPr>
      </w:pPr>
      <w:r w:rsidRPr="00633014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6EC2A027" wp14:editId="3B86DA2D">
                <wp:simplePos x="0" y="0"/>
                <wp:positionH relativeFrom="column">
                  <wp:posOffset>5219700</wp:posOffset>
                </wp:positionH>
                <wp:positionV relativeFrom="paragraph">
                  <wp:posOffset>165100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0F66B1" w14:textId="77777777" w:rsidR="00823FDB" w:rsidRPr="00F63B71" w:rsidRDefault="00823FDB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E3399E" w14:textId="77777777" w:rsidR="00823FDB" w:rsidRPr="00F63B71" w:rsidRDefault="00823FDB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262768" w14:textId="77777777" w:rsidR="00823FDB" w:rsidRPr="00F63B71" w:rsidRDefault="00823FDB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C2A5C8" w14:textId="77777777" w:rsidR="00823FDB" w:rsidRPr="00F63B71" w:rsidRDefault="00823FDB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5EE42A" w14:textId="77777777" w:rsidR="00823FDB" w:rsidRPr="00F63B71" w:rsidRDefault="00823FDB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3F87F" w14:textId="77777777" w:rsidR="00823FDB" w:rsidRPr="00F63B71" w:rsidRDefault="00823FDB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B4106CB" w14:textId="77777777" w:rsidR="00823FDB" w:rsidRPr="00F63B71" w:rsidRDefault="00823FDB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AE4787" w14:textId="77777777" w:rsidR="00823FDB" w:rsidRPr="00F63B71" w:rsidRDefault="00823FDB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0FADF35" w14:textId="77777777" w:rsidR="00823FDB" w:rsidRPr="00F63B71" w:rsidRDefault="00823FDB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351D3F0" w14:textId="77777777" w:rsidR="00823FDB" w:rsidRPr="00F63B71" w:rsidRDefault="00823FDB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3C764E" w14:textId="77777777" w:rsidR="00823FDB" w:rsidRPr="00F63B71" w:rsidRDefault="00823FDB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B935930" w14:textId="77777777" w:rsidR="00823FDB" w:rsidRPr="00F63B71" w:rsidRDefault="00823FDB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171E2" w14:textId="77777777" w:rsidR="00823FDB" w:rsidRPr="00F63B71" w:rsidRDefault="00823FDB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40AD712" w14:textId="77777777" w:rsidR="00823FDB" w:rsidRPr="00F63B71" w:rsidRDefault="00823FDB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EE9C400" w14:textId="77777777" w:rsidR="00823FDB" w:rsidRPr="00F63B71" w:rsidRDefault="00823FDB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111495" w14:textId="77777777" w:rsidR="00823FDB" w:rsidRPr="00F63B71" w:rsidRDefault="00823FDB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F4F7724" w14:textId="77777777" w:rsidR="00823FDB" w:rsidRPr="00F63B71" w:rsidRDefault="00823FDB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69A5FD8" w14:textId="77777777" w:rsidR="00823FDB" w:rsidRPr="00F63B71" w:rsidRDefault="00823FDB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5BAB0D" w14:textId="77777777" w:rsidR="00823FDB" w:rsidRPr="00F63B71" w:rsidRDefault="00823FDB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6BDD36F" w14:textId="77777777" w:rsidR="00823FDB" w:rsidRPr="00F63B71" w:rsidRDefault="00823FDB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B652EA0" w14:textId="77777777" w:rsidR="00823FDB" w:rsidRPr="00F63B71" w:rsidRDefault="00823FDB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BAA024" w14:textId="77777777" w:rsidR="00823FDB" w:rsidRPr="00F63B71" w:rsidRDefault="00823FDB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9E7432" w14:textId="77777777" w:rsidR="00823FDB" w:rsidRPr="00F63B71" w:rsidRDefault="00823FDB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EDC8A64" w14:textId="77777777" w:rsidR="00823FDB" w:rsidRPr="00F63B71" w:rsidRDefault="00823FDB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DB5EB34" w14:textId="77777777" w:rsidR="00823FDB" w:rsidRPr="00F63B71" w:rsidRDefault="00823FDB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70D11AB" w14:textId="77777777" w:rsidR="00823FDB" w:rsidRPr="00F63B71" w:rsidRDefault="00823FDB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6B968D" w14:textId="77777777" w:rsidR="00823FDB" w:rsidRPr="00F63B71" w:rsidRDefault="00823FDB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97B795D" w14:textId="77777777" w:rsidR="00823FDB" w:rsidRPr="00F63B71" w:rsidRDefault="00823FDB" w:rsidP="00F802BE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EBABF9" w14:textId="77777777" w:rsidR="00823FDB" w:rsidRPr="00F63B71" w:rsidRDefault="00823FDB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C2A027" id="Pole tekstowe 16" o:spid="_x0000_s1030" type="#_x0000_t202" style="position:absolute;margin-left:411pt;margin-top:13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" filled="f" stroked="f">
                <v:textbox>
                  <w:txbxContent>
                    <w:p w14:paraId="090F66B1" w14:textId="77777777" w:rsidR="00823FDB" w:rsidRPr="00F63B71" w:rsidRDefault="00823FDB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E3399E" w14:textId="77777777" w:rsidR="00823FDB" w:rsidRPr="00F63B71" w:rsidRDefault="00823FDB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262768" w14:textId="77777777" w:rsidR="00823FDB" w:rsidRPr="00F63B71" w:rsidRDefault="00823FDB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C2A5C8" w14:textId="77777777" w:rsidR="00823FDB" w:rsidRPr="00F63B71" w:rsidRDefault="00823FDB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5EE42A" w14:textId="77777777" w:rsidR="00823FDB" w:rsidRPr="00F63B71" w:rsidRDefault="00823FDB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3F87F" w14:textId="77777777" w:rsidR="00823FDB" w:rsidRPr="00F63B71" w:rsidRDefault="00823FDB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B4106CB" w14:textId="77777777" w:rsidR="00823FDB" w:rsidRPr="00F63B71" w:rsidRDefault="00823FDB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AE4787" w14:textId="77777777" w:rsidR="00823FDB" w:rsidRPr="00F63B71" w:rsidRDefault="00823FDB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0FADF35" w14:textId="77777777" w:rsidR="00823FDB" w:rsidRPr="00F63B71" w:rsidRDefault="00823FDB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351D3F0" w14:textId="77777777" w:rsidR="00823FDB" w:rsidRPr="00F63B71" w:rsidRDefault="00823FDB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3C764E" w14:textId="77777777" w:rsidR="00823FDB" w:rsidRPr="00F63B71" w:rsidRDefault="00823FDB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B935930" w14:textId="77777777" w:rsidR="00823FDB" w:rsidRPr="00F63B71" w:rsidRDefault="00823FDB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171E2" w14:textId="77777777" w:rsidR="00823FDB" w:rsidRPr="00F63B71" w:rsidRDefault="00823FDB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40AD712" w14:textId="77777777" w:rsidR="00823FDB" w:rsidRPr="00F63B71" w:rsidRDefault="00823FDB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EE9C400" w14:textId="77777777" w:rsidR="00823FDB" w:rsidRPr="00F63B71" w:rsidRDefault="00823FDB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111495" w14:textId="77777777" w:rsidR="00823FDB" w:rsidRPr="00F63B71" w:rsidRDefault="00823FDB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F4F7724" w14:textId="77777777" w:rsidR="00823FDB" w:rsidRPr="00F63B71" w:rsidRDefault="00823FDB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69A5FD8" w14:textId="77777777" w:rsidR="00823FDB" w:rsidRPr="00F63B71" w:rsidRDefault="00823FDB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5BAB0D" w14:textId="77777777" w:rsidR="00823FDB" w:rsidRPr="00F63B71" w:rsidRDefault="00823FDB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6BDD36F" w14:textId="77777777" w:rsidR="00823FDB" w:rsidRPr="00F63B71" w:rsidRDefault="00823FDB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B652EA0" w14:textId="77777777" w:rsidR="00823FDB" w:rsidRPr="00F63B71" w:rsidRDefault="00823FDB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BAA024" w14:textId="77777777" w:rsidR="00823FDB" w:rsidRPr="00F63B71" w:rsidRDefault="00823FDB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9E7432" w14:textId="77777777" w:rsidR="00823FDB" w:rsidRPr="00F63B71" w:rsidRDefault="00823FDB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EDC8A64" w14:textId="77777777" w:rsidR="00823FDB" w:rsidRPr="00F63B71" w:rsidRDefault="00823FDB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DB5EB34" w14:textId="77777777" w:rsidR="00823FDB" w:rsidRPr="00F63B71" w:rsidRDefault="00823FDB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70D11AB" w14:textId="77777777" w:rsidR="00823FDB" w:rsidRPr="00F63B71" w:rsidRDefault="00823FDB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6B968D" w14:textId="77777777" w:rsidR="00823FDB" w:rsidRPr="00F63B71" w:rsidRDefault="00823FDB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97B795D" w14:textId="77777777" w:rsidR="00823FDB" w:rsidRPr="00F63B71" w:rsidRDefault="00823FDB" w:rsidP="00F802BE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EBABF9" w14:textId="77777777" w:rsidR="00823FDB" w:rsidRPr="00F63B71" w:rsidRDefault="00823FDB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AF0CDF" w:rsidRPr="00070820">
        <w:rPr>
          <w:lang w:val="en-US"/>
        </w:rPr>
        <w:t>Foreign trade turnover of goods in total and by</w:t>
      </w:r>
      <w:r w:rsidR="00717D5C" w:rsidRPr="00070820">
        <w:rPr>
          <w:lang w:val="en-US"/>
        </w:rPr>
        <w:t xml:space="preserve"> groups of</w:t>
      </w:r>
      <w:r w:rsidR="00AF0CDF" w:rsidRPr="00070820">
        <w:rPr>
          <w:lang w:val="en-US"/>
        </w:rPr>
        <w:t xml:space="preserve"> countries</w:t>
      </w:r>
    </w:p>
    <w:p w14:paraId="667D8458" w14:textId="36AE011C" w:rsidR="00E73C91" w:rsidRPr="00071ED2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071ED2">
        <w:rPr>
          <w:rFonts w:eastAsia="Times New Roman" w:cs="Times New Roman"/>
          <w:szCs w:val="19"/>
          <w:lang w:val="en-GB" w:eastAsia="pl-PL"/>
        </w:rPr>
        <w:t xml:space="preserve">Poland has the largest share in total exports with the developed countries – </w:t>
      </w:r>
      <w:r w:rsidR="00194452" w:rsidRPr="00071ED2">
        <w:rPr>
          <w:rFonts w:eastAsia="Times New Roman" w:cs="Times New Roman"/>
          <w:szCs w:val="19"/>
          <w:lang w:val="en-GB" w:eastAsia="pl-PL"/>
        </w:rPr>
        <w:t>86</w:t>
      </w:r>
      <w:r w:rsidR="0063605D" w:rsidRPr="00071ED2">
        <w:rPr>
          <w:rFonts w:eastAsia="Times New Roman" w:cs="Times New Roman"/>
          <w:szCs w:val="19"/>
          <w:lang w:val="en-GB" w:eastAsia="pl-PL"/>
        </w:rPr>
        <w:t>.</w:t>
      </w:r>
      <w:r w:rsidR="00194452" w:rsidRPr="00071ED2">
        <w:rPr>
          <w:rFonts w:eastAsia="Times New Roman" w:cs="Times New Roman"/>
          <w:szCs w:val="19"/>
          <w:lang w:val="en-GB" w:eastAsia="pl-PL"/>
        </w:rPr>
        <w:t xml:space="preserve">7% </w:t>
      </w:r>
      <w:r w:rsidRPr="00071ED2">
        <w:rPr>
          <w:rFonts w:eastAsia="Times New Roman" w:cs="Times New Roman"/>
          <w:szCs w:val="19"/>
          <w:lang w:val="en-GB" w:eastAsia="pl-PL"/>
        </w:rPr>
        <w:t xml:space="preserve">(of which EU </w:t>
      </w:r>
      <w:r w:rsidR="00194452" w:rsidRPr="00071ED2">
        <w:rPr>
          <w:rFonts w:eastAsia="Times New Roman" w:cs="Times New Roman"/>
          <w:szCs w:val="19"/>
          <w:lang w:val="en-GB" w:eastAsia="pl-PL"/>
        </w:rPr>
        <w:t>74</w:t>
      </w:r>
      <w:r w:rsidR="0063605D" w:rsidRPr="00071ED2">
        <w:rPr>
          <w:rFonts w:eastAsia="Times New Roman" w:cs="Times New Roman"/>
          <w:szCs w:val="19"/>
          <w:lang w:val="en-GB" w:eastAsia="pl-PL"/>
        </w:rPr>
        <w:t>.</w:t>
      </w:r>
      <w:r w:rsidR="00194452" w:rsidRPr="00071ED2">
        <w:rPr>
          <w:rFonts w:eastAsia="Times New Roman" w:cs="Times New Roman"/>
          <w:szCs w:val="19"/>
          <w:lang w:val="en-GB" w:eastAsia="pl-PL"/>
        </w:rPr>
        <w:t>9%</w:t>
      </w:r>
      <w:r w:rsidRPr="00071ED2">
        <w:rPr>
          <w:rFonts w:eastAsia="Times New Roman" w:cs="Times New Roman"/>
          <w:szCs w:val="19"/>
          <w:lang w:val="en-GB" w:eastAsia="pl-PL"/>
        </w:rPr>
        <w:t xml:space="preserve">) and in imports – </w:t>
      </w:r>
      <w:r w:rsidR="00724C09" w:rsidRPr="00071ED2">
        <w:rPr>
          <w:rFonts w:eastAsia="Times New Roman" w:cs="Times New Roman"/>
          <w:szCs w:val="19"/>
          <w:lang w:val="en-GB" w:eastAsia="pl-PL"/>
        </w:rPr>
        <w:t>65</w:t>
      </w:r>
      <w:r w:rsidR="0063605D" w:rsidRPr="00071ED2">
        <w:rPr>
          <w:rFonts w:eastAsia="Times New Roman" w:cs="Times New Roman"/>
          <w:szCs w:val="19"/>
          <w:lang w:val="en-GB" w:eastAsia="pl-PL"/>
        </w:rPr>
        <w:t>.</w:t>
      </w:r>
      <w:r w:rsidR="00724C09" w:rsidRPr="00071ED2">
        <w:rPr>
          <w:rFonts w:eastAsia="Times New Roman" w:cs="Times New Roman"/>
          <w:szCs w:val="19"/>
          <w:lang w:val="en-GB" w:eastAsia="pl-PL"/>
        </w:rPr>
        <w:t xml:space="preserve">7% </w:t>
      </w:r>
      <w:r w:rsidRPr="00071ED2">
        <w:rPr>
          <w:rFonts w:eastAsia="Times New Roman" w:cs="Times New Roman"/>
          <w:szCs w:val="19"/>
          <w:lang w:val="en-GB" w:eastAsia="pl-PL"/>
        </w:rPr>
        <w:t xml:space="preserve">(of which EU </w:t>
      </w:r>
      <w:r w:rsidR="00724C09" w:rsidRPr="00071ED2">
        <w:rPr>
          <w:rFonts w:eastAsia="Times New Roman" w:cs="Times New Roman"/>
          <w:szCs w:val="19"/>
          <w:lang w:val="en-GB" w:eastAsia="pl-PL"/>
        </w:rPr>
        <w:t>53</w:t>
      </w:r>
      <w:r w:rsidR="0063605D" w:rsidRPr="00071ED2">
        <w:rPr>
          <w:rFonts w:eastAsia="Times New Roman" w:cs="Times New Roman"/>
          <w:szCs w:val="19"/>
          <w:lang w:val="en-GB" w:eastAsia="pl-PL"/>
        </w:rPr>
        <w:t>.</w:t>
      </w:r>
      <w:r w:rsidR="00724C09" w:rsidRPr="00071ED2">
        <w:rPr>
          <w:rFonts w:eastAsia="Times New Roman" w:cs="Times New Roman"/>
          <w:szCs w:val="19"/>
          <w:lang w:val="en-GB" w:eastAsia="pl-PL"/>
        </w:rPr>
        <w:t>9%</w:t>
      </w:r>
      <w:r w:rsidRPr="00071ED2">
        <w:rPr>
          <w:rFonts w:eastAsia="Times New Roman" w:cs="Times New Roman"/>
          <w:szCs w:val="19"/>
          <w:lang w:val="en-GB" w:eastAsia="pl-PL"/>
        </w:rPr>
        <w:t xml:space="preserve">), in comparison with </w:t>
      </w:r>
      <w:r w:rsidR="00724C09" w:rsidRPr="00071ED2">
        <w:rPr>
          <w:rFonts w:eastAsia="Times New Roman" w:cs="Times New Roman"/>
          <w:szCs w:val="19"/>
          <w:lang w:val="en-GB" w:eastAsia="pl-PL"/>
        </w:rPr>
        <w:t>87</w:t>
      </w:r>
      <w:r w:rsidR="0063605D" w:rsidRPr="00071ED2">
        <w:rPr>
          <w:rFonts w:eastAsia="Times New Roman" w:cs="Times New Roman"/>
          <w:szCs w:val="19"/>
          <w:lang w:val="en-GB" w:eastAsia="pl-PL"/>
        </w:rPr>
        <w:t>.</w:t>
      </w:r>
      <w:r w:rsidR="00724C09" w:rsidRPr="00071ED2">
        <w:rPr>
          <w:rFonts w:eastAsia="Times New Roman" w:cs="Times New Roman"/>
          <w:szCs w:val="19"/>
          <w:lang w:val="en-GB" w:eastAsia="pl-PL"/>
        </w:rPr>
        <w:t xml:space="preserve">6% </w:t>
      </w:r>
      <w:r w:rsidRPr="00071ED2">
        <w:rPr>
          <w:rFonts w:eastAsia="Times New Roman" w:cs="Times New Roman"/>
          <w:szCs w:val="19"/>
          <w:lang w:val="en-GB" w:eastAsia="pl-PL"/>
        </w:rPr>
        <w:t xml:space="preserve">(of which EU </w:t>
      </w:r>
      <w:r w:rsidR="00724C09" w:rsidRPr="00071ED2">
        <w:rPr>
          <w:rFonts w:eastAsia="Times New Roman" w:cs="Times New Roman"/>
          <w:szCs w:val="19"/>
          <w:lang w:val="en-GB" w:eastAsia="pl-PL"/>
        </w:rPr>
        <w:t>76</w:t>
      </w:r>
      <w:r w:rsidR="0063605D" w:rsidRPr="00071ED2">
        <w:rPr>
          <w:rFonts w:eastAsia="Times New Roman" w:cs="Times New Roman"/>
          <w:szCs w:val="19"/>
          <w:lang w:val="en-GB" w:eastAsia="pl-PL"/>
        </w:rPr>
        <w:t>.</w:t>
      </w:r>
      <w:r w:rsidR="00724C09" w:rsidRPr="00071ED2">
        <w:rPr>
          <w:rFonts w:eastAsia="Times New Roman" w:cs="Times New Roman"/>
          <w:szCs w:val="19"/>
          <w:lang w:val="en-GB" w:eastAsia="pl-PL"/>
        </w:rPr>
        <w:t>1%</w:t>
      </w:r>
      <w:r w:rsidRPr="00071ED2">
        <w:rPr>
          <w:rFonts w:eastAsia="Times New Roman" w:cs="Times New Roman"/>
          <w:szCs w:val="19"/>
          <w:lang w:val="en-GB" w:eastAsia="pl-PL"/>
        </w:rPr>
        <w:t xml:space="preserve">) and </w:t>
      </w:r>
      <w:r w:rsidR="00724C09" w:rsidRPr="00071ED2">
        <w:rPr>
          <w:rFonts w:eastAsia="Times New Roman" w:cs="Times New Roman"/>
          <w:szCs w:val="19"/>
          <w:lang w:val="en-GB" w:eastAsia="pl-PL"/>
        </w:rPr>
        <w:t>62</w:t>
      </w:r>
      <w:r w:rsidR="0063605D" w:rsidRPr="00071ED2">
        <w:rPr>
          <w:rFonts w:eastAsia="Times New Roman" w:cs="Times New Roman"/>
          <w:szCs w:val="19"/>
          <w:lang w:val="en-GB" w:eastAsia="pl-PL"/>
        </w:rPr>
        <w:t>.</w:t>
      </w:r>
      <w:r w:rsidR="00724C09" w:rsidRPr="00071ED2">
        <w:rPr>
          <w:rFonts w:eastAsia="Times New Roman" w:cs="Times New Roman"/>
          <w:szCs w:val="19"/>
          <w:lang w:val="en-GB" w:eastAsia="pl-PL"/>
        </w:rPr>
        <w:t xml:space="preserve">1% </w:t>
      </w:r>
      <w:r w:rsidRPr="00071ED2">
        <w:rPr>
          <w:rFonts w:eastAsia="Times New Roman" w:cs="Times New Roman"/>
          <w:szCs w:val="19"/>
          <w:lang w:val="en-GB" w:eastAsia="pl-PL"/>
        </w:rPr>
        <w:t xml:space="preserve">(of which EU </w:t>
      </w:r>
      <w:r w:rsidR="00724C09" w:rsidRPr="00071ED2">
        <w:rPr>
          <w:rFonts w:eastAsia="Times New Roman" w:cs="Times New Roman"/>
          <w:szCs w:val="19"/>
          <w:lang w:val="en-GB" w:eastAsia="pl-PL"/>
        </w:rPr>
        <w:t>51</w:t>
      </w:r>
      <w:r w:rsidR="0063605D" w:rsidRPr="00071ED2">
        <w:rPr>
          <w:rFonts w:eastAsia="Times New Roman" w:cs="Times New Roman"/>
          <w:szCs w:val="19"/>
          <w:lang w:val="en-GB" w:eastAsia="pl-PL"/>
        </w:rPr>
        <w:t>.</w:t>
      </w:r>
      <w:r w:rsidR="00724C09" w:rsidRPr="00071ED2">
        <w:rPr>
          <w:rFonts w:eastAsia="Times New Roman" w:cs="Times New Roman"/>
          <w:szCs w:val="19"/>
          <w:lang w:val="en-GB" w:eastAsia="pl-PL"/>
        </w:rPr>
        <w:t>9%</w:t>
      </w:r>
      <w:r w:rsidRPr="00071ED2">
        <w:rPr>
          <w:rFonts w:eastAsia="Times New Roman" w:cs="Times New Roman"/>
          <w:szCs w:val="19"/>
          <w:lang w:val="en-GB" w:eastAsia="pl-PL"/>
        </w:rPr>
        <w:t>) in the corresponding period of 202</w:t>
      </w:r>
      <w:r w:rsidR="00941346" w:rsidRPr="00071ED2">
        <w:rPr>
          <w:rFonts w:eastAsia="Times New Roman" w:cs="Times New Roman"/>
          <w:szCs w:val="19"/>
          <w:lang w:val="en-GB" w:eastAsia="pl-PL"/>
        </w:rPr>
        <w:t>2</w:t>
      </w:r>
      <w:r w:rsidRPr="00071ED2">
        <w:rPr>
          <w:rFonts w:eastAsia="Times New Roman" w:cs="Times New Roman"/>
          <w:szCs w:val="19"/>
          <w:lang w:val="en-GB" w:eastAsia="pl-PL"/>
        </w:rPr>
        <w:t xml:space="preserve">. However, the smallest share was observed with the countries of Central and Eastern Europe, which in total exports amounted to </w:t>
      </w:r>
      <w:r w:rsidR="00724C09" w:rsidRPr="00071ED2">
        <w:rPr>
          <w:rFonts w:eastAsia="Times New Roman" w:cs="Times New Roman"/>
          <w:szCs w:val="19"/>
          <w:lang w:val="en-GB" w:eastAsia="pl-PL"/>
        </w:rPr>
        <w:t>5</w:t>
      </w:r>
      <w:r w:rsidR="0063605D" w:rsidRPr="00071ED2">
        <w:rPr>
          <w:rFonts w:eastAsia="Times New Roman" w:cs="Times New Roman"/>
          <w:szCs w:val="19"/>
          <w:lang w:val="en-GB" w:eastAsia="pl-PL"/>
        </w:rPr>
        <w:t>.</w:t>
      </w:r>
      <w:r w:rsidR="00724C09" w:rsidRPr="00071ED2">
        <w:rPr>
          <w:rFonts w:eastAsia="Times New Roman" w:cs="Times New Roman"/>
          <w:szCs w:val="19"/>
          <w:lang w:val="en-GB" w:eastAsia="pl-PL"/>
        </w:rPr>
        <w:t>0%</w:t>
      </w:r>
      <w:r w:rsidRPr="00071ED2">
        <w:rPr>
          <w:rFonts w:eastAsia="Times New Roman" w:cs="Times New Roman"/>
          <w:szCs w:val="19"/>
          <w:lang w:val="en-GB" w:eastAsia="pl-PL"/>
        </w:rPr>
        <w:t xml:space="preserve">, and in imports – </w:t>
      </w:r>
      <w:r w:rsidR="00724C09" w:rsidRPr="00071ED2">
        <w:rPr>
          <w:rFonts w:eastAsia="Times New Roman" w:cs="Times New Roman"/>
          <w:szCs w:val="19"/>
          <w:lang w:val="en-GB" w:eastAsia="pl-PL"/>
        </w:rPr>
        <w:t>2</w:t>
      </w:r>
      <w:r w:rsidR="0063605D" w:rsidRPr="00071ED2">
        <w:rPr>
          <w:rFonts w:eastAsia="Times New Roman" w:cs="Times New Roman"/>
          <w:szCs w:val="19"/>
          <w:lang w:val="en-GB" w:eastAsia="pl-PL"/>
        </w:rPr>
        <w:t>.</w:t>
      </w:r>
      <w:r w:rsidR="00724C09" w:rsidRPr="00071ED2">
        <w:rPr>
          <w:rFonts w:eastAsia="Times New Roman" w:cs="Times New Roman"/>
          <w:szCs w:val="19"/>
          <w:lang w:val="en-GB" w:eastAsia="pl-PL"/>
        </w:rPr>
        <w:t>3%,</w:t>
      </w:r>
      <w:r w:rsidRPr="00071ED2">
        <w:rPr>
          <w:rFonts w:eastAsia="Times New Roman" w:cs="Times New Roman"/>
          <w:szCs w:val="19"/>
          <w:lang w:val="en-GB" w:eastAsia="pl-PL"/>
        </w:rPr>
        <w:t xml:space="preserve"> in comparison with </w:t>
      </w:r>
      <w:r w:rsidR="00724C09" w:rsidRPr="00071ED2">
        <w:rPr>
          <w:rFonts w:eastAsia="Times New Roman" w:cs="Times New Roman"/>
          <w:szCs w:val="19"/>
          <w:lang w:val="en-GB" w:eastAsia="pl-PL"/>
        </w:rPr>
        <w:t>4</w:t>
      </w:r>
      <w:r w:rsidR="0063605D" w:rsidRPr="00071ED2">
        <w:rPr>
          <w:rFonts w:eastAsia="Times New Roman" w:cs="Times New Roman"/>
          <w:szCs w:val="19"/>
          <w:lang w:val="en-GB" w:eastAsia="pl-PL"/>
        </w:rPr>
        <w:t>.</w:t>
      </w:r>
      <w:r w:rsidR="00724C09" w:rsidRPr="00071ED2">
        <w:rPr>
          <w:rFonts w:eastAsia="Times New Roman" w:cs="Times New Roman"/>
          <w:szCs w:val="19"/>
          <w:lang w:val="en-GB" w:eastAsia="pl-PL"/>
        </w:rPr>
        <w:t xml:space="preserve">5% </w:t>
      </w:r>
      <w:r w:rsidRPr="00071ED2">
        <w:rPr>
          <w:rFonts w:eastAsia="Times New Roman" w:cs="Times New Roman"/>
          <w:szCs w:val="19"/>
          <w:lang w:val="en-GB" w:eastAsia="pl-PL"/>
        </w:rPr>
        <w:t xml:space="preserve">and </w:t>
      </w:r>
      <w:r w:rsidR="00724C09" w:rsidRPr="00071ED2">
        <w:rPr>
          <w:rFonts w:eastAsia="Times New Roman" w:cs="Times New Roman"/>
          <w:szCs w:val="19"/>
          <w:lang w:val="en-GB" w:eastAsia="pl-PL"/>
        </w:rPr>
        <w:t>6</w:t>
      </w:r>
      <w:r w:rsidR="0063605D" w:rsidRPr="00071ED2">
        <w:rPr>
          <w:rFonts w:eastAsia="Times New Roman" w:cs="Times New Roman"/>
          <w:szCs w:val="19"/>
          <w:lang w:val="en-GB" w:eastAsia="pl-PL"/>
        </w:rPr>
        <w:t>.</w:t>
      </w:r>
      <w:r w:rsidR="00724C09" w:rsidRPr="00071ED2">
        <w:rPr>
          <w:rFonts w:eastAsia="Times New Roman" w:cs="Times New Roman"/>
          <w:szCs w:val="19"/>
          <w:lang w:val="en-GB" w:eastAsia="pl-PL"/>
        </w:rPr>
        <w:t xml:space="preserve">9% </w:t>
      </w:r>
      <w:r w:rsidRPr="00071ED2">
        <w:rPr>
          <w:rFonts w:eastAsia="Times New Roman" w:cs="Times New Roman"/>
          <w:szCs w:val="19"/>
          <w:lang w:val="en-GB" w:eastAsia="pl-PL"/>
        </w:rPr>
        <w:t xml:space="preserve">in </w:t>
      </w:r>
      <w:r w:rsidR="00C830AF" w:rsidRPr="00071ED2">
        <w:rPr>
          <w:rFonts w:eastAsia="Times New Roman" w:cs="Times New Roman"/>
          <w:szCs w:val="19"/>
          <w:lang w:val="en-GB" w:eastAsia="pl-PL"/>
        </w:rPr>
        <w:t>January - September</w:t>
      </w:r>
      <w:r w:rsidR="00F71863" w:rsidRPr="00071ED2">
        <w:rPr>
          <w:rFonts w:eastAsia="Times New Roman" w:cs="Times New Roman"/>
          <w:szCs w:val="19"/>
          <w:lang w:val="en-GB" w:eastAsia="pl-PL"/>
        </w:rPr>
        <w:t xml:space="preserve"> </w:t>
      </w:r>
      <w:r w:rsidRPr="00071ED2">
        <w:rPr>
          <w:rFonts w:eastAsia="Times New Roman" w:cs="Times New Roman"/>
          <w:szCs w:val="19"/>
          <w:lang w:val="en-GB" w:eastAsia="pl-PL"/>
        </w:rPr>
        <w:t>202</w:t>
      </w:r>
      <w:r w:rsidR="00941346" w:rsidRPr="00071ED2">
        <w:rPr>
          <w:rFonts w:eastAsia="Times New Roman" w:cs="Times New Roman"/>
          <w:szCs w:val="19"/>
          <w:lang w:val="en-GB" w:eastAsia="pl-PL"/>
        </w:rPr>
        <w:t>2</w:t>
      </w:r>
      <w:r w:rsidRPr="00071ED2">
        <w:rPr>
          <w:rFonts w:eastAsia="Times New Roman" w:cs="Times New Roman"/>
          <w:szCs w:val="19"/>
          <w:lang w:val="en-GB" w:eastAsia="pl-PL"/>
        </w:rPr>
        <w:t>.</w:t>
      </w:r>
    </w:p>
    <w:p w14:paraId="784B0D17" w14:textId="5F6A1235" w:rsidR="00E73C91" w:rsidRPr="00275799" w:rsidRDefault="00E73C91" w:rsidP="00E73C91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071ED2">
        <w:rPr>
          <w:rFonts w:eastAsia="Times New Roman" w:cs="Times New Roman"/>
          <w:szCs w:val="19"/>
          <w:lang w:val="en-GB" w:eastAsia="pl-PL"/>
        </w:rPr>
        <w:t xml:space="preserve">The negative balance was recorded with the developing countries – minus PLN </w:t>
      </w:r>
      <w:r w:rsidR="00724C09" w:rsidRPr="00071ED2">
        <w:rPr>
          <w:rFonts w:eastAsia="Times New Roman" w:cs="Times New Roman"/>
          <w:szCs w:val="19"/>
          <w:lang w:val="en-GB" w:eastAsia="pl-PL"/>
        </w:rPr>
        <w:t>271</w:t>
      </w:r>
      <w:r w:rsidR="0063605D" w:rsidRPr="00071ED2">
        <w:rPr>
          <w:rFonts w:eastAsia="Times New Roman" w:cs="Times New Roman"/>
          <w:szCs w:val="19"/>
          <w:lang w:val="en-GB" w:eastAsia="pl-PL"/>
        </w:rPr>
        <w:t>.</w:t>
      </w:r>
      <w:r w:rsidR="00724C09" w:rsidRPr="00071ED2">
        <w:rPr>
          <w:rFonts w:eastAsia="Times New Roman" w:cs="Times New Roman"/>
          <w:szCs w:val="19"/>
          <w:lang w:val="en-GB" w:eastAsia="pl-PL"/>
        </w:rPr>
        <w:t xml:space="preserve">1 </w:t>
      </w:r>
      <w:r w:rsidRPr="00071ED2">
        <w:rPr>
          <w:rFonts w:eastAsia="Times New Roman" w:cs="Times New Roman"/>
          <w:szCs w:val="19"/>
          <w:lang w:val="en-GB" w:eastAsia="pl-PL"/>
        </w:rPr>
        <w:t xml:space="preserve">bn (minus USD </w:t>
      </w:r>
      <w:r w:rsidR="00724C09" w:rsidRPr="00071ED2">
        <w:rPr>
          <w:rFonts w:eastAsia="Times New Roman" w:cs="Times New Roman"/>
          <w:szCs w:val="19"/>
          <w:lang w:val="en-GB" w:eastAsia="pl-PL"/>
        </w:rPr>
        <w:t>64</w:t>
      </w:r>
      <w:r w:rsidR="0063605D" w:rsidRPr="00071ED2">
        <w:rPr>
          <w:rFonts w:eastAsia="Times New Roman" w:cs="Times New Roman"/>
          <w:szCs w:val="19"/>
          <w:lang w:val="en-GB" w:eastAsia="pl-PL"/>
        </w:rPr>
        <w:t>.</w:t>
      </w:r>
      <w:r w:rsidR="00724C09" w:rsidRPr="00071ED2">
        <w:rPr>
          <w:rFonts w:eastAsia="Times New Roman" w:cs="Times New Roman"/>
          <w:szCs w:val="19"/>
          <w:lang w:val="en-GB" w:eastAsia="pl-PL"/>
        </w:rPr>
        <w:t>1</w:t>
      </w:r>
      <w:r w:rsidR="00D03FA2" w:rsidRPr="00071ED2">
        <w:rPr>
          <w:rFonts w:eastAsia="Times New Roman" w:cs="Times New Roman"/>
          <w:szCs w:val="19"/>
          <w:lang w:val="en-US" w:eastAsia="pl-PL"/>
        </w:rPr>
        <w:t xml:space="preserve"> </w:t>
      </w:r>
      <w:r w:rsidRPr="00071ED2">
        <w:rPr>
          <w:rFonts w:eastAsia="Times New Roman" w:cs="Times New Roman"/>
          <w:szCs w:val="19"/>
          <w:lang w:val="en-GB" w:eastAsia="pl-PL"/>
        </w:rPr>
        <w:t xml:space="preserve">bn, minus EUR </w:t>
      </w:r>
      <w:r w:rsidR="00724C09" w:rsidRPr="00071ED2">
        <w:rPr>
          <w:rFonts w:eastAsia="Times New Roman" w:cs="Times New Roman"/>
          <w:szCs w:val="19"/>
          <w:lang w:val="en-GB" w:eastAsia="pl-PL"/>
        </w:rPr>
        <w:t>59</w:t>
      </w:r>
      <w:r w:rsidR="0063605D" w:rsidRPr="00071ED2">
        <w:rPr>
          <w:rFonts w:eastAsia="Times New Roman" w:cs="Times New Roman"/>
          <w:szCs w:val="19"/>
          <w:lang w:val="en-GB" w:eastAsia="pl-PL"/>
        </w:rPr>
        <w:t>.</w:t>
      </w:r>
      <w:r w:rsidR="00724C09" w:rsidRPr="00071ED2">
        <w:rPr>
          <w:rFonts w:eastAsia="Times New Roman" w:cs="Times New Roman"/>
          <w:szCs w:val="19"/>
          <w:lang w:val="en-GB" w:eastAsia="pl-PL"/>
        </w:rPr>
        <w:t xml:space="preserve">0 </w:t>
      </w:r>
      <w:r w:rsidRPr="00071ED2">
        <w:rPr>
          <w:rFonts w:eastAsia="Times New Roman" w:cs="Times New Roman"/>
          <w:szCs w:val="19"/>
          <w:lang w:val="en-GB" w:eastAsia="pl-PL"/>
        </w:rPr>
        <w:t>bn)</w:t>
      </w:r>
      <w:r w:rsidR="00941346" w:rsidRPr="00071ED2">
        <w:rPr>
          <w:rFonts w:eastAsia="Times New Roman" w:cs="Times New Roman"/>
          <w:szCs w:val="19"/>
          <w:lang w:val="en-GB" w:eastAsia="pl-PL"/>
        </w:rPr>
        <w:t>. The positive balance was obtained in turnover with</w:t>
      </w:r>
      <w:r w:rsidRPr="00071ED2">
        <w:rPr>
          <w:rFonts w:eastAsia="Times New Roman" w:cs="Times New Roman"/>
          <w:szCs w:val="19"/>
          <w:lang w:val="en-GB" w:eastAsia="pl-PL"/>
        </w:rPr>
        <w:t xml:space="preserve"> </w:t>
      </w:r>
      <w:r w:rsidR="00C7731D" w:rsidRPr="00071ED2">
        <w:rPr>
          <w:rFonts w:eastAsia="Times New Roman" w:cs="Times New Roman"/>
          <w:szCs w:val="19"/>
          <w:lang w:val="en-GB" w:eastAsia="pl-PL"/>
        </w:rPr>
        <w:t>other groups of</w:t>
      </w:r>
      <w:r w:rsidRPr="00071ED2">
        <w:rPr>
          <w:rFonts w:eastAsia="Times New Roman" w:cs="Times New Roman"/>
          <w:szCs w:val="19"/>
          <w:lang w:val="en-GB" w:eastAsia="pl-PL"/>
        </w:rPr>
        <w:t xml:space="preserve"> countries</w:t>
      </w:r>
      <w:r w:rsidR="00C7731D" w:rsidRPr="00071ED2">
        <w:rPr>
          <w:rFonts w:eastAsia="Times New Roman" w:cs="Times New Roman"/>
          <w:szCs w:val="19"/>
          <w:lang w:val="en-GB" w:eastAsia="pl-PL"/>
        </w:rPr>
        <w:t>, i.e.</w:t>
      </w:r>
      <w:r w:rsidRPr="00071ED2">
        <w:rPr>
          <w:rFonts w:eastAsia="Times New Roman" w:cs="Times New Roman"/>
          <w:szCs w:val="19"/>
          <w:lang w:val="en-GB" w:eastAsia="pl-PL"/>
        </w:rPr>
        <w:t xml:space="preserve"> Central and Eastern Europe PLN </w:t>
      </w:r>
      <w:r w:rsidR="00724C09" w:rsidRPr="00071ED2">
        <w:rPr>
          <w:rFonts w:eastAsia="Times New Roman" w:cs="Times New Roman"/>
          <w:szCs w:val="19"/>
          <w:lang w:val="en-GB" w:eastAsia="pl-PL"/>
        </w:rPr>
        <w:t>33</w:t>
      </w:r>
      <w:r w:rsidR="0063605D" w:rsidRPr="00071ED2">
        <w:rPr>
          <w:rFonts w:eastAsia="Times New Roman" w:cs="Times New Roman"/>
          <w:szCs w:val="19"/>
          <w:lang w:val="en-GB" w:eastAsia="pl-PL"/>
        </w:rPr>
        <w:t>.</w:t>
      </w:r>
      <w:r w:rsidR="00724C09" w:rsidRPr="00071ED2">
        <w:rPr>
          <w:rFonts w:eastAsia="Times New Roman" w:cs="Times New Roman"/>
          <w:szCs w:val="19"/>
          <w:lang w:val="en-GB" w:eastAsia="pl-PL"/>
        </w:rPr>
        <w:t>3</w:t>
      </w:r>
      <w:r w:rsidR="00D03FA2" w:rsidRPr="00071ED2">
        <w:rPr>
          <w:rFonts w:eastAsia="Times New Roman" w:cs="Times New Roman"/>
          <w:szCs w:val="19"/>
          <w:lang w:val="en-US" w:eastAsia="pl-PL"/>
        </w:rPr>
        <w:t xml:space="preserve"> </w:t>
      </w:r>
      <w:r w:rsidRPr="00071ED2">
        <w:rPr>
          <w:rFonts w:eastAsia="Times New Roman" w:cs="Times New Roman"/>
          <w:szCs w:val="19"/>
          <w:lang w:val="en-GB" w:eastAsia="pl-PL"/>
        </w:rPr>
        <w:t xml:space="preserve">bn (USD </w:t>
      </w:r>
      <w:r w:rsidR="00724C09" w:rsidRPr="00071ED2">
        <w:rPr>
          <w:rFonts w:eastAsia="Times New Roman" w:cs="Times New Roman"/>
          <w:szCs w:val="19"/>
          <w:lang w:val="en-GB" w:eastAsia="pl-PL"/>
        </w:rPr>
        <w:t>7</w:t>
      </w:r>
      <w:r w:rsidR="0063605D" w:rsidRPr="00071ED2">
        <w:rPr>
          <w:rFonts w:eastAsia="Times New Roman" w:cs="Times New Roman"/>
          <w:szCs w:val="19"/>
          <w:lang w:val="en-GB" w:eastAsia="pl-PL"/>
        </w:rPr>
        <w:t>.</w:t>
      </w:r>
      <w:r w:rsidR="00724C09" w:rsidRPr="00071ED2">
        <w:rPr>
          <w:rFonts w:eastAsia="Times New Roman" w:cs="Times New Roman"/>
          <w:szCs w:val="19"/>
          <w:lang w:val="en-GB" w:eastAsia="pl-PL"/>
        </w:rPr>
        <w:t>9</w:t>
      </w:r>
      <w:r w:rsidR="00D03FA2" w:rsidRPr="00071ED2">
        <w:rPr>
          <w:rFonts w:eastAsia="Times New Roman" w:cs="Times New Roman"/>
          <w:szCs w:val="19"/>
          <w:lang w:val="en-US" w:eastAsia="pl-PL"/>
        </w:rPr>
        <w:t xml:space="preserve"> </w:t>
      </w:r>
      <w:r w:rsidRPr="00071ED2">
        <w:rPr>
          <w:rFonts w:eastAsia="Times New Roman" w:cs="Times New Roman"/>
          <w:szCs w:val="19"/>
          <w:lang w:val="en-GB" w:eastAsia="pl-PL"/>
        </w:rPr>
        <w:t xml:space="preserve">bn, EUR </w:t>
      </w:r>
      <w:r w:rsidR="00724C09" w:rsidRPr="00071ED2">
        <w:rPr>
          <w:rFonts w:eastAsia="Times New Roman" w:cs="Times New Roman"/>
          <w:szCs w:val="19"/>
          <w:lang w:val="en-GB" w:eastAsia="pl-PL"/>
        </w:rPr>
        <w:t>7</w:t>
      </w:r>
      <w:r w:rsidR="0063605D" w:rsidRPr="00071ED2">
        <w:rPr>
          <w:rFonts w:eastAsia="Times New Roman" w:cs="Times New Roman"/>
          <w:szCs w:val="19"/>
          <w:lang w:val="en-GB" w:eastAsia="pl-PL"/>
        </w:rPr>
        <w:t>.</w:t>
      </w:r>
      <w:r w:rsidR="00724C09" w:rsidRPr="00071ED2">
        <w:rPr>
          <w:rFonts w:eastAsia="Times New Roman" w:cs="Times New Roman"/>
          <w:szCs w:val="19"/>
          <w:lang w:val="en-GB" w:eastAsia="pl-PL"/>
        </w:rPr>
        <w:t xml:space="preserve">3 </w:t>
      </w:r>
      <w:r w:rsidRPr="00071ED2">
        <w:rPr>
          <w:rFonts w:eastAsia="Times New Roman" w:cs="Times New Roman"/>
          <w:szCs w:val="19"/>
          <w:lang w:val="en-GB" w:eastAsia="pl-PL"/>
        </w:rPr>
        <w:t xml:space="preserve">bn) </w:t>
      </w:r>
      <w:r w:rsidR="00C7731D" w:rsidRPr="00071ED2">
        <w:rPr>
          <w:rFonts w:eastAsia="Times New Roman" w:cs="Times New Roman"/>
          <w:szCs w:val="19"/>
          <w:lang w:val="en-GB" w:eastAsia="pl-PL"/>
        </w:rPr>
        <w:t xml:space="preserve">and with </w:t>
      </w:r>
      <w:r w:rsidRPr="00071ED2">
        <w:rPr>
          <w:rFonts w:eastAsia="Times New Roman" w:cs="Times New Roman"/>
          <w:szCs w:val="19"/>
          <w:lang w:val="en-GB" w:eastAsia="pl-PL"/>
        </w:rPr>
        <w:t xml:space="preserve">developed countries PLN </w:t>
      </w:r>
      <w:r w:rsidR="00724C09" w:rsidRPr="00071ED2">
        <w:rPr>
          <w:rFonts w:eastAsia="Times New Roman" w:cs="Times New Roman"/>
          <w:szCs w:val="19"/>
          <w:lang w:val="en-GB" w:eastAsia="pl-PL"/>
        </w:rPr>
        <w:t>281</w:t>
      </w:r>
      <w:r w:rsidR="0063605D" w:rsidRPr="00071ED2">
        <w:rPr>
          <w:rFonts w:eastAsia="Times New Roman" w:cs="Times New Roman"/>
          <w:szCs w:val="19"/>
          <w:lang w:val="en-GB" w:eastAsia="pl-PL"/>
        </w:rPr>
        <w:t>.</w:t>
      </w:r>
      <w:r w:rsidR="00724C09" w:rsidRPr="00071ED2">
        <w:rPr>
          <w:rFonts w:eastAsia="Times New Roman" w:cs="Times New Roman"/>
          <w:szCs w:val="19"/>
          <w:lang w:val="en-GB" w:eastAsia="pl-PL"/>
        </w:rPr>
        <w:t xml:space="preserve">6 </w:t>
      </w:r>
      <w:r w:rsidRPr="00071ED2">
        <w:rPr>
          <w:rFonts w:eastAsia="Times New Roman" w:cs="Times New Roman"/>
          <w:szCs w:val="19"/>
          <w:lang w:val="en-GB" w:eastAsia="pl-PL"/>
        </w:rPr>
        <w:t xml:space="preserve">bn (USD </w:t>
      </w:r>
      <w:r w:rsidR="00724C09" w:rsidRPr="00071ED2">
        <w:rPr>
          <w:rFonts w:eastAsia="Times New Roman" w:cs="Times New Roman"/>
          <w:szCs w:val="19"/>
          <w:lang w:val="en-GB" w:eastAsia="pl-PL"/>
        </w:rPr>
        <w:t>66</w:t>
      </w:r>
      <w:r w:rsidR="0063605D" w:rsidRPr="00071ED2">
        <w:rPr>
          <w:rFonts w:eastAsia="Times New Roman" w:cs="Times New Roman"/>
          <w:szCs w:val="19"/>
          <w:lang w:val="en-GB" w:eastAsia="pl-PL"/>
        </w:rPr>
        <w:t>.</w:t>
      </w:r>
      <w:r w:rsidR="00724C09" w:rsidRPr="00071ED2">
        <w:rPr>
          <w:rFonts w:eastAsia="Times New Roman" w:cs="Times New Roman"/>
          <w:szCs w:val="19"/>
          <w:lang w:val="en-GB" w:eastAsia="pl-PL"/>
        </w:rPr>
        <w:t xml:space="preserve">4 </w:t>
      </w:r>
      <w:r w:rsidRPr="00071ED2">
        <w:rPr>
          <w:rFonts w:eastAsia="Times New Roman" w:cs="Times New Roman"/>
          <w:szCs w:val="19"/>
          <w:lang w:val="en-GB" w:eastAsia="pl-PL"/>
        </w:rPr>
        <w:t xml:space="preserve">bn, EUR </w:t>
      </w:r>
      <w:r w:rsidR="00724C09" w:rsidRPr="00071ED2">
        <w:rPr>
          <w:rFonts w:eastAsia="Times New Roman" w:cs="Times New Roman"/>
          <w:szCs w:val="19"/>
          <w:lang w:val="en-GB" w:eastAsia="pl-PL"/>
        </w:rPr>
        <w:t>61</w:t>
      </w:r>
      <w:r w:rsidR="0063605D" w:rsidRPr="00071ED2">
        <w:rPr>
          <w:rFonts w:eastAsia="Times New Roman" w:cs="Times New Roman"/>
          <w:szCs w:val="19"/>
          <w:lang w:val="en-GB" w:eastAsia="pl-PL"/>
        </w:rPr>
        <w:t>.</w:t>
      </w:r>
      <w:r w:rsidR="00724C09" w:rsidRPr="00071ED2">
        <w:rPr>
          <w:rFonts w:eastAsia="Times New Roman" w:cs="Times New Roman"/>
          <w:szCs w:val="19"/>
          <w:lang w:val="en-GB" w:eastAsia="pl-PL"/>
        </w:rPr>
        <w:t xml:space="preserve">3 </w:t>
      </w:r>
      <w:r w:rsidRPr="00071ED2">
        <w:rPr>
          <w:rFonts w:eastAsia="Times New Roman" w:cs="Times New Roman"/>
          <w:szCs w:val="19"/>
          <w:lang w:val="en-GB" w:eastAsia="pl-PL"/>
        </w:rPr>
        <w:t xml:space="preserve">bn), of which with the EU countries the balance of PLN </w:t>
      </w:r>
      <w:r w:rsidR="00724C09" w:rsidRPr="00071ED2">
        <w:rPr>
          <w:rFonts w:eastAsia="Times New Roman" w:cs="Times New Roman"/>
          <w:szCs w:val="19"/>
          <w:lang w:val="en-GB" w:eastAsia="pl-PL"/>
        </w:rPr>
        <w:t>276</w:t>
      </w:r>
      <w:r w:rsidR="0063605D" w:rsidRPr="00071ED2">
        <w:rPr>
          <w:rFonts w:eastAsia="Times New Roman" w:cs="Times New Roman"/>
          <w:szCs w:val="19"/>
          <w:lang w:val="en-GB" w:eastAsia="pl-PL"/>
        </w:rPr>
        <w:t>.</w:t>
      </w:r>
      <w:r w:rsidR="00724C09" w:rsidRPr="00071ED2">
        <w:rPr>
          <w:rFonts w:eastAsia="Times New Roman" w:cs="Times New Roman"/>
          <w:szCs w:val="19"/>
          <w:lang w:val="en-GB" w:eastAsia="pl-PL"/>
        </w:rPr>
        <w:t xml:space="preserve">2 </w:t>
      </w:r>
      <w:r w:rsidRPr="00071ED2">
        <w:rPr>
          <w:rFonts w:eastAsia="Times New Roman" w:cs="Times New Roman"/>
          <w:szCs w:val="19"/>
          <w:lang w:val="en-GB" w:eastAsia="pl-PL"/>
        </w:rPr>
        <w:t xml:space="preserve">bn (USD </w:t>
      </w:r>
      <w:r w:rsidR="00724C09" w:rsidRPr="00071ED2">
        <w:rPr>
          <w:rFonts w:eastAsia="Times New Roman" w:cs="Times New Roman"/>
          <w:szCs w:val="19"/>
          <w:lang w:val="en-GB" w:eastAsia="pl-PL"/>
        </w:rPr>
        <w:t>65</w:t>
      </w:r>
      <w:r w:rsidR="0063605D" w:rsidRPr="00071ED2">
        <w:rPr>
          <w:rFonts w:eastAsia="Times New Roman" w:cs="Times New Roman"/>
          <w:szCs w:val="19"/>
          <w:lang w:val="en-GB" w:eastAsia="pl-PL"/>
        </w:rPr>
        <w:t>.</w:t>
      </w:r>
      <w:r w:rsidR="00724C09" w:rsidRPr="00071ED2">
        <w:rPr>
          <w:rFonts w:eastAsia="Times New Roman" w:cs="Times New Roman"/>
          <w:szCs w:val="19"/>
          <w:lang w:val="en-GB" w:eastAsia="pl-PL"/>
        </w:rPr>
        <w:t xml:space="preserve">1 </w:t>
      </w:r>
      <w:r w:rsidRPr="00071ED2">
        <w:rPr>
          <w:rFonts w:eastAsia="Times New Roman" w:cs="Times New Roman"/>
          <w:szCs w:val="19"/>
          <w:lang w:val="en-GB" w:eastAsia="pl-PL"/>
        </w:rPr>
        <w:t xml:space="preserve">bn, EUR </w:t>
      </w:r>
      <w:r w:rsidR="00724C09" w:rsidRPr="00071ED2">
        <w:rPr>
          <w:rFonts w:eastAsia="Times New Roman" w:cs="Times New Roman"/>
          <w:szCs w:val="19"/>
          <w:lang w:val="en-GB" w:eastAsia="pl-PL"/>
        </w:rPr>
        <w:t>60</w:t>
      </w:r>
      <w:r w:rsidR="0063605D" w:rsidRPr="00071ED2">
        <w:rPr>
          <w:rFonts w:eastAsia="Times New Roman" w:cs="Times New Roman"/>
          <w:szCs w:val="19"/>
          <w:lang w:val="en-GB" w:eastAsia="pl-PL"/>
        </w:rPr>
        <w:t>.</w:t>
      </w:r>
      <w:r w:rsidR="00724C09" w:rsidRPr="00071ED2">
        <w:rPr>
          <w:rFonts w:eastAsia="Times New Roman" w:cs="Times New Roman"/>
          <w:szCs w:val="19"/>
          <w:lang w:val="en-GB" w:eastAsia="pl-PL"/>
        </w:rPr>
        <w:t xml:space="preserve">1 </w:t>
      </w:r>
      <w:r w:rsidRPr="00071ED2">
        <w:rPr>
          <w:rFonts w:eastAsia="Times New Roman" w:cs="Times New Roman"/>
          <w:szCs w:val="19"/>
          <w:lang w:val="en-GB" w:eastAsia="pl-PL"/>
        </w:rPr>
        <w:t>bn).</w:t>
      </w:r>
    </w:p>
    <w:p w14:paraId="77931C51" w14:textId="77777777" w:rsidR="00645281" w:rsidRDefault="00645281" w:rsidP="002D45CF">
      <w:pPr>
        <w:rPr>
          <w:rFonts w:cs="Arial"/>
          <w:b/>
          <w:spacing w:val="-3"/>
          <w:sz w:val="18"/>
          <w:szCs w:val="18"/>
          <w:lang w:val="en-US"/>
        </w:rPr>
      </w:pPr>
    </w:p>
    <w:p w14:paraId="64B7BBF7" w14:textId="61B258D8" w:rsidR="00585385" w:rsidRPr="00B5363E" w:rsidRDefault="00C30406" w:rsidP="00645281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A60BEF" w:rsidRPr="00B5363E">
        <w:rPr>
          <w:lang w:val="en-GB"/>
        </w:rPr>
        <w:t>e</w:t>
      </w:r>
      <w:r w:rsidRPr="00B5363E">
        <w:rPr>
          <w:lang w:val="en-GB"/>
        </w:rPr>
        <w:t xml:space="preserve"> 1. </w:t>
      </w:r>
      <w:r w:rsidR="00A60BEF" w:rsidRPr="00B5363E">
        <w:rPr>
          <w:lang w:val="en-GB"/>
        </w:rPr>
        <w:t xml:space="preserve">Foreign trade turnover of goods in total and by </w:t>
      </w:r>
      <w:r w:rsidR="00717D5C" w:rsidRPr="00B5363E">
        <w:rPr>
          <w:lang w:val="en-GB"/>
        </w:rPr>
        <w:t>groups of c</w:t>
      </w:r>
      <w:r w:rsidR="00A60BEF" w:rsidRPr="00B5363E">
        <w:rPr>
          <w:lang w:val="en-GB"/>
        </w:rPr>
        <w:t>ountries</w:t>
      </w:r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e 1. Foreign trade turnover of goods in total and by groups of countries"/>
      </w:tblPr>
      <w:tblGrid>
        <w:gridCol w:w="2552"/>
        <w:gridCol w:w="718"/>
        <w:gridCol w:w="717"/>
        <w:gridCol w:w="717"/>
        <w:gridCol w:w="717"/>
        <w:gridCol w:w="717"/>
        <w:gridCol w:w="666"/>
        <w:gridCol w:w="656"/>
        <w:gridCol w:w="648"/>
      </w:tblGrid>
      <w:tr w:rsidR="00E33A76" w:rsidRPr="00E33A76" w14:paraId="1E5A1160" w14:textId="77777777" w:rsidTr="00963EBE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2E8E4" w14:textId="77777777" w:rsidR="004B64A7" w:rsidRPr="000C2149" w:rsidRDefault="00A60BEF" w:rsidP="00E33A76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252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D5DD4" w14:textId="75A307D4" w:rsidR="004B64A7" w:rsidRPr="000C2149" w:rsidRDefault="00F95600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I-IX</w:t>
            </w:r>
            <w:r w:rsidR="00323CD9">
              <w:rPr>
                <w:rFonts w:cs="Arial"/>
                <w:sz w:val="16"/>
                <w:szCs w:val="16"/>
              </w:rPr>
              <w:t xml:space="preserve"> </w:t>
            </w:r>
            <w:r w:rsidR="00C7731D">
              <w:rPr>
                <w:rFonts w:cs="Arial"/>
                <w:sz w:val="16"/>
                <w:szCs w:val="16"/>
              </w:rPr>
              <w:t>2023</w:t>
            </w:r>
          </w:p>
        </w:tc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5502E" w14:textId="13A98434" w:rsidR="004B64A7" w:rsidRPr="000C2149" w:rsidRDefault="004B64A7" w:rsidP="0051626B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</w:t>
            </w:r>
            <w:r w:rsidR="00C7731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2F81B719" w14:textId="0EC1D257" w:rsidR="004B64A7" w:rsidRPr="000C2149" w:rsidRDefault="004B64A7" w:rsidP="0014778F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183B0B">
              <w:rPr>
                <w:rFonts w:cs="Arial"/>
                <w:sz w:val="16"/>
                <w:szCs w:val="16"/>
              </w:rPr>
              <w:t>02</w:t>
            </w:r>
            <w:r w:rsidR="00C7731D">
              <w:rPr>
                <w:rFonts w:cs="Arial"/>
                <w:sz w:val="16"/>
                <w:szCs w:val="16"/>
              </w:rPr>
              <w:t>3</w:t>
            </w:r>
          </w:p>
        </w:tc>
      </w:tr>
      <w:tr w:rsidR="00E33A76" w:rsidRPr="00E33A76" w14:paraId="76A91648" w14:textId="77777777" w:rsidTr="00963EBE">
        <w:trPr>
          <w:trHeight w:val="370"/>
        </w:trPr>
        <w:tc>
          <w:tcPr>
            <w:tcW w:w="2552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95ACF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FD5CE2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58E15851" w14:textId="77777777" w:rsidR="004B64A7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5FA35" w14:textId="77777777" w:rsidR="00A60BEF" w:rsidRPr="000C2149" w:rsidRDefault="00A60BEF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4B64A7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785CBAD6" w14:textId="77777777" w:rsidR="004B64A7" w:rsidRPr="000C2149" w:rsidRDefault="004B64A7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78A00D" w14:textId="77777777" w:rsidR="00A60BEF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</w:p>
          <w:p w14:paraId="66A0D362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</w:t>
            </w:r>
            <w:r w:rsidR="004B64A7"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A4D70" w14:textId="0FBFCB8E" w:rsidR="004B64A7" w:rsidRPr="000C2149" w:rsidRDefault="00F95600" w:rsidP="00FC22F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I-IX</w:t>
            </w:r>
            <w:r w:rsidR="00EC784C">
              <w:rPr>
                <w:rFonts w:cs="Arial"/>
                <w:sz w:val="16"/>
                <w:szCs w:val="16"/>
              </w:rPr>
              <w:t xml:space="preserve"> </w:t>
            </w:r>
            <w:r w:rsidR="00E95E42">
              <w:rPr>
                <w:rFonts w:cs="Arial"/>
                <w:sz w:val="16"/>
                <w:szCs w:val="16"/>
              </w:rPr>
              <w:t>202</w:t>
            </w:r>
            <w:r w:rsidR="00C7731D">
              <w:rPr>
                <w:rFonts w:cs="Arial"/>
                <w:sz w:val="16"/>
                <w:szCs w:val="16"/>
              </w:rPr>
              <w:t>2</w:t>
            </w:r>
            <w:r w:rsidR="00E95E42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BD99EAC" w14:textId="6DA5E367" w:rsidR="004B64A7" w:rsidRPr="000C2149" w:rsidRDefault="00F95600" w:rsidP="0000376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I-IX</w:t>
            </w:r>
          </w:p>
        </w:tc>
      </w:tr>
      <w:tr w:rsidR="00E33A76" w:rsidRPr="00E33A76" w14:paraId="0872CB3B" w14:textId="77777777" w:rsidTr="00963EBE">
        <w:trPr>
          <w:trHeight w:val="380"/>
        </w:trPr>
        <w:tc>
          <w:tcPr>
            <w:tcW w:w="2552" w:type="dxa"/>
            <w:vMerge/>
            <w:tcBorders>
              <w:top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4FC8B447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61B8E5D4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0D55CE49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2FD778F3" w14:textId="77777777" w:rsidR="004B64A7" w:rsidRPr="000C2149" w:rsidRDefault="004B64A7" w:rsidP="00E33A76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7847BF1E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737BCE9E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6FB272D0" w14:textId="77777777" w:rsidR="004B64A7" w:rsidRPr="000C2149" w:rsidRDefault="004B64A7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1D77"/>
            </w:tcBorders>
            <w:vAlign w:val="center"/>
          </w:tcPr>
          <w:p w14:paraId="2BEB99AA" w14:textId="77777777" w:rsidR="004B64A7" w:rsidRPr="000C2149" w:rsidRDefault="00A60BE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</w:t>
            </w:r>
            <w:r w:rsidR="004B64A7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724C09" w:rsidRPr="00E33A76" w14:paraId="59C5A22F" w14:textId="77777777" w:rsidTr="00A51A79">
        <w:trPr>
          <w:trHeight w:val="342"/>
        </w:trPr>
        <w:tc>
          <w:tcPr>
            <w:tcW w:w="2552" w:type="dxa"/>
            <w:tcBorders>
              <w:top w:val="single" w:sz="12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36EB39F3" w14:textId="77777777" w:rsidR="00724C09" w:rsidRPr="00E33A76" w:rsidRDefault="00724C09" w:rsidP="00724C09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 w:rsidRPr="00E33A76">
              <w:rPr>
                <w:rFonts w:cs="Arial"/>
                <w:b/>
                <w:sz w:val="16"/>
                <w:szCs w:val="16"/>
              </w:rPr>
              <w:t>E</w:t>
            </w:r>
            <w:r>
              <w:rPr>
                <w:rFonts w:cs="Arial"/>
                <w:b/>
                <w:sz w:val="16"/>
                <w:szCs w:val="16"/>
              </w:rPr>
              <w:t>xports</w:t>
            </w:r>
            <w:proofErr w:type="spellEnd"/>
          </w:p>
        </w:tc>
        <w:tc>
          <w:tcPr>
            <w:tcW w:w="71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AFCDC" w14:textId="332F1EE7" w:rsidR="00724C09" w:rsidRPr="00C3372E" w:rsidRDefault="00724C09" w:rsidP="00724C09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1204</w:t>
            </w:r>
            <w:r w:rsidR="0063605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37F1B" w14:textId="626A81D2" w:rsidR="00724C09" w:rsidRPr="00C3372E" w:rsidRDefault="00724C09" w:rsidP="00724C09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284</w:t>
            </w:r>
            <w:r w:rsidR="0063605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FF9F6" w14:textId="38E84079" w:rsidR="00724C09" w:rsidRPr="00C3372E" w:rsidRDefault="00724C09" w:rsidP="00724C09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262</w:t>
            </w:r>
            <w:r w:rsidR="0063605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3354" w14:textId="74293433" w:rsidR="00724C09" w:rsidRPr="00C3372E" w:rsidRDefault="00724C09" w:rsidP="00724C09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101</w:t>
            </w:r>
            <w:r w:rsidR="0063605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ED2A4" w14:textId="6EB85480" w:rsidR="00724C09" w:rsidRPr="00C3372E" w:rsidRDefault="00724C09" w:rsidP="00724C09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103</w:t>
            </w:r>
            <w:r w:rsidR="0063605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AF19" w14:textId="6D75F49E" w:rsidR="00724C09" w:rsidRPr="00C3372E" w:rsidRDefault="00724C09" w:rsidP="00724C09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103</w:t>
            </w:r>
            <w:r w:rsidR="0063605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143E6" w14:textId="7A6703F7" w:rsidR="00724C09" w:rsidRPr="00C3372E" w:rsidRDefault="00724C09" w:rsidP="00724C0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63605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8" w:space="0" w:color="002060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2216A506" w14:textId="4BD24C92" w:rsidR="00724C09" w:rsidRPr="00C3372E" w:rsidRDefault="00724C09" w:rsidP="00724C09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63605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724C09" w:rsidRPr="00E33A76" w14:paraId="3204AD9E" w14:textId="77777777" w:rsidTr="00581CC6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BB819" w14:textId="77777777" w:rsidR="00724C09" w:rsidRPr="00E33A76" w:rsidRDefault="00724C09" w:rsidP="00724C0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25473" w14:textId="1DEC588A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1044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6E908D" w14:textId="11D9BD51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246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AC43B7" w14:textId="6AE7AD8B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227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EC329" w14:textId="08616B06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1C327" w14:textId="49963336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287F0A" w14:textId="45964C5B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9E9498" w14:textId="30371703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4B79610" w14:textId="15AC281D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724C09" w:rsidRPr="00E33A76" w14:paraId="62E5DF04" w14:textId="77777777" w:rsidTr="00A51A79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5D03" w14:textId="77777777" w:rsidR="00724C09" w:rsidRPr="00E33A76" w:rsidRDefault="00724C09" w:rsidP="00724C09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E3B65" w14:textId="6FEA8F8A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901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495C8B" w14:textId="32238F33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212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702BF2" w14:textId="4A35268A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196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52A885" w14:textId="4980F6A8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17ECB5" w14:textId="13F802B8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E08EEE" w14:textId="3A910199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D81C9F" w14:textId="0C62F5C2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CEE9A2" w14:textId="41C1BE35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74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724C09" w:rsidRPr="00A52E81" w14:paraId="5547B3FC" w14:textId="77777777" w:rsidTr="00A51A79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7D56" w14:textId="77777777" w:rsidR="00724C09" w:rsidRPr="00E33A76" w:rsidRDefault="00724C09" w:rsidP="00724C0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20C3" w14:textId="73D99AC0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714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7AE7B" w14:textId="2DE5EBE0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168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BD9620" w14:textId="7743A66A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155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35239E" w14:textId="2CCF5406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41DA6" w14:textId="612635DB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21417" w14:textId="4A274BDD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998555" w14:textId="7D99DA9F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9CD298" w14:textId="482FABA6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724C09" w:rsidRPr="00A52E81" w14:paraId="1024F990" w14:textId="77777777" w:rsidTr="00A51A79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0AF2E" w14:textId="77777777" w:rsidR="00724C09" w:rsidRPr="00A52E81" w:rsidRDefault="00724C09" w:rsidP="00724C0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A52E81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D4004" w14:textId="07BE3335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EDBE29" w14:textId="10CC41CA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A4E32B" w14:textId="54329EE6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ABABE8" w14:textId="5CDED910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EEC178" w14:textId="0B79395E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0D86F" w14:textId="78F52F65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BEADF" w14:textId="2B4A0ABD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7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16E50F7" w14:textId="2EAB7E01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8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724C09" w:rsidRPr="00E33A76" w14:paraId="244F4AED" w14:textId="77777777" w:rsidTr="00A51A79">
        <w:trPr>
          <w:trHeight w:val="248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B704" w14:textId="77777777" w:rsidR="00724C09" w:rsidRPr="00890348" w:rsidRDefault="00724C09" w:rsidP="00724C0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890348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80D03" w14:textId="1FE6C5A6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60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880FF8" w14:textId="777AA251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D97BCD" w14:textId="66365167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6F5817" w14:textId="766E310B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3447E" w14:textId="7FD0B34F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B78352" w14:textId="210DA0DF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114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5A9D7" w14:textId="387A1850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4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C1A121" w14:textId="0520F605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5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724C09" w:rsidRPr="00E33A76" w14:paraId="1A13722B" w14:textId="77777777" w:rsidTr="00A51A79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3B12" w14:textId="77777777" w:rsidR="00724C09" w:rsidRPr="00A00ADB" w:rsidRDefault="00724C09" w:rsidP="00724C0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8D443" w14:textId="526CB45C" w:rsidR="00724C09" w:rsidRPr="00C3372E" w:rsidRDefault="00724C09" w:rsidP="00724C09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1160</w:t>
            </w:r>
            <w:r w:rsidR="0063605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40D6B" w14:textId="2DDFB3BE" w:rsidR="00724C09" w:rsidRPr="00C3372E" w:rsidRDefault="00724C09" w:rsidP="00724C09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274</w:t>
            </w:r>
            <w:r w:rsidR="0063605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39E1C" w14:textId="540D661F" w:rsidR="00724C09" w:rsidRPr="00C3372E" w:rsidRDefault="00724C09" w:rsidP="00724C09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252</w:t>
            </w:r>
            <w:r w:rsidR="0063605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8562A6" w14:textId="05D9B2F7" w:rsidR="00724C09" w:rsidRPr="00C3372E" w:rsidRDefault="00724C09" w:rsidP="00724C09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92</w:t>
            </w:r>
            <w:r w:rsidR="0063605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266946" w14:textId="7DAA68A5" w:rsidR="00724C09" w:rsidRPr="00C3372E" w:rsidRDefault="00724C09" w:rsidP="00724C09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94</w:t>
            </w:r>
            <w:r w:rsidR="0063605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17CB7" w14:textId="20F6EE36" w:rsidR="00724C09" w:rsidRPr="00C3372E" w:rsidRDefault="00724C09" w:rsidP="00724C09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93</w:t>
            </w:r>
            <w:r w:rsidR="0063605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3A73F6" w14:textId="4B03541F" w:rsidR="00724C09" w:rsidRPr="00C3372E" w:rsidRDefault="00724C09" w:rsidP="00724C09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63605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4A7F8B65" w14:textId="0FCCEF49" w:rsidR="00724C09" w:rsidRPr="00C3372E" w:rsidRDefault="00724C09" w:rsidP="00724C09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63605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724C09" w:rsidRPr="00E33A76" w14:paraId="05358BA4" w14:textId="77777777" w:rsidTr="00A51A79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F923E" w14:textId="77777777" w:rsidR="00724C09" w:rsidRPr="00E33A76" w:rsidRDefault="00724C09" w:rsidP="00724C0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3E53" w14:textId="7A13C948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762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5BBEA" w14:textId="638C9211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180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66B79A" w14:textId="18903404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166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9E869A" w14:textId="745FC6D4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9EC54C" w14:textId="6B95D881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03B81E" w14:textId="03377AC1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BB49FE" w14:textId="256F22B5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62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7125437" w14:textId="34DDFEB0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65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724C09" w:rsidRPr="00E33A76" w14:paraId="4395F4EF" w14:textId="77777777" w:rsidTr="00A51A79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3AB4E4" w14:textId="77777777" w:rsidR="00724C09" w:rsidRPr="00E33A76" w:rsidRDefault="00724C09" w:rsidP="00724C09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3A965F" w14:textId="343FA0A1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625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7AAFA" w14:textId="52238C6C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147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72B4F" w14:textId="74FD32A6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136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256485" w14:textId="2B692B1D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E0EAB" w14:textId="4B26D7EB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D5937C" w14:textId="3897FF45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7BBF6" w14:textId="47EC6445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51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42A3E3" w14:textId="7C1F617D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724C09" w:rsidRPr="00E33A76" w14:paraId="18248C1A" w14:textId="77777777" w:rsidTr="00A51A79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25AE0" w14:textId="77777777" w:rsidR="00724C09" w:rsidRPr="00E33A76" w:rsidRDefault="00724C09" w:rsidP="00724C0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52C5A" w14:textId="27070F4E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500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33E9B" w14:textId="205738B5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585D8" w14:textId="747593CC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AC7886" w14:textId="5D255BBC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88A57" w14:textId="2EBC2AB8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00765" w14:textId="6ADF89C7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2874BA" w14:textId="7DF4AFB5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12BE8B" w14:textId="07F45B3C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724C09" w:rsidRPr="00E33A76" w14:paraId="73DA072E" w14:textId="77777777" w:rsidTr="00A51A79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F7E5D" w14:textId="77777777" w:rsidR="00724C09" w:rsidRPr="00E33A76" w:rsidRDefault="00724C09" w:rsidP="00724C0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831C" w14:textId="373498FD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371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5B465" w14:textId="17DF3FA5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65DC1" w14:textId="1652EEAF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80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7B7DD" w14:textId="14A65F34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1571C6" w14:textId="6B4B9F0E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BAA6A0" w14:textId="5EDF2DB8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71EF9" w14:textId="4D5FFB99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48BD794" w14:textId="2AE96109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724C09" w:rsidRPr="00EC3376" w14:paraId="3D963D09" w14:textId="77777777" w:rsidTr="00A51A79">
        <w:trPr>
          <w:trHeight w:val="355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5551" w14:textId="77777777" w:rsidR="00724C09" w:rsidRPr="003B46F9" w:rsidRDefault="00724C09" w:rsidP="00724C0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3B46F9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FC398" w14:textId="62E8AA6B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1F566B" w14:textId="04391695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430331" w14:textId="0C1A0469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DE2ABF" w14:textId="61A6F627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1AA0DA" w14:textId="3212A1BA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999F43" w14:textId="31C1CF83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31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7FC5E6" w14:textId="5E13DBB0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6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3D7EC6E" w14:textId="35F84E09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2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724C09" w:rsidRPr="00EC3376" w14:paraId="10226BDF" w14:textId="77777777" w:rsidTr="00581CC6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04C86" w14:textId="77777777" w:rsidR="00724C09" w:rsidRPr="00EC3376" w:rsidRDefault="00724C09" w:rsidP="00724C09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b/>
                <w:sz w:val="16"/>
                <w:szCs w:val="16"/>
                <w:lang w:val="en-GB"/>
              </w:rPr>
              <w:t xml:space="preserve">Balance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48ABE" w14:textId="6CA79C3D" w:rsidR="00724C09" w:rsidRPr="00C3372E" w:rsidRDefault="00724C09" w:rsidP="00724C09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43</w:t>
            </w:r>
            <w:r w:rsidR="0063605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B8199" w14:textId="2DD8CACF" w:rsidR="00724C09" w:rsidRPr="00C3372E" w:rsidRDefault="00724C09" w:rsidP="00724C09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</w:t>
            </w:r>
            <w:r w:rsidR="0063605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7BDFA" w14:textId="3D0F89B9" w:rsidR="00724C09" w:rsidRPr="00C3372E" w:rsidRDefault="00724C09" w:rsidP="00724C09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  <w:r w:rsidR="0063605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2FC8CE" w14:textId="1478A0E2" w:rsidR="00724C09" w:rsidRPr="00C3372E" w:rsidRDefault="00724C09" w:rsidP="00724C09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376E64" w14:textId="660A4531" w:rsidR="00724C09" w:rsidRPr="00C3372E" w:rsidRDefault="00724C09" w:rsidP="00724C09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2A701" w14:textId="245F9E97" w:rsidR="00724C09" w:rsidRPr="00C3372E" w:rsidRDefault="00724C09" w:rsidP="00724C09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D9F71" w14:textId="3FB84E30" w:rsidR="00724C09" w:rsidRPr="00C3372E" w:rsidRDefault="00724C09" w:rsidP="00724C09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C7A6FDE" w14:textId="34C5DB0F" w:rsidR="00724C09" w:rsidRPr="00C3372E" w:rsidRDefault="00724C09" w:rsidP="00724C09">
            <w:pPr>
              <w:spacing w:after="0"/>
              <w:jc w:val="right"/>
              <w:rPr>
                <w:rFonts w:cs="Arial"/>
                <w:b/>
                <w:sz w:val="16"/>
                <w:szCs w:val="16"/>
              </w:rPr>
            </w:pPr>
            <w:r w:rsidRPr="007534ED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724C09" w:rsidRPr="00EC3376" w14:paraId="6DAA6AA5" w14:textId="77777777" w:rsidTr="00A51A79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03C9" w14:textId="77777777" w:rsidR="00724C09" w:rsidRPr="00EC3376" w:rsidRDefault="00724C09" w:rsidP="00724C0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Developed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AEB38" w14:textId="1D9CA58E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281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2E9BD5" w14:textId="01C5BB82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66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D2813" w14:textId="1EF5EB59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61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9737BF" w14:textId="1D2BEFA0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4261DE" w14:textId="1175415A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B1666E" w14:textId="1E50654D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34934" w14:textId="1222BB7E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40C0F0E" w14:textId="0AD38A81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724C09" w:rsidRPr="00E33A76" w14:paraId="43FEDD3A" w14:textId="77777777" w:rsidTr="00A51A79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A1E9F" w14:textId="77777777" w:rsidR="00724C09" w:rsidRPr="00EC3376" w:rsidRDefault="00724C09" w:rsidP="00724C09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  <w:lang w:val="en-GB"/>
              </w:rPr>
            </w:pPr>
            <w:r w:rsidRPr="00EC3376">
              <w:rPr>
                <w:rFonts w:cs="Arial"/>
                <w:sz w:val="16"/>
                <w:szCs w:val="16"/>
                <w:lang w:val="en-GB"/>
              </w:rPr>
              <w:t>of which EU</w:t>
            </w:r>
            <w:r w:rsidRPr="00EC3376">
              <w:rPr>
                <w:rFonts w:cs="Arial"/>
                <w:sz w:val="16"/>
                <w:szCs w:val="16"/>
                <w:vertAlign w:val="subscript"/>
                <w:lang w:val="en-GB"/>
              </w:rPr>
              <w:t xml:space="preserve"> </w:t>
            </w:r>
            <w:r w:rsidRPr="00EC3376">
              <w:rPr>
                <w:rFonts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59C25" w14:textId="031B83EB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276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3FDE1" w14:textId="16A7C7BE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65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F4A53" w14:textId="352F4797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60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8324B9" w14:textId="507FED52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4AD7D" w14:textId="26F14906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07DE9" w14:textId="26F4E1B7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8B23E4" w14:textId="2EBA5DEA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CECD046" w14:textId="42C61813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724C09" w:rsidRPr="00E33A76" w14:paraId="1D3A10F7" w14:textId="77777777" w:rsidTr="00A51A79">
        <w:trPr>
          <w:trHeight w:val="35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9E512" w14:textId="77777777" w:rsidR="00724C09" w:rsidRPr="00E33A76" w:rsidRDefault="00724C09" w:rsidP="00724C0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5A5B4" w14:textId="59AB7DA2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213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2ACC6" w14:textId="42E17F7D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50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B2596" w14:textId="6197A249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8DB67F" w14:textId="1DCE899A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9EF929" w14:textId="6381340A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95742" w14:textId="60A059C8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25761D" w14:textId="7F0CDB6C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D31092E" w14:textId="6B3F90F7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724C09" w:rsidRPr="00E33A76" w14:paraId="28B61C88" w14:textId="77777777" w:rsidTr="00A51A79">
        <w:trPr>
          <w:trHeight w:val="342"/>
        </w:trPr>
        <w:tc>
          <w:tcPr>
            <w:tcW w:w="255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992BE" w14:textId="77777777" w:rsidR="00724C09" w:rsidRPr="00E33A76" w:rsidRDefault="00724C09" w:rsidP="00724C0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F7A03" w14:textId="6F6E0089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-271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889A7" w14:textId="1FDA1A78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-64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B586DC" w14:textId="75092E62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-59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0392CB" w14:textId="13D52E2C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34CA9" w14:textId="191AB531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40E434" w14:textId="6657F1E8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FA5FD" w14:textId="28432277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E0FA192" w14:textId="0997FBE9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724C09" w:rsidRPr="0062578F" w14:paraId="26CCE1E2" w14:textId="77777777" w:rsidTr="00A51A79">
        <w:trPr>
          <w:trHeight w:val="258"/>
        </w:trPr>
        <w:tc>
          <w:tcPr>
            <w:tcW w:w="2552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D71539D" w14:textId="77777777" w:rsidR="00724C09" w:rsidRPr="003B46F9" w:rsidRDefault="00724C09" w:rsidP="00724C09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Count. of Cent. and East. </w:t>
            </w:r>
            <w:r w:rsidRPr="003B46F9">
              <w:rPr>
                <w:rFonts w:cs="Arial"/>
                <w:sz w:val="16"/>
                <w:szCs w:val="16"/>
                <w:lang w:val="en-GB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FA18F71" w14:textId="0C0F10CB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6408C0FC" w14:textId="668A348D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EE062B5" w14:textId="5A33E79A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 w:rsidR="0063605D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1378774" w14:textId="7D90581A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A5454D8" w14:textId="3F5AD4A9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047A4EE" w14:textId="183DA197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78F1CB9" w14:textId="5B9C2794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84DAC05" w14:textId="792D9766" w:rsidR="00724C09" w:rsidRPr="00C3372E" w:rsidRDefault="00724C09" w:rsidP="00724C09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7534ED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594CA90E" w14:textId="77777777" w:rsidR="00345F7C" w:rsidRPr="00070820" w:rsidRDefault="0014778F" w:rsidP="001D7DC0">
      <w:pPr>
        <w:pStyle w:val="Nagwek1"/>
        <w:spacing w:before="360"/>
        <w:rPr>
          <w:lang w:val="en-US"/>
        </w:rPr>
      </w:pPr>
      <w:r w:rsidRPr="001D7DC0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3F6CBA4D" wp14:editId="49340087">
                <wp:simplePos x="0" y="0"/>
                <wp:positionH relativeFrom="column">
                  <wp:posOffset>5285740</wp:posOffset>
                </wp:positionH>
                <wp:positionV relativeFrom="paragraph">
                  <wp:posOffset>227076</wp:posOffset>
                </wp:positionV>
                <wp:extent cx="1725295" cy="982345"/>
                <wp:effectExtent l="0" t="0" r="0" b="0"/>
                <wp:wrapTight wrapText="bothSides">
                  <wp:wrapPolygon edited="0">
                    <wp:start x="715" y="0"/>
                    <wp:lineTo x="715" y="20944"/>
                    <wp:lineTo x="20749" y="20944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23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C59BA" w14:textId="77777777" w:rsidR="00823FDB" w:rsidRPr="003F7B61" w:rsidRDefault="00823FDB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5AFDC6" w14:textId="77777777" w:rsidR="00823FDB" w:rsidRPr="003F7B61" w:rsidRDefault="00823FDB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DC68086" w14:textId="77777777" w:rsidR="00823FDB" w:rsidRPr="003F7B61" w:rsidRDefault="00823FDB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33D8E96" w14:textId="77777777" w:rsidR="00823FDB" w:rsidRPr="003F7B61" w:rsidRDefault="00823FDB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93FEB7" w14:textId="77777777" w:rsidR="00823FDB" w:rsidRPr="003F7B61" w:rsidRDefault="00823FDB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79F6D74" w14:textId="77777777" w:rsidR="00823FDB" w:rsidRPr="003F7B61" w:rsidRDefault="00823FDB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36ACBE" w14:textId="77777777" w:rsidR="00823FDB" w:rsidRPr="003F7B61" w:rsidRDefault="00823FDB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8DD84D" w14:textId="77777777" w:rsidR="00823FDB" w:rsidRPr="003F7B61" w:rsidRDefault="00823FDB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2AFF5AA" w14:textId="77777777" w:rsidR="00823FDB" w:rsidRPr="003F7B61" w:rsidRDefault="00823FDB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3703F9E" w14:textId="77777777" w:rsidR="00823FDB" w:rsidRPr="003F7B61" w:rsidRDefault="00823FDB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4456778" w14:textId="77777777" w:rsidR="00823FDB" w:rsidRPr="003F7B61" w:rsidRDefault="00823FDB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59F1C9E" w14:textId="77777777" w:rsidR="00823FDB" w:rsidRPr="003F7B61" w:rsidRDefault="00823FDB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419B1D1" w14:textId="77777777" w:rsidR="00823FDB" w:rsidRPr="003F7B61" w:rsidRDefault="00823FDB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8C75F49" w14:textId="77777777" w:rsidR="00823FDB" w:rsidRPr="003F7B61" w:rsidRDefault="00823FDB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9F74D9" w14:textId="77777777" w:rsidR="00823FDB" w:rsidRPr="003F7B61" w:rsidRDefault="00823FDB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7526FF0" w14:textId="77777777" w:rsidR="00823FDB" w:rsidRPr="003F7B61" w:rsidRDefault="00823FDB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09D327E" w14:textId="77777777" w:rsidR="00823FDB" w:rsidRPr="003F7B61" w:rsidRDefault="00823FDB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A6B940" w14:textId="77777777" w:rsidR="00823FDB" w:rsidRPr="003F7B61" w:rsidRDefault="00823FDB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C1DD645" w14:textId="77777777" w:rsidR="00823FDB" w:rsidRPr="003F7B61" w:rsidRDefault="00823FDB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FB1DF05" w14:textId="77777777" w:rsidR="00823FDB" w:rsidRPr="003F7B61" w:rsidRDefault="00823FDB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C5A760" w14:textId="77777777" w:rsidR="00823FDB" w:rsidRPr="003F7B61" w:rsidRDefault="00823FDB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AB2B85C" w14:textId="77777777" w:rsidR="00823FDB" w:rsidRPr="003F7B61" w:rsidRDefault="00823FDB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577AE4" w14:textId="77777777" w:rsidR="00823FDB" w:rsidRPr="003F7B61" w:rsidRDefault="00823FDB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8122BA8" w14:textId="77777777" w:rsidR="00823FDB" w:rsidRPr="003F7B61" w:rsidRDefault="00823FDB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C21BA07" w14:textId="77777777" w:rsidR="00823FDB" w:rsidRPr="003F7B61" w:rsidRDefault="00823FDB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4EA6AE5" w14:textId="77777777" w:rsidR="00823FDB" w:rsidRPr="003F7B61" w:rsidRDefault="00823FDB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013B08D" w14:textId="77777777" w:rsidR="00823FDB" w:rsidRPr="003F7B61" w:rsidRDefault="00823FDB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E68F780" w14:textId="77777777" w:rsidR="00823FDB" w:rsidRPr="003F7B61" w:rsidRDefault="00823FDB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BEBC117" w14:textId="77777777" w:rsidR="00823FDB" w:rsidRPr="003F7B61" w:rsidRDefault="00823FDB" w:rsidP="00345F7C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5B7627" w14:textId="77777777" w:rsidR="00823FDB" w:rsidRPr="003F7B61" w:rsidRDefault="00823FDB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6CBA4D" id="Pole tekstowe 5" o:spid="_x0000_s1031" type="#_x0000_t202" style="position:absolute;margin-left:416.2pt;margin-top:17.9pt;width:135.85pt;height:77.3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w45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" filled="f" stroked="f">
                <v:textbox>
                  <w:txbxContent>
                    <w:p w14:paraId="318C59BA" w14:textId="77777777" w:rsidR="00823FDB" w:rsidRPr="003F7B61" w:rsidRDefault="00823FDB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5AFDC6" w14:textId="77777777" w:rsidR="00823FDB" w:rsidRPr="003F7B61" w:rsidRDefault="00823FDB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DC68086" w14:textId="77777777" w:rsidR="00823FDB" w:rsidRPr="003F7B61" w:rsidRDefault="00823FDB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33D8E96" w14:textId="77777777" w:rsidR="00823FDB" w:rsidRPr="003F7B61" w:rsidRDefault="00823FDB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93FEB7" w14:textId="77777777" w:rsidR="00823FDB" w:rsidRPr="003F7B61" w:rsidRDefault="00823FDB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79F6D74" w14:textId="77777777" w:rsidR="00823FDB" w:rsidRPr="003F7B61" w:rsidRDefault="00823FDB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36ACBE" w14:textId="77777777" w:rsidR="00823FDB" w:rsidRPr="003F7B61" w:rsidRDefault="00823FDB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8DD84D" w14:textId="77777777" w:rsidR="00823FDB" w:rsidRPr="003F7B61" w:rsidRDefault="00823FDB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2AFF5AA" w14:textId="77777777" w:rsidR="00823FDB" w:rsidRPr="003F7B61" w:rsidRDefault="00823FDB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3703F9E" w14:textId="77777777" w:rsidR="00823FDB" w:rsidRPr="003F7B61" w:rsidRDefault="00823FDB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4456778" w14:textId="77777777" w:rsidR="00823FDB" w:rsidRPr="003F7B61" w:rsidRDefault="00823FDB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59F1C9E" w14:textId="77777777" w:rsidR="00823FDB" w:rsidRPr="003F7B61" w:rsidRDefault="00823FDB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419B1D1" w14:textId="77777777" w:rsidR="00823FDB" w:rsidRPr="003F7B61" w:rsidRDefault="00823FDB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8C75F49" w14:textId="77777777" w:rsidR="00823FDB" w:rsidRPr="003F7B61" w:rsidRDefault="00823FDB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9F74D9" w14:textId="77777777" w:rsidR="00823FDB" w:rsidRPr="003F7B61" w:rsidRDefault="00823FDB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7526FF0" w14:textId="77777777" w:rsidR="00823FDB" w:rsidRPr="003F7B61" w:rsidRDefault="00823FDB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09D327E" w14:textId="77777777" w:rsidR="00823FDB" w:rsidRPr="003F7B61" w:rsidRDefault="00823FDB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A6B940" w14:textId="77777777" w:rsidR="00823FDB" w:rsidRPr="003F7B61" w:rsidRDefault="00823FDB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C1DD645" w14:textId="77777777" w:rsidR="00823FDB" w:rsidRPr="003F7B61" w:rsidRDefault="00823FDB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FB1DF05" w14:textId="77777777" w:rsidR="00823FDB" w:rsidRPr="003F7B61" w:rsidRDefault="00823FDB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C5A760" w14:textId="77777777" w:rsidR="00823FDB" w:rsidRPr="003F7B61" w:rsidRDefault="00823FDB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AB2B85C" w14:textId="77777777" w:rsidR="00823FDB" w:rsidRPr="003F7B61" w:rsidRDefault="00823FDB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577AE4" w14:textId="77777777" w:rsidR="00823FDB" w:rsidRPr="003F7B61" w:rsidRDefault="00823FDB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8122BA8" w14:textId="77777777" w:rsidR="00823FDB" w:rsidRPr="003F7B61" w:rsidRDefault="00823FDB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C21BA07" w14:textId="77777777" w:rsidR="00823FDB" w:rsidRPr="003F7B61" w:rsidRDefault="00823FDB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4EA6AE5" w14:textId="77777777" w:rsidR="00823FDB" w:rsidRPr="003F7B61" w:rsidRDefault="00823FDB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013B08D" w14:textId="77777777" w:rsidR="00823FDB" w:rsidRPr="003F7B61" w:rsidRDefault="00823FDB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E68F780" w14:textId="77777777" w:rsidR="00823FDB" w:rsidRPr="003F7B61" w:rsidRDefault="00823FDB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BEBC117" w14:textId="77777777" w:rsidR="00823FDB" w:rsidRPr="003F7B61" w:rsidRDefault="00823FDB" w:rsidP="00345F7C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5B7627" w14:textId="77777777" w:rsidR="00823FDB" w:rsidRPr="003F7B61" w:rsidRDefault="00823FDB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FA3774" w:rsidRPr="00B5363E">
        <w:rPr>
          <w:rFonts w:ascii="Fira Sans" w:hAnsi="Fira Sans"/>
          <w:b/>
          <w:szCs w:val="19"/>
          <w:lang w:val="en-GB"/>
        </w:rPr>
        <w:t>Foreign trade turnover by major countries</w:t>
      </w:r>
    </w:p>
    <w:p w14:paraId="778A8CE0" w14:textId="7696D30C" w:rsidR="00E73C91" w:rsidRPr="00071ED2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071ED2">
        <w:rPr>
          <w:shd w:val="clear" w:color="auto" w:fill="FFFFFF"/>
          <w:lang w:val="en-GB"/>
        </w:rPr>
        <w:t xml:space="preserve">In </w:t>
      </w:r>
      <w:r w:rsidR="00C830AF" w:rsidRPr="00071ED2">
        <w:rPr>
          <w:shd w:val="clear" w:color="auto" w:fill="FFFFFF"/>
          <w:lang w:val="en-GB"/>
        </w:rPr>
        <w:t>January - September</w:t>
      </w:r>
      <w:r w:rsidR="00F71863" w:rsidRPr="00071ED2">
        <w:rPr>
          <w:shd w:val="clear" w:color="auto" w:fill="FFFFFF"/>
          <w:lang w:val="en-GB"/>
        </w:rPr>
        <w:t xml:space="preserve"> </w:t>
      </w:r>
      <w:r w:rsidR="00CB203F" w:rsidRPr="00071ED2">
        <w:rPr>
          <w:shd w:val="clear" w:color="auto" w:fill="FFFFFF"/>
          <w:lang w:val="en-GB"/>
        </w:rPr>
        <w:t>202</w:t>
      </w:r>
      <w:r w:rsidR="008C2560" w:rsidRPr="00071ED2">
        <w:rPr>
          <w:shd w:val="clear" w:color="auto" w:fill="FFFFFF"/>
          <w:lang w:val="en-GB"/>
        </w:rPr>
        <w:t>3</w:t>
      </w:r>
      <w:r w:rsidRPr="00071ED2">
        <w:rPr>
          <w:shd w:val="clear" w:color="auto" w:fill="FFFFFF"/>
          <w:lang w:val="en-GB"/>
        </w:rPr>
        <w:t xml:space="preserve"> among the main trade partners of Poland </w:t>
      </w:r>
      <w:r w:rsidR="00BC3493" w:rsidRPr="00071ED2">
        <w:rPr>
          <w:shd w:val="clear" w:color="auto" w:fill="FFFFFF"/>
          <w:lang w:val="en-GB"/>
        </w:rPr>
        <w:t xml:space="preserve">increases in exports were observed </w:t>
      </w:r>
      <w:r w:rsidRPr="00071ED2">
        <w:rPr>
          <w:shd w:val="clear" w:color="auto" w:fill="FFFFFF"/>
          <w:lang w:val="en-GB"/>
        </w:rPr>
        <w:t>compared to</w:t>
      </w:r>
      <w:r w:rsidR="00A6157B" w:rsidRPr="00071ED2">
        <w:rPr>
          <w:shd w:val="clear" w:color="auto" w:fill="FFFFFF"/>
          <w:lang w:val="en-GB"/>
        </w:rPr>
        <w:t xml:space="preserve"> </w:t>
      </w:r>
      <w:r w:rsidR="00C830AF" w:rsidRPr="00071ED2">
        <w:rPr>
          <w:shd w:val="clear" w:color="auto" w:fill="FFFFFF"/>
          <w:lang w:val="en-GB"/>
        </w:rPr>
        <w:t>January - September</w:t>
      </w:r>
      <w:r w:rsidR="00A6157B" w:rsidRPr="00071ED2">
        <w:rPr>
          <w:shd w:val="clear" w:color="auto" w:fill="FFFFFF"/>
          <w:lang w:val="en-GB"/>
        </w:rPr>
        <w:t xml:space="preserve"> 2022</w:t>
      </w:r>
      <w:r w:rsidR="00F76699" w:rsidRPr="00071ED2">
        <w:rPr>
          <w:shd w:val="clear" w:color="auto" w:fill="FFFFFF"/>
          <w:lang w:val="en-GB"/>
        </w:rPr>
        <w:t xml:space="preserve">, except </w:t>
      </w:r>
      <w:r w:rsidR="00F226C2" w:rsidRPr="00071ED2">
        <w:rPr>
          <w:lang w:val="en-US"/>
        </w:rPr>
        <w:t>Slovakia</w:t>
      </w:r>
      <w:r w:rsidR="00F226C2" w:rsidRPr="00071ED2">
        <w:rPr>
          <w:shd w:val="clear" w:color="auto" w:fill="FFFFFF"/>
          <w:lang w:val="en-GB"/>
        </w:rPr>
        <w:t xml:space="preserve"> </w:t>
      </w:r>
      <w:r w:rsidR="00D93600" w:rsidRPr="00071ED2">
        <w:rPr>
          <w:shd w:val="clear" w:color="auto" w:fill="FFFFFF"/>
          <w:lang w:val="en-GB"/>
        </w:rPr>
        <w:t>where</w:t>
      </w:r>
      <w:r w:rsidR="005D706E" w:rsidRPr="00071ED2">
        <w:rPr>
          <w:shd w:val="clear" w:color="auto" w:fill="FFFFFF"/>
          <w:lang w:val="en-GB"/>
        </w:rPr>
        <w:t xml:space="preserve"> exports</w:t>
      </w:r>
      <w:r w:rsidR="00D93600" w:rsidRPr="00071ED2">
        <w:rPr>
          <w:shd w:val="clear" w:color="auto" w:fill="FFFFFF"/>
          <w:lang w:val="en-GB"/>
        </w:rPr>
        <w:t xml:space="preserve"> </w:t>
      </w:r>
      <w:r w:rsidR="00F76699" w:rsidRPr="00071ED2">
        <w:rPr>
          <w:shd w:val="clear" w:color="auto" w:fill="FFFFFF"/>
          <w:lang w:val="en-GB"/>
        </w:rPr>
        <w:t xml:space="preserve">decreased by </w:t>
      </w:r>
      <w:r w:rsidR="00F226C2" w:rsidRPr="00071ED2">
        <w:rPr>
          <w:lang w:val="en-GB"/>
        </w:rPr>
        <w:t>5</w:t>
      </w:r>
      <w:r w:rsidR="00071ED2" w:rsidRPr="00071ED2">
        <w:rPr>
          <w:lang w:val="en-GB"/>
        </w:rPr>
        <w:t>.</w:t>
      </w:r>
      <w:r w:rsidR="00F226C2" w:rsidRPr="00071ED2">
        <w:rPr>
          <w:lang w:val="en-GB"/>
        </w:rPr>
        <w:t xml:space="preserve">1%, </w:t>
      </w:r>
      <w:r w:rsidR="00F226C2" w:rsidRPr="00071ED2">
        <w:rPr>
          <w:shd w:val="clear" w:color="auto" w:fill="FFFFFF"/>
          <w:lang w:val="en-GB"/>
        </w:rPr>
        <w:t>Czechia</w:t>
      </w:r>
      <w:r w:rsidR="00F226C2" w:rsidRPr="00071ED2">
        <w:rPr>
          <w:lang w:val="en-US"/>
        </w:rPr>
        <w:t xml:space="preserve"> by 2.4% and Netherlands by 1.1%</w:t>
      </w:r>
      <w:r w:rsidRPr="00071ED2">
        <w:rPr>
          <w:shd w:val="clear" w:color="auto" w:fill="FFFFFF"/>
          <w:lang w:val="en-GB"/>
        </w:rPr>
        <w:t>.</w:t>
      </w:r>
      <w:r w:rsidR="008C2560" w:rsidRPr="00071ED2">
        <w:rPr>
          <w:shd w:val="clear" w:color="auto" w:fill="FFFFFF"/>
          <w:lang w:val="en-GB"/>
        </w:rPr>
        <w:t xml:space="preserve"> However, </w:t>
      </w:r>
      <w:r w:rsidR="000B63B8" w:rsidRPr="00071ED2">
        <w:rPr>
          <w:shd w:val="clear" w:color="auto" w:fill="FFFFFF"/>
          <w:lang w:val="en-GB"/>
        </w:rPr>
        <w:t xml:space="preserve">in </w:t>
      </w:r>
      <w:r w:rsidR="00C830AF" w:rsidRPr="00071ED2">
        <w:rPr>
          <w:shd w:val="clear" w:color="auto" w:fill="FFFFFF"/>
          <w:lang w:val="en-GB"/>
        </w:rPr>
        <w:t>January - September</w:t>
      </w:r>
      <w:r w:rsidR="000B63B8" w:rsidRPr="00071ED2">
        <w:rPr>
          <w:shd w:val="clear" w:color="auto" w:fill="FFFFFF"/>
          <w:lang w:val="en-GB"/>
        </w:rPr>
        <w:t xml:space="preserve"> 2023 </w:t>
      </w:r>
      <w:r w:rsidR="007C1FF3" w:rsidRPr="00071ED2">
        <w:rPr>
          <w:shd w:val="clear" w:color="auto" w:fill="FFFFFF"/>
          <w:lang w:val="en-GB"/>
        </w:rPr>
        <w:t>in comparison with the same period of 2022</w:t>
      </w:r>
      <w:r w:rsidR="0014586D">
        <w:rPr>
          <w:shd w:val="clear" w:color="auto" w:fill="FFFFFF"/>
          <w:lang w:val="en-GB"/>
        </w:rPr>
        <w:t>,</w:t>
      </w:r>
      <w:r w:rsidR="007C1FF3">
        <w:rPr>
          <w:shd w:val="clear" w:color="auto" w:fill="FFFFFF"/>
          <w:lang w:val="en-GB"/>
        </w:rPr>
        <w:t xml:space="preserve"> </w:t>
      </w:r>
      <w:r w:rsidR="008C2560" w:rsidRPr="00071ED2">
        <w:rPr>
          <w:shd w:val="clear" w:color="auto" w:fill="FFFFFF"/>
          <w:lang w:val="en-GB"/>
        </w:rPr>
        <w:t>imports decreased with</w:t>
      </w:r>
      <w:r w:rsidR="00A6157B" w:rsidRPr="00071ED2">
        <w:rPr>
          <w:shd w:val="clear" w:color="auto" w:fill="FFFFFF"/>
          <w:lang w:val="en-GB"/>
        </w:rPr>
        <w:t xml:space="preserve"> </w:t>
      </w:r>
      <w:r w:rsidR="00F56DE5" w:rsidRPr="00071ED2">
        <w:rPr>
          <w:shd w:val="clear" w:color="auto" w:fill="FFFFFF"/>
          <w:lang w:val="en-GB"/>
        </w:rPr>
        <w:t xml:space="preserve">China by </w:t>
      </w:r>
      <w:r w:rsidR="00F226C2" w:rsidRPr="00071ED2">
        <w:rPr>
          <w:lang w:val="en-GB"/>
        </w:rPr>
        <w:t>13</w:t>
      </w:r>
      <w:r w:rsidR="00071ED2" w:rsidRPr="00071ED2">
        <w:rPr>
          <w:lang w:val="en-GB"/>
        </w:rPr>
        <w:t>.</w:t>
      </w:r>
      <w:r w:rsidR="00F226C2" w:rsidRPr="00071ED2">
        <w:rPr>
          <w:lang w:val="en-GB"/>
        </w:rPr>
        <w:t xml:space="preserve">7%, </w:t>
      </w:r>
      <w:r w:rsidR="00AF01A0" w:rsidRPr="00071ED2">
        <w:rPr>
          <w:shd w:val="clear" w:color="auto" w:fill="FFFFFF"/>
          <w:lang w:val="en-GB"/>
        </w:rPr>
        <w:t>Germany</w:t>
      </w:r>
      <w:r w:rsidR="00F56DE5" w:rsidRPr="00071ED2">
        <w:rPr>
          <w:shd w:val="clear" w:color="auto" w:fill="FFFFFF"/>
          <w:lang w:val="en-GB"/>
        </w:rPr>
        <w:t xml:space="preserve"> by </w:t>
      </w:r>
      <w:r w:rsidR="00F226C2" w:rsidRPr="00071ED2">
        <w:rPr>
          <w:lang w:val="en-GB"/>
        </w:rPr>
        <w:t>10</w:t>
      </w:r>
      <w:r w:rsidR="00071ED2" w:rsidRPr="00071ED2">
        <w:rPr>
          <w:lang w:val="en-GB"/>
        </w:rPr>
        <w:t>.</w:t>
      </w:r>
      <w:r w:rsidR="00F226C2" w:rsidRPr="00071ED2">
        <w:rPr>
          <w:lang w:val="en-GB"/>
        </w:rPr>
        <w:t xml:space="preserve">0%, </w:t>
      </w:r>
      <w:r w:rsidR="0049401B" w:rsidRPr="00071ED2">
        <w:rPr>
          <w:shd w:val="clear" w:color="auto" w:fill="FFFFFF"/>
          <w:lang w:val="en-GB"/>
        </w:rPr>
        <w:t xml:space="preserve">Italy by </w:t>
      </w:r>
      <w:r w:rsidR="00F226C2" w:rsidRPr="00071ED2">
        <w:rPr>
          <w:lang w:val="en-GB"/>
        </w:rPr>
        <w:t>6</w:t>
      </w:r>
      <w:r w:rsidR="00071ED2" w:rsidRPr="00071ED2">
        <w:rPr>
          <w:lang w:val="en-GB"/>
        </w:rPr>
        <w:t>.</w:t>
      </w:r>
      <w:r w:rsidR="00F226C2" w:rsidRPr="00071ED2">
        <w:rPr>
          <w:lang w:val="en-GB"/>
        </w:rPr>
        <w:t xml:space="preserve">1%, </w:t>
      </w:r>
      <w:r w:rsidR="00F226C2" w:rsidRPr="00071ED2">
        <w:rPr>
          <w:shd w:val="clear" w:color="auto" w:fill="FFFFFF"/>
          <w:lang w:val="en-GB"/>
        </w:rPr>
        <w:t xml:space="preserve">Belgium by </w:t>
      </w:r>
      <w:r w:rsidR="00F226C2" w:rsidRPr="00071ED2">
        <w:rPr>
          <w:lang w:val="en-GB"/>
        </w:rPr>
        <w:t>4</w:t>
      </w:r>
      <w:r w:rsidR="00071ED2" w:rsidRPr="00071ED2">
        <w:rPr>
          <w:lang w:val="en-GB"/>
        </w:rPr>
        <w:t>.</w:t>
      </w:r>
      <w:r w:rsidR="00F226C2" w:rsidRPr="00071ED2">
        <w:rPr>
          <w:lang w:val="en-GB"/>
        </w:rPr>
        <w:t xml:space="preserve">3%, </w:t>
      </w:r>
      <w:r w:rsidR="008D71BA" w:rsidRPr="00071ED2">
        <w:rPr>
          <w:shd w:val="clear" w:color="auto" w:fill="FFFFFF"/>
          <w:lang w:val="en-GB"/>
        </w:rPr>
        <w:t xml:space="preserve">Czechia by </w:t>
      </w:r>
      <w:r w:rsidR="00F226C2" w:rsidRPr="00071ED2">
        <w:rPr>
          <w:lang w:val="en-GB"/>
        </w:rPr>
        <w:t>3</w:t>
      </w:r>
      <w:r w:rsidR="00071ED2" w:rsidRPr="00071ED2">
        <w:rPr>
          <w:lang w:val="en-GB"/>
        </w:rPr>
        <w:t>.</w:t>
      </w:r>
      <w:r w:rsidR="00F226C2" w:rsidRPr="00071ED2">
        <w:rPr>
          <w:lang w:val="en-GB"/>
        </w:rPr>
        <w:t xml:space="preserve">8%, </w:t>
      </w:r>
      <w:r w:rsidR="00323CD9" w:rsidRPr="00071ED2">
        <w:rPr>
          <w:lang w:val="en-US"/>
        </w:rPr>
        <w:t>Netherlands</w:t>
      </w:r>
      <w:r w:rsidR="008D71BA" w:rsidRPr="00071ED2">
        <w:rPr>
          <w:lang w:val="en-US"/>
        </w:rPr>
        <w:t xml:space="preserve"> </w:t>
      </w:r>
      <w:r w:rsidR="00323CD9" w:rsidRPr="00071ED2">
        <w:rPr>
          <w:shd w:val="clear" w:color="auto" w:fill="FFFFFF"/>
          <w:lang w:val="en-GB"/>
        </w:rPr>
        <w:t xml:space="preserve">by </w:t>
      </w:r>
      <w:r w:rsidR="00823FDB" w:rsidRPr="00071ED2" w:rsidDel="00823FDB">
        <w:rPr>
          <w:lang w:val="en-GB"/>
        </w:rPr>
        <w:t xml:space="preserve"> </w:t>
      </w:r>
      <w:r w:rsidR="00A51A79">
        <w:rPr>
          <w:lang w:val="en-GB"/>
        </w:rPr>
        <w:t>2.</w:t>
      </w:r>
      <w:r w:rsidR="00823FDB" w:rsidRPr="00A51A79">
        <w:rPr>
          <w:lang w:val="en-GB"/>
        </w:rPr>
        <w:t>3</w:t>
      </w:r>
      <w:r w:rsidR="00F226C2" w:rsidRPr="00071ED2">
        <w:rPr>
          <w:lang w:val="en-GB"/>
        </w:rPr>
        <w:t xml:space="preserve">% </w:t>
      </w:r>
      <w:r w:rsidR="008D71BA" w:rsidRPr="00071ED2">
        <w:rPr>
          <w:shd w:val="clear" w:color="auto" w:fill="FFFFFF"/>
          <w:lang w:val="en-GB"/>
        </w:rPr>
        <w:t xml:space="preserve">and </w:t>
      </w:r>
      <w:r w:rsidR="00483F3B" w:rsidRPr="00071ED2">
        <w:rPr>
          <w:shd w:val="clear" w:color="auto" w:fill="FFFFFF"/>
          <w:lang w:val="en-GB"/>
        </w:rPr>
        <w:t xml:space="preserve">the </w:t>
      </w:r>
      <w:r w:rsidR="00F226C2" w:rsidRPr="00071ED2">
        <w:rPr>
          <w:shd w:val="clear" w:color="auto" w:fill="FFFFFF"/>
          <w:lang w:val="en-GB"/>
        </w:rPr>
        <w:t>United States by 0.6%</w:t>
      </w:r>
      <w:r w:rsidR="007C1FF3">
        <w:rPr>
          <w:shd w:val="clear" w:color="auto" w:fill="FFFFFF"/>
          <w:lang w:val="en-GB"/>
        </w:rPr>
        <w:t>.</w:t>
      </w:r>
      <w:r w:rsidR="00F226C2" w:rsidRPr="00071ED2">
        <w:rPr>
          <w:shd w:val="clear" w:color="auto" w:fill="FFFFFF"/>
          <w:lang w:val="en-GB"/>
        </w:rPr>
        <w:t>.</w:t>
      </w:r>
    </w:p>
    <w:p w14:paraId="194B76DF" w14:textId="7AFE1166" w:rsidR="00E73C91" w:rsidRPr="00071ED2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071ED2">
        <w:rPr>
          <w:shd w:val="clear" w:color="auto" w:fill="FFFFFF"/>
          <w:lang w:val="en-GB"/>
        </w:rPr>
        <w:t xml:space="preserve">The turnover with the top ten of Polish trade partners in exports accounted for </w:t>
      </w:r>
      <w:r w:rsidR="00A07107" w:rsidRPr="00071ED2">
        <w:rPr>
          <w:shd w:val="clear" w:color="auto" w:fill="FFFFFF"/>
          <w:lang w:val="en-GB"/>
        </w:rPr>
        <w:t>66</w:t>
      </w:r>
      <w:r w:rsidR="00071ED2" w:rsidRPr="00071ED2">
        <w:rPr>
          <w:shd w:val="clear" w:color="auto" w:fill="FFFFFF"/>
          <w:lang w:val="en-GB"/>
        </w:rPr>
        <w:t>.</w:t>
      </w:r>
      <w:r w:rsidR="00A07107" w:rsidRPr="00071ED2">
        <w:rPr>
          <w:shd w:val="clear" w:color="auto" w:fill="FFFFFF"/>
          <w:lang w:val="en-GB"/>
        </w:rPr>
        <w:t xml:space="preserve">1% </w:t>
      </w:r>
      <w:r w:rsidRPr="00071ED2">
        <w:rPr>
          <w:shd w:val="clear" w:color="auto" w:fill="FFFFFF"/>
          <w:lang w:val="en-GB"/>
        </w:rPr>
        <w:t>(</w:t>
      </w:r>
      <w:r w:rsidR="0076444C" w:rsidRPr="00071ED2">
        <w:rPr>
          <w:shd w:val="clear" w:color="auto" w:fill="FFFFFF"/>
          <w:lang w:val="en-GB"/>
        </w:rPr>
        <w:t>65</w:t>
      </w:r>
      <w:r w:rsidR="00071ED2" w:rsidRPr="00071ED2">
        <w:rPr>
          <w:shd w:val="clear" w:color="auto" w:fill="FFFFFF"/>
          <w:lang w:val="en-GB"/>
        </w:rPr>
        <w:t>.</w:t>
      </w:r>
      <w:r w:rsidR="0076444C" w:rsidRPr="00071ED2">
        <w:rPr>
          <w:shd w:val="clear" w:color="auto" w:fill="FFFFFF"/>
          <w:lang w:val="en-GB"/>
        </w:rPr>
        <w:t xml:space="preserve">3% </w:t>
      </w:r>
      <w:r w:rsidRPr="00071ED2">
        <w:rPr>
          <w:shd w:val="clear" w:color="auto" w:fill="FFFFFF"/>
          <w:lang w:val="en-GB"/>
        </w:rPr>
        <w:t xml:space="preserve">in the same period of </w:t>
      </w:r>
      <w:r w:rsidR="00F9688E" w:rsidRPr="00071ED2">
        <w:rPr>
          <w:shd w:val="clear" w:color="auto" w:fill="FFFFFF"/>
          <w:lang w:val="en-GB"/>
        </w:rPr>
        <w:t>202</w:t>
      </w:r>
      <w:r w:rsidR="00202F1D" w:rsidRPr="00071ED2">
        <w:rPr>
          <w:shd w:val="clear" w:color="auto" w:fill="FFFFFF"/>
          <w:lang w:val="en-GB"/>
        </w:rPr>
        <w:t>2</w:t>
      </w:r>
      <w:r w:rsidRPr="00071ED2">
        <w:rPr>
          <w:shd w:val="clear" w:color="auto" w:fill="FFFFFF"/>
          <w:lang w:val="en-GB"/>
        </w:rPr>
        <w:t xml:space="preserve"> year), while in total imports – </w:t>
      </w:r>
      <w:r w:rsidR="0076444C" w:rsidRPr="00071ED2">
        <w:rPr>
          <w:shd w:val="clear" w:color="auto" w:fill="FFFFFF"/>
          <w:lang w:val="en-GB"/>
        </w:rPr>
        <w:t>60</w:t>
      </w:r>
      <w:r w:rsidR="00071ED2" w:rsidRPr="00071ED2">
        <w:rPr>
          <w:shd w:val="clear" w:color="auto" w:fill="FFFFFF"/>
          <w:lang w:val="en-GB"/>
        </w:rPr>
        <w:t>.</w:t>
      </w:r>
      <w:r w:rsidR="0076444C" w:rsidRPr="00071ED2">
        <w:rPr>
          <w:shd w:val="clear" w:color="auto" w:fill="FFFFFF"/>
          <w:lang w:val="en-GB"/>
        </w:rPr>
        <w:t xml:space="preserve">7% </w:t>
      </w:r>
      <w:r w:rsidRPr="00071ED2">
        <w:rPr>
          <w:shd w:val="clear" w:color="auto" w:fill="FFFFFF"/>
          <w:lang w:val="en-GB"/>
        </w:rPr>
        <w:t xml:space="preserve">(in comparison with </w:t>
      </w:r>
      <w:r w:rsidR="0076444C" w:rsidRPr="00071ED2">
        <w:rPr>
          <w:shd w:val="clear" w:color="auto" w:fill="FFFFFF"/>
          <w:lang w:val="en-GB"/>
        </w:rPr>
        <w:t>59</w:t>
      </w:r>
      <w:r w:rsidR="00071ED2" w:rsidRPr="00071ED2">
        <w:rPr>
          <w:shd w:val="clear" w:color="auto" w:fill="FFFFFF"/>
          <w:lang w:val="en-GB"/>
        </w:rPr>
        <w:t>.</w:t>
      </w:r>
      <w:r w:rsidR="0076444C" w:rsidRPr="00071ED2">
        <w:rPr>
          <w:shd w:val="clear" w:color="auto" w:fill="FFFFFF"/>
          <w:lang w:val="en-GB"/>
        </w:rPr>
        <w:t xml:space="preserve">6% </w:t>
      </w:r>
      <w:r w:rsidRPr="00071ED2">
        <w:rPr>
          <w:shd w:val="clear" w:color="auto" w:fill="FFFFFF"/>
          <w:lang w:val="en-GB"/>
        </w:rPr>
        <w:t xml:space="preserve">in </w:t>
      </w:r>
      <w:r w:rsidR="00C830AF" w:rsidRPr="00071ED2">
        <w:rPr>
          <w:shd w:val="clear" w:color="auto" w:fill="FFFFFF"/>
          <w:lang w:val="en-GB"/>
        </w:rPr>
        <w:t>January - September</w:t>
      </w:r>
      <w:r w:rsidRPr="00071ED2">
        <w:rPr>
          <w:shd w:val="clear" w:color="auto" w:fill="FFFFFF"/>
          <w:lang w:val="en-GB"/>
        </w:rPr>
        <w:t xml:space="preserve"> 202</w:t>
      </w:r>
      <w:r w:rsidR="00202F1D" w:rsidRPr="00071ED2">
        <w:rPr>
          <w:shd w:val="clear" w:color="auto" w:fill="FFFFFF"/>
          <w:lang w:val="en-GB"/>
        </w:rPr>
        <w:t>2</w:t>
      </w:r>
      <w:r w:rsidRPr="00071ED2">
        <w:rPr>
          <w:shd w:val="clear" w:color="auto" w:fill="FFFFFF"/>
          <w:lang w:val="en-GB"/>
        </w:rPr>
        <w:t>).</w:t>
      </w:r>
    </w:p>
    <w:p w14:paraId="0293B44E" w14:textId="23252865" w:rsidR="0051626B" w:rsidRPr="00C3372E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071ED2">
        <w:rPr>
          <w:shd w:val="clear" w:color="auto" w:fill="FFFFFF"/>
          <w:lang w:val="en-GB"/>
        </w:rPr>
        <w:t xml:space="preserve">The share of Germany in exports </w:t>
      </w:r>
      <w:r w:rsidR="00AF01A0" w:rsidRPr="00071ED2">
        <w:rPr>
          <w:shd w:val="clear" w:color="auto" w:fill="FFFFFF"/>
          <w:lang w:val="en-GB"/>
        </w:rPr>
        <w:t>in</w:t>
      </w:r>
      <w:r w:rsidRPr="00071ED2">
        <w:rPr>
          <w:shd w:val="clear" w:color="auto" w:fill="FFFFFF"/>
          <w:lang w:val="en-GB"/>
        </w:rPr>
        <w:t xml:space="preserve">creased in comparison with the corresponding period of </w:t>
      </w:r>
      <w:r w:rsidR="006F550F" w:rsidRPr="00071ED2">
        <w:rPr>
          <w:shd w:val="clear" w:color="auto" w:fill="FFFFFF"/>
          <w:lang w:val="en-GB"/>
        </w:rPr>
        <w:t>202</w:t>
      </w:r>
      <w:r w:rsidR="00202F1D" w:rsidRPr="00071ED2">
        <w:rPr>
          <w:shd w:val="clear" w:color="auto" w:fill="FFFFFF"/>
          <w:lang w:val="en-GB"/>
        </w:rPr>
        <w:t xml:space="preserve">2 </w:t>
      </w:r>
      <w:r w:rsidRPr="00071ED2">
        <w:rPr>
          <w:shd w:val="clear" w:color="auto" w:fill="FFFFFF"/>
          <w:lang w:val="en-GB"/>
        </w:rPr>
        <w:t xml:space="preserve">year by </w:t>
      </w:r>
      <w:r w:rsidR="0076444C" w:rsidRPr="00071ED2">
        <w:rPr>
          <w:shd w:val="clear" w:color="auto" w:fill="FFFFFF"/>
          <w:lang w:val="en-GB"/>
        </w:rPr>
        <w:t>0</w:t>
      </w:r>
      <w:r w:rsidR="00071ED2" w:rsidRPr="00071ED2">
        <w:rPr>
          <w:shd w:val="clear" w:color="auto" w:fill="FFFFFF"/>
          <w:lang w:val="en-GB"/>
        </w:rPr>
        <w:t>.</w:t>
      </w:r>
      <w:r w:rsidR="0076444C" w:rsidRPr="00071ED2">
        <w:rPr>
          <w:shd w:val="clear" w:color="auto" w:fill="FFFFFF"/>
          <w:lang w:val="en-GB"/>
        </w:rPr>
        <w:t xml:space="preserve">2 </w:t>
      </w:r>
      <w:r w:rsidRPr="00071ED2">
        <w:rPr>
          <w:shd w:val="clear" w:color="auto" w:fill="FFFFFF"/>
          <w:lang w:val="en-GB"/>
        </w:rPr>
        <w:t xml:space="preserve">pp and amounted to </w:t>
      </w:r>
      <w:r w:rsidR="0076444C" w:rsidRPr="00071ED2">
        <w:rPr>
          <w:shd w:val="clear" w:color="auto" w:fill="FFFFFF"/>
          <w:lang w:val="en-GB"/>
        </w:rPr>
        <w:t>28</w:t>
      </w:r>
      <w:r w:rsidR="00071ED2" w:rsidRPr="00071ED2">
        <w:rPr>
          <w:shd w:val="clear" w:color="auto" w:fill="FFFFFF"/>
          <w:lang w:val="en-GB"/>
        </w:rPr>
        <w:t>.</w:t>
      </w:r>
      <w:r w:rsidR="0076444C" w:rsidRPr="00071ED2">
        <w:rPr>
          <w:shd w:val="clear" w:color="auto" w:fill="FFFFFF"/>
          <w:lang w:val="en-GB"/>
        </w:rPr>
        <w:t xml:space="preserve">0% </w:t>
      </w:r>
      <w:r w:rsidR="00775FC9" w:rsidRPr="00071ED2">
        <w:rPr>
          <w:shd w:val="clear" w:color="auto" w:fill="FFFFFF"/>
          <w:lang w:val="en-GB"/>
        </w:rPr>
        <w:t xml:space="preserve">and in imports decreased by </w:t>
      </w:r>
      <w:r w:rsidR="0076444C" w:rsidRPr="00071ED2">
        <w:rPr>
          <w:shd w:val="clear" w:color="auto" w:fill="FFFFFF"/>
          <w:lang w:val="en-GB"/>
        </w:rPr>
        <w:t>0</w:t>
      </w:r>
      <w:r w:rsidR="00071ED2" w:rsidRPr="00071ED2">
        <w:rPr>
          <w:shd w:val="clear" w:color="auto" w:fill="FFFFFF"/>
          <w:lang w:val="en-GB"/>
        </w:rPr>
        <w:t>.</w:t>
      </w:r>
      <w:r w:rsidR="0076444C" w:rsidRPr="00071ED2">
        <w:rPr>
          <w:shd w:val="clear" w:color="auto" w:fill="FFFFFF"/>
          <w:lang w:val="en-GB"/>
        </w:rPr>
        <w:t xml:space="preserve">5 </w:t>
      </w:r>
      <w:r w:rsidRPr="00071ED2">
        <w:rPr>
          <w:shd w:val="clear" w:color="auto" w:fill="FFFFFF"/>
          <w:lang w:val="en-GB"/>
        </w:rPr>
        <w:t>pp and a</w:t>
      </w:r>
      <w:r w:rsidR="00B017A9" w:rsidRPr="00071ED2">
        <w:rPr>
          <w:shd w:val="clear" w:color="auto" w:fill="FFFFFF"/>
          <w:lang w:val="en-GB"/>
        </w:rPr>
        <w:t>c</w:t>
      </w:r>
      <w:r w:rsidRPr="00071ED2">
        <w:rPr>
          <w:shd w:val="clear" w:color="auto" w:fill="FFFFFF"/>
          <w:lang w:val="en-GB"/>
        </w:rPr>
        <w:t xml:space="preserve">counted for </w:t>
      </w:r>
      <w:r w:rsidR="0076444C" w:rsidRPr="00071ED2">
        <w:rPr>
          <w:shd w:val="clear" w:color="auto" w:fill="FFFFFF"/>
          <w:lang w:val="en-GB"/>
        </w:rPr>
        <w:t>20</w:t>
      </w:r>
      <w:r w:rsidR="00071ED2" w:rsidRPr="00071ED2">
        <w:rPr>
          <w:shd w:val="clear" w:color="auto" w:fill="FFFFFF"/>
          <w:lang w:val="en-GB"/>
        </w:rPr>
        <w:t>.</w:t>
      </w:r>
      <w:r w:rsidR="0076444C" w:rsidRPr="00071ED2">
        <w:rPr>
          <w:shd w:val="clear" w:color="auto" w:fill="FFFFFF"/>
          <w:lang w:val="en-GB"/>
        </w:rPr>
        <w:t>0%</w:t>
      </w:r>
      <w:r w:rsidRPr="00071ED2">
        <w:rPr>
          <w:shd w:val="clear" w:color="auto" w:fill="FFFFFF"/>
          <w:lang w:val="en-GB"/>
        </w:rPr>
        <w:t xml:space="preserve">. The positive balance amounted to PLN </w:t>
      </w:r>
      <w:r w:rsidR="00F17A2F" w:rsidRPr="00071ED2">
        <w:rPr>
          <w:shd w:val="clear" w:color="auto" w:fill="FFFFFF"/>
          <w:lang w:val="en-US"/>
        </w:rPr>
        <w:t>106</w:t>
      </w:r>
      <w:r w:rsidR="00071ED2" w:rsidRPr="00071ED2">
        <w:rPr>
          <w:shd w:val="clear" w:color="auto" w:fill="FFFFFF"/>
          <w:lang w:val="en-US"/>
        </w:rPr>
        <w:t>.</w:t>
      </w:r>
      <w:r w:rsidR="00F17A2F" w:rsidRPr="00071ED2">
        <w:rPr>
          <w:shd w:val="clear" w:color="auto" w:fill="FFFFFF"/>
          <w:lang w:val="en-US"/>
        </w:rPr>
        <w:t xml:space="preserve">1 </w:t>
      </w:r>
      <w:r w:rsidRPr="00071ED2">
        <w:rPr>
          <w:shd w:val="clear" w:color="auto" w:fill="FFFFFF"/>
          <w:lang w:val="en-GB"/>
        </w:rPr>
        <w:t xml:space="preserve">bn (USD </w:t>
      </w:r>
      <w:r w:rsidR="00F95600" w:rsidRPr="00071ED2">
        <w:rPr>
          <w:shd w:val="clear" w:color="auto" w:fill="FFFFFF"/>
          <w:lang w:val="en-GB"/>
        </w:rPr>
        <w:t>25</w:t>
      </w:r>
      <w:r w:rsidR="00071ED2" w:rsidRPr="00071ED2">
        <w:rPr>
          <w:shd w:val="clear" w:color="auto" w:fill="FFFFFF"/>
          <w:lang w:val="en-GB"/>
        </w:rPr>
        <w:t>.</w:t>
      </w:r>
      <w:r w:rsidR="00F95600" w:rsidRPr="00071ED2">
        <w:rPr>
          <w:shd w:val="clear" w:color="auto" w:fill="FFFFFF"/>
          <w:lang w:val="en-GB"/>
        </w:rPr>
        <w:t xml:space="preserve">1 </w:t>
      </w:r>
      <w:r w:rsidRPr="00071ED2">
        <w:rPr>
          <w:shd w:val="clear" w:color="auto" w:fill="FFFFFF"/>
          <w:lang w:val="en-GB"/>
        </w:rPr>
        <w:t xml:space="preserve">bn, EUR </w:t>
      </w:r>
      <w:r w:rsidR="00F95600" w:rsidRPr="00071ED2">
        <w:rPr>
          <w:shd w:val="clear" w:color="auto" w:fill="FFFFFF"/>
          <w:lang w:val="en-GB"/>
        </w:rPr>
        <w:t>23</w:t>
      </w:r>
      <w:r w:rsidR="00071ED2" w:rsidRPr="00071ED2">
        <w:rPr>
          <w:shd w:val="clear" w:color="auto" w:fill="FFFFFF"/>
          <w:lang w:val="en-GB"/>
        </w:rPr>
        <w:t>.</w:t>
      </w:r>
      <w:r w:rsidR="00F95600" w:rsidRPr="00071ED2">
        <w:rPr>
          <w:shd w:val="clear" w:color="auto" w:fill="FFFFFF"/>
          <w:lang w:val="en-GB"/>
        </w:rPr>
        <w:t xml:space="preserve">1 </w:t>
      </w:r>
      <w:r w:rsidRPr="00071ED2">
        <w:rPr>
          <w:shd w:val="clear" w:color="auto" w:fill="FFFFFF"/>
          <w:lang w:val="en-GB"/>
        </w:rPr>
        <w:t xml:space="preserve">bn) in comparison with PLN </w:t>
      </w:r>
      <w:r w:rsidR="00F95600" w:rsidRPr="00071ED2">
        <w:rPr>
          <w:shd w:val="clear" w:color="auto" w:fill="FFFFFF"/>
          <w:lang w:val="en-GB"/>
        </w:rPr>
        <w:t>72</w:t>
      </w:r>
      <w:r w:rsidR="00071ED2" w:rsidRPr="00071ED2">
        <w:rPr>
          <w:shd w:val="clear" w:color="auto" w:fill="FFFFFF"/>
          <w:lang w:val="en-GB"/>
        </w:rPr>
        <w:t>.</w:t>
      </w:r>
      <w:r w:rsidR="00F95600" w:rsidRPr="00071ED2">
        <w:rPr>
          <w:shd w:val="clear" w:color="auto" w:fill="FFFFFF"/>
          <w:lang w:val="en-GB"/>
        </w:rPr>
        <w:t xml:space="preserve">0 </w:t>
      </w:r>
      <w:r w:rsidRPr="00071ED2">
        <w:rPr>
          <w:shd w:val="clear" w:color="auto" w:fill="FFFFFF"/>
          <w:lang w:val="en-GB"/>
        </w:rPr>
        <w:t xml:space="preserve">bn (USD </w:t>
      </w:r>
      <w:r w:rsidR="00A51A79">
        <w:rPr>
          <w:shd w:val="clear" w:color="auto" w:fill="FFFFFF"/>
          <w:lang w:val="en-GB"/>
        </w:rPr>
        <w:t>16.</w:t>
      </w:r>
      <w:r w:rsidR="00A51A79">
        <w:rPr>
          <w:shd w:val="clear" w:color="auto" w:fill="FFFFFF"/>
          <w:lang w:val="en-US"/>
        </w:rPr>
        <w:t xml:space="preserve">7 </w:t>
      </w:r>
      <w:r w:rsidRPr="00071ED2">
        <w:rPr>
          <w:shd w:val="clear" w:color="auto" w:fill="FFFFFF"/>
          <w:lang w:val="en-GB"/>
        </w:rPr>
        <w:t xml:space="preserve">bn, EUR </w:t>
      </w:r>
      <w:r w:rsidR="00F95600" w:rsidRPr="00071ED2">
        <w:rPr>
          <w:shd w:val="clear" w:color="auto" w:fill="FFFFFF"/>
          <w:lang w:val="en-US"/>
        </w:rPr>
        <w:t>15</w:t>
      </w:r>
      <w:r w:rsidR="00071ED2" w:rsidRPr="00071ED2">
        <w:rPr>
          <w:shd w:val="clear" w:color="auto" w:fill="FFFFFF"/>
          <w:lang w:val="en-US"/>
        </w:rPr>
        <w:t>.</w:t>
      </w:r>
      <w:r w:rsidR="00F95600" w:rsidRPr="00071ED2">
        <w:rPr>
          <w:shd w:val="clear" w:color="auto" w:fill="FFFFFF"/>
          <w:lang w:val="en-US"/>
        </w:rPr>
        <w:t xml:space="preserve">5 </w:t>
      </w:r>
      <w:r w:rsidRPr="00071ED2">
        <w:rPr>
          <w:shd w:val="clear" w:color="auto" w:fill="FFFFFF"/>
          <w:lang w:val="en-GB"/>
        </w:rPr>
        <w:t>bn) in the same period of 202</w:t>
      </w:r>
      <w:r w:rsidR="00202F1D" w:rsidRPr="00071ED2">
        <w:rPr>
          <w:shd w:val="clear" w:color="auto" w:fill="FFFFFF"/>
          <w:lang w:val="en-GB"/>
        </w:rPr>
        <w:t>2</w:t>
      </w:r>
      <w:r w:rsidRPr="00071ED2">
        <w:rPr>
          <w:shd w:val="clear" w:color="auto" w:fill="FFFFFF"/>
          <w:lang w:val="en-GB"/>
        </w:rPr>
        <w:t>.</w:t>
      </w:r>
      <w:r w:rsidR="0051626B" w:rsidRPr="00C3372E">
        <w:rPr>
          <w:shd w:val="clear" w:color="auto" w:fill="FFFFFF"/>
          <w:lang w:val="en-GB"/>
        </w:rPr>
        <w:t xml:space="preserve"> </w:t>
      </w:r>
    </w:p>
    <w:p w14:paraId="7778BDEB" w14:textId="58BC12BB" w:rsidR="00EF6555" w:rsidRPr="00FD094E" w:rsidRDefault="00EF6555" w:rsidP="00366025">
      <w:pPr>
        <w:rPr>
          <w:rFonts w:cs="Arial"/>
          <w:b/>
          <w:spacing w:val="-3"/>
          <w:sz w:val="18"/>
          <w:szCs w:val="18"/>
          <w:lang w:val="en-GB"/>
        </w:rPr>
      </w:pPr>
    </w:p>
    <w:p w14:paraId="4227869F" w14:textId="016450D1" w:rsidR="00541F44" w:rsidRDefault="00541F44" w:rsidP="00366025">
      <w:pPr>
        <w:rPr>
          <w:rFonts w:cs="Arial"/>
          <w:b/>
          <w:spacing w:val="-3"/>
          <w:sz w:val="18"/>
          <w:szCs w:val="18"/>
          <w:lang w:val="en-US"/>
        </w:rPr>
      </w:pPr>
    </w:p>
    <w:p w14:paraId="170F7CB3" w14:textId="77777777" w:rsidR="00366025" w:rsidRPr="00B5363E" w:rsidRDefault="002D45CF" w:rsidP="001D7DC0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FA3774" w:rsidRPr="00B5363E">
        <w:rPr>
          <w:lang w:val="en-GB"/>
        </w:rPr>
        <w:t>e</w:t>
      </w:r>
      <w:r w:rsidRPr="00B5363E">
        <w:rPr>
          <w:lang w:val="en-GB"/>
        </w:rPr>
        <w:t xml:space="preserve"> 2. </w:t>
      </w:r>
      <w:r w:rsidR="00FA3774" w:rsidRPr="00B5363E">
        <w:rPr>
          <w:lang w:val="en-GB"/>
        </w:rPr>
        <w:t>Foreign trade turnover by major countries</w:t>
      </w:r>
      <w:r w:rsidRPr="00B5363E">
        <w:rPr>
          <w:lang w:val="en-GB"/>
        </w:rPr>
        <w:t xml:space="preserve"> </w:t>
      </w:r>
    </w:p>
    <w:p w14:paraId="482FA024" w14:textId="77777777" w:rsidR="00E41DC9" w:rsidRPr="00070820" w:rsidRDefault="00AD195B" w:rsidP="00366025">
      <w:pPr>
        <w:rPr>
          <w:rFonts w:cs="Arial"/>
          <w:sz w:val="18"/>
          <w:szCs w:val="18"/>
          <w:lang w:val="en-US"/>
        </w:rPr>
      </w:pPr>
      <w:r w:rsidRPr="002D45CF">
        <w:rPr>
          <w:b/>
          <w:noProof/>
          <w:spacing w:val="-2"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6B050BBD" wp14:editId="2D2230B5">
                <wp:simplePos x="0" y="0"/>
                <wp:positionH relativeFrom="column">
                  <wp:posOffset>5213985</wp:posOffset>
                </wp:positionH>
                <wp:positionV relativeFrom="paragraph">
                  <wp:posOffset>3335655</wp:posOffset>
                </wp:positionV>
                <wp:extent cx="1725295" cy="992505"/>
                <wp:effectExtent l="0" t="0" r="0" b="0"/>
                <wp:wrapTight wrapText="bothSides">
                  <wp:wrapPolygon edited="0">
                    <wp:start x="715" y="0"/>
                    <wp:lineTo x="715" y="21144"/>
                    <wp:lineTo x="20749" y="21144"/>
                    <wp:lineTo x="20749" y="0"/>
                    <wp:lineTo x="715" y="0"/>
                  </wp:wrapPolygon>
                </wp:wrapTight>
                <wp:docPr id="14" name="Pole tekstowe 14" descr="Imports from the United Kingdom in January - September 2023 amounted to PLN 19.9 bn, USD 4.7 bn and EUR 4.3 bn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925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279E4C" w14:textId="0E720128" w:rsidR="00823FDB" w:rsidRPr="00C2060C" w:rsidRDefault="00823FDB" w:rsidP="00A00ADB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bookmarkStart w:id="7" w:name="_Hlk150941836"/>
                            <w:r w:rsidRPr="00C2060C">
                              <w:rPr>
                                <w:lang w:val="en-GB"/>
                              </w:rPr>
                              <w:t xml:space="preserve">Imports from the United Kingdom in </w:t>
                            </w:r>
                            <w:r>
                              <w:rPr>
                                <w:lang w:val="en-GB"/>
                              </w:rPr>
                              <w:t>January - September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202</w:t>
                            </w:r>
                            <w:r>
                              <w:rPr>
                                <w:lang w:val="en-GB"/>
                              </w:rPr>
                              <w:t>3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 amounted to PLN </w:t>
                            </w:r>
                            <w:r>
                              <w:rPr>
                                <w:lang w:val="en-US"/>
                              </w:rPr>
                              <w:t>19.9</w:t>
                            </w:r>
                            <w:r w:rsidRPr="00D475B0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bn, USD </w:t>
                            </w:r>
                            <w:r>
                              <w:rPr>
                                <w:lang w:val="en-GB"/>
                              </w:rPr>
                              <w:t>4</w:t>
                            </w:r>
                            <w:r>
                              <w:rPr>
                                <w:lang w:val="en-US"/>
                              </w:rPr>
                              <w:t>.7</w:t>
                            </w:r>
                            <w:r w:rsidRPr="00D475B0">
                              <w:rPr>
                                <w:lang w:val="en-US"/>
                              </w:rPr>
                              <w:t xml:space="preserve"> </w:t>
                            </w:r>
                            <w:r w:rsidRPr="00C2060C">
                              <w:rPr>
                                <w:lang w:val="en-GB"/>
                              </w:rPr>
                              <w:t xml:space="preserve">bn and EUR </w:t>
                            </w:r>
                            <w:r>
                              <w:rPr>
                                <w:lang w:val="en-US"/>
                              </w:rPr>
                              <w:t>4.3 </w:t>
                            </w:r>
                            <w:r w:rsidRPr="00C2060C">
                              <w:rPr>
                                <w:lang w:val="en-GB"/>
                              </w:rPr>
                              <w:t>bn</w:t>
                            </w:r>
                          </w:p>
                          <w:bookmarkEnd w:id="7"/>
                          <w:p w14:paraId="7EF06C86" w14:textId="77777777" w:rsidR="00823FDB" w:rsidRPr="00815F15" w:rsidRDefault="00823FDB" w:rsidP="00A00ADB">
                            <w:pPr>
                              <w:pStyle w:val="tekstzboku"/>
                              <w:rPr>
                                <w:color w:val="auto"/>
                                <w:lang w:val="en-GB"/>
                              </w:rPr>
                            </w:pPr>
                          </w:p>
                          <w:p w14:paraId="6880433E" w14:textId="77777777" w:rsidR="00823FDB" w:rsidRPr="00DB5C76" w:rsidRDefault="00823FDB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A09763" w14:textId="77777777" w:rsidR="00823FDB" w:rsidRPr="00DB5C76" w:rsidRDefault="00823FDB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ADC8016" w14:textId="77777777" w:rsidR="00823FDB" w:rsidRPr="00DB5C76" w:rsidRDefault="00823FDB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82AC500" w14:textId="77777777" w:rsidR="00823FDB" w:rsidRPr="00DB5C76" w:rsidRDefault="00823FDB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BD47854" w14:textId="77777777" w:rsidR="00823FDB" w:rsidRPr="00DB5C76" w:rsidRDefault="00823FDB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118F493" w14:textId="77777777" w:rsidR="00823FDB" w:rsidRPr="00DB5C76" w:rsidRDefault="00823FDB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56B7EDF" w14:textId="77777777" w:rsidR="00823FDB" w:rsidRPr="00DB5C76" w:rsidRDefault="00823FDB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F1830" w14:textId="77777777" w:rsidR="00823FDB" w:rsidRPr="00DB5C76" w:rsidRDefault="00823FDB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A7FC7EB" w14:textId="77777777" w:rsidR="00823FDB" w:rsidRPr="00DB5C76" w:rsidRDefault="00823FDB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3258472" w14:textId="77777777" w:rsidR="00823FDB" w:rsidRPr="00DB5C76" w:rsidRDefault="00823FDB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156EFD8" w14:textId="77777777" w:rsidR="00823FDB" w:rsidRPr="00DB5C76" w:rsidRDefault="00823FDB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F3BF08F" w14:textId="77777777" w:rsidR="00823FDB" w:rsidRPr="00DB5C76" w:rsidRDefault="00823FDB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988758A" w14:textId="77777777" w:rsidR="00823FDB" w:rsidRPr="00DB5C76" w:rsidRDefault="00823FDB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31215F0" w14:textId="77777777" w:rsidR="00823FDB" w:rsidRPr="00DB5C76" w:rsidRDefault="00823FDB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7E053C2" w14:textId="77777777" w:rsidR="00823FDB" w:rsidRPr="00DB5C76" w:rsidRDefault="00823FDB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3F9FC77" w14:textId="77777777" w:rsidR="00823FDB" w:rsidRPr="00DB5C76" w:rsidRDefault="00823FDB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857238B" w14:textId="77777777" w:rsidR="00823FDB" w:rsidRPr="00DB5C76" w:rsidRDefault="00823FDB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1FB5BD1" w14:textId="77777777" w:rsidR="00823FDB" w:rsidRPr="00DB5C76" w:rsidRDefault="00823FDB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2FE5658" w14:textId="77777777" w:rsidR="00823FDB" w:rsidRPr="00DB5C76" w:rsidRDefault="00823FDB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2431348" w14:textId="77777777" w:rsidR="00823FDB" w:rsidRPr="00DB5C76" w:rsidRDefault="00823FDB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2479C89" w14:textId="77777777" w:rsidR="00823FDB" w:rsidRPr="00DB5C76" w:rsidRDefault="00823FDB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04CE30C" w14:textId="77777777" w:rsidR="00823FDB" w:rsidRPr="00DB5C76" w:rsidRDefault="00823FDB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0AF34CE" w14:textId="77777777" w:rsidR="00823FDB" w:rsidRPr="00DB5C76" w:rsidRDefault="00823FDB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C897676" w14:textId="77777777" w:rsidR="00823FDB" w:rsidRPr="00DB5C76" w:rsidRDefault="00823FDB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0926C7B" w14:textId="77777777" w:rsidR="00823FDB" w:rsidRPr="00DB5C76" w:rsidRDefault="00823FDB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C5860EF" w14:textId="77777777" w:rsidR="00823FDB" w:rsidRPr="00DB5C76" w:rsidRDefault="00823FDB" w:rsidP="00A00ADB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58B77C8" w14:textId="77777777" w:rsidR="00823FDB" w:rsidRPr="00DB5C76" w:rsidRDefault="00823FDB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050BBD" id="Pole tekstowe 14" o:spid="_x0000_s1032" type="#_x0000_t202" alt="Imports from the United Kingdom in January - September 2023 amounted to PLN 19.9 bn, USD 4.7 bn and EUR 4.3 bn" style="position:absolute;margin-left:410.55pt;margin-top:262.65pt;width:135.85pt;height:78.15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" filled="f" stroked="f">
                <v:textbox>
                  <w:txbxContent>
                    <w:p w14:paraId="04279E4C" w14:textId="0E720128" w:rsidR="00823FDB" w:rsidRPr="00C2060C" w:rsidRDefault="00823FDB" w:rsidP="00A00ADB">
                      <w:pPr>
                        <w:pStyle w:val="tekstzboku"/>
                        <w:rPr>
                          <w:lang w:val="en-GB"/>
                        </w:rPr>
                      </w:pPr>
                      <w:bookmarkStart w:id="8" w:name="_Hlk150941836"/>
                      <w:r w:rsidRPr="00C2060C">
                        <w:rPr>
                          <w:lang w:val="en-GB"/>
                        </w:rPr>
                        <w:t xml:space="preserve">Imports from the United Kingdom in </w:t>
                      </w:r>
                      <w:r>
                        <w:rPr>
                          <w:lang w:val="en-GB"/>
                        </w:rPr>
                        <w:t>January - September</w:t>
                      </w:r>
                      <w:r w:rsidRPr="00C2060C">
                        <w:rPr>
                          <w:lang w:val="en-GB"/>
                        </w:rPr>
                        <w:t xml:space="preserve"> 202</w:t>
                      </w:r>
                      <w:r>
                        <w:rPr>
                          <w:lang w:val="en-GB"/>
                        </w:rPr>
                        <w:t>3</w:t>
                      </w:r>
                      <w:r w:rsidRPr="00C2060C">
                        <w:rPr>
                          <w:lang w:val="en-GB"/>
                        </w:rPr>
                        <w:t xml:space="preserve"> amounted to PLN </w:t>
                      </w:r>
                      <w:r>
                        <w:rPr>
                          <w:lang w:val="en-US"/>
                        </w:rPr>
                        <w:t>19.9</w:t>
                      </w:r>
                      <w:r w:rsidRPr="00D475B0">
                        <w:rPr>
                          <w:lang w:val="en-US"/>
                        </w:rPr>
                        <w:t xml:space="preserve"> </w:t>
                      </w:r>
                      <w:r w:rsidRPr="00C2060C">
                        <w:rPr>
                          <w:lang w:val="en-GB"/>
                        </w:rPr>
                        <w:t xml:space="preserve">bn, USD </w:t>
                      </w:r>
                      <w:r>
                        <w:rPr>
                          <w:lang w:val="en-GB"/>
                        </w:rPr>
                        <w:t>4</w:t>
                      </w:r>
                      <w:r>
                        <w:rPr>
                          <w:lang w:val="en-US"/>
                        </w:rPr>
                        <w:t>.7</w:t>
                      </w:r>
                      <w:r w:rsidRPr="00D475B0">
                        <w:rPr>
                          <w:lang w:val="en-US"/>
                        </w:rPr>
                        <w:t xml:space="preserve"> </w:t>
                      </w:r>
                      <w:r w:rsidRPr="00C2060C">
                        <w:rPr>
                          <w:lang w:val="en-GB"/>
                        </w:rPr>
                        <w:t xml:space="preserve">bn and EUR </w:t>
                      </w:r>
                      <w:r>
                        <w:rPr>
                          <w:lang w:val="en-US"/>
                        </w:rPr>
                        <w:t>4.3 </w:t>
                      </w:r>
                      <w:r w:rsidRPr="00C2060C">
                        <w:rPr>
                          <w:lang w:val="en-GB"/>
                        </w:rPr>
                        <w:t>bn</w:t>
                      </w:r>
                    </w:p>
                    <w:bookmarkEnd w:id="8"/>
                    <w:p w14:paraId="7EF06C86" w14:textId="77777777" w:rsidR="00823FDB" w:rsidRPr="00815F15" w:rsidRDefault="00823FDB" w:rsidP="00A00ADB">
                      <w:pPr>
                        <w:pStyle w:val="tekstzboku"/>
                        <w:rPr>
                          <w:color w:val="auto"/>
                          <w:lang w:val="en-GB"/>
                        </w:rPr>
                      </w:pPr>
                    </w:p>
                    <w:p w14:paraId="6880433E" w14:textId="77777777" w:rsidR="00823FDB" w:rsidRPr="00DB5C76" w:rsidRDefault="00823FDB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A09763" w14:textId="77777777" w:rsidR="00823FDB" w:rsidRPr="00DB5C76" w:rsidRDefault="00823FDB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ADC8016" w14:textId="77777777" w:rsidR="00823FDB" w:rsidRPr="00DB5C76" w:rsidRDefault="00823FDB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82AC500" w14:textId="77777777" w:rsidR="00823FDB" w:rsidRPr="00DB5C76" w:rsidRDefault="00823FDB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BD47854" w14:textId="77777777" w:rsidR="00823FDB" w:rsidRPr="00DB5C76" w:rsidRDefault="00823FDB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118F493" w14:textId="77777777" w:rsidR="00823FDB" w:rsidRPr="00DB5C76" w:rsidRDefault="00823FDB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56B7EDF" w14:textId="77777777" w:rsidR="00823FDB" w:rsidRPr="00DB5C76" w:rsidRDefault="00823FDB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F1830" w14:textId="77777777" w:rsidR="00823FDB" w:rsidRPr="00DB5C76" w:rsidRDefault="00823FDB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A7FC7EB" w14:textId="77777777" w:rsidR="00823FDB" w:rsidRPr="00DB5C76" w:rsidRDefault="00823FDB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3258472" w14:textId="77777777" w:rsidR="00823FDB" w:rsidRPr="00DB5C76" w:rsidRDefault="00823FDB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156EFD8" w14:textId="77777777" w:rsidR="00823FDB" w:rsidRPr="00DB5C76" w:rsidRDefault="00823FDB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F3BF08F" w14:textId="77777777" w:rsidR="00823FDB" w:rsidRPr="00DB5C76" w:rsidRDefault="00823FDB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988758A" w14:textId="77777777" w:rsidR="00823FDB" w:rsidRPr="00DB5C76" w:rsidRDefault="00823FDB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31215F0" w14:textId="77777777" w:rsidR="00823FDB" w:rsidRPr="00DB5C76" w:rsidRDefault="00823FDB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7E053C2" w14:textId="77777777" w:rsidR="00823FDB" w:rsidRPr="00DB5C76" w:rsidRDefault="00823FDB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3F9FC77" w14:textId="77777777" w:rsidR="00823FDB" w:rsidRPr="00DB5C76" w:rsidRDefault="00823FDB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857238B" w14:textId="77777777" w:rsidR="00823FDB" w:rsidRPr="00DB5C76" w:rsidRDefault="00823FDB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1FB5BD1" w14:textId="77777777" w:rsidR="00823FDB" w:rsidRPr="00DB5C76" w:rsidRDefault="00823FDB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2FE5658" w14:textId="77777777" w:rsidR="00823FDB" w:rsidRPr="00DB5C76" w:rsidRDefault="00823FDB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2431348" w14:textId="77777777" w:rsidR="00823FDB" w:rsidRPr="00DB5C76" w:rsidRDefault="00823FDB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2479C89" w14:textId="77777777" w:rsidR="00823FDB" w:rsidRPr="00DB5C76" w:rsidRDefault="00823FDB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04CE30C" w14:textId="77777777" w:rsidR="00823FDB" w:rsidRPr="00DB5C76" w:rsidRDefault="00823FDB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0AF34CE" w14:textId="77777777" w:rsidR="00823FDB" w:rsidRPr="00DB5C76" w:rsidRDefault="00823FDB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C897676" w14:textId="77777777" w:rsidR="00823FDB" w:rsidRPr="00DB5C76" w:rsidRDefault="00823FDB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0926C7B" w14:textId="77777777" w:rsidR="00823FDB" w:rsidRPr="00DB5C76" w:rsidRDefault="00823FDB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C5860EF" w14:textId="77777777" w:rsidR="00823FDB" w:rsidRPr="00DB5C76" w:rsidRDefault="00823FDB" w:rsidP="00A00ADB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58B77C8" w14:textId="77777777" w:rsidR="00823FDB" w:rsidRPr="00DB5C76" w:rsidRDefault="00823FDB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tbl>
      <w:tblPr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e 2. Foreign trade turnover by major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FE46DF" w:rsidRPr="00366025" w14:paraId="6E5EE366" w14:textId="77777777" w:rsidTr="00963EBE">
        <w:tc>
          <w:tcPr>
            <w:tcW w:w="2268" w:type="dxa"/>
            <w:vMerge w:val="restart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1F58FF" w14:textId="77777777" w:rsidR="00FE46DF" w:rsidRPr="000C2149" w:rsidRDefault="00FE46DF" w:rsidP="00FE46DF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SPECIFICATION </w:t>
            </w:r>
          </w:p>
        </w:tc>
        <w:tc>
          <w:tcPr>
            <w:tcW w:w="4467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61942" w14:textId="55878DF2" w:rsidR="00FE46DF" w:rsidRPr="000C2149" w:rsidRDefault="00F95600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I-IX</w:t>
            </w:r>
            <w:r w:rsidR="00EC784C">
              <w:rPr>
                <w:rFonts w:cs="Arial"/>
                <w:sz w:val="16"/>
                <w:szCs w:val="16"/>
              </w:rPr>
              <w:t xml:space="preserve"> </w:t>
            </w:r>
            <w:r w:rsidR="00C7731D">
              <w:rPr>
                <w:rFonts w:cs="Arial"/>
                <w:sz w:val="16"/>
                <w:szCs w:val="16"/>
              </w:rPr>
              <w:t>2023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3E507" w14:textId="7DDB5F96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C7731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14:paraId="1215EE2D" w14:textId="604B6112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</w:t>
            </w:r>
            <w:r w:rsidR="00C7731D">
              <w:rPr>
                <w:rFonts w:cs="Arial"/>
                <w:sz w:val="16"/>
                <w:szCs w:val="16"/>
              </w:rPr>
              <w:t>3</w:t>
            </w:r>
          </w:p>
        </w:tc>
      </w:tr>
      <w:tr w:rsidR="00FE46DF" w:rsidRPr="00366025" w14:paraId="416D0BD1" w14:textId="77777777" w:rsidTr="00963EBE">
        <w:tc>
          <w:tcPr>
            <w:tcW w:w="2268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6C2F4" w14:textId="77777777" w:rsidR="00FE46DF" w:rsidRPr="000C2149" w:rsidRDefault="00FE46DF" w:rsidP="00FE46DF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1F111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5779FEA1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2A3E13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59C6C11" w14:textId="77777777" w:rsidR="00FE46DF" w:rsidRPr="000C2149" w:rsidRDefault="00FE46DF" w:rsidP="00FE46DF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AAA1B" w14:textId="77777777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</w:p>
          <w:p w14:paraId="618CB728" w14:textId="77777777" w:rsidR="00FE46DF" w:rsidRPr="000C2149" w:rsidRDefault="00FE46DF" w:rsidP="00FE46DF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0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B6234" w14:textId="373A14BB" w:rsidR="00FE46DF" w:rsidRPr="000C2149" w:rsidRDefault="00F95600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I-IX</w:t>
            </w:r>
            <w:r w:rsidR="00EC784C">
              <w:rPr>
                <w:rFonts w:cs="Arial"/>
                <w:sz w:val="16"/>
                <w:szCs w:val="16"/>
              </w:rPr>
              <w:t xml:space="preserve"> </w:t>
            </w:r>
            <w:r w:rsidR="00E95E42">
              <w:rPr>
                <w:rFonts w:cs="Arial"/>
                <w:sz w:val="16"/>
                <w:szCs w:val="16"/>
              </w:rPr>
              <w:t>202</w:t>
            </w:r>
            <w:r w:rsidR="00C7731D">
              <w:rPr>
                <w:rFonts w:cs="Arial"/>
                <w:sz w:val="16"/>
                <w:szCs w:val="16"/>
              </w:rPr>
              <w:t>2</w:t>
            </w:r>
            <w:r w:rsidR="00E95E42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2D35B94" w14:textId="30E0529B" w:rsidR="00FE46DF" w:rsidRPr="000C2149" w:rsidRDefault="00F95600" w:rsidP="00FE46DF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I-IX</w:t>
            </w:r>
          </w:p>
        </w:tc>
      </w:tr>
      <w:tr w:rsidR="005C3C9B" w:rsidRPr="00366025" w14:paraId="2A1461E7" w14:textId="77777777" w:rsidTr="00963EBE">
        <w:tc>
          <w:tcPr>
            <w:tcW w:w="2268" w:type="dxa"/>
            <w:vMerge/>
            <w:tcBorders>
              <w:top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0F6B1C9B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1B352B52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center"/>
          </w:tcPr>
          <w:p w14:paraId="61CBA76D" w14:textId="77777777" w:rsidR="00366025" w:rsidRPr="000C2149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</w:tcPr>
          <w:p w14:paraId="5CE2FB1B" w14:textId="77777777" w:rsidR="00366025" w:rsidRPr="000C2149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bottom"/>
          </w:tcPr>
          <w:p w14:paraId="0AC813FA" w14:textId="77777777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bottom"/>
          </w:tcPr>
          <w:p w14:paraId="38B31724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12" w:space="0" w:color="001D77"/>
              <w:right w:val="single" w:sz="4" w:space="0" w:color="auto"/>
            </w:tcBorders>
            <w:vAlign w:val="bottom"/>
          </w:tcPr>
          <w:p w14:paraId="498B9832" w14:textId="77777777" w:rsidR="00366025" w:rsidRPr="000C2149" w:rsidRDefault="00366025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001D77"/>
            </w:tcBorders>
            <w:vAlign w:val="bottom"/>
          </w:tcPr>
          <w:p w14:paraId="0B5A8105" w14:textId="77777777" w:rsidR="00366025" w:rsidRPr="000C2149" w:rsidRDefault="00FA3774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366025" w:rsidRPr="00366025" w14:paraId="78A72B10" w14:textId="77777777" w:rsidTr="004B0767">
        <w:tc>
          <w:tcPr>
            <w:tcW w:w="8023" w:type="dxa"/>
            <w:gridSpan w:val="9"/>
            <w:tcBorders>
              <w:top w:val="single" w:sz="12" w:space="0" w:color="001D77"/>
              <w:bottom w:val="single" w:sz="4" w:space="0" w:color="000000" w:themeColor="text1"/>
            </w:tcBorders>
            <w:vAlign w:val="center"/>
          </w:tcPr>
          <w:p w14:paraId="6AFCA086" w14:textId="77777777" w:rsidR="00366025" w:rsidRPr="00366025" w:rsidRDefault="00FA3774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>EXPORTS</w:t>
            </w:r>
          </w:p>
        </w:tc>
      </w:tr>
      <w:tr w:rsidR="00F95600" w:rsidRPr="00366025" w14:paraId="03DA5BD7" w14:textId="77777777" w:rsidTr="00A51A79">
        <w:tc>
          <w:tcPr>
            <w:tcW w:w="2268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bottom"/>
          </w:tcPr>
          <w:p w14:paraId="402C04B7" w14:textId="7362FF9D" w:rsidR="00F95600" w:rsidRPr="00366025" w:rsidRDefault="00F95600" w:rsidP="00F9560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 xml:space="preserve"> Germany</w:t>
            </w:r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DBCB7" w14:textId="161BE748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337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DA952" w14:textId="3E279B18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79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59DE9" w14:textId="0D8CFF49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73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7B56F" w14:textId="70AAC50D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8293B" w14:textId="27A91F8B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2A854" w14:textId="12B191A3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8DEF" w14:textId="72768775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27</w:t>
            </w:r>
            <w:r w:rsidR="00071ED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2C1E77D" w14:textId="1453194C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F95600" w:rsidRPr="00366025" w14:paraId="1E9918C5" w14:textId="77777777" w:rsidTr="00A51A7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01E7C6" w14:textId="37F512F0" w:rsidR="00F95600" w:rsidRPr="00366025" w:rsidRDefault="00F95600" w:rsidP="00F9560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2. 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366025">
              <w:rPr>
                <w:rFonts w:cs="Arial"/>
                <w:sz w:val="16"/>
                <w:szCs w:val="16"/>
              </w:rPr>
              <w:t>Czec</w:t>
            </w:r>
            <w:r>
              <w:rPr>
                <w:rFonts w:cs="Arial"/>
                <w:sz w:val="16"/>
                <w:szCs w:val="16"/>
              </w:rPr>
              <w:t>hia</w:t>
            </w:r>
            <w:proofErr w:type="spellEnd"/>
            <w:r w:rsidRPr="0036602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57843" w14:textId="7EF9169D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37A62" w14:textId="63802EFA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AC57D" w14:textId="0C3FC105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7159D" w14:textId="1EFCA360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8513A3" w14:textId="6F866040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F0165" w14:textId="32944983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56DD7" w14:textId="6D1A092D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071ED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683852F" w14:textId="77DA5280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F95600" w:rsidRPr="00366025" w14:paraId="0F91466E" w14:textId="77777777" w:rsidTr="00A51A7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57F5FC" w14:textId="4FE4400D" w:rsidR="00F95600" w:rsidRPr="00366025" w:rsidRDefault="00F95600" w:rsidP="00F9560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 xml:space="preserve"> France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BC22" w14:textId="351F31DD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74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23A4C" w14:textId="17876216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33632" w14:textId="5CDE2633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30C08" w14:textId="469FF6F2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110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17004" w14:textId="5ADEDFCB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112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30C85" w14:textId="2F347791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111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3ED3D" w14:textId="2D13D3DE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5</w:t>
            </w:r>
            <w:r w:rsidR="00071ED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480E2FF" w14:textId="47B1DDD3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F95600" w:rsidRPr="00366025" w14:paraId="6C743883" w14:textId="77777777" w:rsidTr="00A51A7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47974B" w14:textId="027A1BC7" w:rsidR="00F95600" w:rsidRPr="00366025" w:rsidRDefault="00F95600" w:rsidP="00F9560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 United </w:t>
            </w:r>
            <w:proofErr w:type="spellStart"/>
            <w:r>
              <w:rPr>
                <w:rFonts w:cs="Arial"/>
                <w:sz w:val="16"/>
                <w:szCs w:val="16"/>
              </w:rPr>
              <w:t>Kingdom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EDF6" w14:textId="10995F73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60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CEEC6" w14:textId="0D941B8B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11E3C" w14:textId="18404D82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1CAD3" w14:textId="35FE93AA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104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ED120" w14:textId="296BF80E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9959D" w14:textId="66E482C2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6B78" w14:textId="3320A527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071ED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820C6B8" w14:textId="0E075450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F95600" w:rsidRPr="00366025" w14:paraId="61021D50" w14:textId="77777777" w:rsidTr="00A51A7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A8F838" w14:textId="60E39A75" w:rsidR="00F95600" w:rsidRPr="00366025" w:rsidRDefault="00F95600" w:rsidP="00F9560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 </w:t>
            </w:r>
            <w:proofErr w:type="spellStart"/>
            <w:r>
              <w:rPr>
                <w:rFonts w:cs="Arial"/>
                <w:sz w:val="16"/>
                <w:szCs w:val="16"/>
              </w:rPr>
              <w:t>Italy</w:t>
            </w:r>
            <w:proofErr w:type="spellEnd"/>
            <w:r w:rsidRPr="007639A7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7554A" w14:textId="340D1A2E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55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F9C4C" w14:textId="4D87DF37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BF417" w14:textId="268799D2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FE029" w14:textId="0FA746FA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75B83" w14:textId="729FA11F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E8987" w14:textId="06970839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EF130" w14:textId="3F909E55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071ED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5C77C8D" w14:textId="4D1285B9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F95600" w:rsidRPr="00366025" w14:paraId="30F7DF69" w14:textId="77777777" w:rsidTr="00A51A7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B7C14" w14:textId="16A969DA" w:rsidR="00F95600" w:rsidRPr="00366025" w:rsidRDefault="00F95600" w:rsidP="00F9560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 </w:t>
            </w:r>
            <w:proofErr w:type="spellStart"/>
            <w:r w:rsidRPr="007639A7"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43C1F8" w14:textId="6CD489F0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53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EB23" w14:textId="51C82EC4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D5F5A" w14:textId="120B5301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FDE09" w14:textId="4D1ED3EC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5A6B0" w14:textId="5ED72A11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84FE2" w14:textId="606ACB3C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D4F71" w14:textId="333A9FEB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071ED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03FD8C31" w14:textId="3F1371F2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F95600" w:rsidRPr="00366025" w14:paraId="41F20A50" w14:textId="77777777" w:rsidTr="00A51A7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428E0C" w14:textId="7493AA93" w:rsidR="00F95600" w:rsidRPr="00366025" w:rsidRDefault="00F95600" w:rsidP="00F9560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201B" w14:textId="75310918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52B3" w14:textId="53544AD8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5AEB" w14:textId="1118BE2E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5C48F" w14:textId="4FBCC358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106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7DF7" w14:textId="48BB0D7D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7224F" w14:textId="09EA9888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BDF4D" w14:textId="440FBAB4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071ED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7A28C6D" w14:textId="3370A6C8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F95600" w:rsidRPr="00366025" w14:paraId="4E626E87" w14:textId="77777777" w:rsidTr="00A51A7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827B4C" w14:textId="5870AFBE" w:rsidR="00F95600" w:rsidRPr="00366025" w:rsidRDefault="00F95600" w:rsidP="00F9560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 </w:t>
            </w:r>
            <w:r>
              <w:rPr>
                <w:rFonts w:cs="Arial"/>
                <w:sz w:val="16"/>
                <w:szCs w:val="16"/>
                <w:lang w:val="en-US"/>
              </w:rPr>
              <w:t>Ukraine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10374" w14:textId="3A1199E2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41E6" w14:textId="24F763CC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2D658" w14:textId="6FB77DC7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85B3E0" w14:textId="46A183F8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122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8446" w14:textId="58D8CE8C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93A7C" w14:textId="007E6399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584B5" w14:textId="5294EDF7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071ED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630EF8A" w14:textId="7E66F2A8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F95600" w:rsidRPr="00366025" w14:paraId="5986B491" w14:textId="77777777" w:rsidTr="00A51A7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371260" w14:textId="04696BA7" w:rsidR="00F95600" w:rsidRPr="00366025" w:rsidRDefault="00F95600" w:rsidP="00F9560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9.  </w:t>
            </w:r>
            <w:proofErr w:type="spellStart"/>
            <w:r>
              <w:rPr>
                <w:rFonts w:cs="Arial"/>
                <w:sz w:val="16"/>
                <w:szCs w:val="16"/>
              </w:rPr>
              <w:t>Slovakia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8C4D8" w14:textId="6FE0ED63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44F63" w14:textId="4CD81534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6564B" w14:textId="08389EFC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9401C" w14:textId="1AB17D2D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D22E0" w14:textId="189D802F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FC7C4" w14:textId="7E490F40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5C41" w14:textId="11B77DB9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071ED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DB31056" w14:textId="1DB0FB4F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F95600" w:rsidRPr="00366025" w14:paraId="0EA1EAA4" w14:textId="77777777" w:rsidTr="00A51A79">
        <w:tc>
          <w:tcPr>
            <w:tcW w:w="2268" w:type="dxa"/>
            <w:tcBorders>
              <w:top w:val="single" w:sz="4" w:space="0" w:color="auto"/>
              <w:bottom w:val="single" w:sz="2" w:space="0" w:color="auto"/>
              <w:right w:val="single" w:sz="4" w:space="0" w:color="auto"/>
            </w:tcBorders>
            <w:vAlign w:val="bottom"/>
          </w:tcPr>
          <w:p w14:paraId="1FCA0C4C" w14:textId="5B539DF0" w:rsidR="00F95600" w:rsidRPr="00366025" w:rsidRDefault="00F95600" w:rsidP="00F9560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10.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Spain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468F7C" w14:textId="55422A94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32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EFB53A7" w14:textId="4D5A88C2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C4EBB6" w14:textId="402E32B0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9367E0" w14:textId="188B3568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107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504F682" w14:textId="3FC01F35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109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71B5EA" w14:textId="0BACB537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108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75C9FF0" w14:textId="465BD16C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071ED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57706A11" w14:textId="3CB76D28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541F44" w:rsidRPr="00366025" w14:paraId="1DDB2631" w14:textId="77777777" w:rsidTr="00940302">
        <w:tc>
          <w:tcPr>
            <w:tcW w:w="8023" w:type="dxa"/>
            <w:gridSpan w:val="9"/>
            <w:tcBorders>
              <w:top w:val="single" w:sz="2" w:space="0" w:color="auto"/>
              <w:bottom w:val="single" w:sz="4" w:space="0" w:color="auto"/>
            </w:tcBorders>
            <w:vAlign w:val="center"/>
          </w:tcPr>
          <w:p w14:paraId="74B34E98" w14:textId="77777777" w:rsidR="00541F44" w:rsidRPr="00366025" w:rsidRDefault="00541F44" w:rsidP="00541F44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>
              <w:rPr>
                <w:rFonts w:cs="Arial"/>
                <w:b/>
                <w:sz w:val="16"/>
                <w:szCs w:val="16"/>
              </w:rPr>
              <w:t xml:space="preserve">IMPORTS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origin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F95600" w:rsidRPr="00366025" w14:paraId="52AB274A" w14:textId="77777777" w:rsidTr="00A51A7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54DAC6" w14:textId="4DDEE5CC" w:rsidR="00F95600" w:rsidRPr="00366025" w:rsidRDefault="00F95600" w:rsidP="00F9560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1. </w:t>
            </w:r>
            <w:r>
              <w:rPr>
                <w:rFonts w:cs="Arial"/>
                <w:sz w:val="16"/>
                <w:szCs w:val="16"/>
              </w:rPr>
              <w:t>Germany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9C7E2" w14:textId="28BD4CF6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231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5D695" w14:textId="4A4820C2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54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5F5C9" w14:textId="27B07921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50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F55D" w14:textId="4AE66203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90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BC65B" w14:textId="6B64ABD0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5552C" w14:textId="3E57B2B1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130BC" w14:textId="4E9487E1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  <w:r w:rsidR="00071ED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297552C" w14:textId="7B0FE694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F95600" w:rsidRPr="00366025" w14:paraId="001211A1" w14:textId="77777777" w:rsidTr="00A51A7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0F2577" w14:textId="2BED68EC" w:rsidR="00F95600" w:rsidRPr="00366025" w:rsidRDefault="00F95600" w:rsidP="00F9560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2. China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D0911" w14:textId="2256346E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158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1ABE9" w14:textId="348FEA23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D0894" w14:textId="3BB4E35F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BDDA" w14:textId="3F93CCBE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86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6634DA" w14:textId="5834C3C2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6752C" w14:textId="65AE615D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87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FAFE" w14:textId="60AA34E1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14</w:t>
            </w:r>
            <w:r w:rsidR="00071ED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8AEAC3B" w14:textId="43D0446E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F95600" w:rsidRPr="00366025" w14:paraId="31E0EFF9" w14:textId="77777777" w:rsidTr="00A51A7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3AF7D2" w14:textId="4B62E4B9" w:rsidR="00F95600" w:rsidRPr="00366025" w:rsidRDefault="00F95600" w:rsidP="00F9560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3. </w:t>
            </w:r>
            <w:proofErr w:type="spellStart"/>
            <w:r>
              <w:rPr>
                <w:rFonts w:cs="Arial"/>
                <w:sz w:val="16"/>
                <w:szCs w:val="16"/>
              </w:rPr>
              <w:t>Italy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22530" w14:textId="0D054552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55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940C8" w14:textId="3FCA6404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72826" w14:textId="09CF70AF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AC29E5" w14:textId="28549461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02C34" w14:textId="0B2A89E9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CA3F4" w14:textId="6D00C917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920B" w14:textId="7F6F98B2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071ED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57197FF" w14:textId="367D0465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F95600" w:rsidRPr="00366025" w14:paraId="007D7959" w14:textId="77777777" w:rsidTr="00A51A7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2F13C" w14:textId="24BEF973" w:rsidR="00F95600" w:rsidRPr="00366025" w:rsidRDefault="00F95600" w:rsidP="00F9560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4. </w:t>
            </w:r>
            <w:r>
              <w:rPr>
                <w:rFonts w:cs="Arial"/>
                <w:sz w:val="16"/>
                <w:szCs w:val="16"/>
              </w:rPr>
              <w:t xml:space="preserve">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5319" w14:textId="27D0911F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50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9F127" w14:textId="71ADE5CF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51D71" w14:textId="020198B4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73B56" w14:textId="036FD7A6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5C306E" w14:textId="372E5759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AB744" w14:textId="49F5216A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5743B" w14:textId="621E1ED0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071ED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818F50B" w14:textId="2D77FF80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F95600" w:rsidRPr="00366025" w14:paraId="36C7D93B" w14:textId="77777777" w:rsidTr="00A51A7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A4F058" w14:textId="7B22A88F" w:rsidR="00F95600" w:rsidRPr="00366025" w:rsidRDefault="00F95600" w:rsidP="00F9560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5.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555D6" w14:textId="41EE3FB6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46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A6F7" w14:textId="141163C9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442BA" w14:textId="4C6C3E38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089C1" w14:textId="454F15EB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15CBA" w14:textId="18530027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EF41B" w14:textId="123344AB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93EA" w14:textId="081B4727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071ED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D224542" w14:textId="2DB56E75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F95600" w:rsidRPr="00366025" w14:paraId="79E0D569" w14:textId="77777777" w:rsidTr="00A51A7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E5879F" w14:textId="7BA973E6" w:rsidR="00F95600" w:rsidRPr="00366025" w:rsidRDefault="00F95600" w:rsidP="00F9560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>France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0BAC7" w14:textId="5C119F67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19DF" w14:textId="16773A1D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F2E9E" w14:textId="69F90DCA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3C7D" w14:textId="2BD616D2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96020" w14:textId="70D81D3A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987DD" w14:textId="73FA6550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DF3C3" w14:textId="6DA17284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071ED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8D6ED0" w14:textId="26449E1B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F95600" w:rsidRPr="00366025" w14:paraId="0CC70FAD" w14:textId="77777777" w:rsidTr="00A51A7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6811A9" w14:textId="2ED04BCC" w:rsidR="00F95600" w:rsidRPr="00366025" w:rsidRDefault="00F95600" w:rsidP="00F9560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7. </w:t>
            </w:r>
            <w:proofErr w:type="spellStart"/>
            <w:r>
              <w:rPr>
                <w:rFonts w:cs="Arial"/>
                <w:sz w:val="16"/>
                <w:szCs w:val="16"/>
              </w:rPr>
              <w:t>Czechia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A4541" w14:textId="05BC3449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FA5AD" w14:textId="35F2DE7D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3E099" w14:textId="6F808C39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0C2613" w14:textId="0AF13405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6E3C" w14:textId="6514C6F1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ACAA4" w14:textId="3106BCBB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BD10" w14:textId="4272DC49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  <w:r w:rsidR="00071ED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D4DCD3A" w14:textId="191904CB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  <w:tr w:rsidR="00F95600" w:rsidRPr="00366025" w14:paraId="75707DBC" w14:textId="77777777" w:rsidTr="00A51A7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B11F03" w14:textId="07F893B9" w:rsidR="00F95600" w:rsidRPr="00366025" w:rsidRDefault="00F95600" w:rsidP="00F95600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sz w:val="16"/>
                <w:szCs w:val="16"/>
              </w:rPr>
              <w:t>8.</w:t>
            </w:r>
            <w:r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  <w:lang w:val="en-US"/>
              </w:rPr>
              <w:t>South Korea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F94A6" w14:textId="09A6DB3C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686FC" w14:textId="5437405C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553D9" w14:textId="101BE416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EB807" w14:textId="29F9A925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118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9253" w14:textId="081F0E63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121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85352" w14:textId="48AB550D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119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12A1C" w14:textId="1B44A5A4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071ED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1794C4A" w14:textId="317E46E6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</w:tr>
      <w:tr w:rsidR="00F95600" w:rsidRPr="00025467" w14:paraId="05E48D02" w14:textId="77777777" w:rsidTr="00A51A79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9480BE" w14:textId="166DCD77" w:rsidR="00F95600" w:rsidRPr="00C448F9" w:rsidRDefault="00F95600" w:rsidP="00F9560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C448F9">
              <w:rPr>
                <w:rFonts w:cs="Arial"/>
                <w:sz w:val="16"/>
                <w:szCs w:val="16"/>
                <w:lang w:val="en-US"/>
              </w:rPr>
              <w:t xml:space="preserve">9. </w:t>
            </w:r>
            <w:r>
              <w:rPr>
                <w:rFonts w:cs="Arial"/>
                <w:sz w:val="16"/>
                <w:szCs w:val="16"/>
                <w:lang w:val="en-US"/>
              </w:rPr>
              <w:t>Belgium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BE526" w14:textId="4DD83D62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29A7A" w14:textId="548CC4F5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D1296" w14:textId="66603AC1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EDD48" w14:textId="628214B4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BF65D" w14:textId="30407309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1425" w14:textId="4E332284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C986C" w14:textId="55224A46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071ED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ED03DEE" w14:textId="4BA77418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F95600" w:rsidRPr="00025467" w14:paraId="0E840032" w14:textId="77777777" w:rsidTr="00A51A79"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bottom"/>
          </w:tcPr>
          <w:p w14:paraId="2C024C63" w14:textId="1CF1C413" w:rsidR="00F95600" w:rsidRPr="00782B51" w:rsidRDefault="00F95600" w:rsidP="00F95600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  <w:lang w:val="en-US"/>
              </w:rPr>
            </w:pPr>
            <w:r w:rsidRPr="00782B51">
              <w:rPr>
                <w:rFonts w:cs="Arial"/>
                <w:sz w:val="16"/>
                <w:szCs w:val="16"/>
                <w:lang w:val="en-US"/>
              </w:rPr>
              <w:t xml:space="preserve">10. </w:t>
            </w:r>
            <w:proofErr w:type="spellStart"/>
            <w:r>
              <w:rPr>
                <w:rFonts w:cs="Arial"/>
                <w:sz w:val="16"/>
                <w:szCs w:val="16"/>
              </w:rPr>
              <w:t>Norway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F393074" w14:textId="7670233C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004BEB7" w14:textId="1B138D94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1152D99" w14:textId="07DFB69B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832C7D" w14:textId="6E3ED1A1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191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4E79F3" w14:textId="56B5CBA2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200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A91E25" w14:textId="3D274224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195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AF63420" w14:textId="65A808FD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071ED2">
              <w:rPr>
                <w:sz w:val="16"/>
                <w:szCs w:val="16"/>
              </w:rPr>
              <w:t>.</w:t>
            </w:r>
            <w:r>
              <w:rPr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</w:tcPr>
          <w:p w14:paraId="323AA2CA" w14:textId="5C6E35E7" w:rsidR="00F95600" w:rsidRPr="00C3372E" w:rsidRDefault="00F95600" w:rsidP="00F95600">
            <w:pPr>
              <w:spacing w:after="0" w:line="240" w:lineRule="auto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</w:tr>
    </w:tbl>
    <w:p w14:paraId="79082559" w14:textId="77777777" w:rsidR="00CD2FE9" w:rsidRPr="00782B51" w:rsidRDefault="00CD2FE9" w:rsidP="00366025">
      <w:pPr>
        <w:rPr>
          <w:b/>
          <w:sz w:val="18"/>
          <w:szCs w:val="18"/>
          <w:lang w:val="en-US"/>
        </w:rPr>
      </w:pPr>
    </w:p>
    <w:p w14:paraId="4000ACDB" w14:textId="77777777" w:rsidR="00AD34B4" w:rsidRPr="00070820" w:rsidRDefault="00717D5C" w:rsidP="001D7DC0">
      <w:pPr>
        <w:pStyle w:val="Nagwek1"/>
        <w:spacing w:before="360"/>
        <w:rPr>
          <w:lang w:val="en-US"/>
        </w:rPr>
      </w:pPr>
      <w:r w:rsidRPr="00070820">
        <w:rPr>
          <w:lang w:val="en-US"/>
        </w:rPr>
        <w:t xml:space="preserve">Imports by country of consignment </w:t>
      </w:r>
      <w:r w:rsidR="009831A8" w:rsidRPr="009831A8">
        <w:rPr>
          <w:lang w:val="en-US"/>
        </w:rPr>
        <w:t>–</w:t>
      </w:r>
      <w:r w:rsidR="009831A8">
        <w:rPr>
          <w:lang w:val="en-US"/>
        </w:rPr>
        <w:t xml:space="preserve"> total and </w:t>
      </w:r>
      <w:r w:rsidRPr="00070820">
        <w:rPr>
          <w:lang w:val="en-US"/>
        </w:rPr>
        <w:t>groups of counties</w:t>
      </w:r>
    </w:p>
    <w:p w14:paraId="5687C032" w14:textId="68E7997A" w:rsidR="001D7DC0" w:rsidRPr="00C3372E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071ED2">
        <w:rPr>
          <w:shd w:val="clear" w:color="auto" w:fill="FFFFFF"/>
          <w:lang w:val="en-GB"/>
        </w:rPr>
        <w:t xml:space="preserve">The highest turnover in imports by country of consignment Poland recorded with the developed countries - PLN </w:t>
      </w:r>
      <w:r w:rsidR="00E67801" w:rsidRPr="00071ED2">
        <w:rPr>
          <w:shd w:val="clear" w:color="auto" w:fill="FFFFFF"/>
          <w:lang w:val="en-GB"/>
        </w:rPr>
        <w:t>883</w:t>
      </w:r>
      <w:r w:rsidR="00071ED2" w:rsidRPr="00071ED2">
        <w:rPr>
          <w:shd w:val="clear" w:color="auto" w:fill="FFFFFF"/>
          <w:lang w:val="en-GB"/>
        </w:rPr>
        <w:t>.</w:t>
      </w:r>
      <w:r w:rsidR="00E67801" w:rsidRPr="00071ED2">
        <w:rPr>
          <w:shd w:val="clear" w:color="auto" w:fill="FFFFFF"/>
          <w:lang w:val="en-GB"/>
        </w:rPr>
        <w:t xml:space="preserve">3 </w:t>
      </w:r>
      <w:r w:rsidRPr="00071ED2">
        <w:rPr>
          <w:shd w:val="clear" w:color="auto" w:fill="FFFFFF"/>
          <w:lang w:val="en-GB"/>
        </w:rPr>
        <w:t xml:space="preserve">bn, of which with the EU – PLN </w:t>
      </w:r>
      <w:r w:rsidR="00E67801" w:rsidRPr="00071ED2">
        <w:rPr>
          <w:rFonts w:cs="Arial"/>
          <w:spacing w:val="-3"/>
          <w:szCs w:val="19"/>
          <w:lang w:val="en-GB"/>
        </w:rPr>
        <w:t>785</w:t>
      </w:r>
      <w:r w:rsidR="00071ED2" w:rsidRPr="00071ED2">
        <w:rPr>
          <w:rFonts w:cs="Arial"/>
          <w:spacing w:val="-3"/>
          <w:szCs w:val="19"/>
          <w:lang w:val="en-GB"/>
        </w:rPr>
        <w:t>.</w:t>
      </w:r>
      <w:r w:rsidR="00E67801" w:rsidRPr="00071ED2">
        <w:rPr>
          <w:rFonts w:cs="Arial"/>
          <w:spacing w:val="-3"/>
          <w:szCs w:val="19"/>
          <w:lang w:val="en-GB"/>
        </w:rPr>
        <w:t>9</w:t>
      </w:r>
      <w:r w:rsidR="00EC784C" w:rsidRPr="00071ED2">
        <w:rPr>
          <w:rFonts w:cs="Arial"/>
          <w:spacing w:val="-3"/>
          <w:szCs w:val="19"/>
          <w:lang w:val="en-US"/>
        </w:rPr>
        <w:t xml:space="preserve"> </w:t>
      </w:r>
      <w:r w:rsidRPr="00071ED2">
        <w:rPr>
          <w:shd w:val="clear" w:color="auto" w:fill="FFFFFF"/>
          <w:lang w:val="en-GB"/>
        </w:rPr>
        <w:t xml:space="preserve">bn, compared to PLN </w:t>
      </w:r>
      <w:r w:rsidR="00E67801" w:rsidRPr="00071ED2">
        <w:rPr>
          <w:rFonts w:cs="Arial"/>
          <w:spacing w:val="-3"/>
          <w:szCs w:val="19"/>
          <w:lang w:val="en-GB"/>
        </w:rPr>
        <w:t>897</w:t>
      </w:r>
      <w:r w:rsidR="00071ED2" w:rsidRPr="00071ED2">
        <w:rPr>
          <w:rFonts w:cs="Arial"/>
          <w:spacing w:val="-3"/>
          <w:szCs w:val="19"/>
          <w:lang w:val="en-GB"/>
        </w:rPr>
        <w:t>.</w:t>
      </w:r>
      <w:r w:rsidR="00E67801" w:rsidRPr="00071ED2">
        <w:rPr>
          <w:rFonts w:cs="Arial"/>
          <w:spacing w:val="-3"/>
          <w:szCs w:val="19"/>
          <w:lang w:val="en-GB"/>
        </w:rPr>
        <w:t xml:space="preserve">6 </w:t>
      </w:r>
      <w:r w:rsidRPr="00071ED2">
        <w:rPr>
          <w:shd w:val="clear" w:color="auto" w:fill="FFFFFF"/>
          <w:lang w:val="en-GB"/>
        </w:rPr>
        <w:t>bn, of</w:t>
      </w:r>
      <w:r w:rsidRPr="00071ED2">
        <w:rPr>
          <w:lang w:val="en-GB"/>
        </w:rPr>
        <w:t> </w:t>
      </w:r>
      <w:r w:rsidRPr="00071ED2">
        <w:rPr>
          <w:shd w:val="clear" w:color="auto" w:fill="FFFFFF"/>
          <w:lang w:val="en-GB"/>
        </w:rPr>
        <w:t xml:space="preserve">which with the EU - PLN </w:t>
      </w:r>
      <w:r w:rsidR="00E67801" w:rsidRPr="00071ED2">
        <w:rPr>
          <w:rFonts w:cs="Arial"/>
          <w:spacing w:val="-3"/>
          <w:szCs w:val="19"/>
          <w:lang w:val="en-GB"/>
        </w:rPr>
        <w:t>808</w:t>
      </w:r>
      <w:r w:rsidR="00071ED2" w:rsidRPr="00071ED2">
        <w:rPr>
          <w:rFonts w:cs="Arial"/>
          <w:spacing w:val="-3"/>
          <w:szCs w:val="19"/>
          <w:lang w:val="en-GB"/>
        </w:rPr>
        <w:t>.</w:t>
      </w:r>
      <w:r w:rsidR="00E67801" w:rsidRPr="00071ED2">
        <w:rPr>
          <w:rFonts w:cs="Arial"/>
          <w:spacing w:val="-3"/>
          <w:szCs w:val="19"/>
          <w:lang w:val="en-GB"/>
        </w:rPr>
        <w:t>1</w:t>
      </w:r>
      <w:r w:rsidR="00EC784C" w:rsidRPr="00071ED2">
        <w:rPr>
          <w:rFonts w:cs="Arial"/>
          <w:spacing w:val="-3"/>
          <w:szCs w:val="19"/>
          <w:lang w:val="en-US"/>
        </w:rPr>
        <w:t xml:space="preserve"> </w:t>
      </w:r>
      <w:r w:rsidRPr="00071ED2">
        <w:rPr>
          <w:shd w:val="clear" w:color="auto" w:fill="FFFFFF"/>
          <w:lang w:val="en-GB"/>
        </w:rPr>
        <w:t>bn in the same period of 202</w:t>
      </w:r>
      <w:r w:rsidR="0051570B" w:rsidRPr="00071ED2">
        <w:rPr>
          <w:shd w:val="clear" w:color="auto" w:fill="FFFFFF"/>
          <w:lang w:val="en-GB"/>
        </w:rPr>
        <w:t>2</w:t>
      </w:r>
      <w:r w:rsidRPr="00071ED2">
        <w:rPr>
          <w:shd w:val="clear" w:color="auto" w:fill="FFFFFF"/>
          <w:lang w:val="en-GB"/>
        </w:rPr>
        <w:t>.</w:t>
      </w:r>
    </w:p>
    <w:p w14:paraId="63489405" w14:textId="77777777" w:rsidR="00E10701" w:rsidRPr="009A5386" w:rsidRDefault="00E10701" w:rsidP="0048231B">
      <w:pPr>
        <w:rPr>
          <w:rFonts w:cs="Arial"/>
          <w:spacing w:val="-3"/>
          <w:lang w:val="en-GB"/>
        </w:rPr>
      </w:pPr>
    </w:p>
    <w:p w14:paraId="726367B1" w14:textId="1F83436C" w:rsidR="00310D94" w:rsidRDefault="00310D94" w:rsidP="0048231B">
      <w:pPr>
        <w:rPr>
          <w:rFonts w:cs="Arial"/>
          <w:spacing w:val="-3"/>
          <w:lang w:val="en-US"/>
        </w:rPr>
      </w:pPr>
    </w:p>
    <w:p w14:paraId="09BE592F" w14:textId="66701678" w:rsidR="001D7DC0" w:rsidRDefault="001D7DC0" w:rsidP="0048231B">
      <w:pPr>
        <w:rPr>
          <w:rFonts w:cs="Arial"/>
          <w:spacing w:val="-3"/>
          <w:lang w:val="en-US"/>
        </w:rPr>
      </w:pPr>
    </w:p>
    <w:p w14:paraId="63318B21" w14:textId="77777777" w:rsidR="00E10701" w:rsidRDefault="00E10701" w:rsidP="0048231B">
      <w:pPr>
        <w:rPr>
          <w:rFonts w:cs="Arial"/>
          <w:spacing w:val="-3"/>
          <w:lang w:val="en-US"/>
        </w:rPr>
      </w:pPr>
    </w:p>
    <w:p w14:paraId="7EB34B0C" w14:textId="6626F7A4" w:rsidR="00757AC5" w:rsidRDefault="00757AC5" w:rsidP="0048231B">
      <w:pPr>
        <w:rPr>
          <w:rFonts w:cs="Arial"/>
          <w:spacing w:val="-3"/>
          <w:lang w:val="en-US"/>
        </w:rPr>
      </w:pPr>
    </w:p>
    <w:p w14:paraId="7FF73899" w14:textId="4A43469C" w:rsidR="008E3823" w:rsidRDefault="008E3823" w:rsidP="0048231B">
      <w:pPr>
        <w:rPr>
          <w:rFonts w:cs="Arial"/>
          <w:spacing w:val="-3"/>
          <w:lang w:val="en-US"/>
        </w:rPr>
      </w:pPr>
    </w:p>
    <w:p w14:paraId="11F8A06C" w14:textId="0A2F093C" w:rsidR="008E3823" w:rsidRDefault="008E3823" w:rsidP="0048231B">
      <w:pPr>
        <w:rPr>
          <w:rFonts w:cs="Arial"/>
          <w:spacing w:val="-3"/>
          <w:lang w:val="en-US"/>
        </w:rPr>
      </w:pPr>
    </w:p>
    <w:p w14:paraId="4981E68A" w14:textId="77777777" w:rsidR="008E3823" w:rsidRDefault="008E3823" w:rsidP="0048231B">
      <w:pPr>
        <w:rPr>
          <w:rFonts w:cs="Arial"/>
          <w:spacing w:val="-3"/>
          <w:lang w:val="en-US"/>
        </w:rPr>
      </w:pPr>
    </w:p>
    <w:p w14:paraId="3F53184D" w14:textId="77777777" w:rsidR="00AE636C" w:rsidRPr="00B5363E" w:rsidRDefault="0048231B" w:rsidP="001D7DC0">
      <w:pPr>
        <w:pStyle w:val="Tytutablicy"/>
        <w:rPr>
          <w:lang w:val="en-GB"/>
        </w:rPr>
      </w:pPr>
      <w:r w:rsidRPr="00B5363E">
        <w:rPr>
          <w:lang w:val="en-GB"/>
        </w:rPr>
        <w:lastRenderedPageBreak/>
        <w:t>Tabl</w:t>
      </w:r>
      <w:r w:rsidR="00717D5C" w:rsidRPr="00B5363E">
        <w:rPr>
          <w:lang w:val="en-GB"/>
        </w:rPr>
        <w:t>e</w:t>
      </w:r>
      <w:r w:rsidRPr="00B5363E">
        <w:rPr>
          <w:lang w:val="en-GB"/>
        </w:rPr>
        <w:t xml:space="preserve"> </w:t>
      </w:r>
      <w:r w:rsidR="00D67CD3" w:rsidRPr="00B5363E">
        <w:rPr>
          <w:lang w:val="en-GB"/>
        </w:rPr>
        <w:t>3</w:t>
      </w:r>
      <w:r w:rsidRPr="00B5363E">
        <w:rPr>
          <w:lang w:val="en-GB"/>
        </w:rPr>
        <w:t>. Import</w:t>
      </w:r>
      <w:r w:rsidR="00717D5C" w:rsidRPr="00B5363E">
        <w:rPr>
          <w:lang w:val="en-GB"/>
        </w:rPr>
        <w:t>s</w:t>
      </w:r>
      <w:r w:rsidRPr="00B5363E">
        <w:rPr>
          <w:lang w:val="en-GB"/>
        </w:rPr>
        <w:t xml:space="preserve"> </w:t>
      </w:r>
      <w:r w:rsidR="00717D5C" w:rsidRPr="00B5363E">
        <w:rPr>
          <w:lang w:val="en-GB"/>
        </w:rPr>
        <w:t xml:space="preserve">by country of consignment </w:t>
      </w:r>
      <w:r w:rsidR="009831A8" w:rsidRPr="00B5363E">
        <w:rPr>
          <w:lang w:val="en-GB"/>
        </w:rPr>
        <w:t>–</w:t>
      </w:r>
      <w:r w:rsidR="00717D5C" w:rsidRPr="00B5363E">
        <w:rPr>
          <w:lang w:val="en-GB"/>
        </w:rPr>
        <w:t xml:space="preserve"> total and groups of counties</w:t>
      </w:r>
    </w:p>
    <w:tbl>
      <w:tblPr>
        <w:tblW w:w="8080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e 3. Imports by country of consignment – total and groups of counties"/>
      </w:tblPr>
      <w:tblGrid>
        <w:gridCol w:w="2237"/>
        <w:gridCol w:w="718"/>
        <w:gridCol w:w="717"/>
        <w:gridCol w:w="723"/>
        <w:gridCol w:w="708"/>
        <w:gridCol w:w="720"/>
        <w:gridCol w:w="698"/>
        <w:gridCol w:w="738"/>
        <w:gridCol w:w="821"/>
      </w:tblGrid>
      <w:tr w:rsidR="0051165C" w:rsidRPr="00B501D7" w14:paraId="0024AEC9" w14:textId="77777777" w:rsidTr="009835E7">
        <w:trPr>
          <w:trHeight w:val="352"/>
        </w:trPr>
        <w:tc>
          <w:tcPr>
            <w:tcW w:w="2237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71D80F12" w14:textId="77777777" w:rsidR="0051165C" w:rsidRPr="008848F4" w:rsidRDefault="00717D5C" w:rsidP="00B92654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SPECIFICATION</w:t>
            </w:r>
          </w:p>
        </w:tc>
        <w:tc>
          <w:tcPr>
            <w:tcW w:w="4284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C72239" w14:textId="7C4BEF6C" w:rsidR="0051165C" w:rsidRPr="008848F4" w:rsidRDefault="00F95600" w:rsidP="00EB459C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>
              <w:rPr>
                <w:rFonts w:cs="Arial"/>
                <w:sz w:val="16"/>
                <w:szCs w:val="16"/>
              </w:rPr>
              <w:t>I-IX</w:t>
            </w:r>
            <w:r w:rsidR="00EC784C">
              <w:rPr>
                <w:rFonts w:cs="Arial"/>
                <w:sz w:val="16"/>
                <w:szCs w:val="16"/>
              </w:rPr>
              <w:t xml:space="preserve"> </w:t>
            </w:r>
            <w:r w:rsidR="00C7731D">
              <w:rPr>
                <w:rFonts w:cs="Arial"/>
                <w:sz w:val="16"/>
                <w:szCs w:val="16"/>
              </w:rPr>
              <w:t>2023</w:t>
            </w:r>
          </w:p>
        </w:tc>
        <w:tc>
          <w:tcPr>
            <w:tcW w:w="738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78A1C6" w14:textId="3D69886A" w:rsidR="0051165C" w:rsidRPr="008848F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202</w:t>
            </w:r>
            <w:r w:rsidR="00C7731D">
              <w:rPr>
                <w:rFonts w:cs="Arial"/>
                <w:sz w:val="16"/>
                <w:szCs w:val="16"/>
                <w:lang w:val="en-GB"/>
              </w:rPr>
              <w:t>2</w:t>
            </w:r>
          </w:p>
        </w:tc>
        <w:tc>
          <w:tcPr>
            <w:tcW w:w="821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60E30431" w14:textId="4EA85F2E" w:rsidR="0051165C" w:rsidRPr="008848F4" w:rsidRDefault="008B7FB0" w:rsidP="00782B51">
            <w:pPr>
              <w:spacing w:after="0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>202</w:t>
            </w:r>
            <w:r w:rsidR="00C7731D">
              <w:rPr>
                <w:rFonts w:cs="Arial"/>
                <w:sz w:val="16"/>
                <w:szCs w:val="16"/>
                <w:lang w:val="en-GB"/>
              </w:rPr>
              <w:t>3</w:t>
            </w:r>
          </w:p>
        </w:tc>
      </w:tr>
      <w:tr w:rsidR="0051165C" w:rsidRPr="0051165C" w14:paraId="708147E4" w14:textId="77777777" w:rsidTr="009835E7">
        <w:trPr>
          <w:trHeight w:val="370"/>
        </w:trPr>
        <w:tc>
          <w:tcPr>
            <w:tcW w:w="2237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1A52067A" w14:textId="77777777" w:rsidR="0051165C" w:rsidRPr="008848F4" w:rsidRDefault="0051165C" w:rsidP="00B92654">
            <w:pPr>
              <w:spacing w:after="0"/>
              <w:rPr>
                <w:rFonts w:cs="Arial"/>
                <w:sz w:val="16"/>
                <w:szCs w:val="16"/>
                <w:lang w:val="en-GB"/>
              </w:rPr>
            </w:pPr>
          </w:p>
        </w:tc>
        <w:tc>
          <w:tcPr>
            <w:tcW w:w="7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7CF254D" w14:textId="77777777" w:rsidR="00890348" w:rsidRPr="008848F4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  <w:lang w:val="en-GB"/>
              </w:rPr>
            </w:pPr>
            <w:r w:rsidRPr="008848F4">
              <w:rPr>
                <w:rFonts w:cs="Arial"/>
                <w:sz w:val="16"/>
                <w:szCs w:val="16"/>
                <w:lang w:val="en-GB"/>
              </w:rPr>
              <w:t xml:space="preserve">bn </w:t>
            </w:r>
          </w:p>
          <w:p w14:paraId="40D6DEE9" w14:textId="77777777" w:rsidR="0051165C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3B6FBF">
              <w:rPr>
                <w:rFonts w:cs="Arial"/>
                <w:sz w:val="16"/>
                <w:szCs w:val="16"/>
                <w:lang w:val="en-GB"/>
              </w:rPr>
              <w:t>P</w:t>
            </w:r>
            <w:r w:rsidRPr="00B501D7">
              <w:rPr>
                <w:rFonts w:cs="Arial"/>
                <w:sz w:val="16"/>
                <w:szCs w:val="16"/>
                <w:lang w:val="en-GB"/>
              </w:rPr>
              <w:t>L</w:t>
            </w:r>
            <w:r w:rsidRPr="000C2149">
              <w:rPr>
                <w:rFonts w:cs="Arial"/>
                <w:sz w:val="16"/>
                <w:szCs w:val="16"/>
              </w:rPr>
              <w:t>N</w:t>
            </w:r>
          </w:p>
        </w:tc>
        <w:tc>
          <w:tcPr>
            <w:tcW w:w="717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E3257D4" w14:textId="77777777" w:rsidR="00890348" w:rsidRPr="000C2149" w:rsidRDefault="00717D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3C6028EC" w14:textId="77777777" w:rsidR="0051165C" w:rsidRPr="000C2149" w:rsidRDefault="0051165C" w:rsidP="00890348">
            <w:pPr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3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500EB575" w14:textId="77777777" w:rsidR="00890348" w:rsidRPr="000C2149" w:rsidRDefault="00717D5C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5F542D88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126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B63A70E" w14:textId="415BD917" w:rsidR="0051165C" w:rsidRPr="000C2149" w:rsidRDefault="00F95600" w:rsidP="00EB459C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I-IX</w:t>
            </w:r>
            <w:r w:rsidR="00EC784C">
              <w:rPr>
                <w:rFonts w:cs="Arial"/>
                <w:sz w:val="16"/>
                <w:szCs w:val="16"/>
              </w:rPr>
              <w:t xml:space="preserve"> </w:t>
            </w:r>
            <w:r w:rsidR="00E95E42">
              <w:rPr>
                <w:rFonts w:cs="Arial"/>
                <w:sz w:val="16"/>
                <w:szCs w:val="16"/>
              </w:rPr>
              <w:t>202</w:t>
            </w:r>
            <w:r w:rsidR="00C7731D">
              <w:rPr>
                <w:rFonts w:cs="Arial"/>
                <w:sz w:val="16"/>
                <w:szCs w:val="16"/>
              </w:rPr>
              <w:t>2</w:t>
            </w:r>
            <w:r w:rsidR="00E95E42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790C8618" w14:textId="62D0EA60" w:rsidR="0051165C" w:rsidRPr="000C2149" w:rsidRDefault="00F95600" w:rsidP="00876A8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I-IX</w:t>
            </w:r>
          </w:p>
        </w:tc>
      </w:tr>
      <w:tr w:rsidR="0051165C" w:rsidRPr="0051165C" w14:paraId="45B72503" w14:textId="77777777" w:rsidTr="009835E7">
        <w:trPr>
          <w:trHeight w:val="380"/>
        </w:trPr>
        <w:tc>
          <w:tcPr>
            <w:tcW w:w="2237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2AAFFBBA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8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C58D8D3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782F0B8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3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559830F" w14:textId="77777777" w:rsidR="0051165C" w:rsidRPr="000C2149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4605A37A" w14:textId="77777777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0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15D4EAB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98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539FDDAC" w14:textId="77777777" w:rsidR="0051165C" w:rsidRPr="000C2149" w:rsidRDefault="0051165C" w:rsidP="00890348">
            <w:pPr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559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center"/>
          </w:tcPr>
          <w:p w14:paraId="3707EA60" w14:textId="77777777" w:rsidR="0051165C" w:rsidRPr="000C2149" w:rsidRDefault="00CC60CF" w:rsidP="00890348">
            <w:pPr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="0051165C" w:rsidRPr="000C2149">
              <w:rPr>
                <w:rFonts w:cs="Arial"/>
                <w:sz w:val="16"/>
                <w:szCs w:val="16"/>
              </w:rPr>
              <w:t xml:space="preserve"> </w:t>
            </w:r>
            <w:r w:rsidRPr="000C2149">
              <w:rPr>
                <w:rFonts w:cs="Arial"/>
                <w:sz w:val="16"/>
                <w:szCs w:val="16"/>
              </w:rPr>
              <w:t>in</w:t>
            </w:r>
            <w:r w:rsidR="0051165C" w:rsidRPr="000C2149">
              <w:rPr>
                <w:rFonts w:cs="Arial"/>
                <w:sz w:val="16"/>
                <w:szCs w:val="16"/>
              </w:rPr>
              <w:t xml:space="preserve"> %</w:t>
            </w:r>
          </w:p>
        </w:tc>
      </w:tr>
      <w:tr w:rsidR="00581CC6" w:rsidRPr="0051165C" w14:paraId="684437F1" w14:textId="77777777" w:rsidTr="00861443">
        <w:trPr>
          <w:trHeight w:val="342"/>
        </w:trPr>
        <w:tc>
          <w:tcPr>
            <w:tcW w:w="2237" w:type="dxa"/>
            <w:tcBorders>
              <w:top w:val="single" w:sz="12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1E13D083" w14:textId="77777777" w:rsidR="00581CC6" w:rsidRPr="00A00ADB" w:rsidRDefault="00581CC6" w:rsidP="00581CC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 w:rsidRPr="0051165C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>s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 xml:space="preserve">(country of </w:t>
            </w:r>
            <w:proofErr w:type="spellStart"/>
            <w:r>
              <w:rPr>
                <w:rFonts w:cs="Arial"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sz w:val="16"/>
                <w:szCs w:val="16"/>
              </w:rPr>
              <w:t>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1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3050F" w14:textId="17345ACF" w:rsidR="00581CC6" w:rsidRPr="00C3372E" w:rsidRDefault="00581CC6" w:rsidP="00581CC6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1160</w:t>
            </w:r>
            <w:r w:rsidR="00071ED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5F7A0" w14:textId="7C5DFB16" w:rsidR="00581CC6" w:rsidRPr="00C3372E" w:rsidRDefault="00581CC6" w:rsidP="00581CC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274</w:t>
            </w:r>
            <w:r w:rsidR="00071ED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723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09939C" w14:textId="255EA192" w:rsidR="00581CC6" w:rsidRPr="00C3372E" w:rsidRDefault="00581CC6" w:rsidP="00581CC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252</w:t>
            </w:r>
            <w:r w:rsidR="00071ED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70A363" w14:textId="71552720" w:rsidR="00581CC6" w:rsidRPr="00C3372E" w:rsidRDefault="00581CC6" w:rsidP="00581CC6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92</w:t>
            </w:r>
            <w:r w:rsidR="00071ED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20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38CD07" w14:textId="031386BE" w:rsidR="00581CC6" w:rsidRPr="00C3372E" w:rsidRDefault="00581CC6" w:rsidP="00581CC6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94</w:t>
            </w:r>
            <w:r w:rsidR="00071ED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69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E6AFF" w14:textId="615B4F24" w:rsidR="00581CC6" w:rsidRPr="00C3372E" w:rsidRDefault="00581CC6" w:rsidP="00581CC6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93</w:t>
            </w:r>
            <w:r w:rsidR="00071ED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38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FB903A" w14:textId="74C5CAF9" w:rsidR="00581CC6" w:rsidRPr="00C3372E" w:rsidRDefault="00581CC6" w:rsidP="00581CC6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071ED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8" w:space="0" w:color="001D77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CD8E7DF" w14:textId="60F9E0DC" w:rsidR="00581CC6" w:rsidRPr="00C3372E" w:rsidRDefault="00581CC6" w:rsidP="00581CC6">
            <w:pPr>
              <w:spacing w:after="0"/>
              <w:jc w:val="right"/>
              <w:rPr>
                <w:b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100</w:t>
            </w:r>
            <w:r w:rsidR="00071ED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0</w:t>
            </w:r>
          </w:p>
        </w:tc>
      </w:tr>
      <w:tr w:rsidR="00581CC6" w:rsidRPr="00D9471B" w14:paraId="232345C9" w14:textId="77777777" w:rsidTr="00861443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301E7" w14:textId="77777777" w:rsidR="00581CC6" w:rsidRPr="0051165C" w:rsidRDefault="00581CC6" w:rsidP="00581CC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060CBD3C" w14:textId="08DB5B31" w:rsidR="00581CC6" w:rsidRPr="00C3372E" w:rsidRDefault="00581CC6" w:rsidP="00581CC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883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450C2" w14:textId="391708B0" w:rsidR="00581CC6" w:rsidRPr="00C3372E" w:rsidRDefault="00581CC6" w:rsidP="00581CC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208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5AF186" w14:textId="138AC740" w:rsidR="00581CC6" w:rsidRPr="00C3372E" w:rsidRDefault="00581CC6" w:rsidP="00581CC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192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093B8" w14:textId="05E2A079" w:rsidR="00581CC6" w:rsidRPr="00C3372E" w:rsidRDefault="00581CC6" w:rsidP="00581CC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5FE537" w14:textId="56DF01ED" w:rsidR="00581CC6" w:rsidRPr="00C3372E" w:rsidRDefault="00581CC6" w:rsidP="00581CC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100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E953FB" w14:textId="45986A7E" w:rsidR="00581CC6" w:rsidRPr="00C3372E" w:rsidRDefault="00581CC6" w:rsidP="00581CC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47BEB1" w14:textId="6B468E1F" w:rsidR="00581CC6" w:rsidRPr="00C3372E" w:rsidRDefault="00581CC6" w:rsidP="00581CC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71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B658B" w14:textId="4E3C1B34" w:rsidR="00581CC6" w:rsidRPr="00C3372E" w:rsidRDefault="00581CC6" w:rsidP="00581CC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581CC6" w:rsidRPr="00FA00B8" w14:paraId="3263382C" w14:textId="77777777" w:rsidTr="00861443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90404" w14:textId="77777777" w:rsidR="00581CC6" w:rsidRPr="0051165C" w:rsidRDefault="00581CC6" w:rsidP="00581CC6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755BD8AE" w14:textId="755430C4" w:rsidR="00581CC6" w:rsidRPr="00C3372E" w:rsidRDefault="00581CC6" w:rsidP="00581CC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785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47323" w14:textId="573EFBE5" w:rsidR="00581CC6" w:rsidRPr="00C3372E" w:rsidRDefault="00581CC6" w:rsidP="00581CC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185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11DD28" w14:textId="3FAB1E35" w:rsidR="00581CC6" w:rsidRPr="00C3372E" w:rsidRDefault="00581CC6" w:rsidP="00581CC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171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5E2066" w14:textId="3E20C1CB" w:rsidR="00581CC6" w:rsidRPr="00C3372E" w:rsidRDefault="00581CC6" w:rsidP="00581CC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0DACDD" w14:textId="5B95C2EE" w:rsidR="00581CC6" w:rsidRPr="00C3372E" w:rsidRDefault="00581CC6" w:rsidP="00581CC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AD82E3" w14:textId="67DD2D99" w:rsidR="00581CC6" w:rsidRPr="00C3372E" w:rsidRDefault="00581CC6" w:rsidP="00581CC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307D3" w14:textId="3278EA89" w:rsidR="00581CC6" w:rsidRPr="00C3372E" w:rsidRDefault="00581CC6" w:rsidP="00581CC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64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CFD676" w14:textId="62EF70C9" w:rsidR="00581CC6" w:rsidRPr="00C3372E" w:rsidRDefault="00581CC6" w:rsidP="00581CC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67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</w:tr>
      <w:tr w:rsidR="00581CC6" w:rsidRPr="00FA00B8" w14:paraId="6ADD21EF" w14:textId="77777777" w:rsidTr="00861443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EC405" w14:textId="77777777" w:rsidR="00581CC6" w:rsidRPr="00FA00B8" w:rsidRDefault="00581CC6" w:rsidP="00581CC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           of which  euro-zone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6B62AF58" w14:textId="629B7FCD" w:rsidR="00581CC6" w:rsidRPr="00C3372E" w:rsidRDefault="00581CC6" w:rsidP="00581CC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644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EDBC04" w14:textId="6F1305F6" w:rsidR="00581CC6" w:rsidRPr="00C3372E" w:rsidRDefault="00581CC6" w:rsidP="00581CC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152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2BD0C" w14:textId="5A9A8EBC" w:rsidR="00581CC6" w:rsidRPr="00C3372E" w:rsidRDefault="00581CC6" w:rsidP="00581CC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140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2B35CD" w14:textId="3FA2612C" w:rsidR="00581CC6" w:rsidRPr="00C3372E" w:rsidRDefault="00581CC6" w:rsidP="00581CC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BBB50B" w14:textId="0AE9E8A8" w:rsidR="00581CC6" w:rsidRPr="00C3372E" w:rsidRDefault="00581CC6" w:rsidP="00581CC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96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D29FC" w14:textId="709EDA12" w:rsidR="00581CC6" w:rsidRPr="00C3372E" w:rsidRDefault="00581CC6" w:rsidP="00581CC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06ADC" w14:textId="19D80E1B" w:rsidR="00581CC6" w:rsidRPr="00C3372E" w:rsidRDefault="00581CC6" w:rsidP="00581CC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54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C704A3F" w14:textId="2E4BE2FE" w:rsidR="00581CC6" w:rsidRPr="00C3372E" w:rsidRDefault="00581CC6" w:rsidP="00581CC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55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581CC6" w:rsidRPr="0051165C" w14:paraId="21016E56" w14:textId="77777777" w:rsidTr="00861443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BBFDE" w14:textId="77777777" w:rsidR="00581CC6" w:rsidRPr="00FA00B8" w:rsidRDefault="00581CC6" w:rsidP="00581CC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GB"/>
              </w:rPr>
            </w:pPr>
            <w:r w:rsidRPr="00FA00B8">
              <w:rPr>
                <w:rFonts w:cs="Arial"/>
                <w:sz w:val="16"/>
                <w:szCs w:val="16"/>
                <w:lang w:val="en-GB"/>
              </w:rPr>
              <w:t xml:space="preserve">Developing countries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00AC6CD0" w14:textId="045C7085" w:rsidR="00581CC6" w:rsidRPr="00C3372E" w:rsidRDefault="00581CC6" w:rsidP="00581CC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250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70DC6" w14:textId="07E5194B" w:rsidR="00581CC6" w:rsidRPr="00C3372E" w:rsidRDefault="00581CC6" w:rsidP="00581CC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59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385732" w14:textId="7FC7653E" w:rsidR="00581CC6" w:rsidRPr="00C3372E" w:rsidRDefault="00581CC6" w:rsidP="00581CC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54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75FEB2" w14:textId="267693A5" w:rsidR="00581CC6" w:rsidRPr="00C3372E" w:rsidRDefault="00581CC6" w:rsidP="00581CC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B8AADD" w14:textId="743593FE" w:rsidR="00581CC6" w:rsidRPr="00C3372E" w:rsidRDefault="00581CC6" w:rsidP="00581CC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F9C9B" w14:textId="079B0C8E" w:rsidR="00581CC6" w:rsidRPr="00C3372E" w:rsidRDefault="00581CC6" w:rsidP="00581CC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7A241" w14:textId="65140010" w:rsidR="00581CC6" w:rsidRPr="00C3372E" w:rsidRDefault="00581CC6" w:rsidP="00581CC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E085713" w14:textId="5547899F" w:rsidR="00581CC6" w:rsidRPr="00C3372E" w:rsidRDefault="00581CC6" w:rsidP="00581CC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581CC6" w:rsidRPr="0051165C" w14:paraId="7005C847" w14:textId="77777777" w:rsidTr="00861443">
        <w:trPr>
          <w:trHeight w:val="355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2AB96" w14:textId="77777777" w:rsidR="00581CC6" w:rsidRPr="00BA58B2" w:rsidRDefault="00581CC6" w:rsidP="00581CC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vAlign w:val="bottom"/>
          </w:tcPr>
          <w:p w14:paraId="4EAD8B3C" w14:textId="6703DDA4" w:rsidR="00581CC6" w:rsidRPr="00C3372E" w:rsidRDefault="00581CC6" w:rsidP="00581CC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26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2C34C4B" w14:textId="256854CB" w:rsidR="00581CC6" w:rsidRPr="00C3372E" w:rsidRDefault="00581CC6" w:rsidP="00581CC6">
            <w:pPr>
              <w:spacing w:after="0"/>
              <w:jc w:val="right"/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952CEBC" w14:textId="764C7991" w:rsidR="00581CC6" w:rsidRPr="00C3372E" w:rsidRDefault="00581CC6" w:rsidP="00581CC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8D1D4F2" w14:textId="3C9CFE5A" w:rsidR="00581CC6" w:rsidRPr="00C3372E" w:rsidRDefault="00581CC6" w:rsidP="00581CC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4E308CD" w14:textId="5AF59FD3" w:rsidR="00581CC6" w:rsidRPr="00C3372E" w:rsidRDefault="00581CC6" w:rsidP="00581CC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4D585DA" w14:textId="75CA28A6" w:rsidR="00581CC6" w:rsidRPr="00C3372E" w:rsidRDefault="00581CC6" w:rsidP="00581CC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30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E7CCCE4" w14:textId="2B38CB68" w:rsidR="00581CC6" w:rsidRPr="00C3372E" w:rsidRDefault="00581CC6" w:rsidP="00581CC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7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82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4CD38B9" w14:textId="7AEE6F08" w:rsidR="00581CC6" w:rsidRPr="00C3372E" w:rsidRDefault="00581CC6" w:rsidP="00581CC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 xml:space="preserve"> 2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</w:tr>
      <w:tr w:rsidR="00581CC6" w:rsidRPr="0051165C" w14:paraId="7C5BD268" w14:textId="77777777" w:rsidTr="00581CC6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1390A" w14:textId="77777777" w:rsidR="00581CC6" w:rsidRPr="0051165C" w:rsidRDefault="00581CC6" w:rsidP="00581CC6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proofErr w:type="spellStart"/>
            <w:r>
              <w:rPr>
                <w:rFonts w:cs="Arial"/>
                <w:b/>
                <w:sz w:val="16"/>
                <w:szCs w:val="16"/>
              </w:rPr>
              <w:t>Balance</w:t>
            </w:r>
            <w:proofErr w:type="spellEnd"/>
            <w:r w:rsidRPr="00E33A76">
              <w:rPr>
                <w:rFonts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6356082D" w14:textId="68165BF3" w:rsidR="00581CC6" w:rsidRPr="00C3372E" w:rsidRDefault="00581CC6" w:rsidP="00581CC6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43</w:t>
            </w:r>
            <w:r w:rsidR="00071ED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84947D" w14:textId="6F606E50" w:rsidR="00581CC6" w:rsidRPr="00C3372E" w:rsidRDefault="00581CC6" w:rsidP="00581CC6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10</w:t>
            </w:r>
            <w:r w:rsidR="00071ED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18010" w14:textId="5D0A3BDE" w:rsidR="00581CC6" w:rsidRPr="00C3372E" w:rsidRDefault="00581CC6" w:rsidP="00581CC6">
            <w:pPr>
              <w:spacing w:after="0"/>
              <w:jc w:val="right"/>
              <w:rPr>
                <w:rFonts w:cs="Arial"/>
                <w:b/>
                <w:bCs/>
                <w:sz w:val="16"/>
                <w:szCs w:val="16"/>
              </w:rPr>
            </w:pP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9</w:t>
            </w:r>
            <w:r w:rsidR="00071ED2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ABB03" w14:textId="07851F9A" w:rsidR="00581CC6" w:rsidRPr="00C3372E" w:rsidRDefault="00581CC6" w:rsidP="00581CC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5035C" w14:textId="1805D7C9" w:rsidR="00581CC6" w:rsidRPr="00C3372E" w:rsidRDefault="00581CC6" w:rsidP="00581CC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EACC6" w14:textId="6E7AC125" w:rsidR="00581CC6" w:rsidRPr="00C3372E" w:rsidRDefault="00581CC6" w:rsidP="00581CC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7054A" w14:textId="0DE16505" w:rsidR="00581CC6" w:rsidRPr="00C3372E" w:rsidRDefault="00581CC6" w:rsidP="00581CC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72CE2A" w14:textId="19D7BD6B" w:rsidR="00581CC6" w:rsidRPr="00C3372E" w:rsidRDefault="00581CC6" w:rsidP="00581CC6">
            <w:pPr>
              <w:spacing w:after="0"/>
              <w:jc w:val="right"/>
              <w:rPr>
                <w:rFonts w:cs="Calibri"/>
                <w:b/>
                <w:bCs/>
                <w:sz w:val="16"/>
                <w:szCs w:val="16"/>
              </w:rPr>
            </w:pPr>
            <w:r w:rsidRPr="00016AB0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581CC6" w:rsidRPr="0051165C" w14:paraId="7E1667D2" w14:textId="77777777" w:rsidTr="00861443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3E5FA" w14:textId="77777777" w:rsidR="00581CC6" w:rsidRPr="0051165C" w:rsidRDefault="00581CC6" w:rsidP="00581CC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proofErr w:type="spellStart"/>
            <w:r>
              <w:rPr>
                <w:rFonts w:cs="Arial"/>
                <w:sz w:val="16"/>
                <w:szCs w:val="16"/>
              </w:rPr>
              <w:t>Developed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4FBA8DF2" w14:textId="74EE4EEE" w:rsidR="00581CC6" w:rsidRPr="00C3372E" w:rsidRDefault="00581CC6" w:rsidP="00581CC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160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46CDB" w14:textId="24629B49" w:rsidR="00581CC6" w:rsidRPr="00C3372E" w:rsidRDefault="00581CC6" w:rsidP="00581CC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37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30F5A2" w14:textId="796E1FF1" w:rsidR="00581CC6" w:rsidRPr="00C3372E" w:rsidRDefault="00581CC6" w:rsidP="00581CC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C2D29" w14:textId="3AEC373E" w:rsidR="00581CC6" w:rsidRPr="00C3372E" w:rsidRDefault="00581CC6" w:rsidP="00581CC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D212F" w14:textId="6A98FB16" w:rsidR="00581CC6" w:rsidRPr="00C3372E" w:rsidRDefault="00581CC6" w:rsidP="00581CC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EF71F" w14:textId="427AACEF" w:rsidR="00581CC6" w:rsidRPr="00C3372E" w:rsidRDefault="00581CC6" w:rsidP="00581CC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B268B" w14:textId="4A9F8D7A" w:rsidR="00581CC6" w:rsidRPr="00C3372E" w:rsidRDefault="00581CC6" w:rsidP="00581CC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828ADE" w14:textId="27BC1D5D" w:rsidR="00581CC6" w:rsidRPr="00C3372E" w:rsidRDefault="00581CC6" w:rsidP="00581CC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581CC6" w:rsidRPr="0051165C" w14:paraId="084E8084" w14:textId="77777777" w:rsidTr="00861443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9E930" w14:textId="77777777" w:rsidR="00581CC6" w:rsidRPr="0051165C" w:rsidRDefault="00581CC6" w:rsidP="00581CC6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EU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7793A0B0" w14:textId="0A21AF74" w:rsidR="00581CC6" w:rsidRPr="00C3372E" w:rsidRDefault="00581CC6" w:rsidP="00581CC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115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88805D" w14:textId="4E90B5AF" w:rsidR="00581CC6" w:rsidRPr="00C3372E" w:rsidRDefault="00581CC6" w:rsidP="00581CC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B15684" w14:textId="561A8FC6" w:rsidR="00581CC6" w:rsidRPr="00C3372E" w:rsidRDefault="00581CC6" w:rsidP="00581CC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0BAA0" w14:textId="206A384C" w:rsidR="00581CC6" w:rsidRPr="00C3372E" w:rsidRDefault="00581CC6" w:rsidP="00581CC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4808F" w14:textId="2F9072CB" w:rsidR="00581CC6" w:rsidRPr="00C3372E" w:rsidRDefault="00581CC6" w:rsidP="00581CC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F8A3" w14:textId="6BECF5DE" w:rsidR="00581CC6" w:rsidRPr="00C3372E" w:rsidRDefault="00581CC6" w:rsidP="00581CC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8DD0" w14:textId="4EB753E9" w:rsidR="00581CC6" w:rsidRPr="00C3372E" w:rsidRDefault="00581CC6" w:rsidP="00581CC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6341D22" w14:textId="24CBD11A" w:rsidR="00581CC6" w:rsidRPr="00C3372E" w:rsidRDefault="00581CC6" w:rsidP="00581CC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581CC6" w:rsidRPr="0051165C" w14:paraId="3D5F8544" w14:textId="77777777" w:rsidTr="00861443">
        <w:trPr>
          <w:trHeight w:val="35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4EF4A" w14:textId="77777777" w:rsidR="00581CC6" w:rsidRPr="0051165C" w:rsidRDefault="00581CC6" w:rsidP="00581CC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</w:t>
            </w:r>
            <w:r>
              <w:rPr>
                <w:rFonts w:cs="Arial"/>
                <w:sz w:val="16"/>
                <w:szCs w:val="16"/>
              </w:rPr>
              <w:t xml:space="preserve">of </w:t>
            </w:r>
            <w:proofErr w:type="spellStart"/>
            <w:r>
              <w:rPr>
                <w:rFonts w:cs="Arial"/>
                <w:sz w:val="16"/>
                <w:szCs w:val="16"/>
              </w:rPr>
              <w:t>which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euro</w:t>
            </w:r>
            <w:r>
              <w:rPr>
                <w:rFonts w:cs="Arial"/>
                <w:sz w:val="16"/>
                <w:szCs w:val="16"/>
              </w:rPr>
              <w:t>-</w:t>
            </w:r>
            <w:proofErr w:type="spellStart"/>
            <w:r>
              <w:rPr>
                <w:rFonts w:cs="Arial"/>
                <w:sz w:val="16"/>
                <w:szCs w:val="16"/>
              </w:rPr>
              <w:t>zone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407CD195" w14:textId="30D08EDA" w:rsidR="00581CC6" w:rsidRPr="00C3372E" w:rsidRDefault="00581CC6" w:rsidP="00581CC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69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129F5" w14:textId="78FF700E" w:rsidR="00581CC6" w:rsidRPr="00C3372E" w:rsidRDefault="00581CC6" w:rsidP="00581CC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3353E6" w14:textId="4FD73841" w:rsidR="00581CC6" w:rsidRPr="00C3372E" w:rsidRDefault="00581CC6" w:rsidP="00581CC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15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68BB9" w14:textId="7CDAA662" w:rsidR="00581CC6" w:rsidRPr="00C3372E" w:rsidRDefault="00581CC6" w:rsidP="00581CC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bookmarkStart w:id="9" w:name="_GoBack"/>
            <w:bookmarkEnd w:id="9"/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B2AFF" w14:textId="5E2F5C6D" w:rsidR="00581CC6" w:rsidRPr="00C3372E" w:rsidRDefault="00581CC6" w:rsidP="00581CC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5CF8" w14:textId="5AE085EC" w:rsidR="00581CC6" w:rsidRPr="00C3372E" w:rsidRDefault="00581CC6" w:rsidP="00581CC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451F6" w14:textId="7E7A9C58" w:rsidR="00581CC6" w:rsidRPr="00C3372E" w:rsidRDefault="00581CC6" w:rsidP="00581CC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069293A" w14:textId="0B3077E0" w:rsidR="00581CC6" w:rsidRPr="00C3372E" w:rsidRDefault="00581CC6" w:rsidP="00581CC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581CC6" w:rsidRPr="0051165C" w14:paraId="45847327" w14:textId="77777777" w:rsidTr="00861443">
        <w:trPr>
          <w:trHeight w:val="342"/>
        </w:trPr>
        <w:tc>
          <w:tcPr>
            <w:tcW w:w="22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4A76" w14:textId="77777777" w:rsidR="00581CC6" w:rsidRPr="0051165C" w:rsidRDefault="00581CC6" w:rsidP="00581CC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Developing </w:t>
            </w:r>
            <w:proofErr w:type="spellStart"/>
            <w:r>
              <w:rPr>
                <w:rFonts w:cs="Arial"/>
                <w:sz w:val="16"/>
                <w:szCs w:val="16"/>
              </w:rPr>
              <w:t>countries</w:t>
            </w:r>
            <w:proofErr w:type="spellEnd"/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auto"/>
            </w:tcBorders>
            <w:vAlign w:val="center"/>
          </w:tcPr>
          <w:p w14:paraId="4B9D52A7" w14:textId="274F9AFD" w:rsidR="00581CC6" w:rsidRPr="00C3372E" w:rsidRDefault="00581CC6" w:rsidP="00581CC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-150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8BCF0" w14:textId="0C48A93D" w:rsidR="00581CC6" w:rsidRPr="00C3372E" w:rsidRDefault="00581CC6" w:rsidP="00581CC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-35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52F15" w14:textId="108B0DFE" w:rsidR="00581CC6" w:rsidRPr="00C3372E" w:rsidRDefault="00581CC6" w:rsidP="00581CC6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-32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1C280D" w14:textId="5202D23B" w:rsidR="00581CC6" w:rsidRPr="00C3372E" w:rsidRDefault="00581CC6" w:rsidP="00581CC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93206" w14:textId="523A55B2" w:rsidR="00581CC6" w:rsidRPr="00C3372E" w:rsidRDefault="00581CC6" w:rsidP="00581CC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C59B" w14:textId="61F63125" w:rsidR="00581CC6" w:rsidRPr="00C3372E" w:rsidRDefault="00581CC6" w:rsidP="00581CC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99257" w14:textId="6B11F9BA" w:rsidR="00581CC6" w:rsidRPr="00C3372E" w:rsidRDefault="00581CC6" w:rsidP="00581CC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9FF4F0" w14:textId="235D4C4D" w:rsidR="00581CC6" w:rsidRPr="00C3372E" w:rsidRDefault="00581CC6" w:rsidP="00581CC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581CC6" w:rsidRPr="0051165C" w14:paraId="3277A872" w14:textId="77777777" w:rsidTr="00861443">
        <w:trPr>
          <w:trHeight w:val="258"/>
        </w:trPr>
        <w:tc>
          <w:tcPr>
            <w:tcW w:w="2237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428274" w14:textId="77777777" w:rsidR="00581CC6" w:rsidRPr="00BA58B2" w:rsidRDefault="00581CC6" w:rsidP="00581CC6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  <w:lang w:val="en-US"/>
              </w:rPr>
            </w:pPr>
            <w:r>
              <w:rPr>
                <w:rFonts w:cs="Arial"/>
                <w:sz w:val="16"/>
                <w:szCs w:val="16"/>
                <w:lang w:val="en-US"/>
              </w:rPr>
              <w:t>Countries</w:t>
            </w:r>
            <w:r w:rsidRPr="00070820">
              <w:rPr>
                <w:rFonts w:cs="Arial"/>
                <w:sz w:val="16"/>
                <w:szCs w:val="16"/>
                <w:lang w:val="en-US"/>
              </w:rPr>
              <w:t xml:space="preserve"> of Cent. and East. </w:t>
            </w:r>
            <w:r w:rsidRPr="00BA58B2">
              <w:rPr>
                <w:rFonts w:cs="Arial"/>
                <w:sz w:val="16"/>
                <w:szCs w:val="16"/>
                <w:lang w:val="en-US"/>
              </w:rPr>
              <w:t>Europe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001D77"/>
              <w:bottom w:val="nil"/>
              <w:right w:val="single" w:sz="4" w:space="0" w:color="auto"/>
            </w:tcBorders>
            <w:vAlign w:val="center"/>
          </w:tcPr>
          <w:p w14:paraId="6393431A" w14:textId="61943DEA" w:rsidR="00581CC6" w:rsidRPr="00C3372E" w:rsidRDefault="00581CC6" w:rsidP="00581CC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33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38227AB" w14:textId="2E8C8627" w:rsidR="00581CC6" w:rsidRPr="00C3372E" w:rsidRDefault="00581CC6" w:rsidP="00581CC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2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338A230" w14:textId="7C983D9E" w:rsidR="00581CC6" w:rsidRPr="00C3372E" w:rsidRDefault="00581CC6" w:rsidP="00581CC6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EB2E7D3" w14:textId="2AED4C8B" w:rsidR="00581CC6" w:rsidRPr="00C3372E" w:rsidRDefault="00581CC6" w:rsidP="00581CC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0746211" w14:textId="0CD93679" w:rsidR="00581CC6" w:rsidRPr="00C3372E" w:rsidRDefault="00581CC6" w:rsidP="00581CC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BE30CE7" w14:textId="47832D8C" w:rsidR="00581CC6" w:rsidRPr="00C3372E" w:rsidRDefault="00581CC6" w:rsidP="00581CC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72D4F6" w14:textId="0C12C9DC" w:rsidR="00581CC6" w:rsidRPr="00C3372E" w:rsidRDefault="00581CC6" w:rsidP="00581CC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</w:tcPr>
          <w:p w14:paraId="20608915" w14:textId="12B8850A" w:rsidR="00581CC6" w:rsidRPr="00C3372E" w:rsidRDefault="00581CC6" w:rsidP="00581CC6">
            <w:pPr>
              <w:spacing w:after="0"/>
              <w:jc w:val="right"/>
              <w:rPr>
                <w:rFonts w:cs="Calibri"/>
                <w:bCs/>
                <w:sz w:val="16"/>
                <w:szCs w:val="16"/>
              </w:rPr>
            </w:pPr>
            <w:r w:rsidRPr="00016AB0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6D0C9E50" w14:textId="77777777" w:rsidR="00A06C78" w:rsidRPr="00B5363E" w:rsidRDefault="00A06C78" w:rsidP="00A06C78">
      <w:pPr>
        <w:pStyle w:val="Nagwek1"/>
        <w:spacing w:before="360"/>
        <w:rPr>
          <w:rFonts w:ascii="Fira Sans" w:hAnsi="Fira Sans"/>
          <w:b/>
          <w:szCs w:val="19"/>
          <w:lang w:val="en-GB"/>
        </w:rPr>
      </w:pPr>
      <w:r w:rsidRPr="00B5363E">
        <w:rPr>
          <w:rFonts w:ascii="Fira Sans" w:hAnsi="Fira Sans"/>
          <w:b/>
          <w:szCs w:val="19"/>
          <w:lang w:val="en-GB"/>
        </w:rPr>
        <w:t>Imports by country of consignment – countries</w:t>
      </w:r>
    </w:p>
    <w:p w14:paraId="18225D0C" w14:textId="15A3F790" w:rsidR="00A06C78" w:rsidRPr="00C3372E" w:rsidRDefault="00A06C78" w:rsidP="00A06C78">
      <w:pPr>
        <w:spacing w:line="288" w:lineRule="auto"/>
        <w:rPr>
          <w:shd w:val="clear" w:color="auto" w:fill="FFFFFF"/>
          <w:lang w:val="en-GB"/>
        </w:rPr>
      </w:pPr>
      <w:r w:rsidRPr="00071ED2">
        <w:rPr>
          <w:shd w:val="clear" w:color="auto" w:fill="FFFFFF"/>
          <w:lang w:val="en-GB"/>
        </w:rPr>
        <w:t xml:space="preserve">The share of Germany in imports by country of consignment in comparison with imports by country of origin was higher by </w:t>
      </w:r>
      <w:r w:rsidR="0036761B" w:rsidRPr="00071ED2">
        <w:rPr>
          <w:lang w:val="en-GB" w:eastAsia="pl-PL"/>
        </w:rPr>
        <w:t>5.</w:t>
      </w:r>
      <w:r w:rsidR="0080692D" w:rsidRPr="00071ED2">
        <w:rPr>
          <w:lang w:val="en-GB" w:eastAsia="pl-PL"/>
        </w:rPr>
        <w:t>5</w:t>
      </w:r>
      <w:r w:rsidR="0036761B" w:rsidRPr="00071ED2">
        <w:rPr>
          <w:lang w:val="en-GB" w:eastAsia="pl-PL"/>
        </w:rPr>
        <w:t xml:space="preserve"> </w:t>
      </w:r>
      <w:r w:rsidRPr="00071ED2">
        <w:rPr>
          <w:shd w:val="clear" w:color="auto" w:fill="FFFFFF"/>
          <w:lang w:val="en-GB"/>
        </w:rPr>
        <w:t xml:space="preserve">pp, the share of the Netherlands by </w:t>
      </w:r>
      <w:r w:rsidR="0036761B" w:rsidRPr="00071ED2">
        <w:rPr>
          <w:lang w:val="en-GB" w:eastAsia="pl-PL"/>
        </w:rPr>
        <w:t>2.</w:t>
      </w:r>
      <w:r w:rsidR="00071ED2" w:rsidRPr="00071ED2">
        <w:rPr>
          <w:lang w:val="en-GB" w:eastAsia="pl-PL"/>
        </w:rPr>
        <w:t>6</w:t>
      </w:r>
      <w:r w:rsidR="0036761B" w:rsidRPr="00071ED2">
        <w:rPr>
          <w:lang w:val="en-GB" w:eastAsia="pl-PL"/>
        </w:rPr>
        <w:t xml:space="preserve"> </w:t>
      </w:r>
      <w:r w:rsidRPr="00071ED2">
        <w:rPr>
          <w:shd w:val="clear" w:color="auto" w:fill="FFFFFF"/>
          <w:lang w:val="en-GB"/>
        </w:rPr>
        <w:t xml:space="preserve">pp, Belgium by </w:t>
      </w:r>
      <w:r w:rsidR="0036761B" w:rsidRPr="00071ED2">
        <w:rPr>
          <w:lang w:val="en-GB" w:eastAsia="pl-PL"/>
        </w:rPr>
        <w:t>1.</w:t>
      </w:r>
      <w:r w:rsidR="0080692D" w:rsidRPr="00071ED2">
        <w:rPr>
          <w:lang w:val="en-GB" w:eastAsia="pl-PL"/>
        </w:rPr>
        <w:t>8</w:t>
      </w:r>
      <w:r w:rsidR="0036761B" w:rsidRPr="00071ED2">
        <w:rPr>
          <w:lang w:val="en-GB" w:eastAsia="pl-PL"/>
        </w:rPr>
        <w:t xml:space="preserve"> </w:t>
      </w:r>
      <w:r w:rsidRPr="00071ED2">
        <w:rPr>
          <w:shd w:val="clear" w:color="auto" w:fill="FFFFFF"/>
          <w:lang w:val="en-GB"/>
        </w:rPr>
        <w:t xml:space="preserve">pp, Czechia by </w:t>
      </w:r>
      <w:r w:rsidR="00EC784C" w:rsidRPr="00071ED2">
        <w:rPr>
          <w:lang w:val="en-US" w:eastAsia="pl-PL"/>
        </w:rPr>
        <w:t>0</w:t>
      </w:r>
      <w:r w:rsidR="00AD6A93" w:rsidRPr="00071ED2">
        <w:rPr>
          <w:lang w:val="en-US" w:eastAsia="pl-PL"/>
        </w:rPr>
        <w:t>.</w:t>
      </w:r>
      <w:r w:rsidR="0080692D" w:rsidRPr="00071ED2">
        <w:rPr>
          <w:lang w:val="en-US" w:eastAsia="pl-PL"/>
        </w:rPr>
        <w:t>9</w:t>
      </w:r>
      <w:r w:rsidR="00EC784C" w:rsidRPr="00071ED2">
        <w:rPr>
          <w:lang w:val="en-US" w:eastAsia="pl-PL"/>
        </w:rPr>
        <w:t xml:space="preserve"> </w:t>
      </w:r>
      <w:r w:rsidRPr="00071ED2">
        <w:rPr>
          <w:shd w:val="clear" w:color="auto" w:fill="FFFFFF"/>
          <w:lang w:val="en-GB"/>
        </w:rPr>
        <w:t xml:space="preserve">pp and France by </w:t>
      </w:r>
      <w:r w:rsidR="00EC784C" w:rsidRPr="00071ED2">
        <w:rPr>
          <w:lang w:val="en-US" w:eastAsia="pl-PL"/>
        </w:rPr>
        <w:t>0</w:t>
      </w:r>
      <w:r w:rsidR="00AD6A93" w:rsidRPr="00071ED2">
        <w:rPr>
          <w:lang w:val="en-US" w:eastAsia="pl-PL"/>
        </w:rPr>
        <w:t>.</w:t>
      </w:r>
      <w:r w:rsidR="00EC784C" w:rsidRPr="00071ED2">
        <w:rPr>
          <w:lang w:val="en-US" w:eastAsia="pl-PL"/>
        </w:rPr>
        <w:t xml:space="preserve">6 </w:t>
      </w:r>
      <w:r w:rsidRPr="00071ED2">
        <w:rPr>
          <w:shd w:val="clear" w:color="auto" w:fill="FFFFFF"/>
          <w:lang w:val="en-GB"/>
        </w:rPr>
        <w:t>pp.</w:t>
      </w:r>
      <w:r w:rsidRPr="00C3372E">
        <w:rPr>
          <w:shd w:val="clear" w:color="auto" w:fill="FFFFFF"/>
          <w:lang w:val="en-GB"/>
        </w:rPr>
        <w:t xml:space="preserve"> </w:t>
      </w:r>
    </w:p>
    <w:p w14:paraId="5D0AA182" w14:textId="2FF3601F" w:rsidR="00A06C78" w:rsidRPr="00A06C78" w:rsidRDefault="00A06C78" w:rsidP="00A06C78">
      <w:pPr>
        <w:pStyle w:val="Tytutablicy"/>
        <w:rPr>
          <w:lang w:val="en-GB"/>
        </w:rPr>
      </w:pPr>
      <w:r w:rsidRPr="001D7DC0">
        <w:rPr>
          <w:noProof/>
        </w:rPr>
        <mc:AlternateContent>
          <mc:Choice Requires="wps">
            <w:drawing>
              <wp:anchor distT="45720" distB="45720" distL="114300" distR="114300" simplePos="0" relativeHeight="251774976" behindDoc="1" locked="0" layoutInCell="1" allowOverlap="1" wp14:anchorId="4F055C57" wp14:editId="4D67FB6E">
                <wp:simplePos x="0" y="0"/>
                <wp:positionH relativeFrom="page">
                  <wp:posOffset>5820797</wp:posOffset>
                </wp:positionH>
                <wp:positionV relativeFrom="paragraph">
                  <wp:posOffset>1333720</wp:posOffset>
                </wp:positionV>
                <wp:extent cx="1725295" cy="1395730"/>
                <wp:effectExtent l="0" t="0" r="0" b="0"/>
                <wp:wrapTight wrapText="bothSides">
                  <wp:wrapPolygon edited="0">
                    <wp:start x="715" y="0"/>
                    <wp:lineTo x="715" y="21227"/>
                    <wp:lineTo x="20749" y="21227"/>
                    <wp:lineTo x="20749" y="0"/>
                    <wp:lineTo x="715" y="0"/>
                  </wp:wrapPolygon>
                </wp:wrapTight>
                <wp:docPr id="32" name="Pole tekstowe 32" descr="Imports from China in January - September 2023 according by country of consignment in comparison with imports by country of origin was lower by 5.3 pp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3957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4CDA3" w14:textId="59E4B965" w:rsidR="00823FDB" w:rsidRPr="001D7DC0" w:rsidRDefault="00823FDB" w:rsidP="00A06C78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1D7DC0">
                              <w:rPr>
                                <w:lang w:val="en-GB"/>
                              </w:rPr>
                              <w:t xml:space="preserve">Imports from China </w:t>
                            </w:r>
                            <w:r>
                              <w:rPr>
                                <w:lang w:val="en-GB"/>
                              </w:rPr>
                              <w:t xml:space="preserve">in January - September 2023 </w:t>
                            </w:r>
                            <w:r w:rsidRPr="001D7DC0">
                              <w:rPr>
                                <w:lang w:val="en-GB"/>
                              </w:rPr>
                              <w:t xml:space="preserve">according by country of consignment in comparison with imports by country of origin was lower by </w:t>
                            </w:r>
                            <w:r>
                              <w:rPr>
                                <w:lang w:val="en-GB"/>
                              </w:rPr>
                              <w:t>5</w:t>
                            </w:r>
                            <w:r w:rsidRPr="001D7DC0">
                              <w:rPr>
                                <w:lang w:val="en-GB"/>
                              </w:rPr>
                              <w:t>.</w:t>
                            </w:r>
                            <w:r>
                              <w:rPr>
                                <w:lang w:val="en-GB"/>
                              </w:rPr>
                              <w:t>3</w:t>
                            </w:r>
                            <w:r w:rsidRPr="001D7DC0">
                              <w:rPr>
                                <w:lang w:val="en-GB"/>
                              </w:rPr>
                              <w:t> pp</w:t>
                            </w:r>
                          </w:p>
                          <w:p w14:paraId="7CF1D4CE" w14:textId="77777777" w:rsidR="00823FDB" w:rsidRPr="00193D62" w:rsidRDefault="00823FDB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47DE6EF" w14:textId="77777777" w:rsidR="00823FDB" w:rsidRPr="00193D62" w:rsidRDefault="00823FDB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D1141A7" w14:textId="77777777" w:rsidR="00823FDB" w:rsidRPr="00193D62" w:rsidRDefault="00823FDB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2A1093EA" w14:textId="77777777" w:rsidR="00823FDB" w:rsidRPr="00193D62" w:rsidRDefault="00823FDB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59072F3B" w14:textId="77777777" w:rsidR="00823FDB" w:rsidRPr="00193D62" w:rsidRDefault="00823FDB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03ABBF42" w14:textId="77777777" w:rsidR="00823FDB" w:rsidRPr="00193D62" w:rsidRDefault="00823FDB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6ED4EBC4" w14:textId="77777777" w:rsidR="00823FDB" w:rsidRPr="00193D62" w:rsidRDefault="00823FDB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9659F28" w14:textId="77777777" w:rsidR="00823FDB" w:rsidRPr="00193D62" w:rsidRDefault="00823FDB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4A97C388" w14:textId="77777777" w:rsidR="00823FDB" w:rsidRPr="00193D62" w:rsidRDefault="00823FDB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3B3517F1" w14:textId="77777777" w:rsidR="00823FDB" w:rsidRPr="00193D62" w:rsidRDefault="00823FDB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7EE442BA" w14:textId="77777777" w:rsidR="00823FDB" w:rsidRPr="00193D62" w:rsidRDefault="00823FDB" w:rsidP="00A06C78">
                            <w:pPr>
                              <w:pStyle w:val="tekstzboku"/>
                              <w:rPr>
                                <w:lang w:val="en-US"/>
                              </w:rPr>
                            </w:pPr>
                          </w:p>
                          <w:p w14:paraId="15E0D308" w14:textId="77777777" w:rsidR="00823FDB" w:rsidRPr="00193D62" w:rsidRDefault="00823FDB" w:rsidP="00A06C78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val="en-US"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055C57" id="Pole tekstowe 32" o:spid="_x0000_s1033" type="#_x0000_t202" alt="Imports from China in January - September 2023 according by country of consignment in comparison with imports by country of origin was lower by 5.3 pp" style="position:absolute;margin-left:458.35pt;margin-top:105pt;width:135.85pt;height:109.9pt;z-index:-25154150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" filled="f" stroked="f">
                <v:textbox>
                  <w:txbxContent>
                    <w:p w14:paraId="7624CDA3" w14:textId="59E4B965" w:rsidR="00823FDB" w:rsidRPr="001D7DC0" w:rsidRDefault="00823FDB" w:rsidP="00A06C78">
                      <w:pPr>
                        <w:pStyle w:val="tekstzboku"/>
                        <w:rPr>
                          <w:lang w:val="en-GB"/>
                        </w:rPr>
                      </w:pPr>
                      <w:r w:rsidRPr="001D7DC0">
                        <w:rPr>
                          <w:lang w:val="en-GB"/>
                        </w:rPr>
                        <w:t xml:space="preserve">Imports from China </w:t>
                      </w:r>
                      <w:r>
                        <w:rPr>
                          <w:lang w:val="en-GB"/>
                        </w:rPr>
                        <w:t xml:space="preserve">in January - September 2023 </w:t>
                      </w:r>
                      <w:r w:rsidRPr="001D7DC0">
                        <w:rPr>
                          <w:lang w:val="en-GB"/>
                        </w:rPr>
                        <w:t xml:space="preserve">according by country of consignment in comparison with imports by country of origin was lower by </w:t>
                      </w:r>
                      <w:r>
                        <w:rPr>
                          <w:lang w:val="en-GB"/>
                        </w:rPr>
                        <w:t>5</w:t>
                      </w:r>
                      <w:r w:rsidRPr="001D7DC0">
                        <w:rPr>
                          <w:lang w:val="en-GB"/>
                        </w:rPr>
                        <w:t>.</w:t>
                      </w:r>
                      <w:r>
                        <w:rPr>
                          <w:lang w:val="en-GB"/>
                        </w:rPr>
                        <w:t>3</w:t>
                      </w:r>
                      <w:r w:rsidRPr="001D7DC0">
                        <w:rPr>
                          <w:lang w:val="en-GB"/>
                        </w:rPr>
                        <w:t> pp</w:t>
                      </w:r>
                    </w:p>
                    <w:p w14:paraId="7CF1D4CE" w14:textId="77777777" w:rsidR="00823FDB" w:rsidRPr="00193D62" w:rsidRDefault="00823FDB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47DE6EF" w14:textId="77777777" w:rsidR="00823FDB" w:rsidRPr="00193D62" w:rsidRDefault="00823FDB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D1141A7" w14:textId="77777777" w:rsidR="00823FDB" w:rsidRPr="00193D62" w:rsidRDefault="00823FDB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2A1093EA" w14:textId="77777777" w:rsidR="00823FDB" w:rsidRPr="00193D62" w:rsidRDefault="00823FDB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59072F3B" w14:textId="77777777" w:rsidR="00823FDB" w:rsidRPr="00193D62" w:rsidRDefault="00823FDB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03ABBF42" w14:textId="77777777" w:rsidR="00823FDB" w:rsidRPr="00193D62" w:rsidRDefault="00823FDB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6ED4EBC4" w14:textId="77777777" w:rsidR="00823FDB" w:rsidRPr="00193D62" w:rsidRDefault="00823FDB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9659F28" w14:textId="77777777" w:rsidR="00823FDB" w:rsidRPr="00193D62" w:rsidRDefault="00823FDB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4A97C388" w14:textId="77777777" w:rsidR="00823FDB" w:rsidRPr="00193D62" w:rsidRDefault="00823FDB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3B3517F1" w14:textId="77777777" w:rsidR="00823FDB" w:rsidRPr="00193D62" w:rsidRDefault="00823FDB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7EE442BA" w14:textId="77777777" w:rsidR="00823FDB" w:rsidRPr="00193D62" w:rsidRDefault="00823FDB" w:rsidP="00A06C78">
                      <w:pPr>
                        <w:pStyle w:val="tekstzboku"/>
                        <w:rPr>
                          <w:lang w:val="en-US"/>
                        </w:rPr>
                      </w:pPr>
                    </w:p>
                    <w:p w14:paraId="15E0D308" w14:textId="77777777" w:rsidR="00823FDB" w:rsidRPr="00193D62" w:rsidRDefault="00823FDB" w:rsidP="00A06C78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val="en-US" w:eastAsia="pl-PL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B5363E">
        <w:rPr>
          <w:lang w:val="en-GB"/>
        </w:rPr>
        <w:t xml:space="preserve">Table 4. Imports by country of consignment – countries </w:t>
      </w:r>
    </w:p>
    <w:tbl>
      <w:tblPr>
        <w:tblpPr w:leftFromText="141" w:rightFromText="141" w:vertAnchor="page" w:horzAnchor="margin" w:tblpY="9882"/>
        <w:tblW w:w="4973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e 4. Imports by country of consignment – countries "/>
      </w:tblPr>
      <w:tblGrid>
        <w:gridCol w:w="2268"/>
        <w:gridCol w:w="911"/>
        <w:gridCol w:w="772"/>
        <w:gridCol w:w="772"/>
        <w:gridCol w:w="671"/>
        <w:gridCol w:w="671"/>
        <w:gridCol w:w="670"/>
        <w:gridCol w:w="644"/>
        <w:gridCol w:w="644"/>
      </w:tblGrid>
      <w:tr w:rsidR="00352FDF" w:rsidRPr="00366025" w14:paraId="46AF3917" w14:textId="77777777" w:rsidTr="009835E7">
        <w:tc>
          <w:tcPr>
            <w:tcW w:w="2268" w:type="dxa"/>
            <w:vMerge w:val="restart"/>
            <w:tcBorders>
              <w:top w:val="nil"/>
              <w:bottom w:val="single" w:sz="2" w:space="0" w:color="auto"/>
              <w:right w:val="single" w:sz="2" w:space="0" w:color="auto"/>
            </w:tcBorders>
            <w:vAlign w:val="center"/>
          </w:tcPr>
          <w:p w14:paraId="3385F1A2" w14:textId="77777777" w:rsidR="00B92B28" w:rsidRPr="000C2149" w:rsidRDefault="00B92B28" w:rsidP="00C0310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SPECIFICATION</w:t>
            </w:r>
          </w:p>
        </w:tc>
        <w:tc>
          <w:tcPr>
            <w:tcW w:w="4467" w:type="dxa"/>
            <w:gridSpan w:val="6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93B3FC" w14:textId="6D33C54C" w:rsidR="00B92B28" w:rsidRPr="000C2149" w:rsidRDefault="00F95600" w:rsidP="00212B03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I-IX</w:t>
            </w:r>
            <w:r w:rsidR="00EC784C">
              <w:rPr>
                <w:rFonts w:cs="Arial"/>
                <w:sz w:val="16"/>
                <w:szCs w:val="16"/>
              </w:rPr>
              <w:t xml:space="preserve"> </w:t>
            </w:r>
            <w:r w:rsidR="00C7731D">
              <w:rPr>
                <w:rFonts w:cs="Arial"/>
                <w:sz w:val="16"/>
                <w:szCs w:val="16"/>
              </w:rPr>
              <w:t>2023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6CA61D" w14:textId="7966DBB6"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20</w:t>
            </w:r>
            <w:r w:rsidR="00F127BB">
              <w:rPr>
                <w:rFonts w:cs="Arial"/>
                <w:sz w:val="16"/>
                <w:szCs w:val="16"/>
              </w:rPr>
              <w:t>2</w:t>
            </w:r>
            <w:r w:rsidR="00C7731D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single" w:sz="2" w:space="0" w:color="auto"/>
              <w:bottom w:val="single" w:sz="2" w:space="0" w:color="auto"/>
            </w:tcBorders>
            <w:vAlign w:val="center"/>
          </w:tcPr>
          <w:p w14:paraId="602D58A9" w14:textId="680008C7" w:rsidR="00B92B28" w:rsidRPr="000C2149" w:rsidRDefault="00B92B28" w:rsidP="00F127BB">
            <w:pPr>
              <w:spacing w:before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2</w:t>
            </w:r>
            <w:r w:rsidR="0086768A">
              <w:rPr>
                <w:rFonts w:cs="Arial"/>
                <w:sz w:val="16"/>
                <w:szCs w:val="16"/>
              </w:rPr>
              <w:t>02</w:t>
            </w:r>
            <w:r w:rsidR="00C7731D">
              <w:rPr>
                <w:rFonts w:cs="Arial"/>
                <w:sz w:val="16"/>
                <w:szCs w:val="16"/>
              </w:rPr>
              <w:t>3</w:t>
            </w:r>
          </w:p>
        </w:tc>
      </w:tr>
      <w:tr w:rsidR="00352FDF" w:rsidRPr="00366025" w14:paraId="1CDF10F7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4B2DFE32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3E7DB202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7722DB81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0F4BC978" w14:textId="77777777"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697CBFC2" w14:textId="77777777" w:rsidR="00B92B28" w:rsidRPr="000C2149" w:rsidRDefault="00B92B28" w:rsidP="00C03108">
            <w:pPr>
              <w:spacing w:before="6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72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bottom"/>
          </w:tcPr>
          <w:p w14:paraId="71D55409" w14:textId="77777777"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bn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</w:t>
            </w:r>
          </w:p>
          <w:p w14:paraId="2005BFF4" w14:textId="77777777" w:rsidR="00B92B28" w:rsidRPr="000C2149" w:rsidRDefault="00B92B28" w:rsidP="00C03108">
            <w:pPr>
              <w:spacing w:before="6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201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A1AFA9" w14:textId="018EAFCC" w:rsidR="00B92B28" w:rsidRPr="000C2149" w:rsidRDefault="00F95600" w:rsidP="00212B03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I-IX</w:t>
            </w:r>
            <w:r w:rsidR="00EC784C">
              <w:rPr>
                <w:rFonts w:cs="Arial"/>
                <w:sz w:val="16"/>
                <w:szCs w:val="16"/>
              </w:rPr>
              <w:t xml:space="preserve"> </w:t>
            </w:r>
            <w:r w:rsidR="00E95E42">
              <w:rPr>
                <w:rFonts w:cs="Arial"/>
                <w:sz w:val="16"/>
                <w:szCs w:val="16"/>
              </w:rPr>
              <w:t>202</w:t>
            </w:r>
            <w:r w:rsidR="00C7731D">
              <w:rPr>
                <w:rFonts w:cs="Arial"/>
                <w:sz w:val="16"/>
                <w:szCs w:val="16"/>
              </w:rPr>
              <w:t>2</w:t>
            </w:r>
            <w:r w:rsidR="00E95E42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  <w:vAlign w:val="center"/>
          </w:tcPr>
          <w:p w14:paraId="30DCACD4" w14:textId="087EB6B8" w:rsidR="00B92B28" w:rsidRPr="000C2149" w:rsidRDefault="00F95600" w:rsidP="003851D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I-IX</w:t>
            </w:r>
          </w:p>
        </w:tc>
      </w:tr>
      <w:tr w:rsidR="002A434C" w:rsidRPr="00366025" w14:paraId="3E9A74BF" w14:textId="77777777" w:rsidTr="009835E7">
        <w:tc>
          <w:tcPr>
            <w:tcW w:w="2268" w:type="dxa"/>
            <w:vMerge/>
            <w:tcBorders>
              <w:top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349AA64D" w14:textId="77777777" w:rsidR="00B92B28" w:rsidRPr="000C2149" w:rsidRDefault="00B92B28" w:rsidP="00C03108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911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2BEAB842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center"/>
          </w:tcPr>
          <w:p w14:paraId="66AB7F1C" w14:textId="77777777" w:rsidR="00B92B28" w:rsidRPr="000C2149" w:rsidRDefault="00B92B28" w:rsidP="00C03108">
            <w:pPr>
              <w:spacing w:before="6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</w:tcPr>
          <w:p w14:paraId="5C384BC8" w14:textId="77777777" w:rsidR="00B92B28" w:rsidRPr="000C2149" w:rsidRDefault="00B92B28" w:rsidP="00C03108">
            <w:pPr>
              <w:spacing w:before="6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76C02619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4482833E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top w:val="single" w:sz="2" w:space="0" w:color="auto"/>
              <w:left w:val="single" w:sz="2" w:space="0" w:color="auto"/>
              <w:bottom w:val="single" w:sz="12" w:space="0" w:color="001D77"/>
              <w:right w:val="single" w:sz="2" w:space="0" w:color="auto"/>
            </w:tcBorders>
            <w:vAlign w:val="bottom"/>
          </w:tcPr>
          <w:p w14:paraId="5DF1CC98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r w:rsidRPr="000C2149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001D77"/>
            </w:tcBorders>
            <w:vAlign w:val="bottom"/>
          </w:tcPr>
          <w:p w14:paraId="2042D2B7" w14:textId="77777777" w:rsidR="00B92B28" w:rsidRPr="000C2149" w:rsidRDefault="00B92B28" w:rsidP="00C03108">
            <w:pPr>
              <w:spacing w:before="60"/>
              <w:jc w:val="center"/>
              <w:rPr>
                <w:rFonts w:cs="Arial"/>
                <w:sz w:val="16"/>
                <w:szCs w:val="16"/>
              </w:rPr>
            </w:pPr>
            <w:proofErr w:type="spellStart"/>
            <w:r w:rsidRPr="000C2149">
              <w:rPr>
                <w:rFonts w:cs="Arial"/>
                <w:sz w:val="16"/>
                <w:szCs w:val="16"/>
              </w:rPr>
              <w:t>structure</w:t>
            </w:r>
            <w:proofErr w:type="spellEnd"/>
            <w:r w:rsidRPr="000C2149">
              <w:rPr>
                <w:rFonts w:cs="Arial"/>
                <w:sz w:val="16"/>
                <w:szCs w:val="16"/>
              </w:rPr>
              <w:t xml:space="preserve"> in %</w:t>
            </w:r>
          </w:p>
        </w:tc>
      </w:tr>
      <w:tr w:rsidR="00B92B28" w:rsidRPr="00366025" w14:paraId="5BB22F7E" w14:textId="77777777" w:rsidTr="004B0767">
        <w:tc>
          <w:tcPr>
            <w:tcW w:w="8023" w:type="dxa"/>
            <w:gridSpan w:val="9"/>
            <w:tcBorders>
              <w:top w:val="single" w:sz="12" w:space="0" w:color="001D77"/>
              <w:bottom w:val="single" w:sz="4" w:space="0" w:color="000000" w:themeColor="text1"/>
            </w:tcBorders>
            <w:vAlign w:val="center"/>
          </w:tcPr>
          <w:p w14:paraId="467D9B0E" w14:textId="77777777" w:rsidR="00B92B28" w:rsidRPr="00366025" w:rsidRDefault="00B92B28" w:rsidP="00C03108">
            <w:pPr>
              <w:spacing w:before="6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S (country of </w:t>
            </w:r>
            <w:proofErr w:type="spellStart"/>
            <w:r>
              <w:rPr>
                <w:rFonts w:cs="Arial"/>
                <w:b/>
                <w:sz w:val="16"/>
                <w:szCs w:val="16"/>
              </w:rPr>
              <w:t>consignment</w:t>
            </w:r>
            <w:proofErr w:type="spellEnd"/>
            <w:r>
              <w:rPr>
                <w:rFonts w:cs="Arial"/>
                <w:b/>
                <w:sz w:val="16"/>
                <w:szCs w:val="16"/>
              </w:rPr>
              <w:t>)</w:t>
            </w:r>
          </w:p>
        </w:tc>
      </w:tr>
      <w:tr w:rsidR="000E3B1D" w:rsidRPr="00366025" w14:paraId="11B4C489" w14:textId="77777777" w:rsidTr="00861443">
        <w:tc>
          <w:tcPr>
            <w:tcW w:w="2268" w:type="dxa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</w:tcPr>
          <w:p w14:paraId="5DD4D295" w14:textId="44D1B51D" w:rsidR="000E3B1D" w:rsidRPr="0038490F" w:rsidRDefault="000E3B1D" w:rsidP="000E3B1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1.   Germany</w:t>
            </w:r>
            <w:r w:rsidRPr="0038490F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9F87DA" w14:textId="1F082A0F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296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2B9B5A" w14:textId="6422E0AE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70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F3876A" w14:textId="3EFD3391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64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EBE6F" w14:textId="0819B445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91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FC6265" w14:textId="7E14B2ED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78DC4" w14:textId="425ED8B4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E66036" w14:textId="2BA6A9EB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764D0">
              <w:rPr>
                <w:sz w:val="16"/>
                <w:szCs w:val="16"/>
              </w:rPr>
              <w:t>25</w:t>
            </w:r>
            <w:r w:rsidR="00071ED2">
              <w:rPr>
                <w:sz w:val="16"/>
                <w:szCs w:val="16"/>
              </w:rPr>
              <w:t>.</w:t>
            </w:r>
            <w:r w:rsidRPr="00C764D0">
              <w:rPr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05C072" w14:textId="02C568EB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25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0E3B1D" w:rsidRPr="00366025" w14:paraId="6D0EE025" w14:textId="77777777" w:rsidTr="0086144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47D8E" w14:textId="4E54D7EF" w:rsidR="000E3B1D" w:rsidRPr="0038490F" w:rsidRDefault="000E3B1D" w:rsidP="000E3B1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2.   China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19CDB" w14:textId="1A9F45F1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B6974" w14:textId="3360919F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23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69768F" w14:textId="3734F7F3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21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629AF" w14:textId="0719FDEC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81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AA0155" w14:textId="21DA96F8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83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01DCCA" w14:textId="42494343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83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801317" w14:textId="78D15304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764D0">
              <w:rPr>
                <w:sz w:val="16"/>
                <w:szCs w:val="16"/>
              </w:rPr>
              <w:t>9</w:t>
            </w:r>
            <w:r w:rsidR="00071ED2">
              <w:rPr>
                <w:sz w:val="16"/>
                <w:szCs w:val="16"/>
              </w:rPr>
              <w:t>.</w:t>
            </w:r>
            <w:r w:rsidRPr="00C764D0">
              <w:rPr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5B692DCC" w14:textId="45E6D05E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  <w:tr w:rsidR="000E3B1D" w:rsidRPr="00366025" w14:paraId="363D4F13" w14:textId="77777777" w:rsidTr="0086144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9E100" w14:textId="3CD9F115" w:rsidR="000E3B1D" w:rsidRPr="0038490F" w:rsidRDefault="000E3B1D" w:rsidP="000E3B1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3.   </w:t>
            </w:r>
            <w:proofErr w:type="spellStart"/>
            <w:r>
              <w:rPr>
                <w:rFonts w:cs="Arial"/>
                <w:sz w:val="16"/>
                <w:szCs w:val="16"/>
              </w:rPr>
              <w:t>Netherlands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9BD0D" w14:textId="6BFA0D32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76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D685E5" w14:textId="0D28FCA2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18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DB8ADE" w14:textId="0FE995AC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16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6B36F8" w14:textId="4DC47BCB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97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28BD82" w14:textId="4977ACCD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99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FAEFE9" w14:textId="4FAA57CD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98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25C4B" w14:textId="2AFC5771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764D0">
              <w:rPr>
                <w:sz w:val="16"/>
                <w:szCs w:val="16"/>
              </w:rPr>
              <w:t>6</w:t>
            </w:r>
            <w:r w:rsidR="00071ED2">
              <w:rPr>
                <w:sz w:val="16"/>
                <w:szCs w:val="16"/>
              </w:rPr>
              <w:t>.</w:t>
            </w:r>
            <w:r w:rsidRPr="00C764D0">
              <w:rPr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622B67E3" w14:textId="52E717B6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</w:tr>
      <w:tr w:rsidR="000E3B1D" w:rsidRPr="00366025" w14:paraId="61BB8B73" w14:textId="77777777" w:rsidTr="0086144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F5D0C" w14:textId="12B1EB88" w:rsidR="000E3B1D" w:rsidRPr="0038490F" w:rsidRDefault="000E3B1D" w:rsidP="000E3B1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4.   </w:t>
            </w:r>
            <w:proofErr w:type="spellStart"/>
            <w:r>
              <w:rPr>
                <w:rFonts w:cs="Arial"/>
                <w:sz w:val="16"/>
                <w:szCs w:val="16"/>
              </w:rPr>
              <w:t>Italy</w:t>
            </w:r>
            <w:proofErr w:type="spellEnd"/>
            <w:r w:rsidRPr="0027153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718AB3" w14:textId="4A2C9647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56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E2B9BC" w14:textId="02E9B149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13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FC50CB" w14:textId="525598A4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43A02" w14:textId="46DC4E30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225CC3" w14:textId="63492CB7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4D4608" w14:textId="45A000D3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94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48CA8" w14:textId="604119BA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764D0">
              <w:rPr>
                <w:rFonts w:cs="Calibri"/>
                <w:sz w:val="16"/>
                <w:szCs w:val="16"/>
              </w:rPr>
              <w:t>4</w:t>
            </w:r>
            <w:r w:rsidR="00071ED2">
              <w:rPr>
                <w:rFonts w:cs="Calibri"/>
                <w:sz w:val="16"/>
                <w:szCs w:val="16"/>
              </w:rPr>
              <w:t>.</w:t>
            </w:r>
            <w:r w:rsidRPr="00C764D0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214C44D" w14:textId="4F7EF1D7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0E3B1D" w:rsidRPr="00366025" w14:paraId="655D5B60" w14:textId="77777777" w:rsidTr="0086144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1A493" w14:textId="68C5D2A7" w:rsidR="000E3B1D" w:rsidRPr="0038490F" w:rsidRDefault="000E3B1D" w:rsidP="000E3B1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   </w:t>
            </w:r>
            <w:proofErr w:type="spellStart"/>
            <w:r>
              <w:rPr>
                <w:rFonts w:cs="Arial"/>
                <w:sz w:val="16"/>
                <w:szCs w:val="16"/>
              </w:rPr>
              <w:t>Belgium</w:t>
            </w:r>
            <w:proofErr w:type="spellEnd"/>
            <w:r w:rsidRPr="00271535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738786" w14:textId="1D01D7D7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47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22FDB7" w14:textId="2FC87C35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C2DBE" w14:textId="138A6755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23D12D" w14:textId="1C207C08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1C8EA1" w14:textId="1467CAA1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9883D1" w14:textId="4D1C1887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5ADC9" w14:textId="10F48023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764D0">
              <w:rPr>
                <w:rFonts w:cs="Calibri"/>
                <w:sz w:val="16"/>
                <w:szCs w:val="16"/>
              </w:rPr>
              <w:t>3</w:t>
            </w:r>
            <w:r w:rsidR="00071ED2">
              <w:rPr>
                <w:rFonts w:cs="Calibri"/>
                <w:sz w:val="16"/>
                <w:szCs w:val="16"/>
              </w:rPr>
              <w:t>.</w:t>
            </w:r>
            <w:r w:rsidRPr="00C764D0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3E8CF17" w14:textId="6ED4FE43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0E3B1D" w:rsidRPr="00366025" w14:paraId="3B24B404" w14:textId="77777777" w:rsidTr="0086144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70A7" w14:textId="1805264B" w:rsidR="000E3B1D" w:rsidRPr="0038490F" w:rsidRDefault="000E3B1D" w:rsidP="000E3B1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6.   </w:t>
            </w:r>
            <w:r w:rsidRPr="00271535">
              <w:rPr>
                <w:rFonts w:cs="Arial"/>
                <w:sz w:val="16"/>
                <w:szCs w:val="16"/>
              </w:rPr>
              <w:t xml:space="preserve"> </w:t>
            </w:r>
            <w:proofErr w:type="spellStart"/>
            <w:r w:rsidRPr="00271535">
              <w:rPr>
                <w:rFonts w:cs="Arial"/>
                <w:sz w:val="16"/>
                <w:szCs w:val="16"/>
              </w:rPr>
              <w:t>Czechia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F99D64" w14:textId="21201FE3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47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1806A7" w14:textId="48CFCEC9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11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C4224A" w14:textId="23629963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440C1" w14:textId="499C2FA1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151E15" w14:textId="21459230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2FC9AA" w14:textId="52B375C3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88E3F" w14:textId="6F4C4CEA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764D0">
              <w:rPr>
                <w:rFonts w:cs="Calibri"/>
                <w:sz w:val="16"/>
                <w:szCs w:val="16"/>
              </w:rPr>
              <w:t>3</w:t>
            </w:r>
            <w:r w:rsidR="00071ED2">
              <w:rPr>
                <w:rFonts w:cs="Calibri"/>
                <w:sz w:val="16"/>
                <w:szCs w:val="16"/>
              </w:rPr>
              <w:t>.</w:t>
            </w:r>
            <w:r w:rsidRPr="00C764D0">
              <w:rPr>
                <w:rFonts w:cs="Calibri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4B55F1A9" w14:textId="08348C75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</w:tr>
      <w:tr w:rsidR="000E3B1D" w:rsidRPr="00366025" w14:paraId="3256B01B" w14:textId="77777777" w:rsidTr="0086144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ACC35" w14:textId="5ADB29BD" w:rsidR="000E3B1D" w:rsidRPr="0038490F" w:rsidRDefault="000E3B1D" w:rsidP="000E3B1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 xml:space="preserve">  France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18BD0F" w14:textId="1FF5C7BB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43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19BDF1" w14:textId="0DDF6CAB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98AA0F" w14:textId="129B1CFE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C0BD50" w14:textId="087490C3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101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2BAB48" w14:textId="55A3906A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56E7DC" w14:textId="27F1FB36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09C2C1" w14:textId="54010EDE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trike/>
                <w:sz w:val="16"/>
                <w:szCs w:val="16"/>
              </w:rPr>
            </w:pPr>
            <w:r w:rsidRPr="00C764D0">
              <w:rPr>
                <w:rFonts w:cs="Calibri"/>
                <w:sz w:val="16"/>
                <w:szCs w:val="16"/>
              </w:rPr>
              <w:t>3</w:t>
            </w:r>
            <w:r w:rsidR="00071ED2">
              <w:rPr>
                <w:rFonts w:cs="Calibri"/>
                <w:sz w:val="16"/>
                <w:szCs w:val="16"/>
              </w:rPr>
              <w:t>.</w:t>
            </w:r>
            <w:r w:rsidRPr="00C764D0">
              <w:rPr>
                <w:rFonts w:cs="Calibri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3814C3E" w14:textId="02812572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</w:tr>
      <w:tr w:rsidR="000E3B1D" w:rsidRPr="00366025" w14:paraId="5922DD04" w14:textId="77777777" w:rsidTr="0086144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EBD85" w14:textId="076222BC" w:rsidR="000E3B1D" w:rsidRPr="0038490F" w:rsidRDefault="000E3B1D" w:rsidP="000E3B1D">
            <w:pPr>
              <w:tabs>
                <w:tab w:val="left" w:leader="dot" w:pos="2381"/>
              </w:tabs>
              <w:spacing w:after="0" w:line="240" w:lineRule="auto"/>
              <w:ind w:right="-56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8.   United </w:t>
            </w:r>
            <w:proofErr w:type="spellStart"/>
            <w:r>
              <w:rPr>
                <w:rFonts w:cs="Arial"/>
                <w:sz w:val="16"/>
                <w:szCs w:val="16"/>
              </w:rPr>
              <w:t>States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A97C9F" w14:textId="4D3F1C4B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34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1EA96B" w14:textId="2848569B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8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56368C" w14:textId="022207FE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7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77A068" w14:textId="0A802CA7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92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517FE3" w14:textId="4430FEBC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95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A3F398" w14:textId="47DAAC63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93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4D6AD" w14:textId="3FD01049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764D0">
              <w:rPr>
                <w:rFonts w:cs="Calibri"/>
                <w:sz w:val="16"/>
                <w:szCs w:val="16"/>
              </w:rPr>
              <w:t>3</w:t>
            </w:r>
            <w:r w:rsidR="00071ED2">
              <w:rPr>
                <w:rFonts w:cs="Calibri"/>
                <w:sz w:val="16"/>
                <w:szCs w:val="16"/>
              </w:rPr>
              <w:t>.</w:t>
            </w:r>
            <w:r w:rsidRPr="00C764D0">
              <w:rPr>
                <w:rFonts w:cs="Calibri"/>
                <w:sz w:val="16"/>
                <w:szCs w:val="16"/>
              </w:rPr>
              <w:t>0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16C7720" w14:textId="1ECB2569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3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</w:tr>
      <w:tr w:rsidR="000E3B1D" w:rsidRPr="00366025" w14:paraId="5370525D" w14:textId="77777777" w:rsidTr="00861443">
        <w:tc>
          <w:tcPr>
            <w:tcW w:w="226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5CCDA" w14:textId="3A9AC060" w:rsidR="000E3B1D" w:rsidRPr="0038490F" w:rsidRDefault="000E3B1D" w:rsidP="000E3B1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38490F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 xml:space="preserve">  </w:t>
            </w:r>
            <w:proofErr w:type="spellStart"/>
            <w:r>
              <w:rPr>
                <w:rFonts w:cs="Arial"/>
                <w:sz w:val="16"/>
                <w:szCs w:val="16"/>
              </w:rPr>
              <w:t>South</w:t>
            </w:r>
            <w:proofErr w:type="spellEnd"/>
            <w:r>
              <w:rPr>
                <w:rFonts w:cs="Arial"/>
                <w:sz w:val="16"/>
                <w:szCs w:val="16"/>
              </w:rPr>
              <w:t xml:space="preserve"> Korea</w:t>
            </w:r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109E57" w14:textId="70D23946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28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72C99" w14:textId="3EBE49D7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96BDE1" w14:textId="6273A74C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FF217A" w14:textId="58940197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125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41CC4" w14:textId="4A973F28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129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C03DB5" w14:textId="774168F3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127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C0C90" w14:textId="54959A27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764D0">
              <w:rPr>
                <w:rFonts w:cs="Calibri"/>
                <w:sz w:val="16"/>
                <w:szCs w:val="16"/>
              </w:rPr>
              <w:t>1</w:t>
            </w:r>
            <w:r w:rsidR="00071ED2">
              <w:rPr>
                <w:rFonts w:cs="Calibri"/>
                <w:sz w:val="16"/>
                <w:szCs w:val="16"/>
              </w:rPr>
              <w:t>.</w:t>
            </w:r>
            <w:r w:rsidRPr="00C764D0">
              <w:rPr>
                <w:rFonts w:cs="Calibri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54AD8E9" w14:textId="7B6E3B3F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</w:tr>
      <w:tr w:rsidR="000E3B1D" w:rsidRPr="00366025" w14:paraId="7A056665" w14:textId="77777777" w:rsidTr="00861443">
        <w:tc>
          <w:tcPr>
            <w:tcW w:w="2268" w:type="dxa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7148D09" w14:textId="7294494B" w:rsidR="000E3B1D" w:rsidRPr="0038490F" w:rsidRDefault="000E3B1D" w:rsidP="000E3B1D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10. </w:t>
            </w:r>
            <w:proofErr w:type="spellStart"/>
            <w:r>
              <w:rPr>
                <w:rFonts w:cs="Arial"/>
                <w:sz w:val="16"/>
                <w:szCs w:val="16"/>
              </w:rPr>
              <w:t>Spain</w:t>
            </w:r>
            <w:proofErr w:type="spellEnd"/>
          </w:p>
        </w:tc>
        <w:tc>
          <w:tcPr>
            <w:tcW w:w="9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A733E2E" w14:textId="15B713F0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27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2252F20" w14:textId="18FD0B1D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78D8BE1" w14:textId="1C6328CF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6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C3C2BDB" w14:textId="4EC092C0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102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B6B375D" w14:textId="1712296F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B37DD94" w14:textId="6D93A9A6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103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93C34BA" w14:textId="38B2569A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C764D0">
              <w:rPr>
                <w:rFonts w:cs="Calibri"/>
                <w:sz w:val="16"/>
                <w:szCs w:val="16"/>
              </w:rPr>
              <w:t>2</w:t>
            </w:r>
            <w:r w:rsidR="00071ED2">
              <w:rPr>
                <w:rFonts w:cs="Calibri"/>
                <w:sz w:val="16"/>
                <w:szCs w:val="16"/>
              </w:rPr>
              <w:t>.</w:t>
            </w:r>
            <w:r w:rsidRPr="00C764D0">
              <w:rPr>
                <w:rFonts w:cs="Calibri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14:paraId="15BFCC18" w14:textId="2112506A" w:rsidR="000E3B1D" w:rsidRPr="00C3372E" w:rsidRDefault="000E3B1D" w:rsidP="000E3B1D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Calibri"/>
                <w:color w:val="000000"/>
                <w:sz w:val="16"/>
                <w:szCs w:val="16"/>
              </w:rPr>
              <w:t>2</w:t>
            </w:r>
            <w:r w:rsidR="00071ED2">
              <w:rPr>
                <w:rFonts w:cs="Calibri"/>
                <w:color w:val="000000"/>
                <w:sz w:val="16"/>
                <w:szCs w:val="16"/>
              </w:rPr>
              <w:t>.</w:t>
            </w:r>
            <w:r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</w:tr>
    </w:tbl>
    <w:p w14:paraId="78632071" w14:textId="77777777" w:rsidR="007B26E4" w:rsidRDefault="007B26E4" w:rsidP="00F66D5E">
      <w:pPr>
        <w:spacing w:before="0" w:after="0"/>
        <w:rPr>
          <w:spacing w:val="-3"/>
          <w:szCs w:val="19"/>
          <w:lang w:val="en-US"/>
        </w:rPr>
      </w:pPr>
    </w:p>
    <w:p w14:paraId="27BA06F3" w14:textId="61C2F1A4" w:rsidR="00260BE9" w:rsidRPr="00071ED2" w:rsidRDefault="00E73C91" w:rsidP="00E73C91">
      <w:pPr>
        <w:spacing w:line="288" w:lineRule="auto"/>
        <w:rPr>
          <w:shd w:val="clear" w:color="auto" w:fill="FFFFFF"/>
          <w:lang w:val="en-GB"/>
        </w:rPr>
      </w:pPr>
      <w:r w:rsidRPr="00071ED2">
        <w:rPr>
          <w:shd w:val="clear" w:color="auto" w:fill="FFFFFF"/>
          <w:lang w:val="en-GB"/>
        </w:rPr>
        <w:lastRenderedPageBreak/>
        <w:t>In</w:t>
      </w:r>
      <w:r w:rsidR="002F24D3" w:rsidRPr="00071ED2">
        <w:rPr>
          <w:shd w:val="clear" w:color="auto" w:fill="FFFFFF"/>
          <w:lang w:val="en-GB"/>
        </w:rPr>
        <w:t xml:space="preserve"> </w:t>
      </w:r>
      <w:r w:rsidR="00584B4F" w:rsidRPr="00071ED2">
        <w:rPr>
          <w:shd w:val="clear" w:color="auto" w:fill="FFFFFF"/>
          <w:lang w:val="en-GB"/>
        </w:rPr>
        <w:t xml:space="preserve">January - </w:t>
      </w:r>
      <w:r w:rsidR="00C830AF" w:rsidRPr="00071ED2">
        <w:rPr>
          <w:shd w:val="clear" w:color="auto" w:fill="FFFFFF"/>
          <w:lang w:val="en-GB"/>
        </w:rPr>
        <w:t>September</w:t>
      </w:r>
      <w:r w:rsidR="00F71863" w:rsidRPr="00071ED2">
        <w:rPr>
          <w:shd w:val="clear" w:color="auto" w:fill="FFFFFF"/>
          <w:lang w:val="en-GB"/>
        </w:rPr>
        <w:t xml:space="preserve"> </w:t>
      </w:r>
      <w:r w:rsidR="0076506A" w:rsidRPr="00071ED2">
        <w:rPr>
          <w:shd w:val="clear" w:color="auto" w:fill="FFFFFF"/>
          <w:lang w:val="en-GB"/>
        </w:rPr>
        <w:t>202</w:t>
      </w:r>
      <w:r w:rsidR="001952C2" w:rsidRPr="00071ED2">
        <w:rPr>
          <w:shd w:val="clear" w:color="auto" w:fill="FFFFFF"/>
          <w:lang w:val="en-GB"/>
        </w:rPr>
        <w:t>3</w:t>
      </w:r>
      <w:r w:rsidR="0076506A" w:rsidRPr="00071ED2">
        <w:rPr>
          <w:shd w:val="clear" w:color="auto" w:fill="FFFFFF"/>
          <w:lang w:val="en-GB"/>
        </w:rPr>
        <w:t xml:space="preserve"> </w:t>
      </w:r>
      <w:r w:rsidRPr="00071ED2">
        <w:rPr>
          <w:shd w:val="clear" w:color="auto" w:fill="FFFFFF"/>
          <w:lang w:val="en-GB"/>
        </w:rPr>
        <w:t xml:space="preserve">trade turnover in goods according to the SITC nomenclature </w:t>
      </w:r>
      <w:r w:rsidR="00260BE9" w:rsidRPr="00071ED2">
        <w:rPr>
          <w:shd w:val="clear" w:color="auto" w:fill="FFFFFF"/>
          <w:lang w:val="en-GB"/>
        </w:rPr>
        <w:t xml:space="preserve">compared to the same period in 2022, </w:t>
      </w:r>
      <w:r w:rsidR="007E194E" w:rsidRPr="00071ED2">
        <w:rPr>
          <w:shd w:val="clear" w:color="auto" w:fill="FFFFFF"/>
          <w:lang w:val="en-GB"/>
        </w:rPr>
        <w:t>exports increased in four commodity sections, while imports increased in three</w:t>
      </w:r>
      <w:r w:rsidR="00BB438D" w:rsidRPr="00071ED2">
        <w:rPr>
          <w:shd w:val="clear" w:color="auto" w:fill="FFFFFF"/>
          <w:lang w:val="en-GB"/>
        </w:rPr>
        <w:t xml:space="preserve"> ones</w:t>
      </w:r>
      <w:r w:rsidR="007E194E" w:rsidRPr="00071ED2">
        <w:rPr>
          <w:shd w:val="clear" w:color="auto" w:fill="FFFFFF"/>
          <w:lang w:val="en-GB"/>
        </w:rPr>
        <w:t>.</w:t>
      </w:r>
    </w:p>
    <w:p w14:paraId="4914A71A" w14:textId="4E5D1C30" w:rsidR="00995700" w:rsidRPr="00071ED2" w:rsidRDefault="00E73C91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071ED2">
        <w:rPr>
          <w:spacing w:val="-2"/>
          <w:shd w:val="clear" w:color="auto" w:fill="FFFFFF"/>
          <w:lang w:val="en-GB"/>
        </w:rPr>
        <w:t xml:space="preserve">In exports the largest increase concerned </w:t>
      </w:r>
      <w:r w:rsidR="002B30B6" w:rsidRPr="00071ED2">
        <w:rPr>
          <w:spacing w:val="-2"/>
          <w:shd w:val="clear" w:color="auto" w:fill="FFFFFF"/>
          <w:lang w:val="en-GB"/>
        </w:rPr>
        <w:t xml:space="preserve">beverages and tobacco (by </w:t>
      </w:r>
      <w:r w:rsidR="000E3B1D" w:rsidRPr="00071ED2">
        <w:rPr>
          <w:spacing w:val="-2"/>
          <w:shd w:val="clear" w:color="auto" w:fill="FFFFFF"/>
          <w:lang w:val="en-GB"/>
        </w:rPr>
        <w:t>21</w:t>
      </w:r>
      <w:r w:rsidR="00071ED2" w:rsidRPr="00071ED2">
        <w:rPr>
          <w:spacing w:val="-2"/>
          <w:shd w:val="clear" w:color="auto" w:fill="FFFFFF"/>
          <w:lang w:val="en-GB"/>
        </w:rPr>
        <w:t>.</w:t>
      </w:r>
      <w:r w:rsidR="000E3B1D" w:rsidRPr="00071ED2">
        <w:rPr>
          <w:spacing w:val="-2"/>
          <w:shd w:val="clear" w:color="auto" w:fill="FFFFFF"/>
          <w:lang w:val="en-GB"/>
        </w:rPr>
        <w:t>0</w:t>
      </w:r>
      <w:r w:rsidR="002B30B6" w:rsidRPr="00071ED2">
        <w:rPr>
          <w:spacing w:val="-2"/>
          <w:shd w:val="clear" w:color="auto" w:fill="FFFFFF"/>
          <w:lang w:val="en-GB"/>
        </w:rPr>
        <w:t xml:space="preserve">%), </w:t>
      </w:r>
      <w:r w:rsidR="00260BE9" w:rsidRPr="00071ED2">
        <w:rPr>
          <w:spacing w:val="-2"/>
          <w:shd w:val="clear" w:color="auto" w:fill="FFFFFF"/>
          <w:lang w:val="en-GB"/>
        </w:rPr>
        <w:t xml:space="preserve">machinery and transport equipment (by </w:t>
      </w:r>
      <w:r w:rsidR="000E3B1D" w:rsidRPr="00071ED2">
        <w:rPr>
          <w:spacing w:val="-2"/>
          <w:shd w:val="clear" w:color="auto" w:fill="FFFFFF"/>
          <w:lang w:val="en-GB"/>
        </w:rPr>
        <w:t>10</w:t>
      </w:r>
      <w:r w:rsidR="00071ED2" w:rsidRPr="00071ED2">
        <w:rPr>
          <w:spacing w:val="-2"/>
          <w:shd w:val="clear" w:color="auto" w:fill="FFFFFF"/>
          <w:lang w:val="en-GB"/>
        </w:rPr>
        <w:t>.</w:t>
      </w:r>
      <w:r w:rsidR="000E3B1D" w:rsidRPr="00071ED2">
        <w:rPr>
          <w:spacing w:val="-2"/>
          <w:shd w:val="clear" w:color="auto" w:fill="FFFFFF"/>
          <w:lang w:val="en-GB"/>
        </w:rPr>
        <w:t>4</w:t>
      </w:r>
      <w:r w:rsidR="00260BE9" w:rsidRPr="00071ED2">
        <w:rPr>
          <w:spacing w:val="-2"/>
          <w:shd w:val="clear" w:color="auto" w:fill="FFFFFF"/>
          <w:lang w:val="en-GB"/>
        </w:rPr>
        <w:t xml:space="preserve">%), </w:t>
      </w:r>
      <w:r w:rsidR="002B30B6" w:rsidRPr="00071ED2">
        <w:rPr>
          <w:spacing w:val="-2"/>
          <w:shd w:val="clear" w:color="auto" w:fill="FFFFFF"/>
          <w:lang w:val="en-GB"/>
        </w:rPr>
        <w:t xml:space="preserve">food and live animals (by </w:t>
      </w:r>
      <w:r w:rsidR="000E3B1D" w:rsidRPr="00071ED2">
        <w:rPr>
          <w:spacing w:val="-2"/>
          <w:shd w:val="clear" w:color="auto" w:fill="FFFFFF"/>
          <w:lang w:val="en-GB"/>
        </w:rPr>
        <w:t>8</w:t>
      </w:r>
      <w:r w:rsidR="00071ED2" w:rsidRPr="00071ED2">
        <w:rPr>
          <w:spacing w:val="-2"/>
          <w:shd w:val="clear" w:color="auto" w:fill="FFFFFF"/>
          <w:lang w:val="en-GB"/>
        </w:rPr>
        <w:t>.</w:t>
      </w:r>
      <w:r w:rsidR="000E3B1D" w:rsidRPr="00071ED2">
        <w:rPr>
          <w:spacing w:val="-2"/>
          <w:shd w:val="clear" w:color="auto" w:fill="FFFFFF"/>
          <w:lang w:val="en-GB"/>
        </w:rPr>
        <w:t>6</w:t>
      </w:r>
      <w:r w:rsidR="002B30B6" w:rsidRPr="00071ED2">
        <w:rPr>
          <w:spacing w:val="-2"/>
          <w:shd w:val="clear" w:color="auto" w:fill="FFFFFF"/>
          <w:lang w:val="en-GB"/>
        </w:rPr>
        <w:t>%)</w:t>
      </w:r>
      <w:r w:rsidR="00912107">
        <w:rPr>
          <w:spacing w:val="-2"/>
          <w:shd w:val="clear" w:color="auto" w:fill="FFFFFF"/>
          <w:lang w:val="en-GB"/>
        </w:rPr>
        <w:t xml:space="preserve"> and</w:t>
      </w:r>
      <w:r w:rsidR="002B30B6" w:rsidRPr="00071ED2">
        <w:rPr>
          <w:spacing w:val="-2"/>
          <w:shd w:val="clear" w:color="auto" w:fill="FFFFFF"/>
          <w:lang w:val="en-GB"/>
        </w:rPr>
        <w:t xml:space="preserve"> </w:t>
      </w:r>
      <w:r w:rsidR="0036761B" w:rsidRPr="00071ED2">
        <w:rPr>
          <w:spacing w:val="-2"/>
          <w:shd w:val="clear" w:color="auto" w:fill="FFFFFF"/>
          <w:lang w:val="en-GB"/>
        </w:rPr>
        <w:t xml:space="preserve">miscellaneous manufactured articles (by </w:t>
      </w:r>
      <w:r w:rsidR="000E3B1D" w:rsidRPr="00071ED2">
        <w:rPr>
          <w:spacing w:val="-2"/>
          <w:shd w:val="clear" w:color="auto" w:fill="FFFFFF"/>
          <w:lang w:val="en-GB"/>
        </w:rPr>
        <w:t>1</w:t>
      </w:r>
      <w:r w:rsidR="00071ED2" w:rsidRPr="00071ED2">
        <w:rPr>
          <w:spacing w:val="-2"/>
          <w:shd w:val="clear" w:color="auto" w:fill="FFFFFF"/>
          <w:lang w:val="en-GB"/>
        </w:rPr>
        <w:t>.</w:t>
      </w:r>
      <w:r w:rsidR="000E3B1D" w:rsidRPr="00071ED2">
        <w:rPr>
          <w:spacing w:val="-2"/>
          <w:shd w:val="clear" w:color="auto" w:fill="FFFFFF"/>
          <w:lang w:val="en-GB"/>
        </w:rPr>
        <w:t>4</w:t>
      </w:r>
      <w:r w:rsidR="0036761B" w:rsidRPr="00071ED2">
        <w:rPr>
          <w:spacing w:val="-2"/>
          <w:shd w:val="clear" w:color="auto" w:fill="FFFFFF"/>
          <w:lang w:val="en-GB"/>
        </w:rPr>
        <w:t>%)</w:t>
      </w:r>
      <w:r w:rsidR="00AD6A93" w:rsidRPr="00071ED2">
        <w:rPr>
          <w:spacing w:val="-2"/>
          <w:shd w:val="clear" w:color="auto" w:fill="FFFFFF"/>
          <w:lang w:val="en-GB"/>
        </w:rPr>
        <w:t>.</w:t>
      </w:r>
      <w:r w:rsidR="0036761B" w:rsidRPr="00071ED2">
        <w:rPr>
          <w:spacing w:val="-2"/>
          <w:shd w:val="clear" w:color="auto" w:fill="FFFFFF"/>
          <w:lang w:val="en-GB"/>
        </w:rPr>
        <w:t xml:space="preserve"> </w:t>
      </w:r>
      <w:r w:rsidR="00995700" w:rsidRPr="00071ED2">
        <w:rPr>
          <w:spacing w:val="-2"/>
          <w:shd w:val="clear" w:color="auto" w:fill="FFFFFF"/>
          <w:lang w:val="en-GB"/>
        </w:rPr>
        <w:t xml:space="preserve">The decrease concerned commodities and transactions not classified in SITC (by </w:t>
      </w:r>
      <w:r w:rsidR="000E3B1D" w:rsidRPr="00071ED2">
        <w:rPr>
          <w:spacing w:val="-2"/>
          <w:shd w:val="clear" w:color="auto" w:fill="FFFFFF"/>
          <w:lang w:val="en-GB"/>
        </w:rPr>
        <w:t>36</w:t>
      </w:r>
      <w:r w:rsidR="00071ED2" w:rsidRPr="00071ED2">
        <w:rPr>
          <w:spacing w:val="-2"/>
          <w:shd w:val="clear" w:color="auto" w:fill="FFFFFF"/>
          <w:lang w:val="en-GB"/>
        </w:rPr>
        <w:t>.</w:t>
      </w:r>
      <w:r w:rsidR="000E3B1D" w:rsidRPr="00071ED2">
        <w:rPr>
          <w:spacing w:val="-2"/>
          <w:shd w:val="clear" w:color="auto" w:fill="FFFFFF"/>
          <w:lang w:val="en-GB"/>
        </w:rPr>
        <w:t>7</w:t>
      </w:r>
      <w:r w:rsidR="00995700" w:rsidRPr="00071ED2">
        <w:rPr>
          <w:spacing w:val="-2"/>
          <w:shd w:val="clear" w:color="auto" w:fill="FFFFFF"/>
          <w:lang w:val="en-GB"/>
        </w:rPr>
        <w:t xml:space="preserve">%), </w:t>
      </w:r>
      <w:r w:rsidR="000A5123" w:rsidRPr="00071ED2">
        <w:rPr>
          <w:spacing w:val="-2"/>
          <w:shd w:val="clear" w:color="auto" w:fill="FFFFFF"/>
          <w:lang w:val="en-GB"/>
        </w:rPr>
        <w:t xml:space="preserve">mineral fuels, lubricants and related materials (by </w:t>
      </w:r>
      <w:r w:rsidR="000E3B1D" w:rsidRPr="00071ED2">
        <w:rPr>
          <w:spacing w:val="-2"/>
          <w:shd w:val="clear" w:color="auto" w:fill="FFFFFF"/>
          <w:lang w:val="en-GB"/>
        </w:rPr>
        <w:t>17</w:t>
      </w:r>
      <w:r w:rsidR="00071ED2" w:rsidRPr="00071ED2">
        <w:rPr>
          <w:spacing w:val="-2"/>
          <w:shd w:val="clear" w:color="auto" w:fill="FFFFFF"/>
          <w:lang w:val="en-GB"/>
        </w:rPr>
        <w:t>.</w:t>
      </w:r>
      <w:r w:rsidR="000E3B1D" w:rsidRPr="00071ED2">
        <w:rPr>
          <w:spacing w:val="-2"/>
          <w:shd w:val="clear" w:color="auto" w:fill="FFFFFF"/>
          <w:lang w:val="en-GB"/>
        </w:rPr>
        <w:t>0</w:t>
      </w:r>
      <w:r w:rsidR="000A5123" w:rsidRPr="00071ED2">
        <w:rPr>
          <w:spacing w:val="-2"/>
          <w:shd w:val="clear" w:color="auto" w:fill="FFFFFF"/>
          <w:lang w:val="en-GB"/>
        </w:rPr>
        <w:t xml:space="preserve">%), </w:t>
      </w:r>
      <w:r w:rsidR="00995700" w:rsidRPr="00071ED2">
        <w:rPr>
          <w:spacing w:val="-2"/>
          <w:shd w:val="clear" w:color="auto" w:fill="FFFFFF"/>
          <w:lang w:val="en-GB"/>
        </w:rPr>
        <w:t xml:space="preserve">crude materials inedible except fuels (by </w:t>
      </w:r>
      <w:r w:rsidR="000E3B1D" w:rsidRPr="00071ED2">
        <w:rPr>
          <w:spacing w:val="-2"/>
          <w:shd w:val="clear" w:color="auto" w:fill="FFFFFF"/>
          <w:lang w:val="en-GB"/>
        </w:rPr>
        <w:t>15</w:t>
      </w:r>
      <w:r w:rsidR="00071ED2" w:rsidRPr="00071ED2">
        <w:rPr>
          <w:spacing w:val="-2"/>
          <w:shd w:val="clear" w:color="auto" w:fill="FFFFFF"/>
          <w:lang w:val="en-GB"/>
        </w:rPr>
        <w:t>.</w:t>
      </w:r>
      <w:r w:rsidR="000E3B1D" w:rsidRPr="00071ED2">
        <w:rPr>
          <w:spacing w:val="-2"/>
          <w:shd w:val="clear" w:color="auto" w:fill="FFFFFF"/>
          <w:lang w:val="en-GB"/>
        </w:rPr>
        <w:t>6</w:t>
      </w:r>
      <w:r w:rsidR="00995700" w:rsidRPr="00071ED2">
        <w:rPr>
          <w:spacing w:val="-2"/>
          <w:shd w:val="clear" w:color="auto" w:fill="FFFFFF"/>
          <w:lang w:val="en-GB"/>
        </w:rPr>
        <w:t xml:space="preserve">%), manufactured goods classified chiefly by material (by </w:t>
      </w:r>
      <w:r w:rsidR="000E3B1D" w:rsidRPr="00071ED2">
        <w:rPr>
          <w:spacing w:val="-2"/>
          <w:shd w:val="clear" w:color="auto" w:fill="FFFFFF"/>
          <w:lang w:val="en-GB"/>
        </w:rPr>
        <w:t>8</w:t>
      </w:r>
      <w:r w:rsidR="00071ED2" w:rsidRPr="00071ED2">
        <w:rPr>
          <w:spacing w:val="-2"/>
          <w:shd w:val="clear" w:color="auto" w:fill="FFFFFF"/>
          <w:lang w:val="en-GB"/>
        </w:rPr>
        <w:t>.</w:t>
      </w:r>
      <w:r w:rsidR="000E3B1D" w:rsidRPr="00071ED2">
        <w:rPr>
          <w:spacing w:val="-2"/>
          <w:shd w:val="clear" w:color="auto" w:fill="FFFFFF"/>
          <w:lang w:val="en-GB"/>
        </w:rPr>
        <w:t>3</w:t>
      </w:r>
      <w:r w:rsidR="00995700" w:rsidRPr="00071ED2">
        <w:rPr>
          <w:spacing w:val="-2"/>
          <w:shd w:val="clear" w:color="auto" w:fill="FFFFFF"/>
          <w:lang w:val="en-GB"/>
        </w:rPr>
        <w:t xml:space="preserve">%), chemicals and related products (by </w:t>
      </w:r>
      <w:r w:rsidR="000E3B1D" w:rsidRPr="00071ED2">
        <w:rPr>
          <w:spacing w:val="-2"/>
          <w:shd w:val="clear" w:color="auto" w:fill="FFFFFF"/>
          <w:lang w:val="en-GB"/>
        </w:rPr>
        <w:t>7</w:t>
      </w:r>
      <w:r w:rsidR="00071ED2" w:rsidRPr="00071ED2">
        <w:rPr>
          <w:spacing w:val="-2"/>
          <w:shd w:val="clear" w:color="auto" w:fill="FFFFFF"/>
          <w:lang w:val="en-GB"/>
        </w:rPr>
        <w:t>.</w:t>
      </w:r>
      <w:r w:rsidR="000E3B1D" w:rsidRPr="00071ED2">
        <w:rPr>
          <w:spacing w:val="-2"/>
          <w:shd w:val="clear" w:color="auto" w:fill="FFFFFF"/>
          <w:lang w:val="en-GB"/>
        </w:rPr>
        <w:t>1</w:t>
      </w:r>
      <w:r w:rsidR="00995700" w:rsidRPr="00071ED2">
        <w:rPr>
          <w:spacing w:val="-2"/>
          <w:shd w:val="clear" w:color="auto" w:fill="FFFFFF"/>
          <w:lang w:val="en-GB"/>
        </w:rPr>
        <w:t xml:space="preserve">%) and animal and vegetable oils, fats and waxes (by </w:t>
      </w:r>
      <w:r w:rsidR="000E3B1D" w:rsidRPr="00071ED2">
        <w:rPr>
          <w:spacing w:val="-2"/>
          <w:shd w:val="clear" w:color="auto" w:fill="FFFFFF"/>
          <w:lang w:val="en-GB"/>
        </w:rPr>
        <w:t>5</w:t>
      </w:r>
      <w:r w:rsidR="00071ED2" w:rsidRPr="00071ED2">
        <w:rPr>
          <w:spacing w:val="-2"/>
          <w:shd w:val="clear" w:color="auto" w:fill="FFFFFF"/>
          <w:lang w:val="en-GB"/>
        </w:rPr>
        <w:t>.</w:t>
      </w:r>
      <w:r w:rsidR="000E3B1D" w:rsidRPr="00071ED2">
        <w:rPr>
          <w:spacing w:val="-2"/>
          <w:shd w:val="clear" w:color="auto" w:fill="FFFFFF"/>
          <w:lang w:val="en-GB"/>
        </w:rPr>
        <w:t>6</w:t>
      </w:r>
      <w:r w:rsidR="00995700" w:rsidRPr="00071ED2">
        <w:rPr>
          <w:spacing w:val="-2"/>
          <w:shd w:val="clear" w:color="auto" w:fill="FFFFFF"/>
          <w:lang w:val="en-GB"/>
        </w:rPr>
        <w:t>%).</w:t>
      </w:r>
    </w:p>
    <w:p w14:paraId="1B294167" w14:textId="3E3D7F9D" w:rsidR="009F3FCB" w:rsidRPr="009F3FCB" w:rsidRDefault="00E73C91" w:rsidP="00E73C91">
      <w:pPr>
        <w:spacing w:line="288" w:lineRule="auto"/>
        <w:rPr>
          <w:spacing w:val="-2"/>
          <w:shd w:val="clear" w:color="auto" w:fill="FFFFFF"/>
          <w:lang w:val="en-GB"/>
        </w:rPr>
      </w:pPr>
      <w:r w:rsidRPr="00071ED2">
        <w:rPr>
          <w:spacing w:val="-2"/>
          <w:shd w:val="clear" w:color="auto" w:fill="FFFFFF"/>
          <w:lang w:val="en-GB"/>
        </w:rPr>
        <w:t xml:space="preserve">In imports an increase was recorded in </w:t>
      </w:r>
      <w:r w:rsidR="000F3941" w:rsidRPr="00071ED2">
        <w:rPr>
          <w:spacing w:val="-2"/>
          <w:shd w:val="clear" w:color="auto" w:fill="FFFFFF"/>
          <w:lang w:val="en-GB"/>
        </w:rPr>
        <w:t xml:space="preserve">beverages and tobacco (by </w:t>
      </w:r>
      <w:r w:rsidR="000E3B1D" w:rsidRPr="00071ED2">
        <w:rPr>
          <w:shd w:val="clear" w:color="auto" w:fill="FFFFFF"/>
          <w:lang w:val="en-GB"/>
        </w:rPr>
        <w:t>18</w:t>
      </w:r>
      <w:r w:rsidR="00071ED2" w:rsidRPr="00071ED2">
        <w:rPr>
          <w:shd w:val="clear" w:color="auto" w:fill="FFFFFF"/>
          <w:lang w:val="en-GB"/>
        </w:rPr>
        <w:t>.</w:t>
      </w:r>
      <w:r w:rsidR="000E3B1D" w:rsidRPr="00071ED2">
        <w:rPr>
          <w:shd w:val="clear" w:color="auto" w:fill="FFFFFF"/>
          <w:lang w:val="en-GB"/>
        </w:rPr>
        <w:t>5</w:t>
      </w:r>
      <w:r w:rsidR="006A1B99" w:rsidRPr="00071ED2">
        <w:rPr>
          <w:spacing w:val="-2"/>
          <w:shd w:val="clear" w:color="auto" w:fill="FFFFFF"/>
          <w:lang w:val="en-GB"/>
        </w:rPr>
        <w:t xml:space="preserve">%), </w:t>
      </w:r>
      <w:r w:rsidR="0029104C" w:rsidRPr="00071ED2">
        <w:rPr>
          <w:spacing w:val="-2"/>
          <w:shd w:val="clear" w:color="auto" w:fill="FFFFFF"/>
          <w:lang w:val="en-GB"/>
        </w:rPr>
        <w:t xml:space="preserve">food and live animals (by </w:t>
      </w:r>
      <w:r w:rsidR="000E3B1D" w:rsidRPr="00071ED2">
        <w:rPr>
          <w:shd w:val="clear" w:color="auto" w:fill="FFFFFF"/>
          <w:lang w:val="en-GB"/>
        </w:rPr>
        <w:t>7</w:t>
      </w:r>
      <w:r w:rsidR="00071ED2" w:rsidRPr="00071ED2">
        <w:rPr>
          <w:shd w:val="clear" w:color="auto" w:fill="FFFFFF"/>
          <w:lang w:val="en-GB"/>
        </w:rPr>
        <w:t>.</w:t>
      </w:r>
      <w:r w:rsidR="000E3B1D" w:rsidRPr="00071ED2">
        <w:rPr>
          <w:shd w:val="clear" w:color="auto" w:fill="FFFFFF"/>
          <w:lang w:val="en-GB"/>
        </w:rPr>
        <w:t>9</w:t>
      </w:r>
      <w:r w:rsidR="006A1B99" w:rsidRPr="00071ED2">
        <w:rPr>
          <w:spacing w:val="-2"/>
          <w:shd w:val="clear" w:color="auto" w:fill="FFFFFF"/>
          <w:lang w:val="en-GB"/>
        </w:rPr>
        <w:t>%)</w:t>
      </w:r>
      <w:r w:rsidR="007D509C" w:rsidRPr="00071ED2">
        <w:rPr>
          <w:spacing w:val="-2"/>
          <w:shd w:val="clear" w:color="auto" w:fill="FFFFFF"/>
          <w:lang w:val="en-GB"/>
        </w:rPr>
        <w:t xml:space="preserve"> and </w:t>
      </w:r>
      <w:r w:rsidR="009F3FCB" w:rsidRPr="00071ED2">
        <w:rPr>
          <w:spacing w:val="-2"/>
          <w:shd w:val="clear" w:color="auto" w:fill="FFFFFF"/>
          <w:lang w:val="en-GB"/>
        </w:rPr>
        <w:t xml:space="preserve">machinery and transport equipment (by </w:t>
      </w:r>
      <w:r w:rsidR="0097686A" w:rsidRPr="00071ED2">
        <w:rPr>
          <w:shd w:val="clear" w:color="auto" w:fill="FFFFFF"/>
          <w:lang w:val="en-GB"/>
        </w:rPr>
        <w:t>4</w:t>
      </w:r>
      <w:r w:rsidR="00071ED2" w:rsidRPr="00071ED2">
        <w:rPr>
          <w:shd w:val="clear" w:color="auto" w:fill="FFFFFF"/>
          <w:lang w:val="en-GB"/>
        </w:rPr>
        <w:t>.</w:t>
      </w:r>
      <w:r w:rsidR="0097686A" w:rsidRPr="00071ED2">
        <w:rPr>
          <w:shd w:val="clear" w:color="auto" w:fill="FFFFFF"/>
          <w:lang w:val="en-GB"/>
        </w:rPr>
        <w:t>5</w:t>
      </w:r>
      <w:r w:rsidR="009F3FCB" w:rsidRPr="00071ED2">
        <w:rPr>
          <w:spacing w:val="-2"/>
          <w:shd w:val="clear" w:color="auto" w:fill="FFFFFF"/>
          <w:lang w:val="en-GB"/>
        </w:rPr>
        <w:t>%)</w:t>
      </w:r>
      <w:r w:rsidR="007D509C" w:rsidRPr="00071ED2">
        <w:rPr>
          <w:spacing w:val="-2"/>
          <w:shd w:val="clear" w:color="auto" w:fill="FFFFFF"/>
          <w:lang w:val="en-GB"/>
        </w:rPr>
        <w:t>.</w:t>
      </w:r>
      <w:r w:rsidR="009F3FCB" w:rsidRPr="00071ED2">
        <w:rPr>
          <w:spacing w:val="-2"/>
          <w:shd w:val="clear" w:color="auto" w:fill="FFFFFF"/>
          <w:lang w:val="en-GB"/>
        </w:rPr>
        <w:t xml:space="preserve"> The largest decrease was recorded in commodities and transactions not classified elsewhere in SITC (by </w:t>
      </w:r>
      <w:r w:rsidR="0097686A" w:rsidRPr="00071ED2">
        <w:rPr>
          <w:shd w:val="clear" w:color="auto" w:fill="FFFFFF"/>
          <w:lang w:val="en-GB"/>
        </w:rPr>
        <w:t>60</w:t>
      </w:r>
      <w:r w:rsidR="00071ED2" w:rsidRPr="00071ED2">
        <w:rPr>
          <w:shd w:val="clear" w:color="auto" w:fill="FFFFFF"/>
          <w:lang w:val="en-GB"/>
        </w:rPr>
        <w:t>.</w:t>
      </w:r>
      <w:r w:rsidR="0097686A" w:rsidRPr="00071ED2">
        <w:rPr>
          <w:shd w:val="clear" w:color="auto" w:fill="FFFFFF"/>
          <w:lang w:val="en-GB"/>
        </w:rPr>
        <w:t>9</w:t>
      </w:r>
      <w:r w:rsidR="009F3FCB" w:rsidRPr="00071ED2">
        <w:rPr>
          <w:spacing w:val="-2"/>
          <w:shd w:val="clear" w:color="auto" w:fill="FFFFFF"/>
          <w:lang w:val="en-GB"/>
        </w:rPr>
        <w:t xml:space="preserve">%), vegetable oils, fats and waxes (by </w:t>
      </w:r>
      <w:r w:rsidR="0097686A" w:rsidRPr="00071ED2">
        <w:rPr>
          <w:shd w:val="clear" w:color="auto" w:fill="FFFFFF"/>
          <w:lang w:val="en-GB"/>
        </w:rPr>
        <w:t>27</w:t>
      </w:r>
      <w:r w:rsidR="00071ED2" w:rsidRPr="00071ED2">
        <w:rPr>
          <w:shd w:val="clear" w:color="auto" w:fill="FFFFFF"/>
          <w:lang w:val="en-GB"/>
        </w:rPr>
        <w:t>.</w:t>
      </w:r>
      <w:r w:rsidR="0097686A" w:rsidRPr="00071ED2">
        <w:rPr>
          <w:shd w:val="clear" w:color="auto" w:fill="FFFFFF"/>
          <w:lang w:val="en-GB"/>
        </w:rPr>
        <w:t>9</w:t>
      </w:r>
      <w:r w:rsidR="009F3FCB" w:rsidRPr="00071ED2">
        <w:rPr>
          <w:spacing w:val="-2"/>
          <w:shd w:val="clear" w:color="auto" w:fill="FFFFFF"/>
          <w:lang w:val="en-GB"/>
        </w:rPr>
        <w:t xml:space="preserve">%), </w:t>
      </w:r>
      <w:r w:rsidR="0097686A" w:rsidRPr="00071ED2">
        <w:rPr>
          <w:spacing w:val="-2"/>
          <w:shd w:val="clear" w:color="auto" w:fill="FFFFFF"/>
          <w:lang w:val="en-GB"/>
        </w:rPr>
        <w:t xml:space="preserve">crude materials inedible, except fuels (by </w:t>
      </w:r>
      <w:r w:rsidR="0097686A" w:rsidRPr="00071ED2">
        <w:rPr>
          <w:shd w:val="clear" w:color="auto" w:fill="FFFFFF"/>
          <w:lang w:val="en-GB"/>
        </w:rPr>
        <w:t>18</w:t>
      </w:r>
      <w:r w:rsidR="00071ED2" w:rsidRPr="00071ED2">
        <w:rPr>
          <w:shd w:val="clear" w:color="auto" w:fill="FFFFFF"/>
          <w:lang w:val="en-GB"/>
        </w:rPr>
        <w:t>.</w:t>
      </w:r>
      <w:r w:rsidR="0097686A" w:rsidRPr="00071ED2">
        <w:rPr>
          <w:shd w:val="clear" w:color="auto" w:fill="FFFFFF"/>
          <w:lang w:val="en-GB"/>
        </w:rPr>
        <w:t>5</w:t>
      </w:r>
      <w:r w:rsidR="0097686A" w:rsidRPr="00071ED2">
        <w:rPr>
          <w:spacing w:val="-2"/>
          <w:shd w:val="clear" w:color="auto" w:fill="FFFFFF"/>
          <w:lang w:val="en-GB"/>
        </w:rPr>
        <w:t xml:space="preserve">%), </w:t>
      </w:r>
      <w:r w:rsidR="007D509C" w:rsidRPr="00071ED2">
        <w:rPr>
          <w:spacing w:val="-2"/>
          <w:shd w:val="clear" w:color="auto" w:fill="FFFFFF"/>
          <w:lang w:val="en-GB"/>
        </w:rPr>
        <w:t xml:space="preserve">manufactured goods classified chiefly by material (by </w:t>
      </w:r>
      <w:r w:rsidR="0097686A" w:rsidRPr="00071ED2">
        <w:rPr>
          <w:shd w:val="clear" w:color="auto" w:fill="FFFFFF"/>
          <w:lang w:val="en-GB"/>
        </w:rPr>
        <w:t>17</w:t>
      </w:r>
      <w:r w:rsidR="00071ED2" w:rsidRPr="00071ED2">
        <w:rPr>
          <w:shd w:val="clear" w:color="auto" w:fill="FFFFFF"/>
          <w:lang w:val="en-GB"/>
        </w:rPr>
        <w:t>.</w:t>
      </w:r>
      <w:r w:rsidR="0097686A" w:rsidRPr="00071ED2">
        <w:rPr>
          <w:shd w:val="clear" w:color="auto" w:fill="FFFFFF"/>
          <w:lang w:val="en-GB"/>
        </w:rPr>
        <w:t>5</w:t>
      </w:r>
      <w:r w:rsidR="007D509C" w:rsidRPr="00071ED2">
        <w:rPr>
          <w:spacing w:val="-2"/>
          <w:shd w:val="clear" w:color="auto" w:fill="FFFFFF"/>
          <w:lang w:val="en-GB"/>
        </w:rPr>
        <w:t xml:space="preserve">%), chemicals and related products (by </w:t>
      </w:r>
      <w:r w:rsidR="0097686A" w:rsidRPr="00071ED2">
        <w:rPr>
          <w:shd w:val="clear" w:color="auto" w:fill="FFFFFF"/>
          <w:lang w:val="en-GB"/>
        </w:rPr>
        <w:t>9</w:t>
      </w:r>
      <w:r w:rsidR="00071ED2" w:rsidRPr="00071ED2">
        <w:rPr>
          <w:shd w:val="clear" w:color="auto" w:fill="FFFFFF"/>
          <w:lang w:val="en-GB"/>
        </w:rPr>
        <w:t>.</w:t>
      </w:r>
      <w:r w:rsidR="0097686A" w:rsidRPr="00071ED2">
        <w:rPr>
          <w:shd w:val="clear" w:color="auto" w:fill="FFFFFF"/>
          <w:lang w:val="en-GB"/>
        </w:rPr>
        <w:t>4</w:t>
      </w:r>
      <w:r w:rsidR="007D509C" w:rsidRPr="00071ED2">
        <w:rPr>
          <w:spacing w:val="-2"/>
          <w:shd w:val="clear" w:color="auto" w:fill="FFFFFF"/>
          <w:lang w:val="en-GB"/>
        </w:rPr>
        <w:t>%)</w:t>
      </w:r>
      <w:r w:rsidR="00DA3A53" w:rsidRPr="00071ED2">
        <w:rPr>
          <w:spacing w:val="-2"/>
          <w:shd w:val="clear" w:color="auto" w:fill="FFFFFF"/>
          <w:lang w:val="en-GB"/>
        </w:rPr>
        <w:t>,</w:t>
      </w:r>
      <w:r w:rsidR="007D509C" w:rsidRPr="00071ED2">
        <w:rPr>
          <w:spacing w:val="-2"/>
          <w:shd w:val="clear" w:color="auto" w:fill="FFFFFF"/>
          <w:lang w:val="en-GB"/>
        </w:rPr>
        <w:t xml:space="preserve"> </w:t>
      </w:r>
      <w:r w:rsidR="009F3FCB" w:rsidRPr="00071ED2">
        <w:rPr>
          <w:spacing w:val="-2"/>
          <w:shd w:val="clear" w:color="auto" w:fill="FFFFFF"/>
          <w:lang w:val="en-GB"/>
        </w:rPr>
        <w:t xml:space="preserve">miscellaneous manufactured articles (by </w:t>
      </w:r>
      <w:r w:rsidR="0097686A" w:rsidRPr="00071ED2">
        <w:rPr>
          <w:shd w:val="clear" w:color="auto" w:fill="FFFFFF"/>
          <w:lang w:val="en-GB"/>
        </w:rPr>
        <w:t>7</w:t>
      </w:r>
      <w:r w:rsidR="00071ED2" w:rsidRPr="00071ED2">
        <w:rPr>
          <w:shd w:val="clear" w:color="auto" w:fill="FFFFFF"/>
          <w:lang w:val="en-GB"/>
        </w:rPr>
        <w:t>.</w:t>
      </w:r>
      <w:r w:rsidR="0097686A" w:rsidRPr="00071ED2">
        <w:rPr>
          <w:shd w:val="clear" w:color="auto" w:fill="FFFFFF"/>
          <w:lang w:val="en-GB"/>
        </w:rPr>
        <w:t>8</w:t>
      </w:r>
      <w:r w:rsidR="009F3FCB" w:rsidRPr="00071ED2">
        <w:rPr>
          <w:spacing w:val="-2"/>
          <w:shd w:val="clear" w:color="auto" w:fill="FFFFFF"/>
          <w:lang w:val="en-GB"/>
        </w:rPr>
        <w:t xml:space="preserve">%) and </w:t>
      </w:r>
      <w:r w:rsidR="007D509C" w:rsidRPr="00071ED2">
        <w:rPr>
          <w:spacing w:val="-2"/>
          <w:shd w:val="clear" w:color="auto" w:fill="FFFFFF"/>
          <w:lang w:val="en-GB"/>
        </w:rPr>
        <w:t xml:space="preserve">mineral fuels, lubricants and related materials (by </w:t>
      </w:r>
      <w:r w:rsidR="0097686A" w:rsidRPr="00071ED2">
        <w:rPr>
          <w:shd w:val="clear" w:color="auto" w:fill="FFFFFF"/>
          <w:lang w:val="en-GB"/>
        </w:rPr>
        <w:t>5</w:t>
      </w:r>
      <w:r w:rsidR="00071ED2" w:rsidRPr="00071ED2">
        <w:rPr>
          <w:shd w:val="clear" w:color="auto" w:fill="FFFFFF"/>
          <w:lang w:val="en-GB"/>
        </w:rPr>
        <w:t>.</w:t>
      </w:r>
      <w:r w:rsidR="0097686A" w:rsidRPr="00071ED2">
        <w:rPr>
          <w:shd w:val="clear" w:color="auto" w:fill="FFFFFF"/>
          <w:lang w:val="en-GB"/>
        </w:rPr>
        <w:t>9</w:t>
      </w:r>
      <w:r w:rsidR="007D509C" w:rsidRPr="00071ED2">
        <w:rPr>
          <w:spacing w:val="-2"/>
          <w:shd w:val="clear" w:color="auto" w:fill="FFFFFF"/>
          <w:lang w:val="en-GB"/>
        </w:rPr>
        <w:t>%).</w:t>
      </w:r>
    </w:p>
    <w:p w14:paraId="6F06FCE6" w14:textId="5D22A017" w:rsidR="00D918FF" w:rsidRPr="00C830AF" w:rsidRDefault="00E34A39" w:rsidP="00C830AF">
      <w:pPr>
        <w:spacing w:line="288" w:lineRule="auto"/>
        <w:ind w:right="-155"/>
        <w:rPr>
          <w:noProof/>
          <w:spacing w:val="-10"/>
          <w:lang w:val="en-GB"/>
        </w:rPr>
      </w:pPr>
      <w:r w:rsidRPr="00C830AF">
        <w:rPr>
          <w:rFonts w:ascii="Fira Sans SemiBold" w:eastAsia="Times New Roman" w:hAnsi="Fira Sans SemiBold" w:cs="Times New Roman"/>
          <w:b/>
          <w:bCs/>
          <w:noProof/>
          <w:spacing w:val="-10"/>
          <w:szCs w:val="24"/>
          <w:lang w:val="en-GB" w:eastAsia="pl-PL"/>
        </w:rPr>
        <w:t xml:space="preserve">Chart 1. Composition of exports by sections according to SITC nomenclature in </w:t>
      </w:r>
      <w:r w:rsidR="00584B4F" w:rsidRPr="00C830AF">
        <w:rPr>
          <w:rFonts w:ascii="Fira Sans SemiBold" w:eastAsia="Times New Roman" w:hAnsi="Fira Sans SemiBold" w:cs="Times New Roman"/>
          <w:b/>
          <w:bCs/>
          <w:noProof/>
          <w:spacing w:val="-10"/>
          <w:szCs w:val="24"/>
          <w:lang w:val="en-GB" w:eastAsia="pl-PL"/>
        </w:rPr>
        <w:t xml:space="preserve">January - </w:t>
      </w:r>
      <w:r w:rsidR="00C830AF" w:rsidRPr="00C830AF">
        <w:rPr>
          <w:rFonts w:ascii="Fira Sans SemiBold" w:eastAsia="Times New Roman" w:hAnsi="Fira Sans SemiBold" w:cs="Times New Roman"/>
          <w:b/>
          <w:bCs/>
          <w:noProof/>
          <w:spacing w:val="-10"/>
          <w:szCs w:val="24"/>
          <w:lang w:val="en-GB" w:eastAsia="pl-PL"/>
        </w:rPr>
        <w:t>September</w:t>
      </w:r>
      <w:r w:rsidR="00F71863" w:rsidRPr="00C830AF">
        <w:rPr>
          <w:rFonts w:ascii="Fira Sans SemiBold" w:eastAsia="Times New Roman" w:hAnsi="Fira Sans SemiBold" w:cs="Times New Roman"/>
          <w:b/>
          <w:bCs/>
          <w:noProof/>
          <w:spacing w:val="-10"/>
          <w:szCs w:val="24"/>
          <w:lang w:val="en-GB" w:eastAsia="pl-PL"/>
        </w:rPr>
        <w:t xml:space="preserve"> </w:t>
      </w:r>
      <w:r w:rsidR="00C7731D" w:rsidRPr="00C830AF">
        <w:rPr>
          <w:rFonts w:ascii="Fira Sans SemiBold" w:eastAsia="Times New Roman" w:hAnsi="Fira Sans SemiBold" w:cs="Times New Roman"/>
          <w:b/>
          <w:bCs/>
          <w:noProof/>
          <w:spacing w:val="-10"/>
          <w:szCs w:val="24"/>
          <w:lang w:val="en-GB" w:eastAsia="pl-PL"/>
        </w:rPr>
        <w:t>2</w:t>
      </w:r>
      <w:r w:rsidRPr="00C830AF">
        <w:rPr>
          <w:rFonts w:ascii="Fira Sans SemiBold" w:eastAsia="Times New Roman" w:hAnsi="Fira Sans SemiBold" w:cs="Times New Roman"/>
          <w:b/>
          <w:bCs/>
          <w:noProof/>
          <w:spacing w:val="-10"/>
          <w:szCs w:val="24"/>
          <w:lang w:val="en-GB" w:eastAsia="pl-PL"/>
        </w:rPr>
        <w:t>02</w:t>
      </w:r>
      <w:r w:rsidR="00C7731D" w:rsidRPr="00C830AF">
        <w:rPr>
          <w:rFonts w:ascii="Fira Sans SemiBold" w:eastAsia="Times New Roman" w:hAnsi="Fira Sans SemiBold" w:cs="Times New Roman"/>
          <w:b/>
          <w:bCs/>
          <w:noProof/>
          <w:spacing w:val="-10"/>
          <w:szCs w:val="24"/>
          <w:lang w:val="en-GB" w:eastAsia="pl-PL"/>
        </w:rPr>
        <w:t>3</w:t>
      </w:r>
      <w:r w:rsidR="00943943" w:rsidRPr="00C830AF">
        <w:rPr>
          <w:noProof/>
          <w:spacing w:val="-10"/>
          <w:lang w:val="en-GB"/>
        </w:rPr>
        <w:t xml:space="preserve"> </w:t>
      </w:r>
    </w:p>
    <w:p w14:paraId="4C635771" w14:textId="0821EF36" w:rsidR="00EF10F8" w:rsidRDefault="005E00B0" w:rsidP="00A16433">
      <w:pPr>
        <w:spacing w:line="288" w:lineRule="auto"/>
        <w:rPr>
          <w:noProof/>
          <w:lang w:val="en-GB"/>
        </w:rPr>
      </w:pPr>
      <w:r>
        <w:rPr>
          <w:noProof/>
        </w:rPr>
        <w:drawing>
          <wp:inline distT="0" distB="0" distL="0" distR="0" wp14:anchorId="18E29780" wp14:editId="12E07555">
            <wp:extent cx="5105400" cy="2743200"/>
            <wp:effectExtent l="0" t="0" r="0" b="0"/>
            <wp:docPr id="7" name="Wykres 7" descr="Chart 1. Composition of exports by sections according to SITC nomenclature in January - September 2023 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75C7A1DF" w14:textId="3089A239" w:rsidR="00AD195B" w:rsidRPr="00C830AF" w:rsidRDefault="00E34A39" w:rsidP="00C830AF">
      <w:pPr>
        <w:spacing w:line="288" w:lineRule="auto"/>
        <w:ind w:right="-155"/>
        <w:rPr>
          <w:rFonts w:ascii="Fira Sans SemiBold" w:eastAsia="Times New Roman" w:hAnsi="Fira Sans SemiBold" w:cs="Times New Roman"/>
          <w:b/>
          <w:bCs/>
          <w:noProof/>
          <w:spacing w:val="-12"/>
          <w:szCs w:val="24"/>
          <w:lang w:val="en-GB" w:eastAsia="pl-PL"/>
        </w:rPr>
      </w:pPr>
      <w:r w:rsidRPr="00C830AF">
        <w:rPr>
          <w:rFonts w:ascii="Fira Sans SemiBold" w:eastAsia="Times New Roman" w:hAnsi="Fira Sans SemiBold" w:cs="Times New Roman"/>
          <w:b/>
          <w:bCs/>
          <w:noProof/>
          <w:spacing w:val="-12"/>
          <w:szCs w:val="24"/>
          <w:lang w:val="en-GB" w:eastAsia="pl-PL"/>
        </w:rPr>
        <w:t xml:space="preserve">Chart 2. Composition of imports by sections according to SITC nomenclature in </w:t>
      </w:r>
      <w:r w:rsidR="00584B4F" w:rsidRPr="00C830AF">
        <w:rPr>
          <w:rFonts w:ascii="Fira Sans SemiBold" w:eastAsia="Times New Roman" w:hAnsi="Fira Sans SemiBold" w:cs="Times New Roman"/>
          <w:b/>
          <w:bCs/>
          <w:noProof/>
          <w:spacing w:val="-12"/>
          <w:szCs w:val="24"/>
          <w:lang w:val="en-GB" w:eastAsia="pl-PL"/>
        </w:rPr>
        <w:t xml:space="preserve">January - </w:t>
      </w:r>
      <w:r w:rsidR="00C830AF" w:rsidRPr="00C830AF">
        <w:rPr>
          <w:rFonts w:ascii="Fira Sans SemiBold" w:eastAsia="Times New Roman" w:hAnsi="Fira Sans SemiBold" w:cs="Times New Roman"/>
          <w:b/>
          <w:bCs/>
          <w:noProof/>
          <w:spacing w:val="-12"/>
          <w:szCs w:val="24"/>
          <w:lang w:val="en-GB" w:eastAsia="pl-PL"/>
        </w:rPr>
        <w:t>September</w:t>
      </w:r>
      <w:r w:rsidR="00F71863" w:rsidRPr="00C830AF">
        <w:rPr>
          <w:rFonts w:ascii="Fira Sans SemiBold" w:eastAsia="Times New Roman" w:hAnsi="Fira Sans SemiBold" w:cs="Times New Roman"/>
          <w:b/>
          <w:bCs/>
          <w:noProof/>
          <w:spacing w:val="-12"/>
          <w:szCs w:val="24"/>
          <w:lang w:val="en-GB" w:eastAsia="pl-PL"/>
        </w:rPr>
        <w:t xml:space="preserve"> </w:t>
      </w:r>
      <w:r w:rsidRPr="00C830AF">
        <w:rPr>
          <w:rFonts w:ascii="Fira Sans SemiBold" w:eastAsia="Times New Roman" w:hAnsi="Fira Sans SemiBold" w:cs="Times New Roman"/>
          <w:b/>
          <w:bCs/>
          <w:noProof/>
          <w:spacing w:val="-12"/>
          <w:szCs w:val="24"/>
          <w:lang w:val="en-GB" w:eastAsia="pl-PL"/>
        </w:rPr>
        <w:t>202</w:t>
      </w:r>
      <w:r w:rsidR="00C7731D" w:rsidRPr="00C830AF">
        <w:rPr>
          <w:rFonts w:ascii="Fira Sans SemiBold" w:eastAsia="Times New Roman" w:hAnsi="Fira Sans SemiBold" w:cs="Times New Roman"/>
          <w:b/>
          <w:bCs/>
          <w:noProof/>
          <w:spacing w:val="-12"/>
          <w:szCs w:val="24"/>
          <w:lang w:val="en-GB" w:eastAsia="pl-PL"/>
        </w:rPr>
        <w:t>3</w:t>
      </w:r>
      <w:bookmarkStart w:id="10" w:name="_Hlk97571462"/>
    </w:p>
    <w:p w14:paraId="6F3AF64C" w14:textId="38A54221" w:rsidR="00D918FF" w:rsidRPr="00E23015" w:rsidRDefault="001D7F84" w:rsidP="00A16433">
      <w:pPr>
        <w:spacing w:line="288" w:lineRule="auto"/>
        <w:rPr>
          <w:noProof/>
          <w:lang w:val="en-US" w:eastAsia="pl-PL"/>
        </w:rPr>
      </w:pPr>
      <w:r>
        <w:rPr>
          <w:noProof/>
        </w:rPr>
        <w:drawing>
          <wp:inline distT="0" distB="0" distL="0" distR="0" wp14:anchorId="36E6CBAC" wp14:editId="2C9B5BC6">
            <wp:extent cx="5044273" cy="2743200"/>
            <wp:effectExtent l="0" t="0" r="4445" b="0"/>
            <wp:docPr id="1" name="Wykres 1" descr="Chart 2. Composition of imports by sections according to SITC nomenclature in January - September 202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1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bookmarkEnd w:id="10"/>
    <w:p w14:paraId="571FCA10" w14:textId="77777777" w:rsidR="00F22AFC" w:rsidRPr="00B92B28" w:rsidRDefault="00F22AFC" w:rsidP="00366025">
      <w:pPr>
        <w:rPr>
          <w:rFonts w:cs="Arial"/>
          <w:lang w:val="en-US"/>
        </w:rPr>
        <w:sectPr w:rsidR="00F22AFC" w:rsidRPr="00B92B28" w:rsidSect="001448A7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397" w:gutter="0"/>
          <w:cols w:space="708"/>
          <w:titlePg/>
          <w:docGrid w:linePitch="360"/>
        </w:sectPr>
      </w:pPr>
    </w:p>
    <w:p w14:paraId="7997BC9F" w14:textId="77777777" w:rsidR="006D6AD4" w:rsidRDefault="006D6AD4" w:rsidP="00B43A4C">
      <w:pPr>
        <w:pStyle w:val="tytuwykresu"/>
        <w:rPr>
          <w:shd w:val="clear" w:color="auto" w:fill="FFFFFF"/>
          <w:lang w:val="en-US"/>
        </w:r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8843E2" w14:paraId="569BCD06" w14:textId="77777777" w:rsidTr="00B5363E">
        <w:trPr>
          <w:trHeight w:val="1626"/>
        </w:trPr>
        <w:tc>
          <w:tcPr>
            <w:tcW w:w="4926" w:type="dxa"/>
          </w:tcPr>
          <w:p w14:paraId="36ED4DAF" w14:textId="77777777" w:rsidR="008843E2" w:rsidRPr="008843E2" w:rsidRDefault="008843E2" w:rsidP="00B5363E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8843E2">
              <w:rPr>
                <w:rFonts w:cs="Arial"/>
                <w:sz w:val="20"/>
                <w:lang w:val="en-GB"/>
              </w:rPr>
              <w:t>Prepared by:</w:t>
            </w:r>
          </w:p>
          <w:p w14:paraId="48CA0B84" w14:textId="69F48EB5" w:rsidR="008843E2" w:rsidRPr="008843E2" w:rsidRDefault="00A16C0D" w:rsidP="00B5363E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A16C0D">
              <w:rPr>
                <w:rFonts w:cs="Arial"/>
                <w:b/>
                <w:color w:val="000000" w:themeColor="text1"/>
                <w:sz w:val="20"/>
                <w:lang w:val="en-GB"/>
              </w:rPr>
              <w:t>Trade and Services</w:t>
            </w:r>
            <w:r w:rsidR="008843E2" w:rsidRPr="008843E2">
              <w:rPr>
                <w:rFonts w:cs="Arial"/>
                <w:b/>
                <w:color w:val="000000" w:themeColor="text1"/>
                <w:sz w:val="20"/>
                <w:lang w:val="en-GB"/>
              </w:rPr>
              <w:t xml:space="preserve"> Department</w:t>
            </w:r>
          </w:p>
          <w:p w14:paraId="0A2891BC" w14:textId="39D9726E" w:rsidR="008843E2" w:rsidRPr="00DE2400" w:rsidRDefault="008843E2" w:rsidP="00B5363E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>D</w:t>
            </w:r>
            <w:r>
              <w:rPr>
                <w:b/>
                <w:lang w:val="fi-FI"/>
              </w:rPr>
              <w:t>irec</w:t>
            </w:r>
            <w:r w:rsidRPr="00DE2400">
              <w:rPr>
                <w:b/>
                <w:lang w:val="fi-FI"/>
              </w:rPr>
              <w:t xml:space="preserve">tor </w:t>
            </w:r>
            <w:r w:rsidR="00A16C0D" w:rsidRPr="00A16C0D">
              <w:rPr>
                <w:b/>
                <w:lang w:val="fi-FI"/>
              </w:rPr>
              <w:t>Ewa Adach - Stankiewicz</w:t>
            </w:r>
          </w:p>
          <w:p w14:paraId="516B9769" w14:textId="580EDD4E" w:rsidR="008843E2" w:rsidRPr="00AB24E4" w:rsidRDefault="00A16C0D" w:rsidP="00B5363E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A16C0D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Phone: (+48 22) 608 31 24</w:t>
            </w:r>
          </w:p>
        </w:tc>
        <w:tc>
          <w:tcPr>
            <w:tcW w:w="4927" w:type="dxa"/>
          </w:tcPr>
          <w:p w14:paraId="279C873D" w14:textId="77777777" w:rsidR="008843E2" w:rsidRPr="008843E2" w:rsidRDefault="008843E2" w:rsidP="00B5363E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8843E2">
              <w:rPr>
                <w:rFonts w:cs="Arial"/>
                <w:sz w:val="20"/>
                <w:lang w:val="en-GB"/>
              </w:rPr>
              <w:t>Issued by:</w:t>
            </w:r>
            <w:r w:rsidRPr="008843E2">
              <w:rPr>
                <w:rFonts w:cs="Arial"/>
                <w:sz w:val="20"/>
                <w:lang w:val="en-GB"/>
              </w:rPr>
              <w:br/>
            </w:r>
            <w:r w:rsidRPr="008843E2">
              <w:rPr>
                <w:rFonts w:cs="Arial"/>
                <w:b/>
                <w:sz w:val="20"/>
                <w:lang w:val="en-GB"/>
              </w:rPr>
              <w:t>The Spokesperson for the President</w:t>
            </w:r>
            <w:r w:rsidRPr="008843E2">
              <w:rPr>
                <w:rFonts w:cs="Arial"/>
                <w:b/>
                <w:sz w:val="20"/>
                <w:lang w:val="en-GB"/>
              </w:rPr>
              <w:br/>
              <w:t>of Statistics Poland</w:t>
            </w:r>
          </w:p>
          <w:p w14:paraId="3AFCFECF" w14:textId="77777777" w:rsidR="008843E2" w:rsidRPr="004A1D19" w:rsidRDefault="008843E2" w:rsidP="00B5363E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16C82843" w14:textId="77777777" w:rsidR="008843E2" w:rsidRPr="004A1D19" w:rsidRDefault="008843E2" w:rsidP="00B5363E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(+48) 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17BD5CBF" w14:textId="77777777" w:rsidR="008843E2" w:rsidRDefault="008843E2" w:rsidP="00B5363E">
            <w:pPr>
              <w:rPr>
                <w:sz w:val="18"/>
              </w:rPr>
            </w:pPr>
          </w:p>
        </w:tc>
      </w:tr>
      <w:tr w:rsidR="008843E2" w:rsidRPr="00A51A79" w14:paraId="366E38CB" w14:textId="77777777" w:rsidTr="00B5363E">
        <w:trPr>
          <w:trHeight w:val="418"/>
        </w:trPr>
        <w:tc>
          <w:tcPr>
            <w:tcW w:w="4926" w:type="dxa"/>
            <w:vMerge w:val="restart"/>
          </w:tcPr>
          <w:p w14:paraId="32153D84" w14:textId="77777777" w:rsidR="008843E2" w:rsidRPr="008843E2" w:rsidRDefault="008843E2" w:rsidP="00B5363E">
            <w:pPr>
              <w:rPr>
                <w:b/>
                <w:sz w:val="20"/>
                <w:lang w:val="en-GB"/>
              </w:rPr>
            </w:pPr>
            <w:r w:rsidRPr="008843E2">
              <w:rPr>
                <w:b/>
                <w:sz w:val="20"/>
                <w:lang w:val="en-GB"/>
              </w:rPr>
              <w:t xml:space="preserve">Press Office </w:t>
            </w:r>
          </w:p>
          <w:p w14:paraId="73E5BEBA" w14:textId="77777777" w:rsidR="008843E2" w:rsidRPr="008843E2" w:rsidRDefault="008843E2" w:rsidP="00B5363E">
            <w:pPr>
              <w:rPr>
                <w:sz w:val="20"/>
                <w:lang w:val="en-GB"/>
              </w:rPr>
            </w:pPr>
            <w:r w:rsidRPr="008843E2">
              <w:rPr>
                <w:sz w:val="20"/>
                <w:lang w:val="en-GB"/>
              </w:rPr>
              <w:t xml:space="preserve">Phone: (+48 22) 608 38 04 </w:t>
            </w:r>
          </w:p>
          <w:p w14:paraId="4FD2D43D" w14:textId="7A83A4A7" w:rsidR="00BC3493" w:rsidRPr="00BC3493" w:rsidRDefault="008843E2" w:rsidP="00B5363E">
            <w:pPr>
              <w:rPr>
                <w:sz w:val="20"/>
                <w:lang w:val="en-GB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6" w:history="1">
              <w:r w:rsidR="00EC45CC" w:rsidRPr="00750349">
                <w:rPr>
                  <w:rStyle w:val="Hipercze"/>
                  <w:rFonts w:cstheme="minorBidi"/>
                  <w:sz w:val="20"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66250CF0" w14:textId="77777777" w:rsidR="008843E2" w:rsidRPr="008843E2" w:rsidRDefault="008843E2" w:rsidP="00B5363E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7808" behindDoc="0" locked="0" layoutInCell="1" allowOverlap="1" wp14:anchorId="2F151BFB" wp14:editId="57DF34DD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7" name="Obraz 17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843E2">
              <w:rPr>
                <w:sz w:val="20"/>
                <w:lang w:val="en-US"/>
              </w:rPr>
              <w:t>www.stat.gov.pl/en/</w:t>
            </w:r>
            <w:r w:rsidRPr="008843E2">
              <w:rPr>
                <w:sz w:val="18"/>
                <w:lang w:val="en-US"/>
              </w:rPr>
              <w:t xml:space="preserve">     </w:t>
            </w:r>
          </w:p>
        </w:tc>
      </w:tr>
      <w:tr w:rsidR="008843E2" w14:paraId="7013C492" w14:textId="77777777" w:rsidTr="00B5363E">
        <w:trPr>
          <w:trHeight w:val="418"/>
        </w:trPr>
        <w:tc>
          <w:tcPr>
            <w:tcW w:w="4926" w:type="dxa"/>
            <w:vMerge/>
          </w:tcPr>
          <w:p w14:paraId="3D8582E9" w14:textId="77777777" w:rsidR="008843E2" w:rsidRPr="008843E2" w:rsidRDefault="008843E2" w:rsidP="00B5363E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45FC0334" w14:textId="77777777" w:rsidR="008843E2" w:rsidRDefault="008843E2" w:rsidP="00B5363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8832" behindDoc="0" locked="0" layoutInCell="1" allowOverlap="1" wp14:anchorId="28FBE378" wp14:editId="2FA8DF06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24130</wp:posOffset>
                  </wp:positionV>
                  <wp:extent cx="251460" cy="247650"/>
                  <wp:effectExtent l="0" t="0" r="0" b="0"/>
                  <wp:wrapNone/>
                  <wp:docPr id="18" name="Obraz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47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8843E2" w14:paraId="7587F62D" w14:textId="77777777" w:rsidTr="00B5363E">
        <w:trPr>
          <w:trHeight w:val="480"/>
        </w:trPr>
        <w:tc>
          <w:tcPr>
            <w:tcW w:w="4926" w:type="dxa"/>
            <w:vMerge/>
          </w:tcPr>
          <w:p w14:paraId="4168F758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72E5D0CB" w14:textId="77777777" w:rsidR="008843E2" w:rsidRDefault="008843E2" w:rsidP="00B5363E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9856" behindDoc="0" locked="0" layoutInCell="1" allowOverlap="1" wp14:anchorId="07EC8B4A" wp14:editId="6E991898">
                  <wp:simplePos x="0" y="0"/>
                  <wp:positionH relativeFrom="column">
                    <wp:posOffset>80142</wp:posOffset>
                  </wp:positionH>
                  <wp:positionV relativeFrom="paragraph">
                    <wp:posOffset>13868</wp:posOffset>
                  </wp:positionV>
                  <wp:extent cx="251460" cy="248194"/>
                  <wp:effectExtent l="0" t="0" r="0" b="0"/>
                  <wp:wrapNone/>
                  <wp:docPr id="20" name="Obraz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4819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8843E2" w14:paraId="4A8F9376" w14:textId="77777777" w:rsidTr="00B5363E">
        <w:trPr>
          <w:trHeight w:val="480"/>
        </w:trPr>
        <w:tc>
          <w:tcPr>
            <w:tcW w:w="4926" w:type="dxa"/>
          </w:tcPr>
          <w:p w14:paraId="7BFC150E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0C0ABE8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0880" behindDoc="0" locked="0" layoutInCell="1" allowOverlap="1" wp14:anchorId="091656FD" wp14:editId="3913DB7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6" name="Obraz 26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E1D0A">
              <w:rPr>
                <w:sz w:val="20"/>
              </w:rPr>
              <w:t>gus_stat</w:t>
            </w:r>
          </w:p>
        </w:tc>
      </w:tr>
      <w:tr w:rsidR="008843E2" w14:paraId="418AF478" w14:textId="77777777" w:rsidTr="00B5363E">
        <w:trPr>
          <w:trHeight w:val="480"/>
        </w:trPr>
        <w:tc>
          <w:tcPr>
            <w:tcW w:w="4926" w:type="dxa"/>
          </w:tcPr>
          <w:p w14:paraId="0118E7D8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382F202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1904" behindDoc="0" locked="0" layoutInCell="1" allowOverlap="1" wp14:anchorId="49D71682" wp14:editId="5B874E7E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7" name="Obraz 27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8843E2" w14:paraId="00C9488D" w14:textId="77777777" w:rsidTr="00B5363E">
        <w:trPr>
          <w:trHeight w:val="953"/>
        </w:trPr>
        <w:tc>
          <w:tcPr>
            <w:tcW w:w="4926" w:type="dxa"/>
          </w:tcPr>
          <w:p w14:paraId="0AD1785A" w14:textId="77777777" w:rsidR="008843E2" w:rsidRPr="00C91687" w:rsidRDefault="008843E2" w:rsidP="00B5363E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2102BAE9" w14:textId="77777777" w:rsidR="008843E2" w:rsidRPr="003D5F42" w:rsidRDefault="008843E2" w:rsidP="00B5363E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2928" behindDoc="0" locked="0" layoutInCell="1" allowOverlap="1" wp14:anchorId="70DB2CBC" wp14:editId="235016E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8" name="Obraz 28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8843E2" w:rsidRPr="0044728B" w14:paraId="1EFB706F" w14:textId="77777777" w:rsidTr="00B5363E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44F0FCC6" w14:textId="2FBE17AB" w:rsidR="008843E2" w:rsidRDefault="008843E2" w:rsidP="00B5363E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8843E2">
              <w:rPr>
                <w:b/>
                <w:lang w:val="en-GB"/>
              </w:rPr>
              <w:t>Related information</w:t>
            </w:r>
          </w:p>
          <w:p w14:paraId="49A8DE76" w14:textId="77777777" w:rsidR="003C0F6B" w:rsidRPr="008843E2" w:rsidRDefault="008F74A3" w:rsidP="003C0F6B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hyperlink r:id="rId23" w:tooltip="Link to the publication: Foreign trade. Prices in foreign trade " w:history="1">
              <w:r w:rsidR="003C0F6B">
                <w:rPr>
                  <w:rStyle w:val="Hipercze"/>
                  <w:lang w:val="en-GB"/>
                </w:rPr>
                <w:t>Foreign Trade 2021. Prices in foreign trade</w:t>
              </w:r>
            </w:hyperlink>
          </w:p>
          <w:p w14:paraId="5F163634" w14:textId="6A062918" w:rsidR="00F05285" w:rsidRPr="00A16C0D" w:rsidRDefault="008F74A3" w:rsidP="00F05285">
            <w:pPr>
              <w:shd w:val="clear" w:color="auto" w:fill="D9D9D9" w:themeFill="background1" w:themeFillShade="D9"/>
              <w:rPr>
                <w:rFonts w:cs="Times New Roman"/>
                <w:u w:val="single"/>
                <w:lang w:val="en-US"/>
              </w:rPr>
            </w:pPr>
            <w:hyperlink r:id="rId24" w:tooltip="Link to the publication - Yearbook of Foreign Trade Statistics of Poland 2023" w:history="1">
              <w:r w:rsidR="00E02558">
                <w:rPr>
                  <w:rStyle w:val="Hipercze"/>
                  <w:lang w:val="en-US"/>
                </w:rPr>
                <w:t>Yearbook of Foreign Trade Statistics of Poland 2023</w:t>
              </w:r>
            </w:hyperlink>
          </w:p>
          <w:p w14:paraId="5D4D21E9" w14:textId="61962039" w:rsidR="00A16C0D" w:rsidRPr="00A16C0D" w:rsidRDefault="00A16C0D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16C0D">
              <w:rPr>
                <w:rFonts w:cs="Times New Roman"/>
                <w:u w:val="single"/>
                <w:lang w:val="en"/>
              </w:rPr>
              <w:fldChar w:fldCharType="begin"/>
            </w:r>
            <w:r w:rsidR="0044728B">
              <w:rPr>
                <w:rFonts w:cs="Times New Roman"/>
                <w:u w:val="single"/>
                <w:lang w:val="en"/>
              </w:rPr>
              <w:instrText>HYPERLINK "https://stat.gov.pl/en/topics/prices-trade/trade/foreign-trade-mirror-and-asymmetry-statistics,12,1.html" \o "Link to the publication - Foreign trade. Mirror and asymmetry statistics"</w:instrText>
            </w:r>
            <w:r w:rsidRPr="00A16C0D">
              <w:rPr>
                <w:rFonts w:cs="Times New Roman"/>
                <w:u w:val="single"/>
                <w:lang w:val="en"/>
              </w:rPr>
              <w:fldChar w:fldCharType="separate"/>
            </w:r>
            <w:r w:rsidRPr="00A16C0D">
              <w:rPr>
                <w:rStyle w:val="Hipercze"/>
                <w:lang w:val="en"/>
              </w:rPr>
              <w:t>Foreign trade. Mirror and asymmetry statistics</w:t>
            </w:r>
          </w:p>
          <w:p w14:paraId="731ADCC1" w14:textId="2D8C42FD" w:rsidR="00A16C0D" w:rsidRPr="00D125C7" w:rsidRDefault="00A16C0D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 w:rsidRPr="00A16C0D">
              <w:rPr>
                <w:rFonts w:cs="Times New Roman"/>
              </w:rPr>
              <w:fldChar w:fldCharType="end"/>
            </w:r>
            <w:r w:rsidR="00D125C7"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"http://stat.gov.pl/en/topics/prices-trade/trade/foreign-trade-poland-in-european-union,6,12.html" \o "Link to the publication - Foreign trade. Poland in European Union"</w:instrText>
            </w:r>
            <w:r w:rsidR="00D125C7">
              <w:rPr>
                <w:rFonts w:cs="Times New Roman"/>
                <w:lang w:val="en"/>
              </w:rPr>
              <w:fldChar w:fldCharType="separate"/>
            </w:r>
            <w:r w:rsidRPr="00D125C7">
              <w:rPr>
                <w:rStyle w:val="Hipercze"/>
                <w:lang w:val="en"/>
              </w:rPr>
              <w:t>Foreign trade. Poland in European Union</w:t>
            </w:r>
          </w:p>
          <w:p w14:paraId="6893D4A4" w14:textId="055FDC0E" w:rsidR="00A16C0D" w:rsidRPr="00D125C7" w:rsidRDefault="00D125C7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"https://stat.gov.pl/en/topics/prices-trade/trade/foreign-trade-trade-in-goods-by-enterprise-characteristics-tec,6,13.html" \o "Link to the publication - Foreign trade. Trade in goods by enterprise characteristics (TEC)"</w:instrText>
            </w:r>
            <w:r>
              <w:rPr>
                <w:rFonts w:cs="Times New Roman"/>
                <w:lang w:val="en"/>
              </w:rPr>
              <w:fldChar w:fldCharType="separate"/>
            </w:r>
            <w:r w:rsidR="00A16C0D" w:rsidRPr="00D125C7">
              <w:rPr>
                <w:rStyle w:val="Hipercze"/>
                <w:lang w:val="en"/>
              </w:rPr>
              <w:t>Foreign trade. Trade in goods by enterprise characteristics (TEC)</w:t>
            </w:r>
          </w:p>
          <w:p w14:paraId="0A519397" w14:textId="2E95D436" w:rsidR="00A16C0D" w:rsidRPr="00D125C7" w:rsidRDefault="00D125C7" w:rsidP="00A16C0D">
            <w:pPr>
              <w:shd w:val="clear" w:color="auto" w:fill="D9D9D9" w:themeFill="background1" w:themeFillShade="D9"/>
              <w:rPr>
                <w:rStyle w:val="Hipercze"/>
                <w:lang w:val="en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>
              <w:rPr>
                <w:rFonts w:cs="Times New Roman"/>
                <w:lang w:val="en"/>
              </w:rPr>
              <w:fldChar w:fldCharType="begin"/>
            </w:r>
            <w:r w:rsidR="0044728B">
              <w:rPr>
                <w:rFonts w:cs="Times New Roman"/>
                <w:lang w:val="en"/>
              </w:rPr>
              <w:instrText>HYPERLINK "https://stat.gov.pl/en/topics/prices-trade/trade/foreign-trade-2020-poland-in-the-world,6,14.html" \o "Link to the publication - Foreign Trade. Poland in the world"</w:instrText>
            </w:r>
            <w:r>
              <w:rPr>
                <w:rFonts w:cs="Times New Roman"/>
                <w:lang w:val="en"/>
              </w:rPr>
              <w:fldChar w:fldCharType="separate"/>
            </w:r>
            <w:r w:rsidR="00A16C0D" w:rsidRPr="00D125C7">
              <w:rPr>
                <w:rStyle w:val="Hipercze"/>
                <w:lang w:val="en"/>
              </w:rPr>
              <w:t>Foreign Trade. Poland in the world</w:t>
            </w:r>
          </w:p>
          <w:p w14:paraId="0557A259" w14:textId="01882DA6" w:rsidR="008843E2" w:rsidRPr="008843E2" w:rsidRDefault="00D125C7" w:rsidP="00B5363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>
              <w:rPr>
                <w:rFonts w:cs="Times New Roman"/>
                <w:lang w:val="en"/>
              </w:rPr>
              <w:fldChar w:fldCharType="end"/>
            </w:r>
            <w:r w:rsidR="008843E2" w:rsidRPr="008843E2">
              <w:rPr>
                <w:b/>
                <w:color w:val="000000" w:themeColor="text1"/>
                <w:szCs w:val="24"/>
                <w:lang w:val="en-GB"/>
              </w:rPr>
              <w:t>Data available in databases</w:t>
            </w:r>
          </w:p>
          <w:p w14:paraId="71E7A68A" w14:textId="6C6EE81C" w:rsidR="00A16C0D" w:rsidRPr="00A16C0D" w:rsidRDefault="00A16C0D" w:rsidP="00A16C0D">
            <w:pPr>
              <w:shd w:val="clear" w:color="auto" w:fill="D9D9D9" w:themeFill="background1" w:themeFillShade="D9"/>
              <w:spacing w:before="360"/>
              <w:rPr>
                <w:rStyle w:val="Hipercze"/>
              </w:rPr>
            </w:pPr>
            <w:r w:rsidRPr="00A16C0D">
              <w:rPr>
                <w:rFonts w:cs="Times New Roman"/>
              </w:rPr>
              <w:fldChar w:fldCharType="begin"/>
            </w:r>
            <w:r w:rsidRPr="00A16C0D">
              <w:rPr>
                <w:rFonts w:cs="Times New Roman"/>
                <w:u w:val="single"/>
              </w:rPr>
              <w:instrText xml:space="preserve"> HYPERLINK "http://swaid.stat.gov.pl/SitePagesDBW/HandelZagraniczny.aspx" </w:instrText>
            </w:r>
            <w:r w:rsidRPr="00A16C0D">
              <w:rPr>
                <w:rFonts w:cs="Times New Roman"/>
              </w:rPr>
              <w:fldChar w:fldCharType="separate"/>
            </w:r>
            <w:hyperlink r:id="rId25" w:tooltip="Link to the database page: Knowledge Databases (DBW). Foreign trade" w:history="1">
              <w:r w:rsidRPr="00A16C0D">
                <w:rPr>
                  <w:rStyle w:val="Hipercze"/>
                </w:rPr>
                <w:t>Knowledge Databases (DBW). Foreign trade</w:t>
              </w:r>
            </w:hyperlink>
          </w:p>
          <w:p w14:paraId="0DFBF68B" w14:textId="4FB781D1" w:rsidR="00A16C0D" w:rsidRPr="003C0F6B" w:rsidRDefault="00A16C0D" w:rsidP="003C0F6B">
            <w:pPr>
              <w:shd w:val="clear" w:color="auto" w:fill="D9D9D9" w:themeFill="background1" w:themeFillShade="D9"/>
              <w:rPr>
                <w:rStyle w:val="Hipercze"/>
                <w:lang w:val="en-US"/>
              </w:rPr>
            </w:pPr>
            <w:r w:rsidRPr="00A16C0D">
              <w:rPr>
                <w:rFonts w:cs="Times New Roman"/>
              </w:rPr>
              <w:fldChar w:fldCharType="end"/>
            </w:r>
            <w:hyperlink r:id="rId26" w:tooltip="Link to the main page -Database. Analytical Platform  - SWAiD - Knowledge Databases. Foreign trade" w:history="1">
              <w:r w:rsidR="003C0F6B" w:rsidRPr="00A16C0D">
                <w:rPr>
                  <w:rStyle w:val="Hipercze"/>
                  <w:lang w:val="en-US"/>
                </w:rPr>
                <w:t xml:space="preserve">Database Foreign trade </w:t>
              </w:r>
            </w:hyperlink>
            <w:r w:rsidRPr="003C0F6B">
              <w:rPr>
                <w:rStyle w:val="Hipercze"/>
                <w:lang w:val="en-US"/>
              </w:rPr>
              <w:t xml:space="preserve"> </w:t>
            </w:r>
          </w:p>
          <w:p w14:paraId="1635B956" w14:textId="5B974F35" w:rsidR="008843E2" w:rsidRPr="008843E2" w:rsidRDefault="008843E2" w:rsidP="00B5363E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8843E2">
              <w:rPr>
                <w:b/>
                <w:color w:val="000000" w:themeColor="text1"/>
                <w:szCs w:val="24"/>
                <w:lang w:val="en-GB"/>
              </w:rPr>
              <w:t>Terms used inn official statistics</w:t>
            </w:r>
          </w:p>
          <w:p w14:paraId="1B2C7AF5" w14:textId="32E8791A" w:rsidR="00A16C0D" w:rsidRPr="00D125C7" w:rsidRDefault="00D125C7" w:rsidP="00A16C0D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begin"/>
            </w:r>
            <w:r w:rsidR="0044728B">
              <w:rPr>
                <w:rFonts w:cs="Times New Roman"/>
                <w:lang w:val="en-GB"/>
              </w:rPr>
              <w:instrText>HYPERLINK "https://stat.gov.pl/en/metainformation/glossary/terms-used-in-official-statistics/746,term.html" \o "Link to the exports of commodities definition "</w:instrText>
            </w:r>
            <w:r>
              <w:rPr>
                <w:rFonts w:cs="Times New Roman"/>
                <w:lang w:val="en-GB"/>
              </w:rPr>
              <w:fldChar w:fldCharType="separate"/>
            </w:r>
            <w:r w:rsidR="00A16C0D" w:rsidRPr="00D125C7">
              <w:rPr>
                <w:rStyle w:val="Hipercze"/>
                <w:lang w:val="en-GB"/>
              </w:rPr>
              <w:t xml:space="preserve">Exports of commodities </w:t>
            </w:r>
          </w:p>
          <w:p w14:paraId="1475D2F6" w14:textId="6631E367" w:rsidR="00A16C0D" w:rsidRPr="0044728B" w:rsidRDefault="00D125C7" w:rsidP="00A16C0D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end"/>
            </w:r>
            <w:r w:rsidR="0044728B">
              <w:rPr>
                <w:rFonts w:cs="Times New Roman"/>
                <w:lang w:val="en-GB"/>
              </w:rPr>
              <w:fldChar w:fldCharType="begin"/>
            </w:r>
            <w:r w:rsidR="0044728B"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"https://stat.gov.pl/en/metainformation/glossary/terms-used-in-official-statistics/119,term.html" \o "Link to the Imports of commodities definition" </w:instrText>
            </w:r>
            <w:r w:rsidR="0044728B">
              <w:rPr>
                <w:rFonts w:cs="Times New Roman"/>
                <w:lang w:val="en-GB"/>
              </w:rPr>
              <w:fldChar w:fldCharType="separate"/>
            </w:r>
            <w:r w:rsidR="00A16C0D" w:rsidRPr="0044728B">
              <w:rPr>
                <w:rStyle w:val="Hipercze"/>
                <w:lang w:val="en-GB"/>
              </w:rPr>
              <w:t>Imports of commodities</w:t>
            </w:r>
          </w:p>
          <w:p w14:paraId="072AE590" w14:textId="604A2B0B" w:rsidR="00A16C0D" w:rsidRPr="0044728B" w:rsidRDefault="0044728B" w:rsidP="00A16C0D">
            <w:pPr>
              <w:rPr>
                <w:rStyle w:val="Hipercze"/>
                <w:rFonts w:cstheme="minorBidi"/>
                <w:lang w:val="en-US"/>
              </w:rPr>
            </w:pPr>
            <w:r>
              <w:rPr>
                <w:rFonts w:cs="Times New Roman"/>
                <w:lang w:val="en-GB"/>
              </w:rPr>
              <w:fldChar w:fldCharType="end"/>
            </w:r>
            <w:r>
              <w:rPr>
                <w:rFonts w:cs="Times New Roman"/>
                <w:lang w:val="en-GB"/>
              </w:rPr>
              <w:fldChar w:fldCharType="begin"/>
            </w:r>
            <w:r>
              <w:rPr>
                <w:rFonts w:cs="Times New Roman"/>
                <w:lang w:val="en-GB"/>
              </w:rPr>
              <w:instrText xml:space="preserve"> HYPERLINK "https://stat.gov.pl/en/metainformation/glossary/terms-used-in-official-statistics/449,term.html" \o "Link to the Balance foreign trade commodity turnover definition" </w:instrText>
            </w:r>
            <w:r>
              <w:rPr>
                <w:rFonts w:cs="Times New Roman"/>
                <w:lang w:val="en-GB"/>
              </w:rPr>
              <w:fldChar w:fldCharType="separate"/>
            </w:r>
            <w:r w:rsidR="00A16C0D" w:rsidRPr="0044728B">
              <w:rPr>
                <w:rStyle w:val="Hipercze"/>
                <w:lang w:val="en-GB"/>
              </w:rPr>
              <w:t>Balance foreign trade commodity turnover</w:t>
            </w:r>
          </w:p>
          <w:p w14:paraId="1D4E3D92" w14:textId="75CFD666" w:rsidR="008843E2" w:rsidRPr="008843E2" w:rsidRDefault="0044728B" w:rsidP="00B5363E">
            <w:pPr>
              <w:rPr>
                <w:rStyle w:val="Hipercze"/>
                <w:lang w:val="en-GB"/>
              </w:rPr>
            </w:pPr>
            <w:r>
              <w:rPr>
                <w:rFonts w:cs="Times New Roman"/>
                <w:lang w:val="en-GB"/>
              </w:rPr>
              <w:fldChar w:fldCharType="end"/>
            </w:r>
          </w:p>
          <w:p w14:paraId="5D9CC9CD" w14:textId="77777777" w:rsidR="008843E2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62F6AD6A" w14:textId="77777777" w:rsidR="008843E2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2C67A396" w14:textId="77777777" w:rsidR="008843E2" w:rsidRPr="00876479" w:rsidRDefault="008843E2" w:rsidP="00B5363E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4D2C26C8" w14:textId="77777777" w:rsidR="00B43A4C" w:rsidRPr="008843E2" w:rsidRDefault="00B43A4C" w:rsidP="000470AA">
      <w:pPr>
        <w:rPr>
          <w:sz w:val="18"/>
          <w:lang w:val="en-GB"/>
        </w:rPr>
      </w:pPr>
    </w:p>
    <w:bookmarkEnd w:id="1"/>
    <w:bookmarkEnd w:id="2"/>
    <w:bookmarkEnd w:id="3"/>
    <w:bookmarkEnd w:id="4"/>
    <w:bookmarkEnd w:id="5"/>
    <w:bookmarkEnd w:id="6"/>
    <w:p w14:paraId="73962AD8" w14:textId="039E2DE7" w:rsidR="000470AA" w:rsidRPr="000C2149" w:rsidRDefault="000470AA" w:rsidP="00A16C0D">
      <w:pPr>
        <w:rPr>
          <w:sz w:val="20"/>
          <w:lang w:val="en-US"/>
        </w:rPr>
      </w:pPr>
    </w:p>
    <w:sectPr w:rsidR="000470AA" w:rsidRPr="000C2149" w:rsidSect="00FC2698">
      <w:headerReference w:type="default" r:id="rId27"/>
      <w:pgSz w:w="11906" w:h="16838"/>
      <w:pgMar w:top="720" w:right="2975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AC6D61" w14:textId="77777777" w:rsidR="00A803E9" w:rsidRDefault="00A803E9" w:rsidP="000662E2">
      <w:pPr>
        <w:spacing w:after="0" w:line="240" w:lineRule="auto"/>
      </w:pPr>
      <w:r>
        <w:separator/>
      </w:r>
    </w:p>
  </w:endnote>
  <w:endnote w:type="continuationSeparator" w:id="0">
    <w:p w14:paraId="01F47AF2" w14:textId="77777777" w:rsidR="00A803E9" w:rsidRDefault="00A803E9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22960787"/>
      <w:docPartObj>
        <w:docPartGallery w:val="Page Numbers (Bottom of Page)"/>
        <w:docPartUnique/>
      </w:docPartObj>
    </w:sdtPr>
    <w:sdtContent>
      <w:p w14:paraId="6AB28E1E" w14:textId="77777777" w:rsidR="00823FDB" w:rsidRDefault="00823FD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5F02F1F5" w14:textId="77777777" w:rsidR="00823FDB" w:rsidRDefault="00823FDB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32700418"/>
      <w:docPartObj>
        <w:docPartGallery w:val="Page Numbers (Bottom of Page)"/>
        <w:docPartUnique/>
      </w:docPartObj>
    </w:sdtPr>
    <w:sdtContent>
      <w:p w14:paraId="650BE2D3" w14:textId="77777777" w:rsidR="00823FDB" w:rsidRDefault="00823FD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14099963" w14:textId="77777777" w:rsidR="00823FDB" w:rsidRDefault="00823FD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2051F5A" w14:textId="77777777" w:rsidR="00A803E9" w:rsidRDefault="00A803E9" w:rsidP="000662E2">
      <w:pPr>
        <w:spacing w:after="0" w:line="240" w:lineRule="auto"/>
      </w:pPr>
      <w:r>
        <w:separator/>
      </w:r>
    </w:p>
  </w:footnote>
  <w:footnote w:type="continuationSeparator" w:id="0">
    <w:p w14:paraId="0A287C6A" w14:textId="77777777" w:rsidR="00A803E9" w:rsidRDefault="00A803E9" w:rsidP="000662E2">
      <w:pPr>
        <w:spacing w:after="0" w:line="240" w:lineRule="auto"/>
      </w:pPr>
      <w:r>
        <w:continuationSeparator/>
      </w:r>
    </w:p>
  </w:footnote>
  <w:footnote w:id="1">
    <w:p w14:paraId="2F401AF0" w14:textId="77777777" w:rsidR="00823FDB" w:rsidRPr="00645281" w:rsidRDefault="00823FDB" w:rsidP="00645281">
      <w:pPr>
        <w:pStyle w:val="Tekstprzypisudolnego"/>
        <w:rPr>
          <w:rStyle w:val="PrzypisZnak"/>
        </w:rPr>
      </w:pPr>
      <w:r w:rsidRPr="00645281">
        <w:rPr>
          <w:rStyle w:val="PrzypisZnak"/>
        </w:rPr>
        <w:t>Note. Due to the rounding of data, in some cases sums of components may slightly differ from the amount given in the item ”total”.</w:t>
      </w:r>
    </w:p>
    <w:p w14:paraId="7271E8A2" w14:textId="5A13FCC0" w:rsidR="00823FDB" w:rsidRPr="00EC45CC" w:rsidRDefault="00823FDB" w:rsidP="000C2149">
      <w:pPr>
        <w:pStyle w:val="Tekstprzypisudolnego"/>
        <w:rPr>
          <w:rStyle w:val="PrzypisZnak"/>
        </w:rPr>
      </w:pPr>
      <w:r w:rsidRPr="00EC45CC">
        <w:rPr>
          <w:rStyle w:val="Odwoanieprzypisudolnego"/>
        </w:rPr>
        <w:footnoteRef/>
      </w:r>
      <w:r w:rsidRPr="00EC45CC">
        <w:rPr>
          <w:rStyle w:val="Odwoanieprzypisudolnego"/>
          <w:lang w:val="en-GB"/>
        </w:rPr>
        <w:t xml:space="preserve"> </w:t>
      </w:r>
      <w:r w:rsidRPr="00EC45CC">
        <w:rPr>
          <w:rStyle w:val="PrzypisZnak"/>
        </w:rPr>
        <w:t xml:space="preserve">Collection of data on foreign trade turnover is open. Data published formerly is updated according to new customs and INTRASTAT declarations. Data for </w:t>
      </w:r>
      <w:r>
        <w:rPr>
          <w:rStyle w:val="PrzypisZnak"/>
        </w:rPr>
        <w:t>January - September</w:t>
      </w:r>
      <w:r w:rsidRPr="00EC45CC">
        <w:rPr>
          <w:rStyle w:val="PrzypisZnak"/>
        </w:rPr>
        <w:t xml:space="preserve"> 2023 have been amended to include unregistered customs declarations for earlier months of this year.</w:t>
      </w:r>
    </w:p>
    <w:p w14:paraId="160CE965" w14:textId="7E388C43" w:rsidR="00823FDB" w:rsidRPr="00645281" w:rsidRDefault="00823FDB" w:rsidP="000C2149">
      <w:pPr>
        <w:pStyle w:val="Tekstprzypisudolnego"/>
        <w:rPr>
          <w:rStyle w:val="PrzypisZnak"/>
        </w:rPr>
      </w:pPr>
    </w:p>
  </w:footnote>
  <w:footnote w:id="2">
    <w:p w14:paraId="0DB23114" w14:textId="77777777" w:rsidR="00823FDB" w:rsidRPr="00AD195B" w:rsidRDefault="00823FDB" w:rsidP="000637F0">
      <w:pPr>
        <w:pStyle w:val="Tekstprzypisudolnego"/>
        <w:rPr>
          <w:sz w:val="16"/>
          <w:szCs w:val="16"/>
          <w:lang w:val="en-US"/>
        </w:rPr>
      </w:pPr>
      <w:r w:rsidRPr="006D21E6">
        <w:rPr>
          <w:rStyle w:val="Odwoanieprzypisudolnego"/>
        </w:rPr>
        <w:footnoteRef/>
      </w:r>
      <w:r w:rsidRPr="001D7DC0">
        <w:rPr>
          <w:rStyle w:val="PrzypisZnak"/>
        </w:rPr>
        <w:t xml:space="preserve"> Country of origin is the country where the commodity was produced or processed and in this form entered the Polish customs zone.</w:t>
      </w:r>
    </w:p>
  </w:footnote>
  <w:footnote w:id="3">
    <w:p w14:paraId="081194E0" w14:textId="77777777" w:rsidR="00823FDB" w:rsidRPr="006D21E6" w:rsidRDefault="00823FDB" w:rsidP="0048231B">
      <w:pPr>
        <w:pStyle w:val="tekstzboku"/>
        <w:rPr>
          <w:color w:val="auto"/>
          <w:sz w:val="16"/>
          <w:szCs w:val="16"/>
          <w:lang w:val="en-US"/>
        </w:rPr>
      </w:pPr>
      <w:r w:rsidRPr="00AD195B">
        <w:rPr>
          <w:rStyle w:val="Odwoanieprzypisudolnego"/>
          <w:color w:val="auto"/>
          <w:sz w:val="16"/>
          <w:szCs w:val="16"/>
        </w:rPr>
        <w:footnoteRef/>
      </w:r>
      <w:r w:rsidRPr="00AD195B">
        <w:rPr>
          <w:color w:val="auto"/>
          <w:sz w:val="16"/>
          <w:szCs w:val="16"/>
          <w:lang w:val="en-US"/>
        </w:rPr>
        <w:t xml:space="preserve"> </w:t>
      </w:r>
      <w:r w:rsidRPr="001D7DC0">
        <w:rPr>
          <w:rStyle w:val="PrzypisZnak"/>
          <w:rFonts w:eastAsiaTheme="minorHAnsi" w:cstheme="minorBidi"/>
          <w:bCs w:val="0"/>
          <w:color w:val="auto"/>
          <w:lang w:eastAsia="en-US"/>
        </w:rPr>
        <w:t>Country of consignment is the country from which the goods were introduced into the Polish territory irrespective of their origin.</w:t>
      </w:r>
      <w:r w:rsidRPr="001D7DC0">
        <w:rPr>
          <w:color w:val="auto"/>
          <w:sz w:val="16"/>
          <w:szCs w:val="16"/>
          <w:lang w:val="en-U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8CB512" w14:textId="77777777" w:rsidR="00823FDB" w:rsidRDefault="00823FD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26B3C4C3" wp14:editId="599038AB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>
          <w:pict>
            <v:rect w14:anchorId="0DA1C20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6F0B45E2" w14:textId="77777777" w:rsidR="00823FDB" w:rsidRDefault="00823FD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3A5190" w14:textId="403AA33D" w:rsidR="00823FDB" w:rsidRDefault="00823FDB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CDACB12" wp14:editId="14CA968F">
              <wp:simplePos x="0" y="0"/>
              <wp:positionH relativeFrom="column">
                <wp:posOffset>5217160</wp:posOffset>
              </wp:positionH>
              <wp:positionV relativeFrom="paragraph">
                <wp:posOffset>552450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E307F0E" id="Prostokąt 10" o:spid="_x0000_s1026" style="position:absolute;margin-left:410.8pt;margin-top:43.5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L2xz3jkAAAADAEAAA8AAABkcnMvZG93bnJl&#10;di54bWxMj8FOwzAMhu9IvENkJG4szZhKKU0nBFRC4jI2Ktgta0JbrXFKk3WFp8c7wc2WP/3+/mw5&#10;2Y6NZvCtQwliFgEzWDndYi3hbVNcJcB8UKhV59BI+DYelvn5WaZS7Y74asZ1qBmFoE+VhCaEPuXc&#10;V42xys9cb5Bun26wKtA61FwP6kjhtuPzKIq5VS3Sh0b15qEx1X59sBLcdty86KLYl+XP4/sqefoo&#10;v7bPUl5eTPd3wIKZwh8MJ31Sh5ycdu6A2rNOQjIXMaE03FCnEyBEvAC2k3Ad3y4E8Dzj/0vkv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9sc94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DE1F715" wp14:editId="7772C05F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DAD67AD" w14:textId="77777777" w:rsidR="00823FDB" w:rsidRPr="003C6C8D" w:rsidRDefault="00823FDB" w:rsidP="00B31F0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E1F715" id="Schemat blokowy: opóźnienie 6" o:spid="_x0000_s1034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fu2hwU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DAD67AD" w14:textId="77777777" w:rsidR="00823FDB" w:rsidRPr="003C6C8D" w:rsidRDefault="00823FDB" w:rsidP="00B31F0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w:drawing>
        <wp:inline distT="0" distB="0" distL="0" distR="0" wp14:anchorId="11664C97" wp14:editId="2E1F3CD8">
          <wp:extent cx="1861820" cy="708660"/>
          <wp:effectExtent l="0" t="0" r="5080" b="0"/>
          <wp:docPr id="40" name="Obraz 40" descr="Logo of Statistics Polan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logog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182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580603" w14:textId="249537B3" w:rsidR="00823FDB" w:rsidRDefault="00823FD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70528" behindDoc="0" locked="0" layoutInCell="1" allowOverlap="1" wp14:anchorId="6C10CFE5" wp14:editId="55473D70">
              <wp:simplePos x="0" y="0"/>
              <wp:positionH relativeFrom="column">
                <wp:posOffset>5302332</wp:posOffset>
              </wp:positionH>
              <wp:positionV relativeFrom="paragraph">
                <wp:posOffset>447757</wp:posOffset>
              </wp:positionV>
              <wp:extent cx="1432293" cy="336589"/>
              <wp:effectExtent l="0" t="0" r="0" b="6350"/>
              <wp:wrapNone/>
              <wp:docPr id="8" name="Pole tekstowe 2" descr="Date of publication of the news release: 17th of October two thousand and twenty-three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9E8F855" w14:textId="75FCEC0F" w:rsidR="00823FDB" w:rsidRPr="00C97596" w:rsidRDefault="00823FDB" w:rsidP="00D92AEE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17.11.2023</w:t>
                          </w:r>
                        </w:p>
                        <w:p w14:paraId="098BA0A3" w14:textId="77777777" w:rsidR="00823FDB" w:rsidRPr="00C97596" w:rsidRDefault="00823FDB" w:rsidP="00D92AEE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08.2023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C10CFE5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Date of publication of the news release: 17th of October two thousand and twenty-three." style="position:absolute;margin-left:417.5pt;margin-top:35.25pt;width:112.8pt;height:26.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" filled="f" stroked="f">
              <v:textbox>
                <w:txbxContent>
                  <w:p w14:paraId="49E8F855" w14:textId="75FCEC0F" w:rsidR="00823FDB" w:rsidRPr="00C97596" w:rsidRDefault="00823FDB" w:rsidP="00D92AEE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17.11.2023</w:t>
                    </w:r>
                  </w:p>
                  <w:p w14:paraId="098BA0A3" w14:textId="77777777" w:rsidR="00823FDB" w:rsidRPr="00C97596" w:rsidRDefault="00823FDB" w:rsidP="00D92AEE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08.2023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FA5C0" w14:textId="77777777" w:rsidR="00823FDB" w:rsidRDefault="00823FDB">
    <w:pPr>
      <w:pStyle w:val="Nagwek"/>
    </w:pPr>
  </w:p>
  <w:p w14:paraId="0A165AB8" w14:textId="77777777" w:rsidR="00823FDB" w:rsidRDefault="00823FD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400" type="#_x0000_t75" style="width:123.15pt;height:124.9pt;visibility:visible;mso-wrap-style:square" o:bullet="t">
        <v:imagedata r:id="rId1" o:title=""/>
      </v:shape>
    </w:pict>
  </w:numPicBullet>
  <w:numPicBullet w:numPicBulletId="1">
    <w:pict>
      <v:shape id="_x0000_i1401" type="#_x0000_t75" style="width:124pt;height:124.9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370"/>
    <w:rsid w:val="00000B00"/>
    <w:rsid w:val="00001A49"/>
    <w:rsid w:val="00001C5B"/>
    <w:rsid w:val="00002329"/>
    <w:rsid w:val="000023FD"/>
    <w:rsid w:val="00002F31"/>
    <w:rsid w:val="00003437"/>
    <w:rsid w:val="00003760"/>
    <w:rsid w:val="00003807"/>
    <w:rsid w:val="00004FB6"/>
    <w:rsid w:val="000054F8"/>
    <w:rsid w:val="00005F2D"/>
    <w:rsid w:val="0000709F"/>
    <w:rsid w:val="000108B8"/>
    <w:rsid w:val="00013969"/>
    <w:rsid w:val="00014BD9"/>
    <w:rsid w:val="00014C18"/>
    <w:rsid w:val="000152F5"/>
    <w:rsid w:val="0001530D"/>
    <w:rsid w:val="00015A8E"/>
    <w:rsid w:val="00015F6A"/>
    <w:rsid w:val="00017EBA"/>
    <w:rsid w:val="00020CD0"/>
    <w:rsid w:val="00020CD4"/>
    <w:rsid w:val="00021626"/>
    <w:rsid w:val="00021BCB"/>
    <w:rsid w:val="00021C87"/>
    <w:rsid w:val="0002270B"/>
    <w:rsid w:val="00023C19"/>
    <w:rsid w:val="00024AFF"/>
    <w:rsid w:val="00025467"/>
    <w:rsid w:val="00027F0E"/>
    <w:rsid w:val="00030B97"/>
    <w:rsid w:val="0003297D"/>
    <w:rsid w:val="0003338F"/>
    <w:rsid w:val="0003572D"/>
    <w:rsid w:val="00037222"/>
    <w:rsid w:val="00037614"/>
    <w:rsid w:val="00037968"/>
    <w:rsid w:val="00040EA2"/>
    <w:rsid w:val="00041748"/>
    <w:rsid w:val="0004369D"/>
    <w:rsid w:val="00043DAB"/>
    <w:rsid w:val="0004464C"/>
    <w:rsid w:val="00044B1C"/>
    <w:rsid w:val="00044DD0"/>
    <w:rsid w:val="00045325"/>
    <w:rsid w:val="0004582E"/>
    <w:rsid w:val="00045E8E"/>
    <w:rsid w:val="000470AA"/>
    <w:rsid w:val="00052748"/>
    <w:rsid w:val="00054F28"/>
    <w:rsid w:val="000555CA"/>
    <w:rsid w:val="00056848"/>
    <w:rsid w:val="000568A6"/>
    <w:rsid w:val="00057CA1"/>
    <w:rsid w:val="0006117E"/>
    <w:rsid w:val="000637F0"/>
    <w:rsid w:val="00063B9A"/>
    <w:rsid w:val="000653D3"/>
    <w:rsid w:val="000662E2"/>
    <w:rsid w:val="00066883"/>
    <w:rsid w:val="00066C1C"/>
    <w:rsid w:val="00070820"/>
    <w:rsid w:val="00071ED2"/>
    <w:rsid w:val="000732FA"/>
    <w:rsid w:val="00073363"/>
    <w:rsid w:val="00073CE8"/>
    <w:rsid w:val="00073DEA"/>
    <w:rsid w:val="00074DD8"/>
    <w:rsid w:val="00076023"/>
    <w:rsid w:val="00076A47"/>
    <w:rsid w:val="000806F7"/>
    <w:rsid w:val="000819CC"/>
    <w:rsid w:val="00081BF6"/>
    <w:rsid w:val="000830ED"/>
    <w:rsid w:val="00083C6E"/>
    <w:rsid w:val="00087C72"/>
    <w:rsid w:val="00091256"/>
    <w:rsid w:val="0009234B"/>
    <w:rsid w:val="00093169"/>
    <w:rsid w:val="00093A70"/>
    <w:rsid w:val="00093E09"/>
    <w:rsid w:val="0009475A"/>
    <w:rsid w:val="000956B5"/>
    <w:rsid w:val="000958C3"/>
    <w:rsid w:val="00095C32"/>
    <w:rsid w:val="000A0658"/>
    <w:rsid w:val="000A2ADB"/>
    <w:rsid w:val="000A2D7C"/>
    <w:rsid w:val="000A5123"/>
    <w:rsid w:val="000A6A65"/>
    <w:rsid w:val="000A6C2C"/>
    <w:rsid w:val="000A72E4"/>
    <w:rsid w:val="000B0727"/>
    <w:rsid w:val="000B1003"/>
    <w:rsid w:val="000B2704"/>
    <w:rsid w:val="000B2D6A"/>
    <w:rsid w:val="000B3A5D"/>
    <w:rsid w:val="000B3A6E"/>
    <w:rsid w:val="000B4CC0"/>
    <w:rsid w:val="000B63B8"/>
    <w:rsid w:val="000B695C"/>
    <w:rsid w:val="000B6C36"/>
    <w:rsid w:val="000B741F"/>
    <w:rsid w:val="000B7430"/>
    <w:rsid w:val="000B74E7"/>
    <w:rsid w:val="000C0C67"/>
    <w:rsid w:val="000C0CEE"/>
    <w:rsid w:val="000C135D"/>
    <w:rsid w:val="000C1EA8"/>
    <w:rsid w:val="000C2149"/>
    <w:rsid w:val="000C332C"/>
    <w:rsid w:val="000C36D4"/>
    <w:rsid w:val="000C3770"/>
    <w:rsid w:val="000C48ED"/>
    <w:rsid w:val="000C609F"/>
    <w:rsid w:val="000C7452"/>
    <w:rsid w:val="000C7A3B"/>
    <w:rsid w:val="000D039B"/>
    <w:rsid w:val="000D1D43"/>
    <w:rsid w:val="000D225C"/>
    <w:rsid w:val="000D2A5C"/>
    <w:rsid w:val="000D3E9E"/>
    <w:rsid w:val="000D6975"/>
    <w:rsid w:val="000D73AB"/>
    <w:rsid w:val="000D77E7"/>
    <w:rsid w:val="000E0918"/>
    <w:rsid w:val="000E3B1D"/>
    <w:rsid w:val="000E3FC3"/>
    <w:rsid w:val="000E4EEB"/>
    <w:rsid w:val="000E6F29"/>
    <w:rsid w:val="000F02EB"/>
    <w:rsid w:val="000F0F58"/>
    <w:rsid w:val="000F143C"/>
    <w:rsid w:val="000F2113"/>
    <w:rsid w:val="000F31F8"/>
    <w:rsid w:val="000F3941"/>
    <w:rsid w:val="000F397C"/>
    <w:rsid w:val="000F42E0"/>
    <w:rsid w:val="000F7129"/>
    <w:rsid w:val="00100ACD"/>
    <w:rsid w:val="001011C3"/>
    <w:rsid w:val="001013C9"/>
    <w:rsid w:val="00102D3E"/>
    <w:rsid w:val="00103451"/>
    <w:rsid w:val="001035A4"/>
    <w:rsid w:val="0010469A"/>
    <w:rsid w:val="00105187"/>
    <w:rsid w:val="00105ADF"/>
    <w:rsid w:val="00105E2A"/>
    <w:rsid w:val="00107393"/>
    <w:rsid w:val="00110077"/>
    <w:rsid w:val="001100A4"/>
    <w:rsid w:val="00110D87"/>
    <w:rsid w:val="001121BA"/>
    <w:rsid w:val="001146CE"/>
    <w:rsid w:val="00114DB9"/>
    <w:rsid w:val="00116087"/>
    <w:rsid w:val="00116985"/>
    <w:rsid w:val="00117DB2"/>
    <w:rsid w:val="00122454"/>
    <w:rsid w:val="00124BDF"/>
    <w:rsid w:val="0012654F"/>
    <w:rsid w:val="0012796B"/>
    <w:rsid w:val="00130296"/>
    <w:rsid w:val="00130954"/>
    <w:rsid w:val="00130DA4"/>
    <w:rsid w:val="00134588"/>
    <w:rsid w:val="00137318"/>
    <w:rsid w:val="00140495"/>
    <w:rsid w:val="00141609"/>
    <w:rsid w:val="00141776"/>
    <w:rsid w:val="001423B6"/>
    <w:rsid w:val="001423BE"/>
    <w:rsid w:val="00143398"/>
    <w:rsid w:val="0014370B"/>
    <w:rsid w:val="0014391C"/>
    <w:rsid w:val="001440E1"/>
    <w:rsid w:val="001448A7"/>
    <w:rsid w:val="0014586D"/>
    <w:rsid w:val="00146621"/>
    <w:rsid w:val="0014778F"/>
    <w:rsid w:val="001478E5"/>
    <w:rsid w:val="00150575"/>
    <w:rsid w:val="001519B0"/>
    <w:rsid w:val="00152273"/>
    <w:rsid w:val="001530E2"/>
    <w:rsid w:val="001550E5"/>
    <w:rsid w:val="001553B0"/>
    <w:rsid w:val="00155908"/>
    <w:rsid w:val="00155DA2"/>
    <w:rsid w:val="00157052"/>
    <w:rsid w:val="00157D49"/>
    <w:rsid w:val="00162325"/>
    <w:rsid w:val="00167D17"/>
    <w:rsid w:val="00170635"/>
    <w:rsid w:val="001706E7"/>
    <w:rsid w:val="0017078D"/>
    <w:rsid w:val="001710C6"/>
    <w:rsid w:val="00173B8A"/>
    <w:rsid w:val="0017464E"/>
    <w:rsid w:val="00174967"/>
    <w:rsid w:val="00175E53"/>
    <w:rsid w:val="001804B7"/>
    <w:rsid w:val="00180527"/>
    <w:rsid w:val="00180D43"/>
    <w:rsid w:val="001824D4"/>
    <w:rsid w:val="00183B0B"/>
    <w:rsid w:val="001848DA"/>
    <w:rsid w:val="00185497"/>
    <w:rsid w:val="00185BAA"/>
    <w:rsid w:val="0018611F"/>
    <w:rsid w:val="00186BC3"/>
    <w:rsid w:val="0019224D"/>
    <w:rsid w:val="00193A4A"/>
    <w:rsid w:val="00193D62"/>
    <w:rsid w:val="00194008"/>
    <w:rsid w:val="0019402A"/>
    <w:rsid w:val="00194452"/>
    <w:rsid w:val="001951DA"/>
    <w:rsid w:val="001952C2"/>
    <w:rsid w:val="001955FB"/>
    <w:rsid w:val="001978FE"/>
    <w:rsid w:val="001A01B7"/>
    <w:rsid w:val="001A11C4"/>
    <w:rsid w:val="001A33F3"/>
    <w:rsid w:val="001A5F85"/>
    <w:rsid w:val="001A78FA"/>
    <w:rsid w:val="001B0D5D"/>
    <w:rsid w:val="001B1592"/>
    <w:rsid w:val="001B2B9A"/>
    <w:rsid w:val="001B3255"/>
    <w:rsid w:val="001B46C3"/>
    <w:rsid w:val="001B492A"/>
    <w:rsid w:val="001B4C7D"/>
    <w:rsid w:val="001B6FEB"/>
    <w:rsid w:val="001B7AEC"/>
    <w:rsid w:val="001C2334"/>
    <w:rsid w:val="001C2C72"/>
    <w:rsid w:val="001C3269"/>
    <w:rsid w:val="001C578A"/>
    <w:rsid w:val="001C632D"/>
    <w:rsid w:val="001C6842"/>
    <w:rsid w:val="001D1DB4"/>
    <w:rsid w:val="001D4B5E"/>
    <w:rsid w:val="001D6273"/>
    <w:rsid w:val="001D6601"/>
    <w:rsid w:val="001D7DC0"/>
    <w:rsid w:val="001D7F84"/>
    <w:rsid w:val="001E2FD0"/>
    <w:rsid w:val="001E3F4A"/>
    <w:rsid w:val="001E4A2F"/>
    <w:rsid w:val="001E704E"/>
    <w:rsid w:val="001F0CAB"/>
    <w:rsid w:val="001F18ED"/>
    <w:rsid w:val="001F1A39"/>
    <w:rsid w:val="001F2151"/>
    <w:rsid w:val="001F591E"/>
    <w:rsid w:val="001F6FFE"/>
    <w:rsid w:val="001F76B0"/>
    <w:rsid w:val="0020149A"/>
    <w:rsid w:val="00202F1D"/>
    <w:rsid w:val="0020305C"/>
    <w:rsid w:val="00203B87"/>
    <w:rsid w:val="00203E54"/>
    <w:rsid w:val="00205E2C"/>
    <w:rsid w:val="002078C6"/>
    <w:rsid w:val="002118AD"/>
    <w:rsid w:val="00212B03"/>
    <w:rsid w:val="00215467"/>
    <w:rsid w:val="002171FE"/>
    <w:rsid w:val="00217509"/>
    <w:rsid w:val="002212E7"/>
    <w:rsid w:val="00221AEE"/>
    <w:rsid w:val="002248BB"/>
    <w:rsid w:val="00226715"/>
    <w:rsid w:val="00226B65"/>
    <w:rsid w:val="00226F10"/>
    <w:rsid w:val="0022712B"/>
    <w:rsid w:val="00231F40"/>
    <w:rsid w:val="00232B84"/>
    <w:rsid w:val="00234E12"/>
    <w:rsid w:val="00235954"/>
    <w:rsid w:val="00235F0F"/>
    <w:rsid w:val="002370F5"/>
    <w:rsid w:val="002415A6"/>
    <w:rsid w:val="00241800"/>
    <w:rsid w:val="0024185E"/>
    <w:rsid w:val="00242525"/>
    <w:rsid w:val="00245219"/>
    <w:rsid w:val="00245AFC"/>
    <w:rsid w:val="00246534"/>
    <w:rsid w:val="00247488"/>
    <w:rsid w:val="002515C5"/>
    <w:rsid w:val="002526E7"/>
    <w:rsid w:val="00252990"/>
    <w:rsid w:val="00253035"/>
    <w:rsid w:val="002536D7"/>
    <w:rsid w:val="00253F03"/>
    <w:rsid w:val="00255134"/>
    <w:rsid w:val="00256A41"/>
    <w:rsid w:val="002574F9"/>
    <w:rsid w:val="00257A14"/>
    <w:rsid w:val="0026021D"/>
    <w:rsid w:val="00260BE9"/>
    <w:rsid w:val="00260F64"/>
    <w:rsid w:val="00264113"/>
    <w:rsid w:val="0026525B"/>
    <w:rsid w:val="00271535"/>
    <w:rsid w:val="0027462D"/>
    <w:rsid w:val="00275799"/>
    <w:rsid w:val="0027591C"/>
    <w:rsid w:val="00276811"/>
    <w:rsid w:val="002769F5"/>
    <w:rsid w:val="00277011"/>
    <w:rsid w:val="00277277"/>
    <w:rsid w:val="00277571"/>
    <w:rsid w:val="00277A82"/>
    <w:rsid w:val="0028106C"/>
    <w:rsid w:val="00282699"/>
    <w:rsid w:val="00282A29"/>
    <w:rsid w:val="00283F38"/>
    <w:rsid w:val="00284235"/>
    <w:rsid w:val="0028458E"/>
    <w:rsid w:val="002850D3"/>
    <w:rsid w:val="0028567F"/>
    <w:rsid w:val="0029104C"/>
    <w:rsid w:val="002926DF"/>
    <w:rsid w:val="0029451A"/>
    <w:rsid w:val="00294D99"/>
    <w:rsid w:val="00295062"/>
    <w:rsid w:val="00296697"/>
    <w:rsid w:val="00296C5F"/>
    <w:rsid w:val="002970D9"/>
    <w:rsid w:val="00297509"/>
    <w:rsid w:val="002A156A"/>
    <w:rsid w:val="002A1B9E"/>
    <w:rsid w:val="002A434C"/>
    <w:rsid w:val="002A662C"/>
    <w:rsid w:val="002A689C"/>
    <w:rsid w:val="002A69C1"/>
    <w:rsid w:val="002B0472"/>
    <w:rsid w:val="002B11F6"/>
    <w:rsid w:val="002B30B6"/>
    <w:rsid w:val="002B4F64"/>
    <w:rsid w:val="002B6B12"/>
    <w:rsid w:val="002C1BC2"/>
    <w:rsid w:val="002C29B0"/>
    <w:rsid w:val="002C3872"/>
    <w:rsid w:val="002C3A8E"/>
    <w:rsid w:val="002C47BD"/>
    <w:rsid w:val="002C4F67"/>
    <w:rsid w:val="002C6442"/>
    <w:rsid w:val="002D45CF"/>
    <w:rsid w:val="002D6100"/>
    <w:rsid w:val="002E0CC8"/>
    <w:rsid w:val="002E1F1A"/>
    <w:rsid w:val="002E4522"/>
    <w:rsid w:val="002E6140"/>
    <w:rsid w:val="002E6985"/>
    <w:rsid w:val="002E71B6"/>
    <w:rsid w:val="002F24D3"/>
    <w:rsid w:val="002F2768"/>
    <w:rsid w:val="002F2E13"/>
    <w:rsid w:val="002F336F"/>
    <w:rsid w:val="002F6FBE"/>
    <w:rsid w:val="002F77C8"/>
    <w:rsid w:val="0030066D"/>
    <w:rsid w:val="003013FD"/>
    <w:rsid w:val="00301B4E"/>
    <w:rsid w:val="00301DA1"/>
    <w:rsid w:val="00304F22"/>
    <w:rsid w:val="00305F53"/>
    <w:rsid w:val="00305F79"/>
    <w:rsid w:val="00306B6F"/>
    <w:rsid w:val="00306C7C"/>
    <w:rsid w:val="003079F6"/>
    <w:rsid w:val="0031047D"/>
    <w:rsid w:val="00310D94"/>
    <w:rsid w:val="003135C5"/>
    <w:rsid w:val="00313867"/>
    <w:rsid w:val="003140DD"/>
    <w:rsid w:val="00314CEB"/>
    <w:rsid w:val="003168DF"/>
    <w:rsid w:val="00316C91"/>
    <w:rsid w:val="00316FD3"/>
    <w:rsid w:val="00317486"/>
    <w:rsid w:val="003216C9"/>
    <w:rsid w:val="00322EDD"/>
    <w:rsid w:val="0032347D"/>
    <w:rsid w:val="00323CD9"/>
    <w:rsid w:val="00323D57"/>
    <w:rsid w:val="003251C0"/>
    <w:rsid w:val="00325B44"/>
    <w:rsid w:val="00332320"/>
    <w:rsid w:val="0033262E"/>
    <w:rsid w:val="00333825"/>
    <w:rsid w:val="0033416A"/>
    <w:rsid w:val="00335E69"/>
    <w:rsid w:val="00336BD0"/>
    <w:rsid w:val="00336E93"/>
    <w:rsid w:val="00340F34"/>
    <w:rsid w:val="00341FC0"/>
    <w:rsid w:val="003426BE"/>
    <w:rsid w:val="0034561F"/>
    <w:rsid w:val="003459D7"/>
    <w:rsid w:val="00345F7C"/>
    <w:rsid w:val="00346180"/>
    <w:rsid w:val="003468AF"/>
    <w:rsid w:val="00347BB8"/>
    <w:rsid w:val="00347D72"/>
    <w:rsid w:val="00352FDF"/>
    <w:rsid w:val="00353159"/>
    <w:rsid w:val="0035340C"/>
    <w:rsid w:val="003536A0"/>
    <w:rsid w:val="00353BD9"/>
    <w:rsid w:val="00354424"/>
    <w:rsid w:val="003555BC"/>
    <w:rsid w:val="00357611"/>
    <w:rsid w:val="00357BC2"/>
    <w:rsid w:val="003604DE"/>
    <w:rsid w:val="00361189"/>
    <w:rsid w:val="00361521"/>
    <w:rsid w:val="00361D99"/>
    <w:rsid w:val="0036257A"/>
    <w:rsid w:val="00364903"/>
    <w:rsid w:val="00365C2D"/>
    <w:rsid w:val="00366025"/>
    <w:rsid w:val="00367237"/>
    <w:rsid w:val="003672DA"/>
    <w:rsid w:val="0036761B"/>
    <w:rsid w:val="00367987"/>
    <w:rsid w:val="0037077F"/>
    <w:rsid w:val="00371D98"/>
    <w:rsid w:val="00371FAC"/>
    <w:rsid w:val="00371FC0"/>
    <w:rsid w:val="0037357C"/>
    <w:rsid w:val="00373882"/>
    <w:rsid w:val="00373EAA"/>
    <w:rsid w:val="00374338"/>
    <w:rsid w:val="00377464"/>
    <w:rsid w:val="0038098E"/>
    <w:rsid w:val="0038101F"/>
    <w:rsid w:val="00381978"/>
    <w:rsid w:val="0038341F"/>
    <w:rsid w:val="003843DB"/>
    <w:rsid w:val="0038490F"/>
    <w:rsid w:val="003851D8"/>
    <w:rsid w:val="00385AA9"/>
    <w:rsid w:val="00386AA1"/>
    <w:rsid w:val="003900DF"/>
    <w:rsid w:val="003910F8"/>
    <w:rsid w:val="003935B4"/>
    <w:rsid w:val="00393761"/>
    <w:rsid w:val="003970F9"/>
    <w:rsid w:val="00397D18"/>
    <w:rsid w:val="003A1B36"/>
    <w:rsid w:val="003A45CD"/>
    <w:rsid w:val="003A4F03"/>
    <w:rsid w:val="003A6DFD"/>
    <w:rsid w:val="003A740E"/>
    <w:rsid w:val="003A7703"/>
    <w:rsid w:val="003B024D"/>
    <w:rsid w:val="003B0D2A"/>
    <w:rsid w:val="003B1454"/>
    <w:rsid w:val="003B2673"/>
    <w:rsid w:val="003B2C4C"/>
    <w:rsid w:val="003B40D3"/>
    <w:rsid w:val="003B46F9"/>
    <w:rsid w:val="003B632C"/>
    <w:rsid w:val="003B636A"/>
    <w:rsid w:val="003B6DAF"/>
    <w:rsid w:val="003B6FBF"/>
    <w:rsid w:val="003C0F6B"/>
    <w:rsid w:val="003C1C8A"/>
    <w:rsid w:val="003C36F5"/>
    <w:rsid w:val="003C59E0"/>
    <w:rsid w:val="003C6B82"/>
    <w:rsid w:val="003C6C8D"/>
    <w:rsid w:val="003D0596"/>
    <w:rsid w:val="003D0FFC"/>
    <w:rsid w:val="003D23E6"/>
    <w:rsid w:val="003D41FE"/>
    <w:rsid w:val="003D4D62"/>
    <w:rsid w:val="003D4F95"/>
    <w:rsid w:val="003D5F42"/>
    <w:rsid w:val="003D60A9"/>
    <w:rsid w:val="003E01F1"/>
    <w:rsid w:val="003E0D23"/>
    <w:rsid w:val="003E3376"/>
    <w:rsid w:val="003E52E2"/>
    <w:rsid w:val="003E5DEB"/>
    <w:rsid w:val="003E7830"/>
    <w:rsid w:val="003F0845"/>
    <w:rsid w:val="003F0B77"/>
    <w:rsid w:val="003F0E79"/>
    <w:rsid w:val="003F16AB"/>
    <w:rsid w:val="003F19FC"/>
    <w:rsid w:val="003F1F8C"/>
    <w:rsid w:val="003F2C51"/>
    <w:rsid w:val="003F35AD"/>
    <w:rsid w:val="003F4C97"/>
    <w:rsid w:val="003F5B94"/>
    <w:rsid w:val="003F5D25"/>
    <w:rsid w:val="003F647C"/>
    <w:rsid w:val="003F6750"/>
    <w:rsid w:val="003F7312"/>
    <w:rsid w:val="003F7B61"/>
    <w:rsid w:val="003F7FE6"/>
    <w:rsid w:val="00400193"/>
    <w:rsid w:val="00400588"/>
    <w:rsid w:val="00401D73"/>
    <w:rsid w:val="00402E8E"/>
    <w:rsid w:val="00403D48"/>
    <w:rsid w:val="004045B9"/>
    <w:rsid w:val="0041028A"/>
    <w:rsid w:val="00410B29"/>
    <w:rsid w:val="00411B9B"/>
    <w:rsid w:val="00411D0A"/>
    <w:rsid w:val="004120F3"/>
    <w:rsid w:val="004171BE"/>
    <w:rsid w:val="004175FA"/>
    <w:rsid w:val="00417747"/>
    <w:rsid w:val="00420827"/>
    <w:rsid w:val="00421112"/>
    <w:rsid w:val="004212E7"/>
    <w:rsid w:val="00422523"/>
    <w:rsid w:val="00422CBD"/>
    <w:rsid w:val="0042417F"/>
    <w:rsid w:val="0042446D"/>
    <w:rsid w:val="00424CB7"/>
    <w:rsid w:val="0042571C"/>
    <w:rsid w:val="00427BF8"/>
    <w:rsid w:val="0043128E"/>
    <w:rsid w:val="004313BA"/>
    <w:rsid w:val="00431A77"/>
    <w:rsid w:val="00431C02"/>
    <w:rsid w:val="00431EDE"/>
    <w:rsid w:val="00433EA8"/>
    <w:rsid w:val="00434ABB"/>
    <w:rsid w:val="00434D16"/>
    <w:rsid w:val="00434DE2"/>
    <w:rsid w:val="00437395"/>
    <w:rsid w:val="00437C07"/>
    <w:rsid w:val="0044024D"/>
    <w:rsid w:val="00441136"/>
    <w:rsid w:val="00442049"/>
    <w:rsid w:val="004423C0"/>
    <w:rsid w:val="00442496"/>
    <w:rsid w:val="004425C3"/>
    <w:rsid w:val="00442A89"/>
    <w:rsid w:val="0044478E"/>
    <w:rsid w:val="00445047"/>
    <w:rsid w:val="004460DE"/>
    <w:rsid w:val="0044728B"/>
    <w:rsid w:val="00450C1B"/>
    <w:rsid w:val="00451B69"/>
    <w:rsid w:val="00454067"/>
    <w:rsid w:val="00454A01"/>
    <w:rsid w:val="00454E36"/>
    <w:rsid w:val="0045590E"/>
    <w:rsid w:val="004567B4"/>
    <w:rsid w:val="00460A51"/>
    <w:rsid w:val="004629FC"/>
    <w:rsid w:val="00463E39"/>
    <w:rsid w:val="004649BA"/>
    <w:rsid w:val="004657FC"/>
    <w:rsid w:val="0046619C"/>
    <w:rsid w:val="0046621C"/>
    <w:rsid w:val="00466489"/>
    <w:rsid w:val="00470C5C"/>
    <w:rsid w:val="004712D4"/>
    <w:rsid w:val="004733F6"/>
    <w:rsid w:val="00474E69"/>
    <w:rsid w:val="004751A6"/>
    <w:rsid w:val="0047609B"/>
    <w:rsid w:val="00476742"/>
    <w:rsid w:val="00476D65"/>
    <w:rsid w:val="00477E50"/>
    <w:rsid w:val="0048231B"/>
    <w:rsid w:val="00482526"/>
    <w:rsid w:val="00482EF5"/>
    <w:rsid w:val="00482F48"/>
    <w:rsid w:val="0048326A"/>
    <w:rsid w:val="00483F3B"/>
    <w:rsid w:val="00484848"/>
    <w:rsid w:val="00484C1A"/>
    <w:rsid w:val="00486FDA"/>
    <w:rsid w:val="00487962"/>
    <w:rsid w:val="00490A98"/>
    <w:rsid w:val="004911B3"/>
    <w:rsid w:val="00491D33"/>
    <w:rsid w:val="004921B7"/>
    <w:rsid w:val="004926AC"/>
    <w:rsid w:val="004931B7"/>
    <w:rsid w:val="00493C1E"/>
    <w:rsid w:val="0049401B"/>
    <w:rsid w:val="0049438B"/>
    <w:rsid w:val="00495BB2"/>
    <w:rsid w:val="0049621B"/>
    <w:rsid w:val="00497A7E"/>
    <w:rsid w:val="004A0681"/>
    <w:rsid w:val="004A1B20"/>
    <w:rsid w:val="004A2079"/>
    <w:rsid w:val="004A29AD"/>
    <w:rsid w:val="004A2D0F"/>
    <w:rsid w:val="004A4965"/>
    <w:rsid w:val="004A61FF"/>
    <w:rsid w:val="004B03EA"/>
    <w:rsid w:val="004B0767"/>
    <w:rsid w:val="004B131D"/>
    <w:rsid w:val="004B1C41"/>
    <w:rsid w:val="004B2314"/>
    <w:rsid w:val="004B2776"/>
    <w:rsid w:val="004B2FBB"/>
    <w:rsid w:val="004B5760"/>
    <w:rsid w:val="004B64A7"/>
    <w:rsid w:val="004C05E8"/>
    <w:rsid w:val="004C063B"/>
    <w:rsid w:val="004C0BD6"/>
    <w:rsid w:val="004C0FD7"/>
    <w:rsid w:val="004C1895"/>
    <w:rsid w:val="004C22FB"/>
    <w:rsid w:val="004C29D3"/>
    <w:rsid w:val="004C4BDC"/>
    <w:rsid w:val="004C5B70"/>
    <w:rsid w:val="004C5D79"/>
    <w:rsid w:val="004C5E66"/>
    <w:rsid w:val="004C62BE"/>
    <w:rsid w:val="004C6798"/>
    <w:rsid w:val="004C6D40"/>
    <w:rsid w:val="004C6E04"/>
    <w:rsid w:val="004C7D4C"/>
    <w:rsid w:val="004D100F"/>
    <w:rsid w:val="004D1627"/>
    <w:rsid w:val="004D1A87"/>
    <w:rsid w:val="004D1D91"/>
    <w:rsid w:val="004D3044"/>
    <w:rsid w:val="004D3582"/>
    <w:rsid w:val="004D4898"/>
    <w:rsid w:val="004D4C82"/>
    <w:rsid w:val="004D5D58"/>
    <w:rsid w:val="004D5E64"/>
    <w:rsid w:val="004D632E"/>
    <w:rsid w:val="004E0D33"/>
    <w:rsid w:val="004E15CF"/>
    <w:rsid w:val="004E2F1A"/>
    <w:rsid w:val="004E763E"/>
    <w:rsid w:val="004E7942"/>
    <w:rsid w:val="004F0C3C"/>
    <w:rsid w:val="004F3960"/>
    <w:rsid w:val="004F573F"/>
    <w:rsid w:val="004F63FC"/>
    <w:rsid w:val="004F69EE"/>
    <w:rsid w:val="004F7748"/>
    <w:rsid w:val="0050239E"/>
    <w:rsid w:val="0050252B"/>
    <w:rsid w:val="005043A9"/>
    <w:rsid w:val="00504E44"/>
    <w:rsid w:val="00505A92"/>
    <w:rsid w:val="00506215"/>
    <w:rsid w:val="00506302"/>
    <w:rsid w:val="0050703B"/>
    <w:rsid w:val="005077C6"/>
    <w:rsid w:val="00507913"/>
    <w:rsid w:val="005102D5"/>
    <w:rsid w:val="00510700"/>
    <w:rsid w:val="0051165C"/>
    <w:rsid w:val="00512FEF"/>
    <w:rsid w:val="00513A92"/>
    <w:rsid w:val="0051570B"/>
    <w:rsid w:val="0051626B"/>
    <w:rsid w:val="00517E3D"/>
    <w:rsid w:val="005203F1"/>
    <w:rsid w:val="00521BC3"/>
    <w:rsid w:val="005249BC"/>
    <w:rsid w:val="00524ADF"/>
    <w:rsid w:val="00524B1B"/>
    <w:rsid w:val="0052532E"/>
    <w:rsid w:val="00525461"/>
    <w:rsid w:val="005300D4"/>
    <w:rsid w:val="005309DA"/>
    <w:rsid w:val="005313E7"/>
    <w:rsid w:val="00531737"/>
    <w:rsid w:val="00533632"/>
    <w:rsid w:val="00533756"/>
    <w:rsid w:val="005364B8"/>
    <w:rsid w:val="00536DAE"/>
    <w:rsid w:val="0054145E"/>
    <w:rsid w:val="00541F44"/>
    <w:rsid w:val="0054251F"/>
    <w:rsid w:val="00542848"/>
    <w:rsid w:val="00542970"/>
    <w:rsid w:val="00544654"/>
    <w:rsid w:val="005451EA"/>
    <w:rsid w:val="00545553"/>
    <w:rsid w:val="00546F85"/>
    <w:rsid w:val="005472A7"/>
    <w:rsid w:val="005476AB"/>
    <w:rsid w:val="0054771C"/>
    <w:rsid w:val="00547CE2"/>
    <w:rsid w:val="00550618"/>
    <w:rsid w:val="005509AA"/>
    <w:rsid w:val="005520D8"/>
    <w:rsid w:val="005540B1"/>
    <w:rsid w:val="00556CF1"/>
    <w:rsid w:val="00557D82"/>
    <w:rsid w:val="005604E6"/>
    <w:rsid w:val="00561D5A"/>
    <w:rsid w:val="00562B27"/>
    <w:rsid w:val="00562C88"/>
    <w:rsid w:val="005644AC"/>
    <w:rsid w:val="005654D8"/>
    <w:rsid w:val="00566464"/>
    <w:rsid w:val="005676E4"/>
    <w:rsid w:val="005700CF"/>
    <w:rsid w:val="0057042D"/>
    <w:rsid w:val="0057094E"/>
    <w:rsid w:val="00570FE0"/>
    <w:rsid w:val="0057134E"/>
    <w:rsid w:val="00572459"/>
    <w:rsid w:val="00572BAA"/>
    <w:rsid w:val="005736B5"/>
    <w:rsid w:val="0057486C"/>
    <w:rsid w:val="00574882"/>
    <w:rsid w:val="00574C70"/>
    <w:rsid w:val="005759A0"/>
    <w:rsid w:val="00575D17"/>
    <w:rsid w:val="00575E53"/>
    <w:rsid w:val="00576019"/>
    <w:rsid w:val="005762A7"/>
    <w:rsid w:val="00576721"/>
    <w:rsid w:val="00581301"/>
    <w:rsid w:val="00581CC6"/>
    <w:rsid w:val="005835E7"/>
    <w:rsid w:val="00583FEE"/>
    <w:rsid w:val="00584B4F"/>
    <w:rsid w:val="00585385"/>
    <w:rsid w:val="00586936"/>
    <w:rsid w:val="0058696E"/>
    <w:rsid w:val="005916D7"/>
    <w:rsid w:val="00592003"/>
    <w:rsid w:val="005934CE"/>
    <w:rsid w:val="00594C60"/>
    <w:rsid w:val="0059663D"/>
    <w:rsid w:val="0059786A"/>
    <w:rsid w:val="005A16E9"/>
    <w:rsid w:val="005A4478"/>
    <w:rsid w:val="005A5483"/>
    <w:rsid w:val="005A698C"/>
    <w:rsid w:val="005A729A"/>
    <w:rsid w:val="005B3C50"/>
    <w:rsid w:val="005B4A7E"/>
    <w:rsid w:val="005B53FF"/>
    <w:rsid w:val="005B5C39"/>
    <w:rsid w:val="005B644C"/>
    <w:rsid w:val="005B65A4"/>
    <w:rsid w:val="005B77C2"/>
    <w:rsid w:val="005B79E4"/>
    <w:rsid w:val="005C0751"/>
    <w:rsid w:val="005C0C64"/>
    <w:rsid w:val="005C10D5"/>
    <w:rsid w:val="005C1445"/>
    <w:rsid w:val="005C1756"/>
    <w:rsid w:val="005C2260"/>
    <w:rsid w:val="005C22A7"/>
    <w:rsid w:val="005C3C9B"/>
    <w:rsid w:val="005C4181"/>
    <w:rsid w:val="005C4C4F"/>
    <w:rsid w:val="005C5358"/>
    <w:rsid w:val="005C568B"/>
    <w:rsid w:val="005D08D5"/>
    <w:rsid w:val="005D11CF"/>
    <w:rsid w:val="005D12BD"/>
    <w:rsid w:val="005D41A5"/>
    <w:rsid w:val="005D5863"/>
    <w:rsid w:val="005D5912"/>
    <w:rsid w:val="005D5BAC"/>
    <w:rsid w:val="005D69B1"/>
    <w:rsid w:val="005D6F5C"/>
    <w:rsid w:val="005D706E"/>
    <w:rsid w:val="005E00B0"/>
    <w:rsid w:val="005E045B"/>
    <w:rsid w:val="005E0799"/>
    <w:rsid w:val="005E2DCC"/>
    <w:rsid w:val="005E5EE7"/>
    <w:rsid w:val="005E6740"/>
    <w:rsid w:val="005E67F5"/>
    <w:rsid w:val="005E76AC"/>
    <w:rsid w:val="005F0F6A"/>
    <w:rsid w:val="005F1BBB"/>
    <w:rsid w:val="005F1C20"/>
    <w:rsid w:val="005F30B8"/>
    <w:rsid w:val="005F4138"/>
    <w:rsid w:val="005F4EF3"/>
    <w:rsid w:val="005F57B5"/>
    <w:rsid w:val="005F5A80"/>
    <w:rsid w:val="005F74A9"/>
    <w:rsid w:val="00600D19"/>
    <w:rsid w:val="006044FF"/>
    <w:rsid w:val="006047B4"/>
    <w:rsid w:val="00605F35"/>
    <w:rsid w:val="00607CC5"/>
    <w:rsid w:val="006142F9"/>
    <w:rsid w:val="00615394"/>
    <w:rsid w:val="006155B5"/>
    <w:rsid w:val="006214D2"/>
    <w:rsid w:val="006234BA"/>
    <w:rsid w:val="00623B85"/>
    <w:rsid w:val="0062435C"/>
    <w:rsid w:val="00624E18"/>
    <w:rsid w:val="0062578F"/>
    <w:rsid w:val="00627489"/>
    <w:rsid w:val="00630A8C"/>
    <w:rsid w:val="00631D25"/>
    <w:rsid w:val="00633014"/>
    <w:rsid w:val="006332BB"/>
    <w:rsid w:val="0063437B"/>
    <w:rsid w:val="0063605D"/>
    <w:rsid w:val="00637C0D"/>
    <w:rsid w:val="006401A1"/>
    <w:rsid w:val="0064023D"/>
    <w:rsid w:val="00640AF6"/>
    <w:rsid w:val="00641F00"/>
    <w:rsid w:val="0064284B"/>
    <w:rsid w:val="006449DD"/>
    <w:rsid w:val="00644AB0"/>
    <w:rsid w:val="00644C06"/>
    <w:rsid w:val="006451E4"/>
    <w:rsid w:val="00645281"/>
    <w:rsid w:val="00645E17"/>
    <w:rsid w:val="00646684"/>
    <w:rsid w:val="0065007B"/>
    <w:rsid w:val="0065146E"/>
    <w:rsid w:val="0065337E"/>
    <w:rsid w:val="00653792"/>
    <w:rsid w:val="006537F5"/>
    <w:rsid w:val="00653D2B"/>
    <w:rsid w:val="00660757"/>
    <w:rsid w:val="00662B9D"/>
    <w:rsid w:val="00663C9F"/>
    <w:rsid w:val="006640F6"/>
    <w:rsid w:val="0066435D"/>
    <w:rsid w:val="00665A78"/>
    <w:rsid w:val="006673CA"/>
    <w:rsid w:val="006709C4"/>
    <w:rsid w:val="00670AAF"/>
    <w:rsid w:val="00670E27"/>
    <w:rsid w:val="006736A4"/>
    <w:rsid w:val="00673C26"/>
    <w:rsid w:val="00674C82"/>
    <w:rsid w:val="0067586D"/>
    <w:rsid w:val="00675AEA"/>
    <w:rsid w:val="00676043"/>
    <w:rsid w:val="00681233"/>
    <w:rsid w:val="006812AF"/>
    <w:rsid w:val="0068327D"/>
    <w:rsid w:val="00683419"/>
    <w:rsid w:val="00684B35"/>
    <w:rsid w:val="0068528D"/>
    <w:rsid w:val="0068638E"/>
    <w:rsid w:val="00690129"/>
    <w:rsid w:val="006921D7"/>
    <w:rsid w:val="00692537"/>
    <w:rsid w:val="00694AF0"/>
    <w:rsid w:val="00697FAC"/>
    <w:rsid w:val="006A1323"/>
    <w:rsid w:val="006A1B99"/>
    <w:rsid w:val="006A215D"/>
    <w:rsid w:val="006A401F"/>
    <w:rsid w:val="006A7BD5"/>
    <w:rsid w:val="006A7D57"/>
    <w:rsid w:val="006B0CA3"/>
    <w:rsid w:val="006B0E9E"/>
    <w:rsid w:val="006B1C3F"/>
    <w:rsid w:val="006B4353"/>
    <w:rsid w:val="006B53C4"/>
    <w:rsid w:val="006B5863"/>
    <w:rsid w:val="006B5AE4"/>
    <w:rsid w:val="006B631B"/>
    <w:rsid w:val="006B6BCF"/>
    <w:rsid w:val="006C2126"/>
    <w:rsid w:val="006C3AAC"/>
    <w:rsid w:val="006C6FF9"/>
    <w:rsid w:val="006C7A67"/>
    <w:rsid w:val="006D1738"/>
    <w:rsid w:val="006D2044"/>
    <w:rsid w:val="006D21E6"/>
    <w:rsid w:val="006D31C0"/>
    <w:rsid w:val="006D4054"/>
    <w:rsid w:val="006D420D"/>
    <w:rsid w:val="006D5EAD"/>
    <w:rsid w:val="006D6436"/>
    <w:rsid w:val="006D6AD4"/>
    <w:rsid w:val="006D7EDD"/>
    <w:rsid w:val="006E02EC"/>
    <w:rsid w:val="006E1A22"/>
    <w:rsid w:val="006E3560"/>
    <w:rsid w:val="006F3150"/>
    <w:rsid w:val="006F3B26"/>
    <w:rsid w:val="006F550F"/>
    <w:rsid w:val="006F5D87"/>
    <w:rsid w:val="006F601B"/>
    <w:rsid w:val="006F6C1F"/>
    <w:rsid w:val="006F6D54"/>
    <w:rsid w:val="006F6E32"/>
    <w:rsid w:val="007000BD"/>
    <w:rsid w:val="00701D51"/>
    <w:rsid w:val="00703545"/>
    <w:rsid w:val="007041B0"/>
    <w:rsid w:val="00704E4D"/>
    <w:rsid w:val="007051C3"/>
    <w:rsid w:val="00705DE1"/>
    <w:rsid w:val="0070725D"/>
    <w:rsid w:val="00707515"/>
    <w:rsid w:val="00707EC3"/>
    <w:rsid w:val="007128E2"/>
    <w:rsid w:val="007131EA"/>
    <w:rsid w:val="007135A7"/>
    <w:rsid w:val="00713E1D"/>
    <w:rsid w:val="007143EA"/>
    <w:rsid w:val="00714A8B"/>
    <w:rsid w:val="007159B2"/>
    <w:rsid w:val="00717D5C"/>
    <w:rsid w:val="0072037C"/>
    <w:rsid w:val="00720486"/>
    <w:rsid w:val="00720B1A"/>
    <w:rsid w:val="007211B1"/>
    <w:rsid w:val="00722640"/>
    <w:rsid w:val="00723032"/>
    <w:rsid w:val="00723FCE"/>
    <w:rsid w:val="00724C09"/>
    <w:rsid w:val="00725E3B"/>
    <w:rsid w:val="00726835"/>
    <w:rsid w:val="00726BEE"/>
    <w:rsid w:val="00726FE7"/>
    <w:rsid w:val="007275EE"/>
    <w:rsid w:val="007312B6"/>
    <w:rsid w:val="00731A52"/>
    <w:rsid w:val="0073371B"/>
    <w:rsid w:val="00733A7E"/>
    <w:rsid w:val="007342C5"/>
    <w:rsid w:val="0073488F"/>
    <w:rsid w:val="00735413"/>
    <w:rsid w:val="00737496"/>
    <w:rsid w:val="0074020F"/>
    <w:rsid w:val="007405D5"/>
    <w:rsid w:val="0074094F"/>
    <w:rsid w:val="00744279"/>
    <w:rsid w:val="00744595"/>
    <w:rsid w:val="00745695"/>
    <w:rsid w:val="00746173"/>
    <w:rsid w:val="00746187"/>
    <w:rsid w:val="007476ED"/>
    <w:rsid w:val="007534D2"/>
    <w:rsid w:val="007534DA"/>
    <w:rsid w:val="007551C5"/>
    <w:rsid w:val="00755490"/>
    <w:rsid w:val="00755812"/>
    <w:rsid w:val="007563EC"/>
    <w:rsid w:val="00757AC5"/>
    <w:rsid w:val="0076254F"/>
    <w:rsid w:val="00762790"/>
    <w:rsid w:val="007632A6"/>
    <w:rsid w:val="007639A7"/>
    <w:rsid w:val="0076444C"/>
    <w:rsid w:val="0076506A"/>
    <w:rsid w:val="007653E3"/>
    <w:rsid w:val="00766C32"/>
    <w:rsid w:val="007725FD"/>
    <w:rsid w:val="00772FE0"/>
    <w:rsid w:val="00773E91"/>
    <w:rsid w:val="007744B8"/>
    <w:rsid w:val="00775B0D"/>
    <w:rsid w:val="00775C1F"/>
    <w:rsid w:val="00775FC9"/>
    <w:rsid w:val="007801F5"/>
    <w:rsid w:val="00780E75"/>
    <w:rsid w:val="00780F87"/>
    <w:rsid w:val="007813D1"/>
    <w:rsid w:val="00781444"/>
    <w:rsid w:val="00781888"/>
    <w:rsid w:val="00781E35"/>
    <w:rsid w:val="00782039"/>
    <w:rsid w:val="00782B51"/>
    <w:rsid w:val="00783768"/>
    <w:rsid w:val="00783CA4"/>
    <w:rsid w:val="007842FB"/>
    <w:rsid w:val="00785AF0"/>
    <w:rsid w:val="00786124"/>
    <w:rsid w:val="00786BAF"/>
    <w:rsid w:val="00787480"/>
    <w:rsid w:val="007874AC"/>
    <w:rsid w:val="00787CAC"/>
    <w:rsid w:val="0079028D"/>
    <w:rsid w:val="00791083"/>
    <w:rsid w:val="00791666"/>
    <w:rsid w:val="00791951"/>
    <w:rsid w:val="007924C1"/>
    <w:rsid w:val="00794D93"/>
    <w:rsid w:val="00794F37"/>
    <w:rsid w:val="0079514B"/>
    <w:rsid w:val="007954DB"/>
    <w:rsid w:val="00796B88"/>
    <w:rsid w:val="00796DCA"/>
    <w:rsid w:val="007A1C69"/>
    <w:rsid w:val="007A25D3"/>
    <w:rsid w:val="007A2DC1"/>
    <w:rsid w:val="007A5118"/>
    <w:rsid w:val="007A57E5"/>
    <w:rsid w:val="007A78F3"/>
    <w:rsid w:val="007B1FF6"/>
    <w:rsid w:val="007B26E4"/>
    <w:rsid w:val="007B4A79"/>
    <w:rsid w:val="007B7FF8"/>
    <w:rsid w:val="007C0723"/>
    <w:rsid w:val="007C0DEB"/>
    <w:rsid w:val="007C1C52"/>
    <w:rsid w:val="007C1FF3"/>
    <w:rsid w:val="007C3D28"/>
    <w:rsid w:val="007C4CE5"/>
    <w:rsid w:val="007C5E9F"/>
    <w:rsid w:val="007C60FC"/>
    <w:rsid w:val="007C7C3D"/>
    <w:rsid w:val="007D1C10"/>
    <w:rsid w:val="007D2DE3"/>
    <w:rsid w:val="007D3319"/>
    <w:rsid w:val="007D335D"/>
    <w:rsid w:val="007D3F3F"/>
    <w:rsid w:val="007D41B2"/>
    <w:rsid w:val="007D509C"/>
    <w:rsid w:val="007D53BD"/>
    <w:rsid w:val="007D55D0"/>
    <w:rsid w:val="007D5E79"/>
    <w:rsid w:val="007D5ED1"/>
    <w:rsid w:val="007D5F24"/>
    <w:rsid w:val="007D6BC4"/>
    <w:rsid w:val="007D6F32"/>
    <w:rsid w:val="007D71A0"/>
    <w:rsid w:val="007D7204"/>
    <w:rsid w:val="007D728A"/>
    <w:rsid w:val="007D7A5F"/>
    <w:rsid w:val="007E11D8"/>
    <w:rsid w:val="007E1339"/>
    <w:rsid w:val="007E194E"/>
    <w:rsid w:val="007E3314"/>
    <w:rsid w:val="007E34D2"/>
    <w:rsid w:val="007E4248"/>
    <w:rsid w:val="007E4B03"/>
    <w:rsid w:val="007E4C66"/>
    <w:rsid w:val="007E4E9B"/>
    <w:rsid w:val="007E5588"/>
    <w:rsid w:val="007E5F72"/>
    <w:rsid w:val="007F0457"/>
    <w:rsid w:val="007F1FA6"/>
    <w:rsid w:val="007F23F1"/>
    <w:rsid w:val="007F324B"/>
    <w:rsid w:val="007F42DB"/>
    <w:rsid w:val="007F49F1"/>
    <w:rsid w:val="007F5717"/>
    <w:rsid w:val="007F5B50"/>
    <w:rsid w:val="007F6E7C"/>
    <w:rsid w:val="007F6EA5"/>
    <w:rsid w:val="00800CB9"/>
    <w:rsid w:val="00801FA5"/>
    <w:rsid w:val="00802454"/>
    <w:rsid w:val="00802FAD"/>
    <w:rsid w:val="00803894"/>
    <w:rsid w:val="0080553C"/>
    <w:rsid w:val="00805B46"/>
    <w:rsid w:val="0080692D"/>
    <w:rsid w:val="008129D7"/>
    <w:rsid w:val="00812F3A"/>
    <w:rsid w:val="0081363D"/>
    <w:rsid w:val="0081414E"/>
    <w:rsid w:val="00814DC4"/>
    <w:rsid w:val="00815F15"/>
    <w:rsid w:val="00821859"/>
    <w:rsid w:val="00822894"/>
    <w:rsid w:val="008229D4"/>
    <w:rsid w:val="00822D93"/>
    <w:rsid w:val="008236E5"/>
    <w:rsid w:val="00823FDB"/>
    <w:rsid w:val="00825DC2"/>
    <w:rsid w:val="00825F5C"/>
    <w:rsid w:val="00826020"/>
    <w:rsid w:val="00827E26"/>
    <w:rsid w:val="008305F4"/>
    <w:rsid w:val="00830C3C"/>
    <w:rsid w:val="008336BC"/>
    <w:rsid w:val="00833A6C"/>
    <w:rsid w:val="008341E6"/>
    <w:rsid w:val="008348FC"/>
    <w:rsid w:val="00834AD3"/>
    <w:rsid w:val="0083514D"/>
    <w:rsid w:val="0083545E"/>
    <w:rsid w:val="0084092E"/>
    <w:rsid w:val="008411A3"/>
    <w:rsid w:val="00841C85"/>
    <w:rsid w:val="008421F5"/>
    <w:rsid w:val="00843261"/>
    <w:rsid w:val="00843537"/>
    <w:rsid w:val="00843795"/>
    <w:rsid w:val="008459BF"/>
    <w:rsid w:val="00847F0F"/>
    <w:rsid w:val="0085051F"/>
    <w:rsid w:val="0085170B"/>
    <w:rsid w:val="008517A6"/>
    <w:rsid w:val="00851B8E"/>
    <w:rsid w:val="00852448"/>
    <w:rsid w:val="00854FA6"/>
    <w:rsid w:val="008558FB"/>
    <w:rsid w:val="00855CBF"/>
    <w:rsid w:val="0085612A"/>
    <w:rsid w:val="008561FB"/>
    <w:rsid w:val="00856331"/>
    <w:rsid w:val="008575B5"/>
    <w:rsid w:val="00857CB3"/>
    <w:rsid w:val="00861443"/>
    <w:rsid w:val="00861E53"/>
    <w:rsid w:val="008632BB"/>
    <w:rsid w:val="0086358D"/>
    <w:rsid w:val="0086588A"/>
    <w:rsid w:val="0086768A"/>
    <w:rsid w:val="0086770D"/>
    <w:rsid w:val="00870A9B"/>
    <w:rsid w:val="00871ACF"/>
    <w:rsid w:val="00871AF8"/>
    <w:rsid w:val="008720A0"/>
    <w:rsid w:val="0087213F"/>
    <w:rsid w:val="00872BFA"/>
    <w:rsid w:val="00873212"/>
    <w:rsid w:val="00874AE4"/>
    <w:rsid w:val="008754C4"/>
    <w:rsid w:val="00875B1B"/>
    <w:rsid w:val="00876A85"/>
    <w:rsid w:val="0088082F"/>
    <w:rsid w:val="00880CA5"/>
    <w:rsid w:val="00880DD3"/>
    <w:rsid w:val="0088258A"/>
    <w:rsid w:val="00883099"/>
    <w:rsid w:val="00883801"/>
    <w:rsid w:val="008843E2"/>
    <w:rsid w:val="008848F4"/>
    <w:rsid w:val="008855A1"/>
    <w:rsid w:val="00886332"/>
    <w:rsid w:val="00886FD0"/>
    <w:rsid w:val="00890348"/>
    <w:rsid w:val="00890E18"/>
    <w:rsid w:val="00891840"/>
    <w:rsid w:val="00892546"/>
    <w:rsid w:val="008952E1"/>
    <w:rsid w:val="008A10A2"/>
    <w:rsid w:val="008A1C4D"/>
    <w:rsid w:val="008A1C5D"/>
    <w:rsid w:val="008A26D9"/>
    <w:rsid w:val="008A29FE"/>
    <w:rsid w:val="008A718D"/>
    <w:rsid w:val="008A7ADA"/>
    <w:rsid w:val="008A7C7B"/>
    <w:rsid w:val="008B0722"/>
    <w:rsid w:val="008B1B0C"/>
    <w:rsid w:val="008B2F2F"/>
    <w:rsid w:val="008B3830"/>
    <w:rsid w:val="008B5A64"/>
    <w:rsid w:val="008B5D5E"/>
    <w:rsid w:val="008B6256"/>
    <w:rsid w:val="008B6B79"/>
    <w:rsid w:val="008B7FB0"/>
    <w:rsid w:val="008C0C29"/>
    <w:rsid w:val="008C0C51"/>
    <w:rsid w:val="008C1F1E"/>
    <w:rsid w:val="008C2560"/>
    <w:rsid w:val="008C41A9"/>
    <w:rsid w:val="008D06DB"/>
    <w:rsid w:val="008D154F"/>
    <w:rsid w:val="008D1FAF"/>
    <w:rsid w:val="008D285D"/>
    <w:rsid w:val="008D416F"/>
    <w:rsid w:val="008D71BA"/>
    <w:rsid w:val="008D786D"/>
    <w:rsid w:val="008E0528"/>
    <w:rsid w:val="008E184F"/>
    <w:rsid w:val="008E33B0"/>
    <w:rsid w:val="008E3823"/>
    <w:rsid w:val="008E441B"/>
    <w:rsid w:val="008E4C94"/>
    <w:rsid w:val="008E5F7C"/>
    <w:rsid w:val="008E62CC"/>
    <w:rsid w:val="008E6BAC"/>
    <w:rsid w:val="008F139A"/>
    <w:rsid w:val="008F3638"/>
    <w:rsid w:val="008F4DE6"/>
    <w:rsid w:val="008F545D"/>
    <w:rsid w:val="008F6733"/>
    <w:rsid w:val="008F6BDD"/>
    <w:rsid w:val="008F6F31"/>
    <w:rsid w:val="008F74A3"/>
    <w:rsid w:val="008F74DF"/>
    <w:rsid w:val="00900367"/>
    <w:rsid w:val="00900ABB"/>
    <w:rsid w:val="00900CE9"/>
    <w:rsid w:val="009016C2"/>
    <w:rsid w:val="00902E6A"/>
    <w:rsid w:val="009032A2"/>
    <w:rsid w:val="00903927"/>
    <w:rsid w:val="00903B4C"/>
    <w:rsid w:val="00904789"/>
    <w:rsid w:val="009066A7"/>
    <w:rsid w:val="0091149A"/>
    <w:rsid w:val="00912107"/>
    <w:rsid w:val="009127BA"/>
    <w:rsid w:val="00914321"/>
    <w:rsid w:val="00914CFD"/>
    <w:rsid w:val="00920BC2"/>
    <w:rsid w:val="00921F50"/>
    <w:rsid w:val="009227A6"/>
    <w:rsid w:val="00925194"/>
    <w:rsid w:val="00925599"/>
    <w:rsid w:val="009266E8"/>
    <w:rsid w:val="00926D8F"/>
    <w:rsid w:val="00926F3A"/>
    <w:rsid w:val="00927476"/>
    <w:rsid w:val="0093037B"/>
    <w:rsid w:val="009316CC"/>
    <w:rsid w:val="009321CC"/>
    <w:rsid w:val="00932408"/>
    <w:rsid w:val="00933D6C"/>
    <w:rsid w:val="00933EC1"/>
    <w:rsid w:val="00934171"/>
    <w:rsid w:val="009345D6"/>
    <w:rsid w:val="00935DBF"/>
    <w:rsid w:val="009369CF"/>
    <w:rsid w:val="0093769C"/>
    <w:rsid w:val="00940302"/>
    <w:rsid w:val="009408F4"/>
    <w:rsid w:val="00941346"/>
    <w:rsid w:val="00943278"/>
    <w:rsid w:val="009435A7"/>
    <w:rsid w:val="00943943"/>
    <w:rsid w:val="009451EB"/>
    <w:rsid w:val="00946462"/>
    <w:rsid w:val="009465B2"/>
    <w:rsid w:val="00947790"/>
    <w:rsid w:val="00947E5D"/>
    <w:rsid w:val="009506D3"/>
    <w:rsid w:val="009509D6"/>
    <w:rsid w:val="00951099"/>
    <w:rsid w:val="0095115F"/>
    <w:rsid w:val="009530DB"/>
    <w:rsid w:val="00953676"/>
    <w:rsid w:val="0095539B"/>
    <w:rsid w:val="00955FF5"/>
    <w:rsid w:val="009567BA"/>
    <w:rsid w:val="00957B49"/>
    <w:rsid w:val="009621A2"/>
    <w:rsid w:val="009639B7"/>
    <w:rsid w:val="00963EBE"/>
    <w:rsid w:val="00964A3E"/>
    <w:rsid w:val="009664AF"/>
    <w:rsid w:val="009701A2"/>
    <w:rsid w:val="009702EB"/>
    <w:rsid w:val="009705EE"/>
    <w:rsid w:val="00970F47"/>
    <w:rsid w:val="009733FE"/>
    <w:rsid w:val="009734D6"/>
    <w:rsid w:val="0097686A"/>
    <w:rsid w:val="00977927"/>
    <w:rsid w:val="0098135C"/>
    <w:rsid w:val="0098156A"/>
    <w:rsid w:val="00982B24"/>
    <w:rsid w:val="00982C3F"/>
    <w:rsid w:val="009831A8"/>
    <w:rsid w:val="009831B8"/>
    <w:rsid w:val="009835E7"/>
    <w:rsid w:val="0098396E"/>
    <w:rsid w:val="00984585"/>
    <w:rsid w:val="009852F6"/>
    <w:rsid w:val="0098610C"/>
    <w:rsid w:val="00986E55"/>
    <w:rsid w:val="00987249"/>
    <w:rsid w:val="00987B27"/>
    <w:rsid w:val="009908B0"/>
    <w:rsid w:val="00990C1A"/>
    <w:rsid w:val="00990CA9"/>
    <w:rsid w:val="00991BAC"/>
    <w:rsid w:val="00992926"/>
    <w:rsid w:val="00993FB9"/>
    <w:rsid w:val="0099454C"/>
    <w:rsid w:val="009946FC"/>
    <w:rsid w:val="00995700"/>
    <w:rsid w:val="00996CF6"/>
    <w:rsid w:val="009A036A"/>
    <w:rsid w:val="009A0F70"/>
    <w:rsid w:val="009A1428"/>
    <w:rsid w:val="009A3193"/>
    <w:rsid w:val="009A39CF"/>
    <w:rsid w:val="009A4920"/>
    <w:rsid w:val="009A5386"/>
    <w:rsid w:val="009A5C86"/>
    <w:rsid w:val="009A6A82"/>
    <w:rsid w:val="009A6EA0"/>
    <w:rsid w:val="009A7DB0"/>
    <w:rsid w:val="009B0130"/>
    <w:rsid w:val="009B3FC6"/>
    <w:rsid w:val="009B4B22"/>
    <w:rsid w:val="009B5807"/>
    <w:rsid w:val="009B6005"/>
    <w:rsid w:val="009B6742"/>
    <w:rsid w:val="009B6750"/>
    <w:rsid w:val="009C1335"/>
    <w:rsid w:val="009C14EF"/>
    <w:rsid w:val="009C17B6"/>
    <w:rsid w:val="009C1AB2"/>
    <w:rsid w:val="009C3D24"/>
    <w:rsid w:val="009C643C"/>
    <w:rsid w:val="009C708B"/>
    <w:rsid w:val="009C7251"/>
    <w:rsid w:val="009D0F07"/>
    <w:rsid w:val="009D1900"/>
    <w:rsid w:val="009D19FF"/>
    <w:rsid w:val="009D40D2"/>
    <w:rsid w:val="009D5D17"/>
    <w:rsid w:val="009D6318"/>
    <w:rsid w:val="009D6A6F"/>
    <w:rsid w:val="009D7F72"/>
    <w:rsid w:val="009E0235"/>
    <w:rsid w:val="009E073C"/>
    <w:rsid w:val="009E2E91"/>
    <w:rsid w:val="009E37A2"/>
    <w:rsid w:val="009E38DA"/>
    <w:rsid w:val="009E3A20"/>
    <w:rsid w:val="009E4229"/>
    <w:rsid w:val="009E5051"/>
    <w:rsid w:val="009E52B8"/>
    <w:rsid w:val="009E5D09"/>
    <w:rsid w:val="009E6058"/>
    <w:rsid w:val="009E77EA"/>
    <w:rsid w:val="009E7EFF"/>
    <w:rsid w:val="009F0682"/>
    <w:rsid w:val="009F23A6"/>
    <w:rsid w:val="009F2629"/>
    <w:rsid w:val="009F2C39"/>
    <w:rsid w:val="009F3FCB"/>
    <w:rsid w:val="00A00ADB"/>
    <w:rsid w:val="00A06170"/>
    <w:rsid w:val="00A06767"/>
    <w:rsid w:val="00A06C78"/>
    <w:rsid w:val="00A06D51"/>
    <w:rsid w:val="00A07107"/>
    <w:rsid w:val="00A07155"/>
    <w:rsid w:val="00A12167"/>
    <w:rsid w:val="00A12268"/>
    <w:rsid w:val="00A13626"/>
    <w:rsid w:val="00A139F5"/>
    <w:rsid w:val="00A14EA7"/>
    <w:rsid w:val="00A16433"/>
    <w:rsid w:val="00A16C0D"/>
    <w:rsid w:val="00A16E9B"/>
    <w:rsid w:val="00A173FF"/>
    <w:rsid w:val="00A201E2"/>
    <w:rsid w:val="00A24DAE"/>
    <w:rsid w:val="00A259BA"/>
    <w:rsid w:val="00A25F4C"/>
    <w:rsid w:val="00A2774F"/>
    <w:rsid w:val="00A3190C"/>
    <w:rsid w:val="00A323C5"/>
    <w:rsid w:val="00A365F4"/>
    <w:rsid w:val="00A3753B"/>
    <w:rsid w:val="00A40075"/>
    <w:rsid w:val="00A416B1"/>
    <w:rsid w:val="00A43659"/>
    <w:rsid w:val="00A44ACB"/>
    <w:rsid w:val="00A451BA"/>
    <w:rsid w:val="00A45763"/>
    <w:rsid w:val="00A46503"/>
    <w:rsid w:val="00A47A1C"/>
    <w:rsid w:val="00A47D80"/>
    <w:rsid w:val="00A50A24"/>
    <w:rsid w:val="00A51A79"/>
    <w:rsid w:val="00A521E3"/>
    <w:rsid w:val="00A52E81"/>
    <w:rsid w:val="00A53132"/>
    <w:rsid w:val="00A5350F"/>
    <w:rsid w:val="00A563F2"/>
    <w:rsid w:val="00A566E8"/>
    <w:rsid w:val="00A56BA0"/>
    <w:rsid w:val="00A576A2"/>
    <w:rsid w:val="00A57814"/>
    <w:rsid w:val="00A60BEF"/>
    <w:rsid w:val="00A61465"/>
    <w:rsid w:val="00A6157B"/>
    <w:rsid w:val="00A61F0C"/>
    <w:rsid w:val="00A628EC"/>
    <w:rsid w:val="00A637B8"/>
    <w:rsid w:val="00A6418D"/>
    <w:rsid w:val="00A70036"/>
    <w:rsid w:val="00A72C86"/>
    <w:rsid w:val="00A735AD"/>
    <w:rsid w:val="00A74E8D"/>
    <w:rsid w:val="00A7609D"/>
    <w:rsid w:val="00A76F14"/>
    <w:rsid w:val="00A803E9"/>
    <w:rsid w:val="00A810F9"/>
    <w:rsid w:val="00A81564"/>
    <w:rsid w:val="00A81F44"/>
    <w:rsid w:val="00A844E6"/>
    <w:rsid w:val="00A84923"/>
    <w:rsid w:val="00A84EAD"/>
    <w:rsid w:val="00A857A6"/>
    <w:rsid w:val="00A86ECC"/>
    <w:rsid w:val="00A86FCC"/>
    <w:rsid w:val="00A876AE"/>
    <w:rsid w:val="00A87B36"/>
    <w:rsid w:val="00A90BCD"/>
    <w:rsid w:val="00A90F9A"/>
    <w:rsid w:val="00A913B8"/>
    <w:rsid w:val="00A91F3D"/>
    <w:rsid w:val="00A92509"/>
    <w:rsid w:val="00A9303B"/>
    <w:rsid w:val="00AA106D"/>
    <w:rsid w:val="00AA11D4"/>
    <w:rsid w:val="00AA3790"/>
    <w:rsid w:val="00AA6AA3"/>
    <w:rsid w:val="00AA6CFE"/>
    <w:rsid w:val="00AA6D1C"/>
    <w:rsid w:val="00AA710D"/>
    <w:rsid w:val="00AB0186"/>
    <w:rsid w:val="00AB0960"/>
    <w:rsid w:val="00AB1698"/>
    <w:rsid w:val="00AB29F1"/>
    <w:rsid w:val="00AB3053"/>
    <w:rsid w:val="00AB36DF"/>
    <w:rsid w:val="00AB38AA"/>
    <w:rsid w:val="00AB496D"/>
    <w:rsid w:val="00AB584F"/>
    <w:rsid w:val="00AB5A6B"/>
    <w:rsid w:val="00AB5B97"/>
    <w:rsid w:val="00AB6D25"/>
    <w:rsid w:val="00AC2C0D"/>
    <w:rsid w:val="00AC5A64"/>
    <w:rsid w:val="00AC639B"/>
    <w:rsid w:val="00AC6AED"/>
    <w:rsid w:val="00AD195B"/>
    <w:rsid w:val="00AD1C11"/>
    <w:rsid w:val="00AD1CDE"/>
    <w:rsid w:val="00AD34B4"/>
    <w:rsid w:val="00AD5FDD"/>
    <w:rsid w:val="00AD61A4"/>
    <w:rsid w:val="00AD6A93"/>
    <w:rsid w:val="00AD728E"/>
    <w:rsid w:val="00AD7C20"/>
    <w:rsid w:val="00AE003F"/>
    <w:rsid w:val="00AE0ABD"/>
    <w:rsid w:val="00AE0DB3"/>
    <w:rsid w:val="00AE14C9"/>
    <w:rsid w:val="00AE2D4B"/>
    <w:rsid w:val="00AE4F99"/>
    <w:rsid w:val="00AE50C0"/>
    <w:rsid w:val="00AE586F"/>
    <w:rsid w:val="00AE636C"/>
    <w:rsid w:val="00AE63DB"/>
    <w:rsid w:val="00AE6BC6"/>
    <w:rsid w:val="00AF01A0"/>
    <w:rsid w:val="00AF0CDF"/>
    <w:rsid w:val="00AF5519"/>
    <w:rsid w:val="00AF6AC1"/>
    <w:rsid w:val="00B00A77"/>
    <w:rsid w:val="00B014B2"/>
    <w:rsid w:val="00B015DA"/>
    <w:rsid w:val="00B017A9"/>
    <w:rsid w:val="00B01B67"/>
    <w:rsid w:val="00B02E34"/>
    <w:rsid w:val="00B035A6"/>
    <w:rsid w:val="00B03B4A"/>
    <w:rsid w:val="00B04C23"/>
    <w:rsid w:val="00B058A3"/>
    <w:rsid w:val="00B113A9"/>
    <w:rsid w:val="00B11DFB"/>
    <w:rsid w:val="00B1245F"/>
    <w:rsid w:val="00B132D1"/>
    <w:rsid w:val="00B14952"/>
    <w:rsid w:val="00B14BF1"/>
    <w:rsid w:val="00B14C52"/>
    <w:rsid w:val="00B15095"/>
    <w:rsid w:val="00B1529F"/>
    <w:rsid w:val="00B15969"/>
    <w:rsid w:val="00B15C81"/>
    <w:rsid w:val="00B2070C"/>
    <w:rsid w:val="00B21D03"/>
    <w:rsid w:val="00B21E21"/>
    <w:rsid w:val="00B241A9"/>
    <w:rsid w:val="00B2502C"/>
    <w:rsid w:val="00B27CDF"/>
    <w:rsid w:val="00B30E43"/>
    <w:rsid w:val="00B3103B"/>
    <w:rsid w:val="00B31E5A"/>
    <w:rsid w:val="00B31F08"/>
    <w:rsid w:val="00B34992"/>
    <w:rsid w:val="00B36EEA"/>
    <w:rsid w:val="00B37894"/>
    <w:rsid w:val="00B40AE0"/>
    <w:rsid w:val="00B40E8D"/>
    <w:rsid w:val="00B43730"/>
    <w:rsid w:val="00B4396D"/>
    <w:rsid w:val="00B43A4C"/>
    <w:rsid w:val="00B45BC6"/>
    <w:rsid w:val="00B462F9"/>
    <w:rsid w:val="00B474D7"/>
    <w:rsid w:val="00B501D7"/>
    <w:rsid w:val="00B5234B"/>
    <w:rsid w:val="00B5279C"/>
    <w:rsid w:val="00B5363E"/>
    <w:rsid w:val="00B54D04"/>
    <w:rsid w:val="00B5580B"/>
    <w:rsid w:val="00B55A1F"/>
    <w:rsid w:val="00B561C0"/>
    <w:rsid w:val="00B60288"/>
    <w:rsid w:val="00B614FA"/>
    <w:rsid w:val="00B62672"/>
    <w:rsid w:val="00B648D6"/>
    <w:rsid w:val="00B653AB"/>
    <w:rsid w:val="00B65CB2"/>
    <w:rsid w:val="00B65F9E"/>
    <w:rsid w:val="00B66555"/>
    <w:rsid w:val="00B66B19"/>
    <w:rsid w:val="00B70B9A"/>
    <w:rsid w:val="00B70E33"/>
    <w:rsid w:val="00B7104B"/>
    <w:rsid w:val="00B74137"/>
    <w:rsid w:val="00B77835"/>
    <w:rsid w:val="00B8115E"/>
    <w:rsid w:val="00B811B4"/>
    <w:rsid w:val="00B82DF6"/>
    <w:rsid w:val="00B83CF0"/>
    <w:rsid w:val="00B86308"/>
    <w:rsid w:val="00B87A2C"/>
    <w:rsid w:val="00B914E9"/>
    <w:rsid w:val="00B91E80"/>
    <w:rsid w:val="00B91F18"/>
    <w:rsid w:val="00B9214D"/>
    <w:rsid w:val="00B92654"/>
    <w:rsid w:val="00B92788"/>
    <w:rsid w:val="00B92B28"/>
    <w:rsid w:val="00B92C59"/>
    <w:rsid w:val="00B956EE"/>
    <w:rsid w:val="00B95F0F"/>
    <w:rsid w:val="00BA0257"/>
    <w:rsid w:val="00BA10FF"/>
    <w:rsid w:val="00BA1D18"/>
    <w:rsid w:val="00BA1D4F"/>
    <w:rsid w:val="00BA1F90"/>
    <w:rsid w:val="00BA2BA1"/>
    <w:rsid w:val="00BA3AD2"/>
    <w:rsid w:val="00BA5748"/>
    <w:rsid w:val="00BA58B2"/>
    <w:rsid w:val="00BA6032"/>
    <w:rsid w:val="00BA6984"/>
    <w:rsid w:val="00BA6C67"/>
    <w:rsid w:val="00BA6E41"/>
    <w:rsid w:val="00BB0D60"/>
    <w:rsid w:val="00BB1872"/>
    <w:rsid w:val="00BB35BD"/>
    <w:rsid w:val="00BB438D"/>
    <w:rsid w:val="00BB4F09"/>
    <w:rsid w:val="00BC1166"/>
    <w:rsid w:val="00BC3493"/>
    <w:rsid w:val="00BC51FC"/>
    <w:rsid w:val="00BC7149"/>
    <w:rsid w:val="00BD2BC3"/>
    <w:rsid w:val="00BD2F53"/>
    <w:rsid w:val="00BD4E33"/>
    <w:rsid w:val="00BD5068"/>
    <w:rsid w:val="00BE11C6"/>
    <w:rsid w:val="00BE3A9A"/>
    <w:rsid w:val="00BE494C"/>
    <w:rsid w:val="00BE588F"/>
    <w:rsid w:val="00BE5B8B"/>
    <w:rsid w:val="00BE63EB"/>
    <w:rsid w:val="00BE7A65"/>
    <w:rsid w:val="00BF0610"/>
    <w:rsid w:val="00BF0F88"/>
    <w:rsid w:val="00BF2440"/>
    <w:rsid w:val="00BF2C8D"/>
    <w:rsid w:val="00BF37A6"/>
    <w:rsid w:val="00BF456B"/>
    <w:rsid w:val="00BF735C"/>
    <w:rsid w:val="00BF7A4E"/>
    <w:rsid w:val="00C02127"/>
    <w:rsid w:val="00C02129"/>
    <w:rsid w:val="00C030DE"/>
    <w:rsid w:val="00C03108"/>
    <w:rsid w:val="00C11429"/>
    <w:rsid w:val="00C12290"/>
    <w:rsid w:val="00C1268A"/>
    <w:rsid w:val="00C1291D"/>
    <w:rsid w:val="00C131A7"/>
    <w:rsid w:val="00C14146"/>
    <w:rsid w:val="00C14B36"/>
    <w:rsid w:val="00C157A0"/>
    <w:rsid w:val="00C16478"/>
    <w:rsid w:val="00C20265"/>
    <w:rsid w:val="00C2060C"/>
    <w:rsid w:val="00C20B6C"/>
    <w:rsid w:val="00C22105"/>
    <w:rsid w:val="00C244AD"/>
    <w:rsid w:val="00C244B6"/>
    <w:rsid w:val="00C24E93"/>
    <w:rsid w:val="00C2599C"/>
    <w:rsid w:val="00C25A04"/>
    <w:rsid w:val="00C30406"/>
    <w:rsid w:val="00C3052B"/>
    <w:rsid w:val="00C306F4"/>
    <w:rsid w:val="00C30B0D"/>
    <w:rsid w:val="00C31CB6"/>
    <w:rsid w:val="00C3372E"/>
    <w:rsid w:val="00C35FFF"/>
    <w:rsid w:val="00C3699C"/>
    <w:rsid w:val="00C3702F"/>
    <w:rsid w:val="00C37DD1"/>
    <w:rsid w:val="00C4074F"/>
    <w:rsid w:val="00C413BC"/>
    <w:rsid w:val="00C41D45"/>
    <w:rsid w:val="00C448F9"/>
    <w:rsid w:val="00C45082"/>
    <w:rsid w:val="00C450D7"/>
    <w:rsid w:val="00C45CD2"/>
    <w:rsid w:val="00C4686E"/>
    <w:rsid w:val="00C50A24"/>
    <w:rsid w:val="00C50B56"/>
    <w:rsid w:val="00C520FD"/>
    <w:rsid w:val="00C5495A"/>
    <w:rsid w:val="00C5627C"/>
    <w:rsid w:val="00C571B9"/>
    <w:rsid w:val="00C60E2D"/>
    <w:rsid w:val="00C61D43"/>
    <w:rsid w:val="00C621AD"/>
    <w:rsid w:val="00C63164"/>
    <w:rsid w:val="00C63B52"/>
    <w:rsid w:val="00C64A37"/>
    <w:rsid w:val="00C64CE0"/>
    <w:rsid w:val="00C667D5"/>
    <w:rsid w:val="00C67DC0"/>
    <w:rsid w:val="00C704E3"/>
    <w:rsid w:val="00C71497"/>
    <w:rsid w:val="00C7158E"/>
    <w:rsid w:val="00C7250B"/>
    <w:rsid w:val="00C72B90"/>
    <w:rsid w:val="00C733C3"/>
    <w:rsid w:val="00C7346B"/>
    <w:rsid w:val="00C743AE"/>
    <w:rsid w:val="00C76401"/>
    <w:rsid w:val="00C7649A"/>
    <w:rsid w:val="00C7731D"/>
    <w:rsid w:val="00C77C0E"/>
    <w:rsid w:val="00C77C4A"/>
    <w:rsid w:val="00C830AF"/>
    <w:rsid w:val="00C85162"/>
    <w:rsid w:val="00C85BB8"/>
    <w:rsid w:val="00C86115"/>
    <w:rsid w:val="00C86E6F"/>
    <w:rsid w:val="00C87541"/>
    <w:rsid w:val="00C904ED"/>
    <w:rsid w:val="00C912FD"/>
    <w:rsid w:val="00C91687"/>
    <w:rsid w:val="00C919A4"/>
    <w:rsid w:val="00C924A8"/>
    <w:rsid w:val="00C92C54"/>
    <w:rsid w:val="00C945FE"/>
    <w:rsid w:val="00C96C52"/>
    <w:rsid w:val="00C96FAA"/>
    <w:rsid w:val="00C9703F"/>
    <w:rsid w:val="00C97A04"/>
    <w:rsid w:val="00CA107B"/>
    <w:rsid w:val="00CA26F9"/>
    <w:rsid w:val="00CA2A79"/>
    <w:rsid w:val="00CA2B2E"/>
    <w:rsid w:val="00CA484D"/>
    <w:rsid w:val="00CA7B89"/>
    <w:rsid w:val="00CB1824"/>
    <w:rsid w:val="00CB203F"/>
    <w:rsid w:val="00CB2E8F"/>
    <w:rsid w:val="00CB4128"/>
    <w:rsid w:val="00CB5036"/>
    <w:rsid w:val="00CB50B2"/>
    <w:rsid w:val="00CB5F11"/>
    <w:rsid w:val="00CB7207"/>
    <w:rsid w:val="00CC0AFC"/>
    <w:rsid w:val="00CC1F2D"/>
    <w:rsid w:val="00CC2C53"/>
    <w:rsid w:val="00CC303A"/>
    <w:rsid w:val="00CC5570"/>
    <w:rsid w:val="00CC6016"/>
    <w:rsid w:val="00CC60CF"/>
    <w:rsid w:val="00CC6D1D"/>
    <w:rsid w:val="00CC71A4"/>
    <w:rsid w:val="00CC739E"/>
    <w:rsid w:val="00CC7850"/>
    <w:rsid w:val="00CD0512"/>
    <w:rsid w:val="00CD1D80"/>
    <w:rsid w:val="00CD2230"/>
    <w:rsid w:val="00CD2FE9"/>
    <w:rsid w:val="00CD58B7"/>
    <w:rsid w:val="00CD6E9B"/>
    <w:rsid w:val="00CD7B35"/>
    <w:rsid w:val="00CE115B"/>
    <w:rsid w:val="00CE7660"/>
    <w:rsid w:val="00CF19E3"/>
    <w:rsid w:val="00CF2E54"/>
    <w:rsid w:val="00CF4099"/>
    <w:rsid w:val="00CF46BB"/>
    <w:rsid w:val="00CF4F5E"/>
    <w:rsid w:val="00CF6598"/>
    <w:rsid w:val="00CF77F5"/>
    <w:rsid w:val="00D004EA"/>
    <w:rsid w:val="00D00796"/>
    <w:rsid w:val="00D01958"/>
    <w:rsid w:val="00D020D7"/>
    <w:rsid w:val="00D02C6D"/>
    <w:rsid w:val="00D03FA2"/>
    <w:rsid w:val="00D042BF"/>
    <w:rsid w:val="00D1022A"/>
    <w:rsid w:val="00D1028F"/>
    <w:rsid w:val="00D10F47"/>
    <w:rsid w:val="00D120E7"/>
    <w:rsid w:val="00D125C7"/>
    <w:rsid w:val="00D1451F"/>
    <w:rsid w:val="00D16674"/>
    <w:rsid w:val="00D203BB"/>
    <w:rsid w:val="00D238D4"/>
    <w:rsid w:val="00D261A2"/>
    <w:rsid w:val="00D32738"/>
    <w:rsid w:val="00D32CA3"/>
    <w:rsid w:val="00D34A67"/>
    <w:rsid w:val="00D34D98"/>
    <w:rsid w:val="00D3514F"/>
    <w:rsid w:val="00D3569F"/>
    <w:rsid w:val="00D361D6"/>
    <w:rsid w:val="00D404A2"/>
    <w:rsid w:val="00D40A9F"/>
    <w:rsid w:val="00D40C0C"/>
    <w:rsid w:val="00D41DD8"/>
    <w:rsid w:val="00D44A6F"/>
    <w:rsid w:val="00D45056"/>
    <w:rsid w:val="00D45E4A"/>
    <w:rsid w:val="00D475B0"/>
    <w:rsid w:val="00D4761D"/>
    <w:rsid w:val="00D47D30"/>
    <w:rsid w:val="00D47FF0"/>
    <w:rsid w:val="00D50F0D"/>
    <w:rsid w:val="00D515E8"/>
    <w:rsid w:val="00D53921"/>
    <w:rsid w:val="00D54173"/>
    <w:rsid w:val="00D54AAC"/>
    <w:rsid w:val="00D565B7"/>
    <w:rsid w:val="00D57B0C"/>
    <w:rsid w:val="00D616D2"/>
    <w:rsid w:val="00D6284F"/>
    <w:rsid w:val="00D63811"/>
    <w:rsid w:val="00D6392E"/>
    <w:rsid w:val="00D63B5F"/>
    <w:rsid w:val="00D65891"/>
    <w:rsid w:val="00D65EDF"/>
    <w:rsid w:val="00D6615C"/>
    <w:rsid w:val="00D66A93"/>
    <w:rsid w:val="00D66B9E"/>
    <w:rsid w:val="00D67CD3"/>
    <w:rsid w:val="00D70EF7"/>
    <w:rsid w:val="00D736F2"/>
    <w:rsid w:val="00D74FA5"/>
    <w:rsid w:val="00D75BA7"/>
    <w:rsid w:val="00D76DE9"/>
    <w:rsid w:val="00D77600"/>
    <w:rsid w:val="00D80E51"/>
    <w:rsid w:val="00D824AF"/>
    <w:rsid w:val="00D82643"/>
    <w:rsid w:val="00D8397C"/>
    <w:rsid w:val="00D84422"/>
    <w:rsid w:val="00D846A7"/>
    <w:rsid w:val="00D865A3"/>
    <w:rsid w:val="00D90AC0"/>
    <w:rsid w:val="00D918FF"/>
    <w:rsid w:val="00D92609"/>
    <w:rsid w:val="00D92AEE"/>
    <w:rsid w:val="00D93600"/>
    <w:rsid w:val="00D94524"/>
    <w:rsid w:val="00D9465D"/>
    <w:rsid w:val="00D9471B"/>
    <w:rsid w:val="00D94BED"/>
    <w:rsid w:val="00D94EED"/>
    <w:rsid w:val="00D96026"/>
    <w:rsid w:val="00D96CB5"/>
    <w:rsid w:val="00DA0139"/>
    <w:rsid w:val="00DA2A0D"/>
    <w:rsid w:val="00DA3A53"/>
    <w:rsid w:val="00DA4845"/>
    <w:rsid w:val="00DA4E89"/>
    <w:rsid w:val="00DA5743"/>
    <w:rsid w:val="00DA6108"/>
    <w:rsid w:val="00DA65A1"/>
    <w:rsid w:val="00DA69EF"/>
    <w:rsid w:val="00DA7C1C"/>
    <w:rsid w:val="00DB147A"/>
    <w:rsid w:val="00DB1B7A"/>
    <w:rsid w:val="00DB2551"/>
    <w:rsid w:val="00DB2A2D"/>
    <w:rsid w:val="00DB562E"/>
    <w:rsid w:val="00DB5C76"/>
    <w:rsid w:val="00DB63FF"/>
    <w:rsid w:val="00DB74B3"/>
    <w:rsid w:val="00DB7A46"/>
    <w:rsid w:val="00DC042D"/>
    <w:rsid w:val="00DC0B6C"/>
    <w:rsid w:val="00DC4920"/>
    <w:rsid w:val="00DC5C7C"/>
    <w:rsid w:val="00DC5E80"/>
    <w:rsid w:val="00DC6708"/>
    <w:rsid w:val="00DC7B4F"/>
    <w:rsid w:val="00DD0608"/>
    <w:rsid w:val="00DD1221"/>
    <w:rsid w:val="00DD1BA4"/>
    <w:rsid w:val="00DD231F"/>
    <w:rsid w:val="00DD2F11"/>
    <w:rsid w:val="00DD3190"/>
    <w:rsid w:val="00DD686A"/>
    <w:rsid w:val="00DE1A0A"/>
    <w:rsid w:val="00DE1F0C"/>
    <w:rsid w:val="00DE7BC2"/>
    <w:rsid w:val="00DF0000"/>
    <w:rsid w:val="00DF0177"/>
    <w:rsid w:val="00DF6B95"/>
    <w:rsid w:val="00E00360"/>
    <w:rsid w:val="00E00F74"/>
    <w:rsid w:val="00E0111F"/>
    <w:rsid w:val="00E01436"/>
    <w:rsid w:val="00E02558"/>
    <w:rsid w:val="00E0262D"/>
    <w:rsid w:val="00E045BD"/>
    <w:rsid w:val="00E046FE"/>
    <w:rsid w:val="00E062F3"/>
    <w:rsid w:val="00E10701"/>
    <w:rsid w:val="00E11C96"/>
    <w:rsid w:val="00E12641"/>
    <w:rsid w:val="00E12DB3"/>
    <w:rsid w:val="00E148F3"/>
    <w:rsid w:val="00E149E9"/>
    <w:rsid w:val="00E14E5E"/>
    <w:rsid w:val="00E15AA8"/>
    <w:rsid w:val="00E17B77"/>
    <w:rsid w:val="00E22AAF"/>
    <w:rsid w:val="00E23015"/>
    <w:rsid w:val="00E23337"/>
    <w:rsid w:val="00E23434"/>
    <w:rsid w:val="00E2586A"/>
    <w:rsid w:val="00E259EA"/>
    <w:rsid w:val="00E25FEA"/>
    <w:rsid w:val="00E277AD"/>
    <w:rsid w:val="00E31C5B"/>
    <w:rsid w:val="00E31D41"/>
    <w:rsid w:val="00E32061"/>
    <w:rsid w:val="00E33A76"/>
    <w:rsid w:val="00E3440B"/>
    <w:rsid w:val="00E34A39"/>
    <w:rsid w:val="00E34AD9"/>
    <w:rsid w:val="00E3593D"/>
    <w:rsid w:val="00E35A3A"/>
    <w:rsid w:val="00E36049"/>
    <w:rsid w:val="00E370DE"/>
    <w:rsid w:val="00E4030C"/>
    <w:rsid w:val="00E41128"/>
    <w:rsid w:val="00E412A2"/>
    <w:rsid w:val="00E4153D"/>
    <w:rsid w:val="00E41DC9"/>
    <w:rsid w:val="00E42FF9"/>
    <w:rsid w:val="00E4315D"/>
    <w:rsid w:val="00E441B4"/>
    <w:rsid w:val="00E44C70"/>
    <w:rsid w:val="00E46EDD"/>
    <w:rsid w:val="00E4714C"/>
    <w:rsid w:val="00E51AEB"/>
    <w:rsid w:val="00E522A7"/>
    <w:rsid w:val="00E53C35"/>
    <w:rsid w:val="00E54452"/>
    <w:rsid w:val="00E569A0"/>
    <w:rsid w:val="00E56F8E"/>
    <w:rsid w:val="00E57964"/>
    <w:rsid w:val="00E57DDD"/>
    <w:rsid w:val="00E60436"/>
    <w:rsid w:val="00E60C8C"/>
    <w:rsid w:val="00E61359"/>
    <w:rsid w:val="00E623A8"/>
    <w:rsid w:val="00E626C9"/>
    <w:rsid w:val="00E628F5"/>
    <w:rsid w:val="00E63B65"/>
    <w:rsid w:val="00E64423"/>
    <w:rsid w:val="00E649CA"/>
    <w:rsid w:val="00E65199"/>
    <w:rsid w:val="00E652C4"/>
    <w:rsid w:val="00E653C6"/>
    <w:rsid w:val="00E65B42"/>
    <w:rsid w:val="00E664C5"/>
    <w:rsid w:val="00E665BB"/>
    <w:rsid w:val="00E667F1"/>
    <w:rsid w:val="00E669DC"/>
    <w:rsid w:val="00E67158"/>
    <w:rsid w:val="00E671A2"/>
    <w:rsid w:val="00E67801"/>
    <w:rsid w:val="00E71A14"/>
    <w:rsid w:val="00E72CD2"/>
    <w:rsid w:val="00E738A6"/>
    <w:rsid w:val="00E73C91"/>
    <w:rsid w:val="00E74B86"/>
    <w:rsid w:val="00E7583B"/>
    <w:rsid w:val="00E76D26"/>
    <w:rsid w:val="00E76F9D"/>
    <w:rsid w:val="00E800AB"/>
    <w:rsid w:val="00E809CC"/>
    <w:rsid w:val="00E84F3B"/>
    <w:rsid w:val="00E912C8"/>
    <w:rsid w:val="00E91F51"/>
    <w:rsid w:val="00E922C9"/>
    <w:rsid w:val="00E92A5C"/>
    <w:rsid w:val="00E92B2B"/>
    <w:rsid w:val="00E93AC6"/>
    <w:rsid w:val="00E9420A"/>
    <w:rsid w:val="00E95E42"/>
    <w:rsid w:val="00EA1F22"/>
    <w:rsid w:val="00EA2361"/>
    <w:rsid w:val="00EA2D7E"/>
    <w:rsid w:val="00EA4B55"/>
    <w:rsid w:val="00EA5DDB"/>
    <w:rsid w:val="00EA7003"/>
    <w:rsid w:val="00EA70C0"/>
    <w:rsid w:val="00EB0D93"/>
    <w:rsid w:val="00EB1390"/>
    <w:rsid w:val="00EB28B3"/>
    <w:rsid w:val="00EB2C71"/>
    <w:rsid w:val="00EB2F24"/>
    <w:rsid w:val="00EB4340"/>
    <w:rsid w:val="00EB459C"/>
    <w:rsid w:val="00EB556D"/>
    <w:rsid w:val="00EB5A7D"/>
    <w:rsid w:val="00EB5DC7"/>
    <w:rsid w:val="00EB7BAD"/>
    <w:rsid w:val="00EC0097"/>
    <w:rsid w:val="00EC25CA"/>
    <w:rsid w:val="00EC2D76"/>
    <w:rsid w:val="00EC3376"/>
    <w:rsid w:val="00EC350C"/>
    <w:rsid w:val="00EC41E6"/>
    <w:rsid w:val="00EC42E4"/>
    <w:rsid w:val="00EC43AF"/>
    <w:rsid w:val="00EC45CC"/>
    <w:rsid w:val="00EC543E"/>
    <w:rsid w:val="00EC5F9B"/>
    <w:rsid w:val="00EC784C"/>
    <w:rsid w:val="00ED0E79"/>
    <w:rsid w:val="00ED2029"/>
    <w:rsid w:val="00ED2258"/>
    <w:rsid w:val="00ED3770"/>
    <w:rsid w:val="00ED3D1A"/>
    <w:rsid w:val="00ED55C0"/>
    <w:rsid w:val="00ED6607"/>
    <w:rsid w:val="00ED682B"/>
    <w:rsid w:val="00ED699A"/>
    <w:rsid w:val="00ED7E14"/>
    <w:rsid w:val="00EE13AC"/>
    <w:rsid w:val="00EE1AC4"/>
    <w:rsid w:val="00EE1D3C"/>
    <w:rsid w:val="00EE269C"/>
    <w:rsid w:val="00EE2812"/>
    <w:rsid w:val="00EE41D5"/>
    <w:rsid w:val="00EE59EF"/>
    <w:rsid w:val="00EE7199"/>
    <w:rsid w:val="00EF10F8"/>
    <w:rsid w:val="00EF28C9"/>
    <w:rsid w:val="00EF2954"/>
    <w:rsid w:val="00EF5917"/>
    <w:rsid w:val="00EF5E42"/>
    <w:rsid w:val="00EF6555"/>
    <w:rsid w:val="00F0187D"/>
    <w:rsid w:val="00F02010"/>
    <w:rsid w:val="00F0273C"/>
    <w:rsid w:val="00F02C7E"/>
    <w:rsid w:val="00F037A4"/>
    <w:rsid w:val="00F05285"/>
    <w:rsid w:val="00F053BA"/>
    <w:rsid w:val="00F05968"/>
    <w:rsid w:val="00F061AE"/>
    <w:rsid w:val="00F06DAF"/>
    <w:rsid w:val="00F07BF1"/>
    <w:rsid w:val="00F1127E"/>
    <w:rsid w:val="00F127BB"/>
    <w:rsid w:val="00F138F8"/>
    <w:rsid w:val="00F14E93"/>
    <w:rsid w:val="00F152E6"/>
    <w:rsid w:val="00F164FF"/>
    <w:rsid w:val="00F1659A"/>
    <w:rsid w:val="00F16F65"/>
    <w:rsid w:val="00F17A2F"/>
    <w:rsid w:val="00F226C2"/>
    <w:rsid w:val="00F22AFC"/>
    <w:rsid w:val="00F240A0"/>
    <w:rsid w:val="00F24228"/>
    <w:rsid w:val="00F24C07"/>
    <w:rsid w:val="00F267C4"/>
    <w:rsid w:val="00F27C8F"/>
    <w:rsid w:val="00F30DD0"/>
    <w:rsid w:val="00F31512"/>
    <w:rsid w:val="00F317BC"/>
    <w:rsid w:val="00F3214C"/>
    <w:rsid w:val="00F32749"/>
    <w:rsid w:val="00F32A03"/>
    <w:rsid w:val="00F33EDD"/>
    <w:rsid w:val="00F3415A"/>
    <w:rsid w:val="00F34433"/>
    <w:rsid w:val="00F34675"/>
    <w:rsid w:val="00F35071"/>
    <w:rsid w:val="00F35D91"/>
    <w:rsid w:val="00F365FB"/>
    <w:rsid w:val="00F3672E"/>
    <w:rsid w:val="00F37172"/>
    <w:rsid w:val="00F3724C"/>
    <w:rsid w:val="00F429DA"/>
    <w:rsid w:val="00F4477E"/>
    <w:rsid w:val="00F45A42"/>
    <w:rsid w:val="00F460EC"/>
    <w:rsid w:val="00F46DE9"/>
    <w:rsid w:val="00F47DDF"/>
    <w:rsid w:val="00F52704"/>
    <w:rsid w:val="00F52A21"/>
    <w:rsid w:val="00F553EE"/>
    <w:rsid w:val="00F553F8"/>
    <w:rsid w:val="00F562DE"/>
    <w:rsid w:val="00F56DE5"/>
    <w:rsid w:val="00F600F4"/>
    <w:rsid w:val="00F611C3"/>
    <w:rsid w:val="00F62855"/>
    <w:rsid w:val="00F63430"/>
    <w:rsid w:val="00F63B71"/>
    <w:rsid w:val="00F65561"/>
    <w:rsid w:val="00F657FD"/>
    <w:rsid w:val="00F66D5E"/>
    <w:rsid w:val="00F66E87"/>
    <w:rsid w:val="00F67D8F"/>
    <w:rsid w:val="00F70DA2"/>
    <w:rsid w:val="00F7135B"/>
    <w:rsid w:val="00F71863"/>
    <w:rsid w:val="00F72551"/>
    <w:rsid w:val="00F72B46"/>
    <w:rsid w:val="00F75638"/>
    <w:rsid w:val="00F7639D"/>
    <w:rsid w:val="00F76699"/>
    <w:rsid w:val="00F769A1"/>
    <w:rsid w:val="00F769EB"/>
    <w:rsid w:val="00F77215"/>
    <w:rsid w:val="00F802BE"/>
    <w:rsid w:val="00F857D1"/>
    <w:rsid w:val="00F86024"/>
    <w:rsid w:val="00F8611A"/>
    <w:rsid w:val="00F86A8F"/>
    <w:rsid w:val="00F87227"/>
    <w:rsid w:val="00F87DA5"/>
    <w:rsid w:val="00F915A7"/>
    <w:rsid w:val="00F9476F"/>
    <w:rsid w:val="00F95600"/>
    <w:rsid w:val="00F9688E"/>
    <w:rsid w:val="00FA00B8"/>
    <w:rsid w:val="00FA331F"/>
    <w:rsid w:val="00FA3774"/>
    <w:rsid w:val="00FA5128"/>
    <w:rsid w:val="00FA7066"/>
    <w:rsid w:val="00FB04DD"/>
    <w:rsid w:val="00FB0BAA"/>
    <w:rsid w:val="00FB0CE1"/>
    <w:rsid w:val="00FB3665"/>
    <w:rsid w:val="00FB42D4"/>
    <w:rsid w:val="00FB4F2A"/>
    <w:rsid w:val="00FB50BD"/>
    <w:rsid w:val="00FB5129"/>
    <w:rsid w:val="00FB5906"/>
    <w:rsid w:val="00FB5AAC"/>
    <w:rsid w:val="00FB6438"/>
    <w:rsid w:val="00FB66D8"/>
    <w:rsid w:val="00FB762F"/>
    <w:rsid w:val="00FB77CA"/>
    <w:rsid w:val="00FC0B7D"/>
    <w:rsid w:val="00FC0BCE"/>
    <w:rsid w:val="00FC175E"/>
    <w:rsid w:val="00FC22FC"/>
    <w:rsid w:val="00FC2323"/>
    <w:rsid w:val="00FC2698"/>
    <w:rsid w:val="00FC2AED"/>
    <w:rsid w:val="00FC2C3E"/>
    <w:rsid w:val="00FC3032"/>
    <w:rsid w:val="00FC314E"/>
    <w:rsid w:val="00FC3E5D"/>
    <w:rsid w:val="00FC4819"/>
    <w:rsid w:val="00FC64F7"/>
    <w:rsid w:val="00FD094E"/>
    <w:rsid w:val="00FD0E3A"/>
    <w:rsid w:val="00FD1BEE"/>
    <w:rsid w:val="00FD237D"/>
    <w:rsid w:val="00FD3454"/>
    <w:rsid w:val="00FD4B11"/>
    <w:rsid w:val="00FD4DA9"/>
    <w:rsid w:val="00FD53BA"/>
    <w:rsid w:val="00FD5EA7"/>
    <w:rsid w:val="00FD69B6"/>
    <w:rsid w:val="00FE0EE5"/>
    <w:rsid w:val="00FE1D97"/>
    <w:rsid w:val="00FE1E33"/>
    <w:rsid w:val="00FE46DF"/>
    <w:rsid w:val="00FE5836"/>
    <w:rsid w:val="00FE5BB1"/>
    <w:rsid w:val="00FE6549"/>
    <w:rsid w:val="00FE74D4"/>
    <w:rsid w:val="00FE7DA8"/>
    <w:rsid w:val="00FF1498"/>
    <w:rsid w:val="00FF225C"/>
    <w:rsid w:val="00FF352D"/>
    <w:rsid w:val="00FF3AAC"/>
    <w:rsid w:val="00FF5BC0"/>
    <w:rsid w:val="00FF6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BFD890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customStyle="1" w:styleId="hps">
    <w:name w:val="hps"/>
    <w:basedOn w:val="Domylnaczcionkaakapitu"/>
    <w:rsid w:val="00CC60CF"/>
  </w:style>
  <w:style w:type="paragraph" w:customStyle="1" w:styleId="Tytuinfomacjisygnalnej">
    <w:name w:val="Tytuł infomacji sygnalnej"/>
    <w:basedOn w:val="tytuinformacji"/>
    <w:link w:val="TytuinfomacjisygnalnejZnak"/>
    <w:qFormat/>
    <w:rsid w:val="007D728A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7D728A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Ikonawskanika">
    <w:name w:val="Ikona wskaźnika"/>
    <w:basedOn w:val="Normalny"/>
    <w:link w:val="Ikona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7D728A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7D728A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7D728A"/>
    <w:rPr>
      <w:color w:val="FFFFFF"/>
    </w:rPr>
  </w:style>
  <w:style w:type="character" w:customStyle="1" w:styleId="WartowskanikaZnak">
    <w:name w:val="Wartość wskaźnika Znak"/>
    <w:basedOn w:val="Domylnaczcionkaakapitu"/>
    <w:link w:val="Wartowskanika"/>
    <w:rsid w:val="007D728A"/>
    <w:rPr>
      <w:rFonts w:ascii="Fira Sans SemiBold" w:hAnsi="Fira Sans SemiBold"/>
      <w:color w:val="FFFFFF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7D728A"/>
    <w:rPr>
      <w:rFonts w:ascii="Fira Sans" w:hAnsi="Fira Sans"/>
      <w:color w:val="FFFFFF"/>
      <w:sz w:val="20"/>
    </w:rPr>
  </w:style>
  <w:style w:type="paragraph" w:customStyle="1" w:styleId="Lead">
    <w:name w:val="Lead"/>
    <w:basedOn w:val="LID"/>
    <w:link w:val="LeadZnak"/>
    <w:qFormat/>
    <w:rsid w:val="007D728A"/>
    <w:pPr>
      <w:spacing w:before="360"/>
    </w:pPr>
  </w:style>
  <w:style w:type="character" w:customStyle="1" w:styleId="LeadZnak">
    <w:name w:val="Lead Znak"/>
    <w:basedOn w:val="Domylnaczcionkaakapitu"/>
    <w:link w:val="Lead"/>
    <w:rsid w:val="007D728A"/>
    <w:rPr>
      <w:rFonts w:ascii="Fira Sans" w:hAnsi="Fira Sans"/>
      <w:b/>
      <w:noProof/>
      <w:sz w:val="19"/>
      <w:szCs w:val="19"/>
      <w:lang w:eastAsia="pl-PL"/>
    </w:rPr>
  </w:style>
  <w:style w:type="character" w:customStyle="1" w:styleId="PrzypisZnak">
    <w:name w:val="Przypis Znak"/>
    <w:basedOn w:val="TekstprzypisudolnegoZnak"/>
    <w:link w:val="Przypis"/>
    <w:rsid w:val="00645281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645281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645281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645281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6D21E6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6D21E6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16C0D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C6E0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C6E0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C6E04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451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451BA"/>
    <w:rPr>
      <w:rFonts w:ascii="Fira Sans" w:hAnsi="Fira Sans"/>
      <w:b/>
      <w:bCs/>
      <w:sz w:val="20"/>
      <w:szCs w:val="20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BC3493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C0F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5.png"/><Relationship Id="rId26" Type="http://schemas.openxmlformats.org/officeDocument/2006/relationships/hyperlink" Target="http://swaid.stat.gov.pl/EN/SitePages/StronaGlownaDBW.aspx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4.png"/><Relationship Id="rId25" Type="http://schemas.openxmlformats.org/officeDocument/2006/relationships/hyperlink" Target="http://swaid.stat.gov.pl/en/SitePagesDBW/HandelZagraniczny.asp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obslugaprasowa@stat.gov.pl" TargetMode="External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hart" Target="charts/chart2.xml"/><Relationship Id="rId24" Type="http://schemas.openxmlformats.org/officeDocument/2006/relationships/hyperlink" Target="https://stat.gov.pl/en/topics/statistical-yearbooks/statistical-yearbooks/yearbook-of-foreign-trade-statistics-2023,9,17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stat.gov.pl/en/topics/prices-trade/trade/foreign-trade-prices-in-foreign-trade,6,15.html" TargetMode="External"/><Relationship Id="rId28" Type="http://schemas.openxmlformats.org/officeDocument/2006/relationships/fontTable" Target="fontTable.xml"/><Relationship Id="rId10" Type="http://schemas.openxmlformats.org/officeDocument/2006/relationships/chart" Target="charts/chart1.xml"/><Relationship Id="rId19" Type="http://schemas.openxmlformats.org/officeDocument/2006/relationships/image" Target="media/image6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image" Target="media/image9.png"/><Relationship Id="rId27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(Automatycznie%20odzyskany)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I-II\Towary%20SITC_LL(Automatycznie%20odzyskany)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0.3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3C41-42B3-8A8A-6E18A5DFAEC8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16.2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3C41-42B3-8A8A-6E18A5DFAEC8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38.1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3C41-42B3-8A8A-6E18A5DFAEC8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17.0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3C41-42B3-8A8A-6E18A5DFAEC8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9.3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3C41-42B3-8A8A-6E18A5DFAEC8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3C41-42B3-8A8A-6E18A5DFAEC8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3.0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3C41-42B3-8A8A-6E18A5DFAEC8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1.9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3C41-42B3-8A8A-6E18A5DFAEC8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2.0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3C41-42B3-8A8A-6E18A5DFAEC8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11.9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3C41-42B3-8A8A-6E18A5DFAEC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Arkusz2!$B$3:$K$3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Arkusz2!$B$4:$K$4</c:f>
              <c:numCache>
                <c:formatCode>0.0</c:formatCode>
                <c:ptCount val="10"/>
                <c:pt idx="0">
                  <c:v>0.23</c:v>
                </c:pt>
                <c:pt idx="1">
                  <c:v>16.12</c:v>
                </c:pt>
                <c:pt idx="2">
                  <c:v>38.14</c:v>
                </c:pt>
                <c:pt idx="3">
                  <c:v>17.04</c:v>
                </c:pt>
                <c:pt idx="4">
                  <c:v>9.34</c:v>
                </c:pt>
                <c:pt idx="5">
                  <c:v>0.3</c:v>
                </c:pt>
                <c:pt idx="6">
                  <c:v>3.24</c:v>
                </c:pt>
                <c:pt idx="7">
                  <c:v>1.96</c:v>
                </c:pt>
                <c:pt idx="8">
                  <c:v>1.88</c:v>
                </c:pt>
                <c:pt idx="9">
                  <c:v>11.75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C41-42B3-8A8A-6E18A5DFAEC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781235904"/>
        <c:axId val="781234816"/>
      </c:barChart>
      <c:catAx>
        <c:axId val="78123590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34816"/>
        <c:crosses val="autoZero"/>
        <c:auto val="1"/>
        <c:lblAlgn val="ctr"/>
        <c:lblOffset val="100"/>
        <c:noMultiLvlLbl val="0"/>
      </c:catAx>
      <c:valAx>
        <c:axId val="781234816"/>
        <c:scaling>
          <c:orientation val="minMax"/>
        </c:scaling>
        <c:delete val="1"/>
        <c:axPos val="b"/>
        <c:numFmt formatCode="0.0" sourceLinked="1"/>
        <c:majorTickMark val="none"/>
        <c:minorTickMark val="none"/>
        <c:tickLblPos val="nextTo"/>
        <c:crossAx val="78123590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007A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/>
                      <a:t>1.9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629A-40F1-9F17-7DD6FA5BAAFC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/>
                      <a:t>13.1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629A-40F1-9F17-7DD6FA5BAAFC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/>
                      <a:t>34.4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629A-40F1-9F17-7DD6FA5BAAFC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en-US"/>
                      <a:t>15.4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629A-40F1-9F17-7DD6FA5BAAFC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/>
                      <a:t>14.3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629A-40F1-9F17-7DD6FA5BAAFC}"/>
                </c:ext>
              </c:extLst>
            </c:dLbl>
            <c:dLbl>
              <c:idx val="5"/>
              <c:tx>
                <c:rich>
                  <a:bodyPr/>
                  <a:lstStyle/>
                  <a:p>
                    <a:r>
                      <a:rPr lang="en-US"/>
                      <a:t>0.5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629A-40F1-9F17-7DD6FA5BAAFC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/>
                      <a:t>9.3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629A-40F1-9F17-7DD6FA5BAAFC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/>
                      <a:t>2.7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629A-40F1-9F17-7DD6FA5BAAFC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/>
                      <a:t>0.9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629A-40F1-9F17-7DD6FA5BAAFC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/>
                      <a:t>7.5</a:t>
                    </a:r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629A-40F1-9F17-7DD6FA5BAAFC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Arkusz2!$B$30:$K$30</c:f>
              <c:strCache>
                <c:ptCount val="10"/>
                <c:pt idx="0">
                  <c:v>Commodities and transaction not classified elsewhere in the SITC</c:v>
                </c:pt>
                <c:pt idx="1">
                  <c:v>Miscellaneous manufactured articles </c:v>
                </c:pt>
                <c:pt idx="2">
                  <c:v>Machinery and transport equipment
</c:v>
                </c:pt>
                <c:pt idx="3">
                  <c:v>Manufactured goods classified chiefly by material </c:v>
                </c:pt>
                <c:pt idx="4">
                  <c:v>Chemicals and related products
</c:v>
                </c:pt>
                <c:pt idx="5">
                  <c:v>Animal and vegetable oils, fats and waxes </c:v>
                </c:pt>
                <c:pt idx="6">
                  <c:v>Mineral fuels, lubricants and related materials </c:v>
                </c:pt>
                <c:pt idx="7">
                  <c:v>Crude materials inedible, except fuels </c:v>
                </c:pt>
                <c:pt idx="8">
                  <c:v>Beverages and tobacco
</c:v>
                </c:pt>
                <c:pt idx="9">
                  <c:v>Food and live animals
</c:v>
                </c:pt>
              </c:strCache>
            </c:strRef>
          </c:cat>
          <c:val>
            <c:numRef>
              <c:f>Arkusz2!$B$31:$K$31</c:f>
              <c:numCache>
                <c:formatCode>0.0</c:formatCode>
                <c:ptCount val="10"/>
                <c:pt idx="0">
                  <c:v>1.96</c:v>
                </c:pt>
                <c:pt idx="1">
                  <c:v>12.76</c:v>
                </c:pt>
                <c:pt idx="2">
                  <c:v>33.71</c:v>
                </c:pt>
                <c:pt idx="3">
                  <c:v>15.46</c:v>
                </c:pt>
                <c:pt idx="4">
                  <c:v>14.54</c:v>
                </c:pt>
                <c:pt idx="5">
                  <c:v>0.53</c:v>
                </c:pt>
                <c:pt idx="6">
                  <c:v>9.81</c:v>
                </c:pt>
                <c:pt idx="7">
                  <c:v>2.83</c:v>
                </c:pt>
                <c:pt idx="8">
                  <c:v>0.83</c:v>
                </c:pt>
                <c:pt idx="9">
                  <c:v>7.55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29A-40F1-9F17-7DD6FA5BAAFC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781237536"/>
        <c:axId val="781244608"/>
      </c:barChart>
      <c:catAx>
        <c:axId val="781237536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781244608"/>
        <c:crosses val="autoZero"/>
        <c:auto val="1"/>
        <c:lblAlgn val="ctr"/>
        <c:lblOffset val="100"/>
        <c:noMultiLvlLbl val="0"/>
      </c:catAx>
      <c:valAx>
        <c:axId val="781244608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crossAx val="781237536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NazwaPliku xmlns="AD3641B4-23D9-4536-AF9E-7D0EADDEB824">Sygnalna_Handel Zagraniczny_I-IX_2023_ENG.docx.docx</NazwaPliku>
    <Osoba xmlns="AD3641B4-23D9-4536-AF9E-7D0EADDEB824">STAT\LUBIENIECKIL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0x00B44136ADD9233645AF9E7D0EADDEB824</ContentTypeId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CA8B5C-31D1-44D8-BAA2-D57C9058BECB}"/>
</file>

<file path=customXml/itemProps2.xml><?xml version="1.0" encoding="utf-8"?>
<ds:datastoreItem xmlns:ds="http://schemas.openxmlformats.org/officeDocument/2006/customXml" ds:itemID="{EEC05B36-F58F-4CF5-8F8B-F4D4245AA8B7}"/>
</file>

<file path=customXml/itemProps3.xml><?xml version="1.0" encoding="utf-8"?>
<ds:datastoreItem xmlns:ds="http://schemas.openxmlformats.org/officeDocument/2006/customXml" ds:itemID="{B1A89082-3D78-4917-8324-3C4B4DF278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1808</Words>
  <Characters>10848</Characters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2023-10-11T08:40:00Z</cp:lastPrinted>
  <dcterms:created xsi:type="dcterms:W3CDTF">2023-11-16T08:45:00Z</dcterms:created>
  <dcterms:modified xsi:type="dcterms:W3CDTF">2023-11-16T08:45:00Z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