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3FF" w:rsidRPr="006B55C0" w:rsidRDefault="00D153FF" w:rsidP="00D153FF">
      <w:pPr>
        <w:pStyle w:val="tytuinformacji"/>
        <w:rPr>
          <w:shd w:val="clear" w:color="auto" w:fill="FFFFFF"/>
          <w:lang w:val="en-US"/>
        </w:rPr>
      </w:pPr>
      <w:r w:rsidRPr="006B55C0">
        <w:rPr>
          <w:shd w:val="clear" w:color="auto" w:fill="FFFFFF"/>
          <w:lang w:val="en-US"/>
        </w:rPr>
        <w:t>General go</w:t>
      </w:r>
      <w:r w:rsidR="0072384A">
        <w:rPr>
          <w:shd w:val="clear" w:color="auto" w:fill="FFFFFF"/>
          <w:lang w:val="en-US"/>
        </w:rPr>
        <w:t>vernment deficit and debt in 202</w:t>
      </w:r>
      <w:r w:rsidR="00706C85">
        <w:rPr>
          <w:shd w:val="clear" w:color="auto" w:fill="FFFFFF"/>
          <w:lang w:val="en-US"/>
        </w:rPr>
        <w:t>2</w:t>
      </w:r>
    </w:p>
    <w:p w:rsidR="00983768" w:rsidRPr="005535A2" w:rsidRDefault="006E5848" w:rsidP="00983768">
      <w:pPr>
        <w:pStyle w:val="tytuinformacji"/>
        <w:rPr>
          <w:shd w:val="clear" w:color="auto" w:fill="FFFFFF"/>
          <w:lang w:val="en-US"/>
        </w:rPr>
      </w:pPr>
      <w:r>
        <w:rPr>
          <w:noProof/>
          <w:lang w:val="en-GB" w:eastAsia="en-GB"/>
        </w:rPr>
        <mc:AlternateContent>
          <mc:Choice Requires="wps">
            <w:drawing>
              <wp:anchor distT="45720" distB="45720" distL="114300" distR="114300" simplePos="0" relativeHeight="251653632" behindDoc="0" locked="0" layoutInCell="1" allowOverlap="1">
                <wp:simplePos x="0" y="0"/>
                <wp:positionH relativeFrom="margin">
                  <wp:posOffset>-40005</wp:posOffset>
                </wp:positionH>
                <wp:positionV relativeFrom="paragraph">
                  <wp:posOffset>407035</wp:posOffset>
                </wp:positionV>
                <wp:extent cx="1877060" cy="1003300"/>
                <wp:effectExtent l="7620" t="8255" r="1270" b="7620"/>
                <wp:wrapSquare wrapText="bothSides"/>
                <wp:docPr id="7" name="Pole tekstowe 2" descr="Description : 3,7 %&#10;General government deficit in 2022 in relation to GD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1003300"/>
                        </a:xfrm>
                        <a:prstGeom prst="roundRect">
                          <a:avLst>
                            <a:gd name="adj" fmla="val 16667"/>
                          </a:avLst>
                        </a:prstGeom>
                        <a:solidFill>
                          <a:srgbClr val="001D7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8AB" w:rsidRPr="00F24737" w:rsidRDefault="003818AB" w:rsidP="003818AB">
                            <w:pPr>
                              <w:spacing w:after="0" w:line="240" w:lineRule="auto"/>
                              <w:rPr>
                                <w:rFonts w:ascii="Fira Sans SemiBold" w:hAnsi="Fira Sans SemiBold"/>
                                <w:color w:val="FFFFFF"/>
                                <w:sz w:val="72"/>
                                <w:lang w:val="en-GB"/>
                              </w:rPr>
                            </w:pPr>
                            <w:bookmarkStart w:id="0" w:name="_Hlk99638553"/>
                            <w:bookmarkStart w:id="1" w:name="_Hlk99638554"/>
                            <w:bookmarkStart w:id="2" w:name="_Hlk99638558"/>
                            <w:bookmarkStart w:id="3" w:name="_Hlk99638559"/>
                            <w:bookmarkStart w:id="4" w:name="_Hlk99638560"/>
                            <w:bookmarkStart w:id="5" w:name="_Hlk99638561"/>
                            <w:bookmarkStart w:id="6" w:name="_Hlk99638562"/>
                            <w:bookmarkStart w:id="7" w:name="_Hlk99638563"/>
                            <w:r w:rsidRPr="00F24737">
                              <w:rPr>
                                <w:rFonts w:ascii="Fira Sans Light" w:hAnsi="Fira Sans Light"/>
                                <w:color w:val="001D77"/>
                                <w:sz w:val="22"/>
                                <w:lang w:val="en-GB"/>
                              </w:rPr>
                              <w:t>1</w:t>
                            </w:r>
                            <w:r w:rsidRPr="00F24737">
                              <w:rPr>
                                <w:noProof/>
                                <w:color w:val="001D77"/>
                                <w:lang w:val="en-GB" w:eastAsia="pl-PL"/>
                              </w:rPr>
                              <w:t xml:space="preserve">               </w:t>
                            </w:r>
                            <w:r w:rsidR="009007C1">
                              <w:rPr>
                                <w:rFonts w:ascii="Fira Sans SemiBold" w:hAnsi="Fira Sans SemiBold"/>
                                <w:color w:val="FFFFFF"/>
                                <w:sz w:val="40"/>
                                <w:szCs w:val="40"/>
                                <w:lang w:val="en-GB"/>
                              </w:rPr>
                              <w:t>3,</w:t>
                            </w:r>
                            <w:r w:rsidR="00AE66C1">
                              <w:rPr>
                                <w:rFonts w:ascii="Fira Sans SemiBold" w:hAnsi="Fira Sans SemiBold"/>
                                <w:color w:val="FFFFFF"/>
                                <w:sz w:val="40"/>
                                <w:szCs w:val="40"/>
                                <w:lang w:val="en-GB"/>
                              </w:rPr>
                              <w:t>7</w:t>
                            </w:r>
                            <w:r w:rsidRPr="00F24737">
                              <w:rPr>
                                <w:rFonts w:ascii="Fira Sans SemiBold" w:hAnsi="Fira Sans SemiBold"/>
                                <w:color w:val="FFFFFF"/>
                                <w:sz w:val="40"/>
                                <w:szCs w:val="40"/>
                                <w:lang w:val="en-GB"/>
                              </w:rPr>
                              <w:t>%</w:t>
                            </w:r>
                          </w:p>
                          <w:p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202</w:t>
                            </w:r>
                            <w:r w:rsidR="00706C85">
                              <w:rPr>
                                <w:sz w:val="19"/>
                                <w:szCs w:val="19"/>
                                <w:lang w:val="en-US"/>
                              </w:rPr>
                              <w:t>2</w:t>
                            </w:r>
                            <w:r>
                              <w:rPr>
                                <w:sz w:val="19"/>
                                <w:szCs w:val="19"/>
                                <w:lang w:val="en-US"/>
                              </w:rPr>
                              <w:t xml:space="preserve"> in relation to </w:t>
                            </w:r>
                            <w:r w:rsidRPr="006D3220">
                              <w:rPr>
                                <w:sz w:val="19"/>
                                <w:szCs w:val="19"/>
                                <w:lang w:val="en-US"/>
                              </w:rPr>
                              <w:t>GDP</w:t>
                            </w:r>
                          </w:p>
                          <w:bookmarkEnd w:id="0"/>
                          <w:bookmarkEnd w:id="1"/>
                          <w:bookmarkEnd w:id="2"/>
                          <w:bookmarkEnd w:id="3"/>
                          <w:bookmarkEnd w:id="4"/>
                          <w:bookmarkEnd w:id="5"/>
                          <w:bookmarkEnd w:id="6"/>
                          <w:bookmarkEnd w:id="7"/>
                          <w:p w:rsidR="003818AB" w:rsidRPr="00F24737" w:rsidRDefault="003818AB" w:rsidP="003818AB">
                            <w:pPr>
                              <w:pStyle w:val="Opiswskanika"/>
                              <w:rPr>
                                <w:sz w:val="18"/>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Pole tekstowe 2" o:spid="_x0000_s1026" alt="Description : 3,7 %&#10;General government deficit in 2022 in relation to GDP" style="position:absolute;margin-left:-3.15pt;margin-top:32.05pt;width:147.8pt;height:79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" fillcolor="#001d77" stroked="f">
                <v:stroke joinstyle="miter"/>
                <v:textbox>
                  <w:txbxContent>
                    <w:p w:rsidR="003818AB" w:rsidRPr="00F24737" w:rsidRDefault="003818AB" w:rsidP="003818AB">
                      <w:pPr>
                        <w:spacing w:after="0" w:line="240" w:lineRule="auto"/>
                        <w:rPr>
                          <w:rFonts w:ascii="Fira Sans SemiBold" w:hAnsi="Fira Sans SemiBold"/>
                          <w:color w:val="FFFFFF"/>
                          <w:sz w:val="72"/>
                          <w:lang w:val="en-GB"/>
                        </w:rPr>
                      </w:pPr>
                      <w:bookmarkStart w:id="8" w:name="_Hlk99638553"/>
                      <w:bookmarkStart w:id="9" w:name="_Hlk99638554"/>
                      <w:bookmarkStart w:id="10" w:name="_Hlk99638558"/>
                      <w:bookmarkStart w:id="11" w:name="_Hlk99638559"/>
                      <w:bookmarkStart w:id="12" w:name="_Hlk99638560"/>
                      <w:bookmarkStart w:id="13" w:name="_Hlk99638561"/>
                      <w:bookmarkStart w:id="14" w:name="_Hlk99638562"/>
                      <w:bookmarkStart w:id="15" w:name="_Hlk99638563"/>
                      <w:r w:rsidRPr="00F24737">
                        <w:rPr>
                          <w:rFonts w:ascii="Fira Sans Light" w:hAnsi="Fira Sans Light"/>
                          <w:color w:val="001D77"/>
                          <w:sz w:val="22"/>
                          <w:lang w:val="en-GB"/>
                        </w:rPr>
                        <w:t>1</w:t>
                      </w:r>
                      <w:r w:rsidRPr="00F24737">
                        <w:rPr>
                          <w:noProof/>
                          <w:color w:val="001D77"/>
                          <w:lang w:val="en-GB" w:eastAsia="pl-PL"/>
                        </w:rPr>
                        <w:t xml:space="preserve">               </w:t>
                      </w:r>
                      <w:r w:rsidR="009007C1">
                        <w:rPr>
                          <w:rFonts w:ascii="Fira Sans SemiBold" w:hAnsi="Fira Sans SemiBold"/>
                          <w:color w:val="FFFFFF"/>
                          <w:sz w:val="40"/>
                          <w:szCs w:val="40"/>
                          <w:lang w:val="en-GB"/>
                        </w:rPr>
                        <w:t>3,</w:t>
                      </w:r>
                      <w:r w:rsidR="00AE66C1">
                        <w:rPr>
                          <w:rFonts w:ascii="Fira Sans SemiBold" w:hAnsi="Fira Sans SemiBold"/>
                          <w:color w:val="FFFFFF"/>
                          <w:sz w:val="40"/>
                          <w:szCs w:val="40"/>
                          <w:lang w:val="en-GB"/>
                        </w:rPr>
                        <w:t>7</w:t>
                      </w:r>
                      <w:r w:rsidRPr="00F24737">
                        <w:rPr>
                          <w:rFonts w:ascii="Fira Sans SemiBold" w:hAnsi="Fira Sans SemiBold"/>
                          <w:color w:val="FFFFFF"/>
                          <w:sz w:val="40"/>
                          <w:szCs w:val="40"/>
                          <w:lang w:val="en-GB"/>
                        </w:rPr>
                        <w:t>%</w:t>
                      </w:r>
                    </w:p>
                    <w:p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202</w:t>
                      </w:r>
                      <w:r w:rsidR="00706C85">
                        <w:rPr>
                          <w:sz w:val="19"/>
                          <w:szCs w:val="19"/>
                          <w:lang w:val="en-US"/>
                        </w:rPr>
                        <w:t>2</w:t>
                      </w:r>
                      <w:r>
                        <w:rPr>
                          <w:sz w:val="19"/>
                          <w:szCs w:val="19"/>
                          <w:lang w:val="en-US"/>
                        </w:rPr>
                        <w:t xml:space="preserve"> in relation to </w:t>
                      </w:r>
                      <w:r w:rsidRPr="006D3220">
                        <w:rPr>
                          <w:sz w:val="19"/>
                          <w:szCs w:val="19"/>
                          <w:lang w:val="en-US"/>
                        </w:rPr>
                        <w:t>GDP</w:t>
                      </w:r>
                    </w:p>
                    <w:bookmarkEnd w:id="8"/>
                    <w:bookmarkEnd w:id="9"/>
                    <w:bookmarkEnd w:id="10"/>
                    <w:bookmarkEnd w:id="11"/>
                    <w:bookmarkEnd w:id="12"/>
                    <w:bookmarkEnd w:id="13"/>
                    <w:bookmarkEnd w:id="14"/>
                    <w:bookmarkEnd w:id="15"/>
                    <w:p w:rsidR="003818AB" w:rsidRPr="00F24737" w:rsidRDefault="003818AB" w:rsidP="003818AB">
                      <w:pPr>
                        <w:pStyle w:val="Opiswskanika"/>
                        <w:rPr>
                          <w:sz w:val="18"/>
                          <w:szCs w:val="20"/>
                          <w:lang w:val="en-GB"/>
                        </w:rPr>
                      </w:pPr>
                    </w:p>
                  </w:txbxContent>
                </v:textbox>
                <w10:wrap type="square" anchorx="margin"/>
              </v:roundrect>
            </w:pict>
          </mc:Fallback>
        </mc:AlternateContent>
      </w:r>
    </w:p>
    <w:p w:rsidR="00847842" w:rsidRPr="00D153FF" w:rsidRDefault="006E5848" w:rsidP="001A5332">
      <w:pPr>
        <w:pStyle w:val="LID"/>
        <w:rPr>
          <w:lang w:val="en-US"/>
        </w:rPr>
      </w:pPr>
      <w:r w:rsidRPr="00847842">
        <w:rPr>
          <w:lang w:val="en-GB" w:eastAsia="en-GB"/>
        </w:rPr>
        <mc:AlternateContent>
          <mc:Choice Requires="wps">
            <w:drawing>
              <wp:anchor distT="45720" distB="45720" distL="114300" distR="114300" simplePos="0" relativeHeight="251652608" behindDoc="1" locked="0" layoutInCell="1" allowOverlap="1">
                <wp:simplePos x="0" y="0"/>
                <wp:positionH relativeFrom="column">
                  <wp:posOffset>5247005</wp:posOffset>
                </wp:positionH>
                <wp:positionV relativeFrom="paragraph">
                  <wp:posOffset>320675</wp:posOffset>
                </wp:positionV>
                <wp:extent cx="1725295" cy="949960"/>
                <wp:effectExtent l="0" t="0" r="0" b="0"/>
                <wp:wrapTight wrapText="bothSides">
                  <wp:wrapPolygon edited="0">
                    <wp:start x="715" y="0"/>
                    <wp:lineTo x="715" y="21225"/>
                    <wp:lineTo x="20749" y="21225"/>
                    <wp:lineTo x="20749" y="0"/>
                    <wp:lineTo x="715" y="0"/>
                  </wp:wrapPolygon>
                </wp:wrapTight>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49960"/>
                        </a:xfrm>
                        <a:prstGeom prst="rect">
                          <a:avLst/>
                        </a:prstGeom>
                        <a:noFill/>
                        <a:ln w="9525">
                          <a:noFill/>
                          <a:miter lim="800000"/>
                          <a:headEnd/>
                          <a:tailEnd/>
                        </a:ln>
                      </wps:spPr>
                      <wps:txbx>
                        <w:txbxContent>
                          <w:p w:rsidR="00D616D2" w:rsidRPr="001036E7" w:rsidRDefault="00D616D2" w:rsidP="009C113C">
                            <w:pPr>
                              <w:spacing w:before="0" w:after="0"/>
                              <w:rPr>
                                <w:rFonts w:eastAsia="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13.15pt;margin-top:25.25pt;width:135.85pt;height:74.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" filled="f" stroked="f">
                <v:textbox>
                  <w:txbxContent>
                    <w:p w:rsidR="00D616D2" w:rsidRPr="001036E7" w:rsidRDefault="00D616D2" w:rsidP="009C113C">
                      <w:pPr>
                        <w:spacing w:before="0" w:after="0"/>
                        <w:rPr>
                          <w:rFonts w:eastAsia="Times New Roman"/>
                          <w:bCs/>
                          <w:color w:val="001D77"/>
                          <w:sz w:val="18"/>
                          <w:szCs w:val="18"/>
                          <w:lang w:eastAsia="pl-PL"/>
                        </w:rPr>
                      </w:pPr>
                    </w:p>
                  </w:txbxContent>
                </v:textbox>
                <w10:wrap type="tight"/>
              </v:shape>
            </w:pict>
          </mc:Fallback>
        </mc:AlternateContent>
      </w:r>
      <w:r w:rsidR="00D153FF" w:rsidRPr="00D153FF">
        <w:rPr>
          <w:lang w:val="en-US"/>
        </w:rPr>
        <w:t xml:space="preserve">According </w:t>
      </w:r>
      <w:r w:rsidR="009D1F87">
        <w:rPr>
          <w:lang w:val="en-US"/>
        </w:rPr>
        <w:t>to the EDP notification, in 202</w:t>
      </w:r>
      <w:r w:rsidR="00706C85">
        <w:rPr>
          <w:lang w:val="en-US"/>
        </w:rPr>
        <w:t>2</w:t>
      </w:r>
      <w:r w:rsidR="009D1F87">
        <w:rPr>
          <w:lang w:val="en-US"/>
        </w:rPr>
        <w:t xml:space="preserve"> </w:t>
      </w:r>
      <w:r w:rsidR="00D153FF" w:rsidRPr="00D153FF">
        <w:rPr>
          <w:lang w:val="en-US"/>
        </w:rPr>
        <w:t>the general government deficit</w:t>
      </w:r>
      <w:r w:rsidR="004B270C">
        <w:rPr>
          <w:lang w:val="en-US"/>
        </w:rPr>
        <w:t xml:space="preserve"> was equal</w:t>
      </w:r>
      <w:r w:rsidR="00AD6205">
        <w:rPr>
          <w:lang w:val="en-US"/>
        </w:rPr>
        <w:t xml:space="preserve"> </w:t>
      </w:r>
      <w:r w:rsidR="007C0A9B">
        <w:rPr>
          <w:lang w:val="en-GB"/>
        </w:rPr>
        <w:t>112 833</w:t>
      </w:r>
      <w:r w:rsidR="004372E5" w:rsidRPr="00080771">
        <w:rPr>
          <w:lang w:val="en-GB"/>
        </w:rPr>
        <w:t xml:space="preserve"> mln </w:t>
      </w:r>
      <w:r w:rsidR="00D153FF" w:rsidRPr="00D153FF">
        <w:rPr>
          <w:lang w:val="en-US"/>
        </w:rPr>
        <w:t>zl (</w:t>
      </w:r>
      <w:r w:rsidR="009007C1">
        <w:rPr>
          <w:lang w:val="en-US"/>
        </w:rPr>
        <w:t>3,</w:t>
      </w:r>
      <w:r w:rsidR="00AE66C1">
        <w:rPr>
          <w:lang w:val="en-US"/>
        </w:rPr>
        <w:t>7</w:t>
      </w:r>
      <w:r w:rsidR="00D153FF" w:rsidRPr="00D153FF">
        <w:rPr>
          <w:lang w:val="en-US"/>
        </w:rPr>
        <w:t xml:space="preserve">% of GDP), while the general government debt amounted to </w:t>
      </w:r>
      <w:r w:rsidR="00D153FF">
        <w:rPr>
          <w:lang w:val="en-US"/>
        </w:rPr>
        <w:t xml:space="preserve">               </w:t>
      </w:r>
      <w:r w:rsidR="009007C1" w:rsidRPr="009007C1">
        <w:rPr>
          <w:lang w:val="en-GB"/>
        </w:rPr>
        <w:t>1 512</w:t>
      </w:r>
      <w:r w:rsidR="00F04CF3">
        <w:rPr>
          <w:lang w:val="en-GB"/>
        </w:rPr>
        <w:t> </w:t>
      </w:r>
      <w:r w:rsidR="007C0A9B">
        <w:rPr>
          <w:lang w:val="en-GB"/>
        </w:rPr>
        <w:t>154</w:t>
      </w:r>
      <w:r w:rsidR="00F04CF3">
        <w:rPr>
          <w:lang w:val="en-GB"/>
        </w:rPr>
        <w:t xml:space="preserve"> </w:t>
      </w:r>
      <w:r w:rsidR="00D153FF" w:rsidRPr="00D153FF">
        <w:rPr>
          <w:lang w:val="en-US"/>
        </w:rPr>
        <w:t xml:space="preserve">mln zl </w:t>
      </w:r>
      <w:r w:rsidR="00D153FF">
        <w:rPr>
          <w:lang w:val="en-US"/>
        </w:rPr>
        <w:t>(</w:t>
      </w:r>
      <w:r w:rsidR="00AE66C1">
        <w:rPr>
          <w:lang w:val="en-US"/>
        </w:rPr>
        <w:t>49,</w:t>
      </w:r>
      <w:r w:rsidR="007C0A9B">
        <w:rPr>
          <w:lang w:val="en-US"/>
        </w:rPr>
        <w:t>3</w:t>
      </w:r>
      <w:r w:rsidR="00D153FF" w:rsidRPr="00D153FF">
        <w:rPr>
          <w:lang w:val="en-US"/>
        </w:rPr>
        <w:t xml:space="preserve">% of GDP). </w:t>
      </w:r>
    </w:p>
    <w:p w:rsidR="00983768" w:rsidRPr="00847842" w:rsidRDefault="00983768" w:rsidP="00983768">
      <w:pPr>
        <w:pStyle w:val="LID"/>
        <w:rPr>
          <w:lang w:val="en-US"/>
        </w:rPr>
      </w:pPr>
      <w:r w:rsidRPr="00847842">
        <w:rPr>
          <w:lang w:val="en-US"/>
        </w:rPr>
        <w:t xml:space="preserve"> </w:t>
      </w:r>
    </w:p>
    <w:p w:rsidR="00823A6E" w:rsidRPr="00847842" w:rsidRDefault="00823A6E" w:rsidP="00823A6E">
      <w:pPr>
        <w:rPr>
          <w:lang w:val="en-US" w:eastAsia="pl-PL"/>
        </w:rPr>
      </w:pPr>
    </w:p>
    <w:p w:rsidR="004301BD" w:rsidRDefault="009C70BD" w:rsidP="00A41997">
      <w:pPr>
        <w:spacing w:before="360" w:after="0" w:line="288" w:lineRule="auto"/>
        <w:rPr>
          <w:rFonts w:cs="Arial"/>
          <w:szCs w:val="19"/>
          <w:lang w:val="en-US"/>
        </w:rPr>
      </w:pPr>
      <w:r w:rsidRPr="00366D5E">
        <w:rPr>
          <w:rFonts w:cs="Arial"/>
          <w:szCs w:val="19"/>
          <w:lang w:val="en-US"/>
        </w:rPr>
        <w:t>On</w:t>
      </w:r>
      <w:r w:rsidR="00366D5E" w:rsidRPr="00366D5E">
        <w:rPr>
          <w:rFonts w:cs="Arial"/>
          <w:szCs w:val="19"/>
          <w:lang w:val="en-US"/>
        </w:rPr>
        <w:t xml:space="preserve"> </w:t>
      </w:r>
      <w:r w:rsidR="0072384A">
        <w:rPr>
          <w:rFonts w:cs="Arial"/>
          <w:szCs w:val="19"/>
          <w:lang w:val="en-US"/>
        </w:rPr>
        <w:t>3</w:t>
      </w:r>
      <w:r w:rsidR="006822F9">
        <w:rPr>
          <w:rFonts w:cs="Arial"/>
          <w:szCs w:val="19"/>
          <w:lang w:val="en-US"/>
        </w:rPr>
        <w:t>0</w:t>
      </w:r>
      <w:r w:rsidR="0072384A">
        <w:rPr>
          <w:rFonts w:cs="Arial"/>
          <w:szCs w:val="19"/>
          <w:lang w:val="en-US"/>
        </w:rPr>
        <w:t xml:space="preserve"> </w:t>
      </w:r>
      <w:r w:rsidR="006822F9">
        <w:rPr>
          <w:rFonts w:cs="Arial"/>
          <w:szCs w:val="19"/>
          <w:lang w:val="en-US"/>
        </w:rPr>
        <w:t>September</w:t>
      </w:r>
      <w:r w:rsidR="0072384A">
        <w:rPr>
          <w:rFonts w:cs="Arial"/>
          <w:szCs w:val="19"/>
          <w:lang w:val="en-US"/>
        </w:rPr>
        <w:t xml:space="preserve"> 202</w:t>
      </w:r>
      <w:r w:rsidR="00706C85">
        <w:rPr>
          <w:rFonts w:cs="Arial"/>
          <w:szCs w:val="19"/>
          <w:lang w:val="en-US"/>
        </w:rPr>
        <w:t>3</w:t>
      </w:r>
      <w:r w:rsidRPr="00366D5E">
        <w:rPr>
          <w:rFonts w:cs="Arial"/>
          <w:szCs w:val="19"/>
          <w:lang w:val="en-US"/>
        </w:rPr>
        <w:t xml:space="preserve">, in accordance with the Council Regulation (EC) No. 479/2009 of 25 May 2009 on the application of the Protocol on the excessive deficit procedure annexed to the Treaty establishing European Community </w:t>
      </w:r>
      <w:bookmarkStart w:id="8" w:name="_Hlk148698217"/>
      <w:r w:rsidRPr="00366D5E">
        <w:rPr>
          <w:rFonts w:cs="Arial"/>
          <w:szCs w:val="19"/>
          <w:lang w:val="en-US"/>
        </w:rPr>
        <w:t xml:space="preserve">with amendments, </w:t>
      </w:r>
      <w:bookmarkEnd w:id="8"/>
      <w:r w:rsidRPr="00366D5E">
        <w:rPr>
          <w:rFonts w:cs="Arial"/>
          <w:szCs w:val="19"/>
          <w:lang w:val="en-US"/>
        </w:rPr>
        <w:t xml:space="preserve">the President of the </w:t>
      </w:r>
      <w:r w:rsidR="00DF5E19">
        <w:rPr>
          <w:rFonts w:cs="Arial"/>
          <w:szCs w:val="19"/>
          <w:lang w:val="en-US"/>
        </w:rPr>
        <w:t>Statistics Poland</w:t>
      </w:r>
      <w:r w:rsidR="00DF5E19" w:rsidRPr="00366D5E">
        <w:rPr>
          <w:rFonts w:cs="Arial"/>
          <w:szCs w:val="19"/>
          <w:lang w:val="en-US"/>
        </w:rPr>
        <w:t xml:space="preserve"> </w:t>
      </w:r>
      <w:r w:rsidRPr="00366D5E">
        <w:rPr>
          <w:rFonts w:cs="Arial"/>
          <w:szCs w:val="19"/>
          <w:lang w:val="en-US"/>
        </w:rPr>
        <w:t xml:space="preserve">provided the general government deficit and debt data </w:t>
      </w:r>
      <w:r w:rsidR="001D3039">
        <w:rPr>
          <w:rFonts w:cs="Arial"/>
          <w:szCs w:val="19"/>
          <w:lang w:val="en-US"/>
        </w:rPr>
        <w:t xml:space="preserve">for years </w:t>
      </w:r>
      <w:r w:rsidR="0072384A">
        <w:rPr>
          <w:rFonts w:cs="Arial"/>
          <w:szCs w:val="19"/>
          <w:lang w:val="en-US"/>
        </w:rPr>
        <w:t>201</w:t>
      </w:r>
      <w:r w:rsidR="00A57B83">
        <w:rPr>
          <w:rFonts w:cs="Arial"/>
          <w:szCs w:val="19"/>
          <w:lang w:val="en-US"/>
        </w:rPr>
        <w:t>9</w:t>
      </w:r>
      <w:r w:rsidR="0072384A">
        <w:rPr>
          <w:rFonts w:cs="Arial"/>
          <w:szCs w:val="19"/>
          <w:lang w:val="en-US"/>
        </w:rPr>
        <w:t>-202</w:t>
      </w:r>
      <w:r w:rsidR="00A57B83">
        <w:rPr>
          <w:rFonts w:cs="Arial"/>
          <w:szCs w:val="19"/>
          <w:lang w:val="en-US"/>
        </w:rPr>
        <w:t>2</w:t>
      </w:r>
      <w:r w:rsidR="00717AFC">
        <w:rPr>
          <w:rFonts w:cs="Arial"/>
          <w:szCs w:val="19"/>
          <w:lang w:val="en-US"/>
        </w:rPr>
        <w:t xml:space="preserve"> </w:t>
      </w:r>
      <w:r w:rsidRPr="00366D5E">
        <w:rPr>
          <w:rFonts w:cs="Arial"/>
          <w:szCs w:val="19"/>
          <w:lang w:val="en-US"/>
        </w:rPr>
        <w:t>(EDP notificat</w:t>
      </w:r>
      <w:r w:rsidR="004301BD">
        <w:rPr>
          <w:rFonts w:cs="Arial"/>
          <w:szCs w:val="19"/>
          <w:lang w:val="en-US"/>
        </w:rPr>
        <w:t xml:space="preserve">ion) to the European Commission </w:t>
      </w:r>
      <w:r w:rsidRPr="00366D5E">
        <w:rPr>
          <w:rFonts w:cs="Arial"/>
          <w:szCs w:val="19"/>
          <w:lang w:val="en-US"/>
        </w:rPr>
        <w:t>(Eurostat).</w:t>
      </w:r>
      <w:r w:rsidR="004301BD">
        <w:rPr>
          <w:rFonts w:cs="Arial"/>
          <w:szCs w:val="19"/>
          <w:lang w:val="en-US"/>
        </w:rPr>
        <w:t xml:space="preserve"> </w:t>
      </w:r>
    </w:p>
    <w:p w:rsidR="00DC6668" w:rsidRDefault="004301BD" w:rsidP="00ED0CE4">
      <w:pPr>
        <w:spacing w:before="0" w:line="288" w:lineRule="auto"/>
        <w:rPr>
          <w:rFonts w:cs="Arial"/>
          <w:szCs w:val="19"/>
          <w:lang w:val="en-US"/>
        </w:rPr>
      </w:pPr>
      <w:r w:rsidRPr="004301BD">
        <w:rPr>
          <w:rFonts w:cs="Arial"/>
          <w:szCs w:val="19"/>
          <w:lang w:val="en-US"/>
        </w:rPr>
        <w:t>The data have been developed in accordance with the methodology of the European System of National and Regional Accounts in the European Union introduced by the Regulation (EU) No. 549/2013 of the European Parliament and of the Council of 21 May 2013 (ESA2010)</w:t>
      </w:r>
      <w:r w:rsidR="007C0A9B">
        <w:rPr>
          <w:rFonts w:cs="Arial"/>
          <w:szCs w:val="19"/>
          <w:lang w:val="en-US"/>
        </w:rPr>
        <w:t xml:space="preserve"> </w:t>
      </w:r>
      <w:r w:rsidR="007C0A9B" w:rsidRPr="00366D5E">
        <w:rPr>
          <w:rFonts w:cs="Arial"/>
          <w:szCs w:val="19"/>
          <w:lang w:val="en-US"/>
        </w:rPr>
        <w:t>with amendments</w:t>
      </w:r>
      <w:r w:rsidRPr="004301BD">
        <w:rPr>
          <w:rFonts w:cs="Arial"/>
          <w:szCs w:val="19"/>
          <w:lang w:val="en-US"/>
        </w:rPr>
        <w:t xml:space="preserve"> and the guidelines contained in the Manual on Government Deficit and Debt, Im</w:t>
      </w:r>
      <w:r w:rsidR="00646EF1">
        <w:rPr>
          <w:rFonts w:cs="Arial"/>
          <w:szCs w:val="19"/>
          <w:lang w:val="en-US"/>
        </w:rPr>
        <w:t>plementation of ESA2010 (MGDD</w:t>
      </w:r>
      <w:r w:rsidR="00765921">
        <w:rPr>
          <w:rFonts w:cs="Arial"/>
          <w:szCs w:val="19"/>
          <w:lang w:val="en-US"/>
        </w:rPr>
        <w:t>, 20</w:t>
      </w:r>
      <w:r w:rsidR="00B62758">
        <w:rPr>
          <w:rFonts w:cs="Arial"/>
          <w:szCs w:val="19"/>
          <w:lang w:val="en-US"/>
        </w:rPr>
        <w:t>22</w:t>
      </w:r>
      <w:r w:rsidR="00765921">
        <w:rPr>
          <w:rFonts w:cs="Arial"/>
          <w:szCs w:val="19"/>
          <w:lang w:val="en-US"/>
        </w:rPr>
        <w:t xml:space="preserve"> editio</w:t>
      </w:r>
      <w:r w:rsidR="00C97DB3">
        <w:rPr>
          <w:rFonts w:cs="Arial"/>
          <w:szCs w:val="19"/>
          <w:lang w:val="en-US"/>
        </w:rPr>
        <w:t>n</w:t>
      </w:r>
      <w:r w:rsidRPr="004301BD">
        <w:rPr>
          <w:rFonts w:cs="Arial"/>
          <w:szCs w:val="19"/>
          <w:lang w:val="en-US"/>
        </w:rPr>
        <w:t>)</w:t>
      </w:r>
      <w:r w:rsidRPr="000351AF">
        <w:rPr>
          <w:szCs w:val="19"/>
          <w:vertAlign w:val="superscript"/>
        </w:rPr>
        <w:footnoteReference w:id="1"/>
      </w:r>
      <w:r w:rsidRPr="000351AF">
        <w:rPr>
          <w:rFonts w:cs="Arial"/>
          <w:szCs w:val="19"/>
          <w:lang w:val="en-US"/>
        </w:rPr>
        <w:t>.</w:t>
      </w:r>
    </w:p>
    <w:p w:rsidR="001C2F0A" w:rsidRPr="003818AB" w:rsidRDefault="001C2F0A" w:rsidP="001C2F0A">
      <w:pPr>
        <w:pStyle w:val="Nagwek1"/>
        <w:spacing w:before="360" w:line="240" w:lineRule="exact"/>
        <w:ind w:left="851" w:hanging="851"/>
        <w:rPr>
          <w:rFonts w:ascii="Fira Sans" w:hAnsi="Fira Sans"/>
          <w:b/>
          <w:noProof/>
          <w:color w:val="auto"/>
          <w:spacing w:val="-2"/>
          <w:szCs w:val="19"/>
          <w:lang w:val="en-US"/>
        </w:rPr>
      </w:pPr>
      <w:r w:rsidRPr="003818AB">
        <w:rPr>
          <w:rFonts w:ascii="Fira Sans" w:hAnsi="Fira Sans"/>
          <w:b/>
          <w:noProof/>
          <w:color w:val="auto"/>
          <w:spacing w:val="-2"/>
          <w:szCs w:val="19"/>
        </w:rPr>
        <w:t>Table 1</w:t>
      </w:r>
      <w:r w:rsidRPr="00F24737">
        <w:rPr>
          <w:rFonts w:ascii="Fira Sans" w:hAnsi="Fira Sans"/>
          <w:b/>
          <w:noProof/>
          <w:color w:val="auto"/>
          <w:spacing w:val="-2"/>
          <w:szCs w:val="19"/>
          <w:lang w:val="en-GB"/>
        </w:rPr>
        <w:t>.</w:t>
      </w:r>
      <w:r w:rsidRPr="003818AB">
        <w:rPr>
          <w:rFonts w:ascii="Fira Sans" w:hAnsi="Fira Sans"/>
          <w:b/>
          <w:noProof/>
          <w:color w:val="auto"/>
          <w:spacing w:val="-2"/>
          <w:szCs w:val="19"/>
        </w:rPr>
        <w:t xml:space="preserve"> General government deficit and debt</w:t>
      </w:r>
      <w:r w:rsidRPr="003818AB">
        <w:rPr>
          <w:rFonts w:ascii="Fira Sans" w:hAnsi="Fira Sans"/>
          <w:b/>
          <w:noProof/>
          <w:color w:val="auto"/>
          <w:spacing w:val="-2"/>
          <w:szCs w:val="19"/>
          <w:lang w:val="en-US"/>
        </w:rPr>
        <w:t xml:space="preserve"> </w:t>
      </w:r>
      <w:r w:rsidRPr="003818AB">
        <w:rPr>
          <w:rFonts w:ascii="Fira Sans" w:hAnsi="Fira Sans"/>
          <w:b/>
          <w:noProof/>
          <w:color w:val="auto"/>
          <w:spacing w:val="-2"/>
          <w:szCs w:val="19"/>
        </w:rPr>
        <w:t xml:space="preserve">in years </w:t>
      </w:r>
      <w:r w:rsidR="00706C85" w:rsidRPr="000E4937">
        <w:rPr>
          <w:rFonts w:ascii="Fira Sans" w:hAnsi="Fira Sans"/>
          <w:b/>
          <w:noProof/>
          <w:color w:val="auto"/>
          <w:spacing w:val="-2"/>
          <w:szCs w:val="19"/>
          <w:lang w:val="en-GB"/>
        </w:rPr>
        <w:t>2019-2022</w:t>
      </w:r>
      <w:r w:rsidRPr="003818AB">
        <w:rPr>
          <w:rFonts w:ascii="Fira Sans" w:hAnsi="Fira Sans"/>
          <w:b/>
          <w:noProof/>
          <w:color w:val="auto"/>
          <w:spacing w:val="-2"/>
          <w:szCs w:val="19"/>
          <w:lang w:val="en-US"/>
        </w:rPr>
        <w:t xml:space="preserve"> (mln zl)</w:t>
      </w:r>
    </w:p>
    <w:tbl>
      <w:tblPr>
        <w:tblpPr w:leftFromText="141" w:rightFromText="141" w:vertAnchor="text" w:horzAnchor="margin" w:tblpY="183"/>
        <w:tblW w:w="8009"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1. General government deficit and debt in years 2019-2022 (mln zl)"/>
        <w:tblDescription w:val="The table present value of the general government deficit by sectors and the value of general government debt in relation to GDP in years 2019-2022."/>
      </w:tblPr>
      <w:tblGrid>
        <w:gridCol w:w="3779"/>
        <w:gridCol w:w="1148"/>
        <w:gridCol w:w="1009"/>
        <w:gridCol w:w="1013"/>
        <w:gridCol w:w="1060"/>
      </w:tblGrid>
      <w:tr w:rsidR="001C2F0A" w:rsidRPr="000902B0" w:rsidTr="00003C62">
        <w:trPr>
          <w:trHeight w:val="568"/>
        </w:trPr>
        <w:tc>
          <w:tcPr>
            <w:tcW w:w="3779" w:type="dxa"/>
            <w:shd w:val="clear" w:color="auto" w:fill="auto"/>
            <w:vAlign w:val="center"/>
            <w:hideMark/>
          </w:tcPr>
          <w:p w:rsidR="001C2F0A" w:rsidRPr="003818AB" w:rsidRDefault="001C2F0A" w:rsidP="001C2F0A">
            <w:pPr>
              <w:spacing w:before="0" w:after="0"/>
              <w:jc w:val="center"/>
              <w:rPr>
                <w:rFonts w:eastAsia="Times New Roman" w:cs="Arial"/>
                <w:color w:val="000000"/>
                <w:szCs w:val="19"/>
                <w:lang w:eastAsia="pl-PL"/>
              </w:rPr>
            </w:pPr>
            <w:proofErr w:type="spellStart"/>
            <w:r w:rsidRPr="003818AB">
              <w:rPr>
                <w:rFonts w:eastAsia="Times New Roman" w:cs="Arial"/>
                <w:color w:val="000000"/>
                <w:szCs w:val="19"/>
                <w:lang w:eastAsia="pl-PL"/>
              </w:rPr>
              <w:t>Specification</w:t>
            </w:r>
            <w:proofErr w:type="spellEnd"/>
          </w:p>
        </w:tc>
        <w:tc>
          <w:tcPr>
            <w:tcW w:w="1148" w:type="dxa"/>
            <w:shd w:val="clear" w:color="auto" w:fill="auto"/>
            <w:vAlign w:val="center"/>
            <w:hideMark/>
          </w:tcPr>
          <w:p w:rsidR="001C2F0A" w:rsidRPr="002E01AD" w:rsidRDefault="001C2F0A" w:rsidP="001C2F0A">
            <w:pPr>
              <w:spacing w:before="0" w:after="0"/>
              <w:jc w:val="center"/>
              <w:rPr>
                <w:rFonts w:eastAsia="Times New Roman" w:cs="Arial"/>
                <w:color w:val="000000"/>
                <w:szCs w:val="19"/>
                <w:lang w:eastAsia="pl-PL"/>
              </w:rPr>
            </w:pPr>
            <w:r w:rsidRPr="002E01AD">
              <w:rPr>
                <w:rFonts w:eastAsia="Times New Roman" w:cs="Arial"/>
                <w:color w:val="000000"/>
                <w:szCs w:val="19"/>
                <w:lang w:eastAsia="pl-PL"/>
              </w:rPr>
              <w:t>201</w:t>
            </w:r>
            <w:r w:rsidR="00706C85">
              <w:rPr>
                <w:rFonts w:eastAsia="Times New Roman" w:cs="Arial"/>
                <w:color w:val="000000"/>
                <w:szCs w:val="19"/>
                <w:lang w:eastAsia="pl-PL"/>
              </w:rPr>
              <w:t>9</w:t>
            </w:r>
          </w:p>
        </w:tc>
        <w:tc>
          <w:tcPr>
            <w:tcW w:w="1009" w:type="dxa"/>
            <w:shd w:val="clear" w:color="auto" w:fill="auto"/>
            <w:vAlign w:val="center"/>
            <w:hideMark/>
          </w:tcPr>
          <w:p w:rsidR="001C2F0A" w:rsidRPr="002E01AD" w:rsidRDefault="001C2F0A" w:rsidP="001C2F0A">
            <w:pPr>
              <w:spacing w:before="0" w:after="0"/>
              <w:jc w:val="center"/>
              <w:rPr>
                <w:rFonts w:eastAsia="Times New Roman" w:cs="Arial"/>
                <w:color w:val="000000"/>
                <w:szCs w:val="19"/>
                <w:lang w:eastAsia="pl-PL"/>
              </w:rPr>
            </w:pPr>
            <w:r w:rsidRPr="002E01AD">
              <w:rPr>
                <w:rFonts w:eastAsia="Times New Roman" w:cs="Arial"/>
                <w:color w:val="000000"/>
                <w:szCs w:val="19"/>
                <w:lang w:eastAsia="pl-PL"/>
              </w:rPr>
              <w:t>20</w:t>
            </w:r>
            <w:r w:rsidR="00706C85">
              <w:rPr>
                <w:rFonts w:eastAsia="Times New Roman" w:cs="Arial"/>
                <w:color w:val="000000"/>
                <w:szCs w:val="19"/>
                <w:lang w:eastAsia="pl-PL"/>
              </w:rPr>
              <w:t>20</w:t>
            </w:r>
          </w:p>
        </w:tc>
        <w:tc>
          <w:tcPr>
            <w:tcW w:w="1013" w:type="dxa"/>
            <w:shd w:val="clear" w:color="auto" w:fill="auto"/>
            <w:vAlign w:val="center"/>
            <w:hideMark/>
          </w:tcPr>
          <w:p w:rsidR="001C2F0A" w:rsidRPr="002E01AD" w:rsidRDefault="001C2F0A" w:rsidP="001C2F0A">
            <w:pPr>
              <w:spacing w:before="0" w:after="0"/>
              <w:jc w:val="center"/>
              <w:rPr>
                <w:rFonts w:eastAsia="Times New Roman" w:cs="Arial"/>
                <w:color w:val="000000"/>
                <w:szCs w:val="19"/>
                <w:lang w:eastAsia="pl-PL"/>
              </w:rPr>
            </w:pPr>
            <w:r w:rsidRPr="002E01AD">
              <w:rPr>
                <w:rFonts w:eastAsia="Times New Roman" w:cs="Arial"/>
                <w:color w:val="000000"/>
                <w:szCs w:val="19"/>
                <w:lang w:eastAsia="pl-PL"/>
              </w:rPr>
              <w:t>202</w:t>
            </w:r>
            <w:r w:rsidR="00706C85">
              <w:rPr>
                <w:rFonts w:eastAsia="Times New Roman" w:cs="Arial"/>
                <w:color w:val="000000"/>
                <w:szCs w:val="19"/>
                <w:lang w:eastAsia="pl-PL"/>
              </w:rPr>
              <w:t>1</w:t>
            </w:r>
          </w:p>
        </w:tc>
        <w:tc>
          <w:tcPr>
            <w:tcW w:w="1060" w:type="dxa"/>
            <w:shd w:val="clear" w:color="auto" w:fill="auto"/>
            <w:vAlign w:val="center"/>
            <w:hideMark/>
          </w:tcPr>
          <w:p w:rsidR="001C2F0A" w:rsidRPr="002E01AD" w:rsidRDefault="001C2F0A" w:rsidP="001C2F0A">
            <w:pPr>
              <w:spacing w:before="0" w:after="0"/>
              <w:jc w:val="center"/>
              <w:rPr>
                <w:rFonts w:eastAsia="Times New Roman" w:cs="Arial"/>
                <w:color w:val="000000"/>
                <w:szCs w:val="19"/>
                <w:lang w:eastAsia="pl-PL"/>
              </w:rPr>
            </w:pPr>
            <w:r w:rsidRPr="002E01AD">
              <w:rPr>
                <w:rFonts w:eastAsia="Times New Roman" w:cs="Arial"/>
                <w:color w:val="000000"/>
                <w:szCs w:val="19"/>
                <w:lang w:eastAsia="pl-PL"/>
              </w:rPr>
              <w:t>202</w:t>
            </w:r>
            <w:r w:rsidR="00706C85">
              <w:rPr>
                <w:rFonts w:eastAsia="Times New Roman" w:cs="Arial"/>
                <w:color w:val="000000"/>
                <w:szCs w:val="19"/>
                <w:lang w:eastAsia="pl-PL"/>
              </w:rPr>
              <w:t>2</w:t>
            </w:r>
          </w:p>
        </w:tc>
      </w:tr>
      <w:tr w:rsidR="007E173E" w:rsidRPr="000902B0" w:rsidTr="006D52F3">
        <w:trPr>
          <w:trHeight w:val="534"/>
        </w:trPr>
        <w:tc>
          <w:tcPr>
            <w:tcW w:w="3779" w:type="dxa"/>
            <w:shd w:val="clear" w:color="auto" w:fill="auto"/>
            <w:vAlign w:val="center"/>
            <w:hideMark/>
          </w:tcPr>
          <w:p w:rsidR="007E173E" w:rsidRPr="003818AB" w:rsidRDefault="007E173E" w:rsidP="007E173E">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Gross </w:t>
            </w:r>
            <w:proofErr w:type="spellStart"/>
            <w:r w:rsidRPr="003818AB">
              <w:rPr>
                <w:rFonts w:eastAsia="Times New Roman" w:cs="Arial"/>
                <w:color w:val="000000"/>
                <w:szCs w:val="19"/>
                <w:lang w:eastAsia="pl-PL"/>
              </w:rPr>
              <w:t>domestic</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product</w:t>
            </w:r>
            <w:proofErr w:type="spellEnd"/>
            <w:r w:rsidRPr="003818AB">
              <w:rPr>
                <w:rFonts w:eastAsia="Times New Roman" w:cs="Arial"/>
                <w:color w:val="000000"/>
                <w:szCs w:val="19"/>
                <w:lang w:eastAsia="pl-PL"/>
              </w:rPr>
              <w:t xml:space="preserve"> (GDP)</w:t>
            </w:r>
          </w:p>
        </w:tc>
        <w:tc>
          <w:tcPr>
            <w:tcW w:w="1148" w:type="dxa"/>
            <w:shd w:val="clear" w:color="auto" w:fill="auto"/>
            <w:vAlign w:val="center"/>
            <w:hideMark/>
          </w:tcPr>
          <w:p w:rsidR="007E173E" w:rsidRPr="002E01AD" w:rsidRDefault="007E173E" w:rsidP="007E173E">
            <w:pPr>
              <w:spacing w:before="0" w:after="0" w:line="240" w:lineRule="auto"/>
              <w:ind w:left="-212" w:firstLine="142"/>
              <w:jc w:val="right"/>
              <w:rPr>
                <w:rFonts w:cs="Calibri"/>
                <w:color w:val="000000"/>
                <w:szCs w:val="19"/>
                <w:lang w:eastAsia="pl-PL"/>
              </w:rPr>
            </w:pPr>
            <w:r w:rsidRPr="002E01AD">
              <w:rPr>
                <w:rFonts w:cs="Calibri"/>
                <w:color w:val="000000"/>
                <w:szCs w:val="19"/>
              </w:rPr>
              <w:t>2</w:t>
            </w:r>
            <w:r>
              <w:rPr>
                <w:rFonts w:cs="Calibri"/>
                <w:color w:val="000000"/>
                <w:szCs w:val="19"/>
              </w:rPr>
              <w:t> 288 492</w:t>
            </w:r>
          </w:p>
        </w:tc>
        <w:tc>
          <w:tcPr>
            <w:tcW w:w="1009" w:type="dxa"/>
            <w:shd w:val="clear" w:color="auto" w:fill="auto"/>
            <w:vAlign w:val="center"/>
            <w:hideMark/>
          </w:tcPr>
          <w:p w:rsidR="007E173E" w:rsidRPr="002E01AD" w:rsidRDefault="007E173E" w:rsidP="007E173E">
            <w:pPr>
              <w:spacing w:before="0" w:after="0" w:line="240" w:lineRule="auto"/>
              <w:jc w:val="right"/>
              <w:rPr>
                <w:rFonts w:cs="Calibri"/>
                <w:color w:val="000000"/>
                <w:szCs w:val="19"/>
                <w:lang w:eastAsia="pl-PL"/>
              </w:rPr>
            </w:pPr>
            <w:r w:rsidRPr="002E01AD">
              <w:rPr>
                <w:rFonts w:cs="Calibri"/>
                <w:color w:val="000000"/>
                <w:szCs w:val="19"/>
              </w:rPr>
              <w:t>2 3</w:t>
            </w:r>
            <w:r>
              <w:rPr>
                <w:rFonts w:cs="Calibri"/>
                <w:color w:val="000000"/>
                <w:szCs w:val="19"/>
              </w:rPr>
              <w:t>37</w:t>
            </w:r>
            <w:r w:rsidRPr="002E01AD">
              <w:rPr>
                <w:rFonts w:cs="Calibri"/>
                <w:color w:val="000000"/>
                <w:szCs w:val="19"/>
              </w:rPr>
              <w:t> </w:t>
            </w:r>
            <w:r>
              <w:rPr>
                <w:rFonts w:cs="Calibri"/>
                <w:color w:val="000000"/>
                <w:szCs w:val="19"/>
              </w:rPr>
              <w:t>672</w:t>
            </w:r>
          </w:p>
        </w:tc>
        <w:tc>
          <w:tcPr>
            <w:tcW w:w="1013" w:type="dxa"/>
            <w:shd w:val="clear" w:color="auto" w:fill="auto"/>
            <w:hideMark/>
          </w:tcPr>
          <w:p w:rsidR="007E173E" w:rsidRPr="00575CEE" w:rsidRDefault="007E173E" w:rsidP="00A41997">
            <w:pPr>
              <w:jc w:val="right"/>
            </w:pPr>
            <w:r w:rsidRPr="00575CEE">
              <w:t>2 631 302</w:t>
            </w:r>
          </w:p>
        </w:tc>
        <w:tc>
          <w:tcPr>
            <w:tcW w:w="1060" w:type="dxa"/>
            <w:shd w:val="clear" w:color="auto" w:fill="auto"/>
            <w:hideMark/>
          </w:tcPr>
          <w:p w:rsidR="007E173E" w:rsidRPr="00575CEE" w:rsidRDefault="007E173E" w:rsidP="00A41997">
            <w:pPr>
              <w:jc w:val="right"/>
            </w:pPr>
            <w:r w:rsidRPr="00575CEE">
              <w:t>3 067 495*</w:t>
            </w:r>
          </w:p>
        </w:tc>
      </w:tr>
      <w:tr w:rsidR="007E173E" w:rsidRPr="003818AB" w:rsidTr="006D52F3">
        <w:trPr>
          <w:trHeight w:val="568"/>
        </w:trPr>
        <w:tc>
          <w:tcPr>
            <w:tcW w:w="3779" w:type="dxa"/>
            <w:shd w:val="clear" w:color="auto" w:fill="auto"/>
            <w:vAlign w:val="center"/>
            <w:hideMark/>
          </w:tcPr>
          <w:p w:rsidR="007E173E" w:rsidRPr="003818AB" w:rsidRDefault="007E173E" w:rsidP="007E173E">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148" w:type="dxa"/>
            <w:shd w:val="clear" w:color="auto" w:fill="auto"/>
            <w:vAlign w:val="center"/>
            <w:hideMark/>
          </w:tcPr>
          <w:p w:rsidR="007E173E" w:rsidRPr="00012BDC" w:rsidRDefault="007E173E" w:rsidP="007E173E">
            <w:pPr>
              <w:jc w:val="right"/>
              <w:rPr>
                <w:rFonts w:cs="Calibri"/>
                <w:bCs/>
                <w:color w:val="000000"/>
                <w:szCs w:val="19"/>
              </w:rPr>
            </w:pPr>
            <w:r w:rsidRPr="00012BDC">
              <w:rPr>
                <w:rFonts w:cs="Calibri"/>
                <w:bCs/>
                <w:color w:val="000000"/>
                <w:szCs w:val="19"/>
              </w:rPr>
              <w:t>-</w:t>
            </w:r>
            <w:r>
              <w:rPr>
                <w:rFonts w:cs="Calibri"/>
                <w:bCs/>
                <w:color w:val="000000"/>
                <w:szCs w:val="19"/>
              </w:rPr>
              <w:t>17 009</w:t>
            </w:r>
          </w:p>
        </w:tc>
        <w:tc>
          <w:tcPr>
            <w:tcW w:w="1009" w:type="dxa"/>
            <w:shd w:val="clear" w:color="auto" w:fill="auto"/>
            <w:vAlign w:val="center"/>
            <w:hideMark/>
          </w:tcPr>
          <w:p w:rsidR="007E173E" w:rsidRPr="00012BDC" w:rsidRDefault="007E173E" w:rsidP="007E173E">
            <w:pPr>
              <w:jc w:val="right"/>
              <w:rPr>
                <w:rFonts w:cs="Calibri"/>
                <w:bCs/>
                <w:color w:val="000000"/>
                <w:szCs w:val="19"/>
              </w:rPr>
            </w:pPr>
            <w:r w:rsidRPr="00012BDC">
              <w:rPr>
                <w:rFonts w:cs="Calibri"/>
                <w:bCs/>
                <w:color w:val="000000"/>
                <w:szCs w:val="19"/>
              </w:rPr>
              <w:t xml:space="preserve">-161 </w:t>
            </w:r>
            <w:r>
              <w:rPr>
                <w:rFonts w:cs="Calibri"/>
                <w:bCs/>
                <w:color w:val="000000"/>
                <w:szCs w:val="19"/>
              </w:rPr>
              <w:t>834</w:t>
            </w:r>
          </w:p>
        </w:tc>
        <w:tc>
          <w:tcPr>
            <w:tcW w:w="1013" w:type="dxa"/>
            <w:shd w:val="clear" w:color="auto" w:fill="auto"/>
            <w:hideMark/>
          </w:tcPr>
          <w:p w:rsidR="007E173E" w:rsidRPr="00575CEE" w:rsidRDefault="007E173E" w:rsidP="00A41997">
            <w:pPr>
              <w:jc w:val="right"/>
            </w:pPr>
            <w:r w:rsidRPr="00575CEE">
              <w:t>-48 195</w:t>
            </w:r>
          </w:p>
        </w:tc>
        <w:tc>
          <w:tcPr>
            <w:tcW w:w="1060" w:type="dxa"/>
            <w:shd w:val="clear" w:color="auto" w:fill="auto"/>
            <w:hideMark/>
          </w:tcPr>
          <w:p w:rsidR="007E173E" w:rsidRPr="00575CEE" w:rsidRDefault="0085527B" w:rsidP="00A41997">
            <w:pPr>
              <w:jc w:val="right"/>
            </w:pPr>
            <w:r>
              <w:rPr>
                <w:rFonts w:cs="Calibri"/>
                <w:bCs/>
                <w:color w:val="000000"/>
                <w:szCs w:val="19"/>
              </w:rPr>
              <w:t>-112 833*</w:t>
            </w:r>
          </w:p>
        </w:tc>
      </w:tr>
      <w:tr w:rsidR="007E173E" w:rsidRPr="003818AB" w:rsidTr="006D52F3">
        <w:trPr>
          <w:trHeight w:val="363"/>
        </w:trPr>
        <w:tc>
          <w:tcPr>
            <w:tcW w:w="3779" w:type="dxa"/>
            <w:shd w:val="clear" w:color="auto" w:fill="auto"/>
            <w:vAlign w:val="center"/>
            <w:hideMark/>
          </w:tcPr>
          <w:p w:rsidR="007E173E" w:rsidRPr="003818AB" w:rsidRDefault="007E173E" w:rsidP="007E173E">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7E173E" w:rsidRPr="00012BDC" w:rsidRDefault="007E173E" w:rsidP="007E173E">
            <w:pPr>
              <w:spacing w:before="0" w:after="0"/>
              <w:jc w:val="right"/>
              <w:rPr>
                <w:rFonts w:eastAsia="Times New Roman" w:cs="Arial"/>
                <w:color w:val="000000"/>
                <w:szCs w:val="19"/>
                <w:lang w:eastAsia="pl-PL"/>
              </w:rPr>
            </w:pPr>
            <w:r w:rsidRPr="00012BDC">
              <w:rPr>
                <w:rFonts w:eastAsia="Times New Roman" w:cs="Arial"/>
                <w:color w:val="000000"/>
                <w:szCs w:val="19"/>
                <w:lang w:eastAsia="pl-PL"/>
              </w:rPr>
              <w:t>-0,7%</w:t>
            </w:r>
          </w:p>
        </w:tc>
        <w:tc>
          <w:tcPr>
            <w:tcW w:w="1009" w:type="dxa"/>
            <w:shd w:val="clear" w:color="auto" w:fill="auto"/>
            <w:vAlign w:val="center"/>
            <w:hideMark/>
          </w:tcPr>
          <w:p w:rsidR="007E173E" w:rsidRPr="00012BDC" w:rsidRDefault="007E173E" w:rsidP="007E173E">
            <w:pPr>
              <w:spacing w:before="0" w:after="0"/>
              <w:jc w:val="right"/>
              <w:rPr>
                <w:rFonts w:eastAsia="Times New Roman" w:cs="Arial"/>
                <w:color w:val="000000"/>
                <w:szCs w:val="19"/>
                <w:lang w:eastAsia="pl-PL"/>
              </w:rPr>
            </w:pPr>
            <w:r w:rsidRPr="00012BDC">
              <w:rPr>
                <w:rFonts w:eastAsia="Times New Roman" w:cs="Arial"/>
                <w:color w:val="000000"/>
                <w:szCs w:val="19"/>
                <w:lang w:eastAsia="pl-PL"/>
              </w:rPr>
              <w:t>-6,9%</w:t>
            </w:r>
          </w:p>
        </w:tc>
        <w:tc>
          <w:tcPr>
            <w:tcW w:w="1013" w:type="dxa"/>
            <w:shd w:val="clear" w:color="auto" w:fill="auto"/>
            <w:hideMark/>
          </w:tcPr>
          <w:p w:rsidR="007E173E" w:rsidRPr="00575CEE" w:rsidRDefault="007E173E" w:rsidP="00A41997">
            <w:pPr>
              <w:jc w:val="right"/>
            </w:pPr>
            <w:r w:rsidRPr="00575CEE">
              <w:t>-1,8%</w:t>
            </w:r>
          </w:p>
        </w:tc>
        <w:tc>
          <w:tcPr>
            <w:tcW w:w="1060" w:type="dxa"/>
            <w:shd w:val="clear" w:color="auto" w:fill="auto"/>
            <w:hideMark/>
          </w:tcPr>
          <w:p w:rsidR="007E173E" w:rsidRPr="00575CEE" w:rsidRDefault="007E173E" w:rsidP="00A41997">
            <w:pPr>
              <w:jc w:val="right"/>
            </w:pPr>
            <w:r w:rsidRPr="00575CEE">
              <w:t>-3,7%</w:t>
            </w:r>
          </w:p>
        </w:tc>
      </w:tr>
      <w:tr w:rsidR="007E173E" w:rsidRPr="000902B0" w:rsidTr="006D52F3">
        <w:trPr>
          <w:trHeight w:val="568"/>
        </w:trPr>
        <w:tc>
          <w:tcPr>
            <w:tcW w:w="3779" w:type="dxa"/>
            <w:shd w:val="clear" w:color="auto" w:fill="auto"/>
            <w:vAlign w:val="center"/>
            <w:hideMark/>
          </w:tcPr>
          <w:p w:rsidR="007E173E" w:rsidRPr="003818AB" w:rsidRDefault="007E173E" w:rsidP="007E173E">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Central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148" w:type="dxa"/>
            <w:shd w:val="clear" w:color="auto" w:fill="auto"/>
            <w:vAlign w:val="center"/>
            <w:hideMark/>
          </w:tcPr>
          <w:p w:rsidR="007E173E" w:rsidRPr="002E01AD" w:rsidRDefault="007E173E" w:rsidP="007E173E">
            <w:pPr>
              <w:spacing w:before="0" w:after="0"/>
              <w:jc w:val="center"/>
              <w:rPr>
                <w:rFonts w:eastAsia="Times New Roman" w:cs="Arial"/>
                <w:color w:val="000000"/>
                <w:szCs w:val="19"/>
                <w:lang w:eastAsia="pl-PL"/>
              </w:rPr>
            </w:pPr>
            <w:r>
              <w:rPr>
                <w:rFonts w:eastAsia="Times New Roman" w:cs="Arial"/>
                <w:color w:val="000000"/>
                <w:szCs w:val="19"/>
                <w:lang w:eastAsia="pl-PL"/>
              </w:rPr>
              <w:t xml:space="preserve">      - </w:t>
            </w:r>
            <w:r w:rsidRPr="002E01AD">
              <w:rPr>
                <w:rFonts w:eastAsia="Times New Roman" w:cs="Arial"/>
                <w:color w:val="000000"/>
                <w:szCs w:val="19"/>
                <w:lang w:eastAsia="pl-PL"/>
              </w:rPr>
              <w:t>25</w:t>
            </w:r>
            <w:r>
              <w:rPr>
                <w:rFonts w:eastAsia="Times New Roman" w:cs="Arial"/>
                <w:color w:val="000000"/>
                <w:szCs w:val="19"/>
                <w:lang w:eastAsia="pl-PL"/>
              </w:rPr>
              <w:t> 208</w:t>
            </w:r>
          </w:p>
        </w:tc>
        <w:tc>
          <w:tcPr>
            <w:tcW w:w="1009" w:type="dxa"/>
            <w:shd w:val="clear" w:color="auto" w:fill="auto"/>
            <w:vAlign w:val="center"/>
            <w:hideMark/>
          </w:tcPr>
          <w:p w:rsidR="007E173E" w:rsidRPr="002E01AD" w:rsidRDefault="007E173E" w:rsidP="007E173E">
            <w:pPr>
              <w:spacing w:before="0" w:after="0"/>
              <w:jc w:val="right"/>
              <w:rPr>
                <w:rFonts w:eastAsia="Times New Roman" w:cs="Arial"/>
                <w:color w:val="000000"/>
                <w:szCs w:val="19"/>
                <w:lang w:eastAsia="pl-PL"/>
              </w:rPr>
            </w:pPr>
            <w:r w:rsidRPr="002E01AD">
              <w:rPr>
                <w:rFonts w:eastAsia="Times New Roman" w:cs="Arial"/>
                <w:color w:val="000000"/>
                <w:szCs w:val="19"/>
                <w:lang w:eastAsia="pl-PL"/>
              </w:rPr>
              <w:t xml:space="preserve">-183 </w:t>
            </w:r>
            <w:r>
              <w:rPr>
                <w:rFonts w:eastAsia="Times New Roman" w:cs="Arial"/>
                <w:color w:val="000000"/>
                <w:szCs w:val="19"/>
                <w:lang w:eastAsia="pl-PL"/>
              </w:rPr>
              <w:t>725</w:t>
            </w:r>
          </w:p>
        </w:tc>
        <w:tc>
          <w:tcPr>
            <w:tcW w:w="1013" w:type="dxa"/>
            <w:shd w:val="clear" w:color="auto" w:fill="auto"/>
            <w:hideMark/>
          </w:tcPr>
          <w:p w:rsidR="007E173E" w:rsidRPr="00575CEE" w:rsidRDefault="007E173E" w:rsidP="00A41997">
            <w:pPr>
              <w:jc w:val="right"/>
            </w:pPr>
            <w:r w:rsidRPr="00575CEE">
              <w:t>-49 006</w:t>
            </w:r>
          </w:p>
        </w:tc>
        <w:tc>
          <w:tcPr>
            <w:tcW w:w="1060" w:type="dxa"/>
            <w:shd w:val="clear" w:color="auto" w:fill="auto"/>
            <w:hideMark/>
          </w:tcPr>
          <w:p w:rsidR="007E173E" w:rsidRPr="00575CEE" w:rsidRDefault="007E173E" w:rsidP="00A41997">
            <w:pPr>
              <w:jc w:val="right"/>
            </w:pPr>
            <w:r w:rsidRPr="00575CEE">
              <w:t xml:space="preserve">-99 </w:t>
            </w:r>
            <w:r w:rsidR="007C0A9B">
              <w:t>693</w:t>
            </w:r>
            <w:r w:rsidRPr="00575CEE">
              <w:t>*</w:t>
            </w:r>
          </w:p>
        </w:tc>
      </w:tr>
      <w:tr w:rsidR="007E173E" w:rsidRPr="000902B0" w:rsidTr="006D52F3">
        <w:trPr>
          <w:trHeight w:val="346"/>
        </w:trPr>
        <w:tc>
          <w:tcPr>
            <w:tcW w:w="3779" w:type="dxa"/>
            <w:shd w:val="clear" w:color="auto" w:fill="auto"/>
            <w:vAlign w:val="center"/>
            <w:hideMark/>
          </w:tcPr>
          <w:p w:rsidR="007E173E" w:rsidRPr="003818AB" w:rsidRDefault="007E173E" w:rsidP="007E173E">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7E173E" w:rsidRPr="002E01AD" w:rsidRDefault="007E173E" w:rsidP="007E173E">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-1,1%</w:t>
            </w:r>
          </w:p>
        </w:tc>
        <w:tc>
          <w:tcPr>
            <w:tcW w:w="1009" w:type="dxa"/>
            <w:shd w:val="clear" w:color="auto" w:fill="auto"/>
            <w:vAlign w:val="center"/>
            <w:hideMark/>
          </w:tcPr>
          <w:p w:rsidR="007E173E" w:rsidRPr="002E01AD" w:rsidRDefault="007E173E" w:rsidP="007E173E">
            <w:pPr>
              <w:spacing w:before="0" w:after="0"/>
              <w:jc w:val="right"/>
              <w:rPr>
                <w:rFonts w:eastAsia="Times New Roman" w:cs="Arial"/>
                <w:color w:val="000000"/>
                <w:szCs w:val="19"/>
                <w:lang w:eastAsia="pl-PL"/>
              </w:rPr>
            </w:pPr>
            <w:r w:rsidRPr="002E01AD">
              <w:rPr>
                <w:rFonts w:eastAsia="Times New Roman" w:cs="Arial"/>
                <w:color w:val="000000"/>
                <w:szCs w:val="19"/>
                <w:lang w:eastAsia="pl-PL"/>
              </w:rPr>
              <w:t>-7,</w:t>
            </w:r>
            <w:r>
              <w:rPr>
                <w:rFonts w:eastAsia="Times New Roman" w:cs="Arial"/>
                <w:color w:val="000000"/>
                <w:szCs w:val="19"/>
                <w:lang w:eastAsia="pl-PL"/>
              </w:rPr>
              <w:t>9</w:t>
            </w:r>
            <w:r w:rsidRPr="002E01AD">
              <w:rPr>
                <w:rFonts w:eastAsia="Times New Roman" w:cs="Arial"/>
                <w:color w:val="000000"/>
                <w:szCs w:val="19"/>
                <w:lang w:eastAsia="pl-PL"/>
              </w:rPr>
              <w:t>%</w:t>
            </w:r>
          </w:p>
        </w:tc>
        <w:tc>
          <w:tcPr>
            <w:tcW w:w="1013" w:type="dxa"/>
            <w:shd w:val="clear" w:color="auto" w:fill="auto"/>
            <w:hideMark/>
          </w:tcPr>
          <w:p w:rsidR="007E173E" w:rsidRPr="00575CEE" w:rsidRDefault="007E173E" w:rsidP="00A41997">
            <w:pPr>
              <w:jc w:val="right"/>
            </w:pPr>
            <w:r w:rsidRPr="00575CEE">
              <w:t>-1,9%</w:t>
            </w:r>
          </w:p>
        </w:tc>
        <w:tc>
          <w:tcPr>
            <w:tcW w:w="1060" w:type="dxa"/>
            <w:shd w:val="clear" w:color="auto" w:fill="auto"/>
            <w:hideMark/>
          </w:tcPr>
          <w:p w:rsidR="007E173E" w:rsidRPr="00575CEE" w:rsidRDefault="007E173E" w:rsidP="00A41997">
            <w:pPr>
              <w:jc w:val="right"/>
            </w:pPr>
            <w:r w:rsidRPr="00575CEE">
              <w:t>-3,</w:t>
            </w:r>
            <w:r w:rsidR="007C0A9B">
              <w:t>2</w:t>
            </w:r>
            <w:r w:rsidRPr="00575CEE">
              <w:t>%</w:t>
            </w:r>
          </w:p>
        </w:tc>
      </w:tr>
      <w:tr w:rsidR="007E173E" w:rsidRPr="000902B0" w:rsidTr="006D52F3">
        <w:trPr>
          <w:trHeight w:val="568"/>
        </w:trPr>
        <w:tc>
          <w:tcPr>
            <w:tcW w:w="3779" w:type="dxa"/>
            <w:shd w:val="clear" w:color="auto" w:fill="auto"/>
            <w:vAlign w:val="center"/>
            <w:hideMark/>
          </w:tcPr>
          <w:p w:rsidR="007E173E" w:rsidRPr="003818AB" w:rsidRDefault="007E173E" w:rsidP="007E173E">
            <w:pPr>
              <w:spacing w:before="0" w:after="0"/>
              <w:rPr>
                <w:rFonts w:eastAsia="Times New Roman" w:cs="Arial"/>
                <w:color w:val="000000"/>
                <w:szCs w:val="19"/>
                <w:lang w:eastAsia="pl-PL"/>
              </w:rPr>
            </w:pPr>
            <w:proofErr w:type="spellStart"/>
            <w:r w:rsidRPr="003818AB">
              <w:rPr>
                <w:rFonts w:eastAsia="Times New Roman" w:cs="Arial"/>
                <w:color w:val="000000"/>
                <w:szCs w:val="19"/>
                <w:lang w:eastAsia="pl-PL"/>
              </w:rPr>
              <w:t>Local</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148" w:type="dxa"/>
            <w:shd w:val="clear" w:color="auto" w:fill="auto"/>
            <w:vAlign w:val="center"/>
            <w:hideMark/>
          </w:tcPr>
          <w:p w:rsidR="007E173E" w:rsidRPr="002E01AD" w:rsidRDefault="007E173E" w:rsidP="007E173E">
            <w:pPr>
              <w:spacing w:before="0" w:after="0"/>
              <w:jc w:val="right"/>
              <w:rPr>
                <w:rFonts w:eastAsia="Times New Roman" w:cs="Arial"/>
                <w:color w:val="000000"/>
                <w:szCs w:val="19"/>
                <w:lang w:eastAsia="pl-PL"/>
              </w:rPr>
            </w:pPr>
            <w:r w:rsidRPr="002E01AD">
              <w:rPr>
                <w:rFonts w:eastAsia="Times New Roman" w:cs="Arial"/>
                <w:color w:val="000000"/>
                <w:szCs w:val="19"/>
                <w:lang w:eastAsia="pl-PL"/>
              </w:rPr>
              <w:t>-4</w:t>
            </w:r>
            <w:r>
              <w:rPr>
                <w:rFonts w:eastAsia="Times New Roman" w:cs="Arial"/>
                <w:color w:val="000000"/>
                <w:szCs w:val="19"/>
                <w:lang w:eastAsia="pl-PL"/>
              </w:rPr>
              <w:t> </w:t>
            </w:r>
            <w:r w:rsidRPr="002E01AD">
              <w:rPr>
                <w:rFonts w:eastAsia="Times New Roman" w:cs="Arial"/>
                <w:color w:val="000000"/>
                <w:szCs w:val="19"/>
                <w:lang w:eastAsia="pl-PL"/>
              </w:rPr>
              <w:t>68</w:t>
            </w:r>
            <w:r>
              <w:rPr>
                <w:rFonts w:eastAsia="Times New Roman" w:cs="Arial"/>
                <w:color w:val="000000"/>
                <w:szCs w:val="19"/>
                <w:lang w:eastAsia="pl-PL"/>
              </w:rPr>
              <w:t>6</w:t>
            </w:r>
          </w:p>
        </w:tc>
        <w:tc>
          <w:tcPr>
            <w:tcW w:w="1009" w:type="dxa"/>
            <w:shd w:val="clear" w:color="auto" w:fill="auto"/>
            <w:vAlign w:val="center"/>
            <w:hideMark/>
          </w:tcPr>
          <w:p w:rsidR="007E173E" w:rsidRPr="002E01AD" w:rsidRDefault="007E173E" w:rsidP="007E173E">
            <w:pPr>
              <w:spacing w:before="0" w:after="0"/>
              <w:jc w:val="right"/>
              <w:rPr>
                <w:rFonts w:eastAsia="Times New Roman" w:cs="Arial"/>
                <w:color w:val="000000"/>
                <w:szCs w:val="19"/>
                <w:lang w:eastAsia="pl-PL"/>
              </w:rPr>
            </w:pPr>
            <w:r w:rsidRPr="002E01AD">
              <w:rPr>
                <w:rFonts w:eastAsia="Times New Roman" w:cs="Arial"/>
                <w:color w:val="000000"/>
                <w:szCs w:val="19"/>
                <w:lang w:eastAsia="pl-PL"/>
              </w:rPr>
              <w:t>4</w:t>
            </w:r>
            <w:r>
              <w:rPr>
                <w:rFonts w:eastAsia="Times New Roman" w:cs="Arial"/>
                <w:color w:val="000000"/>
                <w:szCs w:val="19"/>
                <w:lang w:eastAsia="pl-PL"/>
              </w:rPr>
              <w:t> </w:t>
            </w:r>
            <w:r w:rsidRPr="002E01AD">
              <w:rPr>
                <w:rFonts w:eastAsia="Times New Roman" w:cs="Arial"/>
                <w:color w:val="000000"/>
                <w:szCs w:val="19"/>
                <w:lang w:eastAsia="pl-PL"/>
              </w:rPr>
              <w:t>46</w:t>
            </w:r>
            <w:r>
              <w:rPr>
                <w:rFonts w:eastAsia="Times New Roman" w:cs="Arial"/>
                <w:color w:val="000000"/>
                <w:szCs w:val="19"/>
                <w:lang w:eastAsia="pl-PL"/>
              </w:rPr>
              <w:t>3</w:t>
            </w:r>
          </w:p>
        </w:tc>
        <w:tc>
          <w:tcPr>
            <w:tcW w:w="1013" w:type="dxa"/>
            <w:shd w:val="clear" w:color="auto" w:fill="auto"/>
            <w:hideMark/>
          </w:tcPr>
          <w:p w:rsidR="007E173E" w:rsidRPr="00575CEE" w:rsidRDefault="007E173E" w:rsidP="00A41997">
            <w:pPr>
              <w:jc w:val="right"/>
            </w:pPr>
            <w:r w:rsidRPr="00575CEE">
              <w:t>14 918</w:t>
            </w:r>
          </w:p>
        </w:tc>
        <w:tc>
          <w:tcPr>
            <w:tcW w:w="1060" w:type="dxa"/>
            <w:shd w:val="clear" w:color="auto" w:fill="auto"/>
            <w:hideMark/>
          </w:tcPr>
          <w:p w:rsidR="007E173E" w:rsidRPr="00575CEE" w:rsidRDefault="007E173E" w:rsidP="00A41997">
            <w:pPr>
              <w:jc w:val="right"/>
            </w:pPr>
            <w:r w:rsidRPr="00575CEE">
              <w:t>-12 989*</w:t>
            </w:r>
          </w:p>
        </w:tc>
      </w:tr>
      <w:tr w:rsidR="007E173E" w:rsidRPr="000902B0" w:rsidTr="006D52F3">
        <w:trPr>
          <w:trHeight w:val="359"/>
        </w:trPr>
        <w:tc>
          <w:tcPr>
            <w:tcW w:w="3779" w:type="dxa"/>
            <w:shd w:val="clear" w:color="auto" w:fill="auto"/>
            <w:vAlign w:val="center"/>
            <w:hideMark/>
          </w:tcPr>
          <w:p w:rsidR="007E173E" w:rsidRPr="003818AB" w:rsidRDefault="007E173E" w:rsidP="007E173E">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7E173E" w:rsidRPr="002E01AD" w:rsidRDefault="007E173E" w:rsidP="007E173E">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2</w:t>
            </w:r>
            <w:r w:rsidRPr="002E01AD">
              <w:rPr>
                <w:rFonts w:eastAsia="Times New Roman" w:cs="Arial"/>
                <w:color w:val="000000"/>
                <w:szCs w:val="19"/>
                <w:lang w:eastAsia="pl-PL"/>
              </w:rPr>
              <w:t>%</w:t>
            </w:r>
          </w:p>
        </w:tc>
        <w:tc>
          <w:tcPr>
            <w:tcW w:w="1009" w:type="dxa"/>
            <w:shd w:val="clear" w:color="auto" w:fill="auto"/>
            <w:vAlign w:val="center"/>
            <w:hideMark/>
          </w:tcPr>
          <w:p w:rsidR="007E173E" w:rsidRPr="002E01AD" w:rsidRDefault="007E173E" w:rsidP="007E173E">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2</w:t>
            </w:r>
            <w:r w:rsidRPr="002E01AD">
              <w:rPr>
                <w:rFonts w:eastAsia="Times New Roman" w:cs="Arial"/>
                <w:color w:val="000000"/>
                <w:szCs w:val="19"/>
                <w:lang w:eastAsia="pl-PL"/>
              </w:rPr>
              <w:t>%</w:t>
            </w:r>
          </w:p>
        </w:tc>
        <w:tc>
          <w:tcPr>
            <w:tcW w:w="1013" w:type="dxa"/>
            <w:shd w:val="clear" w:color="auto" w:fill="auto"/>
            <w:hideMark/>
          </w:tcPr>
          <w:p w:rsidR="007E173E" w:rsidRPr="00575CEE" w:rsidRDefault="007E173E" w:rsidP="00A41997">
            <w:pPr>
              <w:jc w:val="right"/>
            </w:pPr>
            <w:r w:rsidRPr="00575CEE">
              <w:t>0,6%</w:t>
            </w:r>
          </w:p>
        </w:tc>
        <w:tc>
          <w:tcPr>
            <w:tcW w:w="1060" w:type="dxa"/>
            <w:shd w:val="clear" w:color="auto" w:fill="auto"/>
            <w:hideMark/>
          </w:tcPr>
          <w:p w:rsidR="007E173E" w:rsidRDefault="007E173E" w:rsidP="00A41997">
            <w:pPr>
              <w:jc w:val="right"/>
            </w:pPr>
            <w:r w:rsidRPr="00575CEE">
              <w:t>-0,4%</w:t>
            </w:r>
          </w:p>
        </w:tc>
      </w:tr>
      <w:tr w:rsidR="00A41997" w:rsidRPr="000902B0" w:rsidTr="00494EC7">
        <w:trPr>
          <w:trHeight w:val="568"/>
        </w:trPr>
        <w:tc>
          <w:tcPr>
            <w:tcW w:w="3779" w:type="dxa"/>
            <w:shd w:val="clear" w:color="auto" w:fill="auto"/>
            <w:vAlign w:val="center"/>
            <w:hideMark/>
          </w:tcPr>
          <w:p w:rsidR="00A41997" w:rsidRPr="003818AB" w:rsidRDefault="00A41997" w:rsidP="00A41997">
            <w:pPr>
              <w:spacing w:before="0" w:after="0"/>
              <w:rPr>
                <w:rFonts w:eastAsia="Times New Roman" w:cs="Arial"/>
                <w:color w:val="000000"/>
                <w:szCs w:val="19"/>
                <w:lang w:val="en-US" w:eastAsia="pl-PL"/>
              </w:rPr>
            </w:pPr>
            <w:r w:rsidRPr="003818AB">
              <w:rPr>
                <w:rFonts w:eastAsia="Times New Roman" w:cs="Arial"/>
                <w:color w:val="000000"/>
                <w:szCs w:val="19"/>
                <w:lang w:val="en-US" w:eastAsia="pl-PL"/>
              </w:rPr>
              <w:t>Social security funds deficit/surplus</w:t>
            </w:r>
          </w:p>
        </w:tc>
        <w:tc>
          <w:tcPr>
            <w:tcW w:w="1148" w:type="dxa"/>
            <w:shd w:val="clear" w:color="auto" w:fill="auto"/>
            <w:vAlign w:val="center"/>
            <w:hideMark/>
          </w:tcPr>
          <w:p w:rsidR="00A41997" w:rsidRPr="002E01AD" w:rsidRDefault="00A41997" w:rsidP="00A41997">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12</w:t>
            </w:r>
            <w:r>
              <w:rPr>
                <w:rFonts w:eastAsia="Times New Roman" w:cs="Arial"/>
                <w:color w:val="000000"/>
                <w:szCs w:val="19"/>
                <w:lang w:eastAsia="pl-PL"/>
              </w:rPr>
              <w:t> </w:t>
            </w:r>
            <w:r w:rsidRPr="002E01AD">
              <w:rPr>
                <w:rFonts w:eastAsia="Times New Roman" w:cs="Arial"/>
                <w:color w:val="000000"/>
                <w:szCs w:val="19"/>
                <w:lang w:eastAsia="pl-PL"/>
              </w:rPr>
              <w:t>885</w:t>
            </w:r>
          </w:p>
        </w:tc>
        <w:tc>
          <w:tcPr>
            <w:tcW w:w="1009" w:type="dxa"/>
            <w:shd w:val="clear" w:color="auto" w:fill="auto"/>
            <w:vAlign w:val="center"/>
            <w:hideMark/>
          </w:tcPr>
          <w:p w:rsidR="00A41997" w:rsidRPr="002E01AD" w:rsidRDefault="00A41997" w:rsidP="00A41997">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17 428</w:t>
            </w:r>
          </w:p>
        </w:tc>
        <w:tc>
          <w:tcPr>
            <w:tcW w:w="1013" w:type="dxa"/>
            <w:shd w:val="clear" w:color="auto" w:fill="auto"/>
            <w:hideMark/>
          </w:tcPr>
          <w:p w:rsidR="00A41997" w:rsidRPr="004123A1" w:rsidRDefault="00A41997" w:rsidP="00A41997">
            <w:pPr>
              <w:jc w:val="right"/>
            </w:pPr>
            <w:r w:rsidRPr="004123A1">
              <w:t>-14 107</w:t>
            </w:r>
          </w:p>
        </w:tc>
        <w:tc>
          <w:tcPr>
            <w:tcW w:w="1060" w:type="dxa"/>
            <w:shd w:val="clear" w:color="auto" w:fill="auto"/>
            <w:hideMark/>
          </w:tcPr>
          <w:p w:rsidR="00A41997" w:rsidRPr="004123A1" w:rsidRDefault="00A41997" w:rsidP="00A41997">
            <w:pPr>
              <w:jc w:val="right"/>
            </w:pPr>
            <w:r w:rsidRPr="004123A1">
              <w:t>-1 151*</w:t>
            </w:r>
          </w:p>
        </w:tc>
      </w:tr>
      <w:tr w:rsidR="00A41997" w:rsidRPr="000902B0" w:rsidTr="00494EC7">
        <w:trPr>
          <w:trHeight w:val="382"/>
        </w:trPr>
        <w:tc>
          <w:tcPr>
            <w:tcW w:w="3779" w:type="dxa"/>
            <w:shd w:val="clear" w:color="auto" w:fill="auto"/>
            <w:vAlign w:val="center"/>
            <w:hideMark/>
          </w:tcPr>
          <w:p w:rsidR="00A41997" w:rsidRPr="003818AB" w:rsidRDefault="00A41997" w:rsidP="00A41997">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A41997" w:rsidRPr="002E01AD" w:rsidRDefault="00A41997" w:rsidP="00A41997">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0,6%</w:t>
            </w:r>
          </w:p>
        </w:tc>
        <w:tc>
          <w:tcPr>
            <w:tcW w:w="1009" w:type="dxa"/>
            <w:shd w:val="clear" w:color="auto" w:fill="auto"/>
            <w:vAlign w:val="center"/>
            <w:hideMark/>
          </w:tcPr>
          <w:p w:rsidR="00A41997" w:rsidRPr="002E01AD" w:rsidRDefault="00A41997" w:rsidP="00A41997">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7</w:t>
            </w:r>
            <w:r w:rsidRPr="002E01AD">
              <w:rPr>
                <w:rFonts w:eastAsia="Times New Roman" w:cs="Arial"/>
                <w:color w:val="000000"/>
                <w:szCs w:val="19"/>
                <w:lang w:eastAsia="pl-PL"/>
              </w:rPr>
              <w:t>%</w:t>
            </w:r>
          </w:p>
        </w:tc>
        <w:tc>
          <w:tcPr>
            <w:tcW w:w="1013" w:type="dxa"/>
            <w:shd w:val="clear" w:color="auto" w:fill="auto"/>
            <w:hideMark/>
          </w:tcPr>
          <w:p w:rsidR="00A41997" w:rsidRPr="004123A1" w:rsidRDefault="00A41997" w:rsidP="00A41997">
            <w:pPr>
              <w:jc w:val="right"/>
            </w:pPr>
            <w:r w:rsidRPr="004123A1">
              <w:t>-0,5%</w:t>
            </w:r>
          </w:p>
        </w:tc>
        <w:tc>
          <w:tcPr>
            <w:tcW w:w="1060" w:type="dxa"/>
            <w:shd w:val="clear" w:color="auto" w:fill="auto"/>
            <w:hideMark/>
          </w:tcPr>
          <w:p w:rsidR="00A41997" w:rsidRPr="004123A1" w:rsidRDefault="00A41997" w:rsidP="00A41997">
            <w:pPr>
              <w:jc w:val="right"/>
            </w:pPr>
            <w:r w:rsidRPr="004123A1">
              <w:t>0,0%</w:t>
            </w:r>
          </w:p>
        </w:tc>
      </w:tr>
      <w:tr w:rsidR="00A41997" w:rsidRPr="003818AB" w:rsidTr="00494EC7">
        <w:trPr>
          <w:trHeight w:val="568"/>
        </w:trPr>
        <w:tc>
          <w:tcPr>
            <w:tcW w:w="3779" w:type="dxa"/>
            <w:shd w:val="clear" w:color="auto" w:fill="auto"/>
            <w:vAlign w:val="center"/>
            <w:hideMark/>
          </w:tcPr>
          <w:p w:rsidR="00A41997" w:rsidRPr="003818AB" w:rsidRDefault="00A41997" w:rsidP="00A41997">
            <w:pPr>
              <w:spacing w:before="0" w:after="0"/>
              <w:rPr>
                <w:rFonts w:ascii="Arial" w:hAnsi="Arial" w:cs="Arial"/>
                <w:bCs/>
                <w:color w:val="000000"/>
                <w:szCs w:val="19"/>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debt</w:t>
            </w:r>
            <w:proofErr w:type="spellEnd"/>
          </w:p>
        </w:tc>
        <w:tc>
          <w:tcPr>
            <w:tcW w:w="1148" w:type="dxa"/>
            <w:shd w:val="clear" w:color="auto" w:fill="auto"/>
            <w:vAlign w:val="center"/>
            <w:hideMark/>
          </w:tcPr>
          <w:p w:rsidR="00A41997" w:rsidRPr="00012BDC" w:rsidRDefault="00A41997" w:rsidP="00A41997">
            <w:pPr>
              <w:spacing w:before="0" w:after="0"/>
              <w:ind w:right="-89"/>
              <w:jc w:val="center"/>
              <w:rPr>
                <w:rFonts w:eastAsia="Times New Roman" w:cs="Arial"/>
                <w:color w:val="000000"/>
                <w:szCs w:val="19"/>
                <w:lang w:eastAsia="pl-PL"/>
              </w:rPr>
            </w:pPr>
            <w:r w:rsidRPr="00012BDC">
              <w:rPr>
                <w:rFonts w:eastAsia="Times New Roman" w:cs="Arial"/>
                <w:color w:val="000000"/>
                <w:szCs w:val="19"/>
                <w:lang w:eastAsia="pl-PL"/>
              </w:rPr>
              <w:t>1</w:t>
            </w:r>
            <w:r>
              <w:rPr>
                <w:rFonts w:eastAsia="Times New Roman" w:cs="Arial"/>
                <w:color w:val="000000"/>
                <w:szCs w:val="19"/>
                <w:lang w:eastAsia="pl-PL"/>
              </w:rPr>
              <w:t> 046 022</w:t>
            </w:r>
          </w:p>
        </w:tc>
        <w:tc>
          <w:tcPr>
            <w:tcW w:w="1009" w:type="dxa"/>
            <w:shd w:val="clear" w:color="auto" w:fill="auto"/>
            <w:vAlign w:val="center"/>
            <w:hideMark/>
          </w:tcPr>
          <w:p w:rsidR="00A41997" w:rsidRPr="00012BDC" w:rsidRDefault="00A41997" w:rsidP="00A41997">
            <w:pPr>
              <w:spacing w:before="0" w:after="0"/>
              <w:jc w:val="right"/>
              <w:rPr>
                <w:rFonts w:eastAsia="Times New Roman" w:cs="Arial"/>
                <w:color w:val="000000"/>
                <w:szCs w:val="19"/>
                <w:lang w:eastAsia="pl-PL"/>
              </w:rPr>
            </w:pPr>
            <w:r w:rsidRPr="00012BDC">
              <w:rPr>
                <w:rFonts w:eastAsia="Times New Roman" w:cs="Arial"/>
                <w:color w:val="000000"/>
                <w:szCs w:val="19"/>
                <w:lang w:eastAsia="pl-PL"/>
              </w:rPr>
              <w:t>1 336 558</w:t>
            </w:r>
          </w:p>
        </w:tc>
        <w:tc>
          <w:tcPr>
            <w:tcW w:w="1013" w:type="dxa"/>
            <w:shd w:val="clear" w:color="auto" w:fill="auto"/>
            <w:hideMark/>
          </w:tcPr>
          <w:p w:rsidR="00A41997" w:rsidRPr="004123A1" w:rsidRDefault="00A41997" w:rsidP="00A41997">
            <w:pPr>
              <w:jc w:val="right"/>
            </w:pPr>
            <w:r w:rsidRPr="004123A1">
              <w:t>1 410 509*</w:t>
            </w:r>
          </w:p>
        </w:tc>
        <w:tc>
          <w:tcPr>
            <w:tcW w:w="1060" w:type="dxa"/>
            <w:shd w:val="clear" w:color="auto" w:fill="auto"/>
            <w:hideMark/>
          </w:tcPr>
          <w:p w:rsidR="00A41997" w:rsidRDefault="00A41997" w:rsidP="00A41997">
            <w:pPr>
              <w:jc w:val="right"/>
            </w:pPr>
            <w:r w:rsidRPr="004123A1">
              <w:t>1 512 154*</w:t>
            </w:r>
          </w:p>
        </w:tc>
      </w:tr>
      <w:tr w:rsidR="00A41997" w:rsidRPr="003818AB" w:rsidTr="00003C62">
        <w:trPr>
          <w:trHeight w:val="339"/>
        </w:trPr>
        <w:tc>
          <w:tcPr>
            <w:tcW w:w="3779" w:type="dxa"/>
            <w:shd w:val="clear" w:color="auto" w:fill="auto"/>
            <w:vAlign w:val="center"/>
            <w:hideMark/>
          </w:tcPr>
          <w:p w:rsidR="00A41997" w:rsidRPr="003818AB" w:rsidRDefault="00A41997" w:rsidP="00A41997">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rsidR="00A41997" w:rsidRPr="00012BDC" w:rsidRDefault="00A41997" w:rsidP="00A41997">
            <w:pPr>
              <w:spacing w:before="0" w:after="0"/>
              <w:jc w:val="right"/>
              <w:rPr>
                <w:rFonts w:eastAsia="Times New Roman" w:cs="Arial"/>
                <w:color w:val="000000"/>
                <w:szCs w:val="19"/>
                <w:lang w:eastAsia="pl-PL"/>
              </w:rPr>
            </w:pPr>
            <w:r w:rsidRPr="00012BDC">
              <w:rPr>
                <w:rFonts w:eastAsia="Times New Roman" w:cs="Arial"/>
                <w:color w:val="000000"/>
                <w:szCs w:val="19"/>
                <w:lang w:eastAsia="pl-PL"/>
              </w:rPr>
              <w:t>4</w:t>
            </w:r>
            <w:r>
              <w:rPr>
                <w:rFonts w:eastAsia="Times New Roman" w:cs="Arial"/>
                <w:color w:val="000000"/>
                <w:szCs w:val="19"/>
                <w:lang w:eastAsia="pl-PL"/>
              </w:rPr>
              <w:t>5</w:t>
            </w:r>
            <w:r w:rsidRPr="00012BDC">
              <w:rPr>
                <w:rFonts w:eastAsia="Times New Roman" w:cs="Arial"/>
                <w:color w:val="000000"/>
                <w:szCs w:val="19"/>
                <w:lang w:eastAsia="pl-PL"/>
              </w:rPr>
              <w:t>,</w:t>
            </w:r>
            <w:r>
              <w:rPr>
                <w:rFonts w:eastAsia="Times New Roman" w:cs="Arial"/>
                <w:color w:val="000000"/>
                <w:szCs w:val="19"/>
                <w:lang w:eastAsia="pl-PL"/>
              </w:rPr>
              <w:t>7</w:t>
            </w:r>
            <w:r w:rsidRPr="00012BDC">
              <w:rPr>
                <w:rFonts w:eastAsia="Times New Roman" w:cs="Arial"/>
                <w:color w:val="000000"/>
                <w:szCs w:val="19"/>
                <w:lang w:eastAsia="pl-PL"/>
              </w:rPr>
              <w:t>%</w:t>
            </w:r>
          </w:p>
        </w:tc>
        <w:tc>
          <w:tcPr>
            <w:tcW w:w="1009" w:type="dxa"/>
            <w:shd w:val="clear" w:color="auto" w:fill="auto"/>
            <w:vAlign w:val="center"/>
            <w:hideMark/>
          </w:tcPr>
          <w:p w:rsidR="00A41997" w:rsidRPr="00012BDC" w:rsidRDefault="00A41997" w:rsidP="00A41997">
            <w:pPr>
              <w:spacing w:before="0" w:after="0"/>
              <w:jc w:val="right"/>
              <w:rPr>
                <w:rFonts w:eastAsia="Times New Roman" w:cs="Arial"/>
                <w:color w:val="000000"/>
                <w:szCs w:val="19"/>
                <w:lang w:eastAsia="pl-PL"/>
              </w:rPr>
            </w:pPr>
            <w:r>
              <w:rPr>
                <w:rFonts w:eastAsia="Times New Roman" w:cs="Arial"/>
                <w:color w:val="000000"/>
                <w:szCs w:val="19"/>
                <w:lang w:eastAsia="pl-PL"/>
              </w:rPr>
              <w:t>57</w:t>
            </w:r>
            <w:r w:rsidRPr="00012BDC">
              <w:rPr>
                <w:rFonts w:eastAsia="Times New Roman" w:cs="Arial"/>
                <w:color w:val="000000"/>
                <w:szCs w:val="19"/>
                <w:lang w:eastAsia="pl-PL"/>
              </w:rPr>
              <w:t>,</w:t>
            </w:r>
            <w:r>
              <w:rPr>
                <w:rFonts w:eastAsia="Times New Roman" w:cs="Arial"/>
                <w:color w:val="000000"/>
                <w:szCs w:val="19"/>
                <w:lang w:eastAsia="pl-PL"/>
              </w:rPr>
              <w:t>2</w:t>
            </w:r>
            <w:r w:rsidRPr="00012BDC">
              <w:rPr>
                <w:rFonts w:eastAsia="Times New Roman" w:cs="Arial"/>
                <w:color w:val="000000"/>
                <w:szCs w:val="19"/>
                <w:lang w:eastAsia="pl-PL"/>
              </w:rPr>
              <w:t>%</w:t>
            </w:r>
          </w:p>
        </w:tc>
        <w:tc>
          <w:tcPr>
            <w:tcW w:w="1013" w:type="dxa"/>
            <w:shd w:val="clear" w:color="auto" w:fill="auto"/>
            <w:vAlign w:val="center"/>
            <w:hideMark/>
          </w:tcPr>
          <w:p w:rsidR="00A41997" w:rsidRPr="00012BDC" w:rsidRDefault="00A41997" w:rsidP="00A41997">
            <w:pPr>
              <w:spacing w:before="0" w:after="0"/>
              <w:jc w:val="right"/>
              <w:rPr>
                <w:rFonts w:eastAsia="Times New Roman" w:cs="Arial"/>
                <w:color w:val="000000"/>
                <w:szCs w:val="19"/>
                <w:lang w:eastAsia="pl-PL"/>
              </w:rPr>
            </w:pPr>
            <w:r>
              <w:rPr>
                <w:rFonts w:eastAsia="Times New Roman" w:cs="Arial"/>
                <w:color w:val="000000"/>
                <w:szCs w:val="19"/>
                <w:lang w:eastAsia="pl-PL"/>
              </w:rPr>
              <w:t>53,6</w:t>
            </w:r>
          </w:p>
        </w:tc>
        <w:tc>
          <w:tcPr>
            <w:tcW w:w="1060" w:type="dxa"/>
            <w:shd w:val="clear" w:color="auto" w:fill="auto"/>
            <w:vAlign w:val="center"/>
            <w:hideMark/>
          </w:tcPr>
          <w:p w:rsidR="00A41997" w:rsidRPr="00012BDC" w:rsidRDefault="00A41997" w:rsidP="00A41997">
            <w:pPr>
              <w:spacing w:before="0" w:after="0"/>
              <w:jc w:val="right"/>
              <w:rPr>
                <w:rFonts w:eastAsia="Times New Roman" w:cs="Arial"/>
                <w:color w:val="000000"/>
                <w:szCs w:val="19"/>
                <w:lang w:eastAsia="pl-PL"/>
              </w:rPr>
            </w:pPr>
            <w:r>
              <w:rPr>
                <w:rFonts w:eastAsia="Times New Roman" w:cs="Arial"/>
                <w:color w:val="000000"/>
                <w:szCs w:val="19"/>
                <w:lang w:eastAsia="pl-PL"/>
              </w:rPr>
              <w:t>49,3</w:t>
            </w:r>
            <w:r w:rsidRPr="00012BDC">
              <w:rPr>
                <w:rFonts w:eastAsia="Times New Roman" w:cs="Arial"/>
                <w:color w:val="000000"/>
                <w:szCs w:val="19"/>
                <w:lang w:eastAsia="pl-PL"/>
              </w:rPr>
              <w:t>%</w:t>
            </w:r>
            <w:r>
              <w:rPr>
                <w:rFonts w:eastAsia="Times New Roman" w:cs="Arial"/>
                <w:color w:val="000000"/>
                <w:szCs w:val="19"/>
                <w:lang w:eastAsia="pl-PL"/>
              </w:rPr>
              <w:t>*</w:t>
            </w:r>
          </w:p>
        </w:tc>
      </w:tr>
    </w:tbl>
    <w:p w:rsidR="001C2F0A" w:rsidRPr="00D82C77" w:rsidRDefault="001C2F0A" w:rsidP="001C2F0A">
      <w:pPr>
        <w:tabs>
          <w:tab w:val="left" w:pos="6237"/>
        </w:tabs>
        <w:spacing w:before="360"/>
        <w:rPr>
          <w:b/>
          <w:bCs/>
          <w:noProof/>
          <w:spacing w:val="-2"/>
          <w:sz w:val="18"/>
          <w:szCs w:val="18"/>
          <w:lang w:val="en-US"/>
        </w:rPr>
      </w:pPr>
      <w:r>
        <w:rPr>
          <w:b/>
          <w:bCs/>
          <w:noProof/>
          <w:spacing w:val="-2"/>
          <w:sz w:val="18"/>
          <w:szCs w:val="18"/>
          <w:lang w:val="en-US"/>
        </w:rPr>
        <w:lastRenderedPageBreak/>
        <w:t>Chart</w:t>
      </w:r>
      <w:r w:rsidRPr="00D82C77">
        <w:rPr>
          <w:b/>
          <w:bCs/>
          <w:noProof/>
          <w:spacing w:val="-2"/>
          <w:sz w:val="18"/>
          <w:szCs w:val="18"/>
          <w:lang w:val="en-US"/>
        </w:rPr>
        <w:t xml:space="preserve"> 1</w:t>
      </w:r>
      <w:r>
        <w:rPr>
          <w:b/>
          <w:bCs/>
          <w:noProof/>
          <w:spacing w:val="-2"/>
          <w:sz w:val="18"/>
          <w:szCs w:val="18"/>
          <w:lang w:val="en-US"/>
        </w:rPr>
        <w:t>.</w:t>
      </w:r>
      <w:r w:rsidRPr="00D82C77">
        <w:rPr>
          <w:b/>
          <w:bCs/>
          <w:noProof/>
          <w:spacing w:val="-2"/>
          <w:sz w:val="18"/>
          <w:szCs w:val="18"/>
          <w:lang w:val="en-US"/>
        </w:rPr>
        <w:t xml:space="preserve"> General government deficit in % of GDP</w:t>
      </w:r>
    </w:p>
    <w:p w:rsidR="004301BD" w:rsidRDefault="00A41997" w:rsidP="00BA2F07">
      <w:pPr>
        <w:jc w:val="both"/>
        <w:rPr>
          <w:rFonts w:cs="Arial"/>
          <w:szCs w:val="19"/>
          <w:lang w:val="en-US"/>
        </w:rPr>
      </w:pPr>
      <w:r>
        <w:rPr>
          <w:b/>
          <w:noProof/>
          <w:spacing w:val="-2"/>
          <w:sz w:val="18"/>
          <w:szCs w:val="18"/>
          <w:lang w:val="en-GB" w:eastAsia="en-GB"/>
        </w:rPr>
        <w:drawing>
          <wp:anchor distT="0" distB="0" distL="114300" distR="114300" simplePos="0" relativeHeight="251670016" behindDoc="0" locked="0" layoutInCell="1" allowOverlap="1" wp14:anchorId="2643EC67" wp14:editId="16D0E318">
            <wp:simplePos x="0" y="0"/>
            <wp:positionH relativeFrom="margin">
              <wp:posOffset>1103402</wp:posOffset>
            </wp:positionH>
            <wp:positionV relativeFrom="margin">
              <wp:posOffset>287680</wp:posOffset>
            </wp:positionV>
            <wp:extent cx="2738755" cy="2027555"/>
            <wp:effectExtent l="0" t="0" r="4445"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8755" cy="2027555"/>
                    </a:xfrm>
                    <a:prstGeom prst="rect">
                      <a:avLst/>
                    </a:prstGeom>
                    <a:noFill/>
                  </pic:spPr>
                </pic:pic>
              </a:graphicData>
            </a:graphic>
            <wp14:sizeRelH relativeFrom="margin">
              <wp14:pctWidth>0</wp14:pctWidth>
            </wp14:sizeRelH>
            <wp14:sizeRelV relativeFrom="margin">
              <wp14:pctHeight>0</wp14:pctHeight>
            </wp14:sizeRelV>
          </wp:anchor>
        </w:drawing>
      </w:r>
    </w:p>
    <w:p w:rsidR="00E430D4" w:rsidRPr="00D82C77" w:rsidRDefault="00E430D4" w:rsidP="00E430D4">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773CA5" w:rsidRDefault="00773CA5" w:rsidP="00D82C77">
      <w:pPr>
        <w:tabs>
          <w:tab w:val="left" w:pos="6237"/>
        </w:tabs>
        <w:rPr>
          <w:b/>
          <w:bCs/>
          <w:noProof/>
          <w:spacing w:val="-2"/>
          <w:sz w:val="18"/>
          <w:szCs w:val="18"/>
          <w:lang w:val="en-US"/>
        </w:rPr>
      </w:pPr>
    </w:p>
    <w:p w:rsidR="00BC4167" w:rsidRDefault="00BC4167" w:rsidP="00F64219">
      <w:pPr>
        <w:tabs>
          <w:tab w:val="left" w:pos="6237"/>
        </w:tabs>
        <w:rPr>
          <w:b/>
          <w:bCs/>
          <w:noProof/>
          <w:spacing w:val="-2"/>
          <w:sz w:val="18"/>
          <w:szCs w:val="18"/>
          <w:lang w:val="en-US"/>
        </w:rPr>
      </w:pPr>
    </w:p>
    <w:p w:rsidR="001C2F0A" w:rsidRDefault="001C2F0A" w:rsidP="00773CA5">
      <w:pPr>
        <w:tabs>
          <w:tab w:val="left" w:pos="6237"/>
        </w:tabs>
        <w:spacing w:before="0" w:after="0"/>
        <w:rPr>
          <w:b/>
          <w:bCs/>
          <w:noProof/>
          <w:spacing w:val="-2"/>
          <w:sz w:val="18"/>
          <w:szCs w:val="18"/>
          <w:lang w:val="en-US"/>
        </w:rPr>
      </w:pPr>
    </w:p>
    <w:p w:rsidR="009A0AEE" w:rsidRPr="00773CA5" w:rsidRDefault="00F7518F" w:rsidP="003818AB">
      <w:pPr>
        <w:tabs>
          <w:tab w:val="left" w:pos="6237"/>
        </w:tabs>
        <w:spacing w:before="360"/>
        <w:rPr>
          <w:b/>
          <w:bCs/>
          <w:noProof/>
          <w:spacing w:val="-2"/>
          <w:sz w:val="18"/>
          <w:szCs w:val="18"/>
          <w:lang w:val="en-US"/>
        </w:rPr>
      </w:pPr>
      <w:r>
        <w:rPr>
          <w:b/>
          <w:bCs/>
          <w:noProof/>
          <w:spacing w:val="-2"/>
          <w:sz w:val="18"/>
          <w:szCs w:val="18"/>
          <w:lang w:val="en-US"/>
        </w:rPr>
        <w:t>Chart</w:t>
      </w:r>
      <w:r w:rsidR="00D82C77">
        <w:rPr>
          <w:b/>
          <w:bCs/>
          <w:noProof/>
          <w:spacing w:val="-2"/>
          <w:sz w:val="18"/>
          <w:szCs w:val="18"/>
          <w:lang w:val="en-US"/>
        </w:rPr>
        <w:t xml:space="preserve"> 2</w:t>
      </w:r>
      <w:r w:rsidR="003818AB">
        <w:rPr>
          <w:b/>
          <w:bCs/>
          <w:noProof/>
          <w:spacing w:val="-2"/>
          <w:sz w:val="18"/>
          <w:szCs w:val="18"/>
          <w:lang w:val="en-US"/>
        </w:rPr>
        <w:t>.</w:t>
      </w:r>
      <w:r w:rsidR="00D82C77">
        <w:rPr>
          <w:b/>
          <w:bCs/>
          <w:noProof/>
          <w:spacing w:val="-2"/>
          <w:sz w:val="18"/>
          <w:szCs w:val="18"/>
          <w:lang w:val="en-US"/>
        </w:rPr>
        <w:t xml:space="preserve"> </w:t>
      </w:r>
      <w:r w:rsidR="00D82C77" w:rsidRPr="00D82C77">
        <w:rPr>
          <w:b/>
          <w:bCs/>
          <w:noProof/>
          <w:spacing w:val="-2"/>
          <w:sz w:val="18"/>
          <w:szCs w:val="18"/>
          <w:lang w:val="en-US"/>
        </w:rPr>
        <w:t xml:space="preserve">General government </w:t>
      </w:r>
      <w:r w:rsidR="00D82C77">
        <w:rPr>
          <w:b/>
          <w:bCs/>
          <w:noProof/>
          <w:spacing w:val="-2"/>
          <w:sz w:val="18"/>
          <w:szCs w:val="18"/>
          <w:lang w:val="en-US"/>
        </w:rPr>
        <w:t>debt</w:t>
      </w:r>
      <w:r w:rsidR="00D82C77" w:rsidRPr="00D82C77">
        <w:rPr>
          <w:b/>
          <w:bCs/>
          <w:noProof/>
          <w:spacing w:val="-2"/>
          <w:sz w:val="18"/>
          <w:szCs w:val="18"/>
          <w:lang w:val="en-US"/>
        </w:rPr>
        <w:t xml:space="preserve"> in % of GDP</w:t>
      </w:r>
    </w:p>
    <w:p w:rsidR="00773CA5" w:rsidRDefault="00773CA5" w:rsidP="001F7382">
      <w:pPr>
        <w:spacing w:before="240" w:after="0"/>
        <w:ind w:right="129"/>
        <w:jc w:val="both"/>
        <w:rPr>
          <w:rFonts w:cs="Arial"/>
          <w:szCs w:val="19"/>
          <w:lang w:val="en-US"/>
        </w:rPr>
      </w:pPr>
    </w:p>
    <w:p w:rsidR="00773CA5" w:rsidRDefault="007C0A9B" w:rsidP="001F7382">
      <w:pPr>
        <w:spacing w:before="240" w:after="0"/>
        <w:ind w:right="129"/>
        <w:jc w:val="both"/>
        <w:rPr>
          <w:rFonts w:cs="Arial"/>
          <w:szCs w:val="19"/>
          <w:lang w:val="en-US"/>
        </w:rPr>
      </w:pPr>
      <w:r>
        <w:rPr>
          <w:rFonts w:cs="Arial"/>
          <w:noProof/>
          <w:szCs w:val="19"/>
          <w:lang w:val="en-GB" w:eastAsia="en-GB"/>
        </w:rPr>
        <w:drawing>
          <wp:anchor distT="0" distB="0" distL="114300" distR="114300" simplePos="0" relativeHeight="251688448" behindDoc="0" locked="0" layoutInCell="1" allowOverlap="1" wp14:anchorId="25AD17FE">
            <wp:simplePos x="0" y="0"/>
            <wp:positionH relativeFrom="margin">
              <wp:posOffset>1217295</wp:posOffset>
            </wp:positionH>
            <wp:positionV relativeFrom="margin">
              <wp:posOffset>3128645</wp:posOffset>
            </wp:positionV>
            <wp:extent cx="2505710" cy="1962785"/>
            <wp:effectExtent l="0" t="0" r="889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710" cy="1962785"/>
                    </a:xfrm>
                    <a:prstGeom prst="rect">
                      <a:avLst/>
                    </a:prstGeom>
                    <a:noFill/>
                  </pic:spPr>
                </pic:pic>
              </a:graphicData>
            </a:graphic>
          </wp:anchor>
        </w:drawing>
      </w: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773CA5" w:rsidRDefault="00773CA5" w:rsidP="001F7382">
      <w:pPr>
        <w:spacing w:before="240" w:after="0"/>
        <w:ind w:right="129"/>
        <w:jc w:val="both"/>
        <w:rPr>
          <w:rFonts w:cs="Arial"/>
          <w:szCs w:val="19"/>
          <w:lang w:val="en-US"/>
        </w:rPr>
      </w:pPr>
    </w:p>
    <w:p w:rsidR="007C0A9B" w:rsidRDefault="007C0A9B" w:rsidP="001D25E9">
      <w:pPr>
        <w:spacing w:before="480" w:line="288" w:lineRule="auto"/>
        <w:ind w:right="130"/>
        <w:rPr>
          <w:rFonts w:cs="Arial"/>
          <w:szCs w:val="19"/>
          <w:lang w:val="en-US"/>
        </w:rPr>
      </w:pPr>
    </w:p>
    <w:p w:rsidR="006B55C0" w:rsidRDefault="002D7EFE" w:rsidP="001D25E9">
      <w:pPr>
        <w:spacing w:before="480" w:line="288" w:lineRule="auto"/>
        <w:ind w:right="130"/>
        <w:rPr>
          <w:rFonts w:cs="Arial"/>
          <w:szCs w:val="19"/>
          <w:lang w:val="en-US"/>
        </w:rPr>
      </w:pPr>
      <w:r w:rsidRPr="002D7EFE">
        <w:rPr>
          <w:rFonts w:cs="Arial"/>
          <w:szCs w:val="19"/>
          <w:lang w:val="en-US"/>
        </w:rPr>
        <w:t xml:space="preserve">Data </w:t>
      </w:r>
      <w:r w:rsidR="00706C85">
        <w:rPr>
          <w:rFonts w:cs="Arial"/>
          <w:szCs w:val="19"/>
          <w:lang w:val="en-US"/>
        </w:rPr>
        <w:t>in 202</w:t>
      </w:r>
      <w:r w:rsidR="007C0A9B">
        <w:rPr>
          <w:rFonts w:cs="Arial"/>
          <w:szCs w:val="19"/>
          <w:lang w:val="en-US"/>
        </w:rPr>
        <w:t>2</w:t>
      </w:r>
      <w:r w:rsidR="00C3240D">
        <w:rPr>
          <w:rFonts w:cs="Arial"/>
          <w:szCs w:val="19"/>
          <w:lang w:val="en-US"/>
        </w:rPr>
        <w:t xml:space="preserve"> </w:t>
      </w:r>
      <w:r w:rsidR="00ED0CE4">
        <w:rPr>
          <w:rFonts w:cs="Arial"/>
          <w:szCs w:val="19"/>
          <w:lang w:val="en-US"/>
        </w:rPr>
        <w:t>year</w:t>
      </w:r>
      <w:r w:rsidRPr="002D7EFE">
        <w:rPr>
          <w:rFonts w:cs="Arial"/>
          <w:szCs w:val="19"/>
          <w:lang w:val="en-US"/>
        </w:rPr>
        <w:t xml:space="preserve"> have been revised in relation to the previously published (</w:t>
      </w:r>
      <w:r w:rsidR="007C0A9B">
        <w:rPr>
          <w:rFonts w:cs="Arial"/>
          <w:szCs w:val="19"/>
          <w:lang w:val="en-US"/>
        </w:rPr>
        <w:t>April</w:t>
      </w:r>
      <w:r w:rsidR="00DE190C">
        <w:rPr>
          <w:rFonts w:cs="Arial"/>
          <w:szCs w:val="19"/>
          <w:lang w:val="en-US"/>
        </w:rPr>
        <w:t xml:space="preserve"> 202</w:t>
      </w:r>
      <w:r w:rsidR="005917EF">
        <w:rPr>
          <w:rFonts w:cs="Arial"/>
          <w:szCs w:val="19"/>
          <w:lang w:val="en-US"/>
        </w:rPr>
        <w:t>3</w:t>
      </w:r>
      <w:r w:rsidRPr="002D7EFE">
        <w:rPr>
          <w:rFonts w:cs="Arial"/>
          <w:szCs w:val="19"/>
          <w:lang w:val="en-US"/>
        </w:rPr>
        <w:t xml:space="preserve">) </w:t>
      </w:r>
      <w:r w:rsidR="00C00B05">
        <w:rPr>
          <w:rFonts w:cs="Arial"/>
          <w:szCs w:val="19"/>
          <w:lang w:val="en-US"/>
        </w:rPr>
        <w:t xml:space="preserve">mainly </w:t>
      </w:r>
      <w:r w:rsidRPr="002D7EFE">
        <w:rPr>
          <w:rFonts w:cs="Arial"/>
          <w:szCs w:val="19"/>
          <w:lang w:val="en-US"/>
        </w:rPr>
        <w:t>due to</w:t>
      </w:r>
      <w:r w:rsidR="00361913">
        <w:rPr>
          <w:rFonts w:cs="Arial"/>
          <w:szCs w:val="19"/>
          <w:lang w:val="en-US"/>
        </w:rPr>
        <w:t xml:space="preserve"> </w:t>
      </w:r>
      <w:r w:rsidR="005917EF" w:rsidRPr="00F973A9">
        <w:rPr>
          <w:rFonts w:cs="Arial"/>
          <w:szCs w:val="19"/>
          <w:lang w:val="en-US"/>
        </w:rPr>
        <w:t>updated data sources</w:t>
      </w:r>
      <w:r w:rsidR="005917EF">
        <w:rPr>
          <w:rFonts w:cs="Arial"/>
          <w:szCs w:val="19"/>
          <w:lang w:val="en-US"/>
        </w:rPr>
        <w:t xml:space="preserve"> and changes in </w:t>
      </w:r>
      <w:r w:rsidR="00100444">
        <w:rPr>
          <w:rFonts w:cs="Arial"/>
          <w:szCs w:val="19"/>
          <w:lang w:val="en-US"/>
        </w:rPr>
        <w:t xml:space="preserve">the </w:t>
      </w:r>
      <w:bookmarkStart w:id="9" w:name="_GoBack"/>
      <w:r w:rsidR="00D221C4" w:rsidRPr="00635D93">
        <w:rPr>
          <w:rFonts w:cs="Arial"/>
          <w:szCs w:val="19"/>
          <w:lang w:val="en-US"/>
        </w:rPr>
        <w:t xml:space="preserve">scope of </w:t>
      </w:r>
      <w:bookmarkEnd w:id="9"/>
      <w:r w:rsidR="005917EF">
        <w:rPr>
          <w:rFonts w:cs="Arial"/>
          <w:szCs w:val="19"/>
          <w:lang w:val="en-US"/>
        </w:rPr>
        <w:t>general government sector</w:t>
      </w:r>
      <w:r w:rsidR="00100444">
        <w:rPr>
          <w:rFonts w:cs="Arial"/>
          <w:szCs w:val="19"/>
          <w:lang w:val="en-US"/>
        </w:rPr>
        <w:t>.</w:t>
      </w:r>
      <w:r w:rsidR="005917EF">
        <w:rPr>
          <w:rFonts w:cs="Arial"/>
          <w:szCs w:val="19"/>
          <w:lang w:val="en-US"/>
        </w:rPr>
        <w:t xml:space="preserve"> </w:t>
      </w:r>
    </w:p>
    <w:p w:rsidR="00412FAE" w:rsidRDefault="000869E3" w:rsidP="001D25E9">
      <w:pPr>
        <w:spacing w:before="0" w:line="288" w:lineRule="auto"/>
        <w:ind w:right="130"/>
        <w:rPr>
          <w:rFonts w:cs="Arial"/>
          <w:szCs w:val="19"/>
          <w:lang w:val="en-US"/>
        </w:rPr>
      </w:pPr>
      <w:r>
        <w:rPr>
          <w:rFonts w:cs="Arial"/>
          <w:szCs w:val="19"/>
          <w:lang w:val="en-US"/>
        </w:rPr>
        <w:t>Together with the EDP data</w:t>
      </w:r>
      <w:r w:rsidR="00B20E86">
        <w:rPr>
          <w:rFonts w:cs="Arial"/>
          <w:szCs w:val="19"/>
          <w:lang w:val="en-US"/>
        </w:rPr>
        <w:t xml:space="preserve">, </w:t>
      </w:r>
      <w:r w:rsidR="008F3133" w:rsidRPr="00C80397">
        <w:rPr>
          <w:rFonts w:cs="Arial"/>
          <w:szCs w:val="19"/>
          <w:lang w:val="en-US"/>
        </w:rPr>
        <w:t xml:space="preserve">a table containing data on measures taken in context of the COVID-19 epidemic </w:t>
      </w:r>
      <w:r w:rsidR="00B20E86">
        <w:rPr>
          <w:rFonts w:cs="Arial"/>
          <w:szCs w:val="19"/>
          <w:lang w:val="en-US"/>
        </w:rPr>
        <w:t>was su</w:t>
      </w:r>
      <w:r w:rsidR="006C4D80">
        <w:rPr>
          <w:rFonts w:cs="Arial"/>
          <w:szCs w:val="19"/>
          <w:lang w:val="en-US"/>
        </w:rPr>
        <w:t>bmitted to Eurostat</w:t>
      </w:r>
      <w:r w:rsidR="00322FEF">
        <w:rPr>
          <w:rFonts w:cs="Arial"/>
          <w:szCs w:val="19"/>
          <w:lang w:val="en-US"/>
        </w:rPr>
        <w:t xml:space="preserve">. According to the </w:t>
      </w:r>
      <w:r w:rsidR="005917EF" w:rsidRPr="00B3166E">
        <w:rPr>
          <w:rFonts w:cs="Arial"/>
          <w:szCs w:val="19"/>
          <w:lang w:val="en-US"/>
        </w:rPr>
        <w:t xml:space="preserve">final </w:t>
      </w:r>
      <w:r w:rsidR="00322FEF">
        <w:rPr>
          <w:rFonts w:cs="Arial"/>
          <w:szCs w:val="19"/>
          <w:lang w:val="en-US"/>
        </w:rPr>
        <w:t>data</w:t>
      </w:r>
      <w:r w:rsidR="008B6123">
        <w:rPr>
          <w:rFonts w:cs="Arial"/>
          <w:szCs w:val="19"/>
          <w:lang w:val="en-US"/>
        </w:rPr>
        <w:t xml:space="preserve">, </w:t>
      </w:r>
      <w:r w:rsidR="00080771">
        <w:rPr>
          <w:rFonts w:cs="Arial"/>
          <w:szCs w:val="19"/>
          <w:lang w:val="en-US"/>
        </w:rPr>
        <w:t xml:space="preserve">the </w:t>
      </w:r>
      <w:r w:rsidR="008B6123">
        <w:rPr>
          <w:rFonts w:cs="Arial"/>
          <w:szCs w:val="19"/>
          <w:lang w:val="en-US"/>
        </w:rPr>
        <w:t xml:space="preserve">general government expenditures </w:t>
      </w:r>
      <w:r w:rsidR="008B6123" w:rsidRPr="005F116E">
        <w:rPr>
          <w:rFonts w:cs="Arial"/>
          <w:szCs w:val="19"/>
          <w:lang w:val="en-US"/>
        </w:rPr>
        <w:t xml:space="preserve">aimed at stopping the </w:t>
      </w:r>
      <w:r w:rsidR="008B6123">
        <w:rPr>
          <w:rFonts w:cs="Arial"/>
          <w:szCs w:val="19"/>
          <w:lang w:val="en-US"/>
        </w:rPr>
        <w:t xml:space="preserve">consequences </w:t>
      </w:r>
      <w:r w:rsidR="008B6123" w:rsidRPr="005F116E">
        <w:rPr>
          <w:rFonts w:cs="Arial"/>
          <w:szCs w:val="19"/>
          <w:lang w:val="en-US"/>
        </w:rPr>
        <w:t xml:space="preserve">of the epidemic </w:t>
      </w:r>
      <w:r w:rsidR="008B6123">
        <w:rPr>
          <w:rFonts w:cs="Arial"/>
          <w:szCs w:val="19"/>
          <w:lang w:val="en-US"/>
        </w:rPr>
        <w:t xml:space="preserve">COVID-19 </w:t>
      </w:r>
      <w:r w:rsidR="008B6123" w:rsidRPr="005F116E">
        <w:rPr>
          <w:rFonts w:cs="Arial"/>
          <w:szCs w:val="19"/>
          <w:lang w:val="en-US"/>
        </w:rPr>
        <w:t xml:space="preserve">and combating these effects as well as supporting the entities affected by </w:t>
      </w:r>
      <w:r w:rsidR="008B6123">
        <w:rPr>
          <w:rFonts w:cs="Arial"/>
          <w:szCs w:val="19"/>
          <w:lang w:val="en-US"/>
        </w:rPr>
        <w:t>them amounted</w:t>
      </w:r>
      <w:r w:rsidR="00B3166E">
        <w:rPr>
          <w:rFonts w:cs="Arial"/>
          <w:szCs w:val="19"/>
          <w:lang w:val="en-US"/>
        </w:rPr>
        <w:t xml:space="preserve"> in 202</w:t>
      </w:r>
      <w:r w:rsidR="000954A9">
        <w:rPr>
          <w:rFonts w:cs="Arial"/>
          <w:szCs w:val="19"/>
          <w:lang w:val="en-US"/>
        </w:rPr>
        <w:t>2</w:t>
      </w:r>
      <w:r w:rsidR="00B3166E">
        <w:rPr>
          <w:rFonts w:cs="Arial"/>
          <w:szCs w:val="19"/>
          <w:lang w:val="en-US"/>
        </w:rPr>
        <w:t xml:space="preserve"> year</w:t>
      </w:r>
      <w:r w:rsidR="008B6123">
        <w:rPr>
          <w:rFonts w:cs="Arial"/>
          <w:szCs w:val="19"/>
          <w:lang w:val="en-US"/>
        </w:rPr>
        <w:t xml:space="preserve"> </w:t>
      </w:r>
      <w:r w:rsidR="000954A9" w:rsidRPr="000E4937">
        <w:rPr>
          <w:rFonts w:cs="Arial"/>
          <w:szCs w:val="19"/>
          <w:lang w:val="en-GB"/>
        </w:rPr>
        <w:t>22</w:t>
      </w:r>
      <w:r w:rsidR="0085527B">
        <w:rPr>
          <w:rFonts w:cs="Arial"/>
          <w:szCs w:val="19"/>
          <w:lang w:val="en-GB"/>
        </w:rPr>
        <w:t> </w:t>
      </w:r>
      <w:r w:rsidR="000954A9" w:rsidRPr="000E4937">
        <w:rPr>
          <w:rFonts w:cs="Arial"/>
          <w:szCs w:val="19"/>
          <w:lang w:val="en-GB"/>
        </w:rPr>
        <w:t>64</w:t>
      </w:r>
      <w:r w:rsidR="0085527B">
        <w:rPr>
          <w:rFonts w:cs="Arial"/>
          <w:szCs w:val="19"/>
          <w:lang w:val="en-GB"/>
        </w:rPr>
        <w:t>8*</w:t>
      </w:r>
      <w:r w:rsidR="000954A9" w:rsidRPr="000E4937">
        <w:rPr>
          <w:rFonts w:cs="Arial"/>
          <w:szCs w:val="19"/>
          <w:lang w:val="en-GB"/>
        </w:rPr>
        <w:t xml:space="preserve"> </w:t>
      </w:r>
      <w:proofErr w:type="spellStart"/>
      <w:r w:rsidR="008B6123">
        <w:rPr>
          <w:rFonts w:cs="Arial"/>
          <w:szCs w:val="19"/>
          <w:lang w:val="en-US"/>
        </w:rPr>
        <w:t>mln</w:t>
      </w:r>
      <w:proofErr w:type="spellEnd"/>
      <w:r w:rsidR="008B6123">
        <w:rPr>
          <w:rFonts w:cs="Arial"/>
          <w:szCs w:val="19"/>
          <w:lang w:val="en-US"/>
        </w:rPr>
        <w:t xml:space="preserve"> </w:t>
      </w:r>
      <w:proofErr w:type="spellStart"/>
      <w:r w:rsidR="008B6123">
        <w:rPr>
          <w:rFonts w:cs="Arial"/>
          <w:szCs w:val="19"/>
          <w:lang w:val="en-US"/>
        </w:rPr>
        <w:t>z</w:t>
      </w:r>
      <w:r w:rsidR="00DF5E19">
        <w:rPr>
          <w:rFonts w:cs="Arial"/>
          <w:szCs w:val="19"/>
          <w:lang w:val="en-US"/>
        </w:rPr>
        <w:t>l</w:t>
      </w:r>
      <w:proofErr w:type="spellEnd"/>
      <w:r w:rsidR="001C2F0A">
        <w:rPr>
          <w:rFonts w:cs="Arial"/>
          <w:szCs w:val="19"/>
          <w:lang w:val="en-US"/>
        </w:rPr>
        <w:t>.</w:t>
      </w:r>
    </w:p>
    <w:p w:rsidR="00813856" w:rsidRPr="00AE66C1" w:rsidRDefault="002D5237" w:rsidP="00AE66C1">
      <w:pPr>
        <w:spacing w:line="288" w:lineRule="auto"/>
        <w:ind w:right="130"/>
        <w:rPr>
          <w:rFonts w:cs="Arial"/>
          <w:szCs w:val="19"/>
          <w:lang w:val="en-US"/>
        </w:rPr>
      </w:pPr>
      <w:r>
        <w:rPr>
          <w:rFonts w:cs="Arial"/>
          <w:szCs w:val="19"/>
          <w:lang w:val="en-US"/>
        </w:rPr>
        <w:t>Along</w:t>
      </w:r>
      <w:r w:rsidRPr="00813856">
        <w:rPr>
          <w:rFonts w:cs="Arial"/>
          <w:szCs w:val="19"/>
          <w:lang w:val="en-US"/>
        </w:rPr>
        <w:t xml:space="preserve"> </w:t>
      </w:r>
      <w:r w:rsidR="006275D5" w:rsidRPr="00813856">
        <w:rPr>
          <w:rFonts w:cs="Arial"/>
          <w:szCs w:val="19"/>
          <w:lang w:val="en-US"/>
        </w:rPr>
        <w:t xml:space="preserve">with the EDP notification, the </w:t>
      </w:r>
      <w:r w:rsidR="00741EA9" w:rsidRPr="00813856">
        <w:rPr>
          <w:rFonts w:cs="Arial"/>
          <w:szCs w:val="19"/>
          <w:lang w:val="en-US"/>
        </w:rPr>
        <w:t>Statistics Poland</w:t>
      </w:r>
      <w:r w:rsidR="006275D5" w:rsidRPr="00813856">
        <w:rPr>
          <w:rFonts w:cs="Arial"/>
          <w:szCs w:val="19"/>
          <w:lang w:val="en-US"/>
        </w:rPr>
        <w:t xml:space="preserve"> sent to the European Commis</w:t>
      </w:r>
      <w:r w:rsidR="006275D5" w:rsidRPr="006275D5">
        <w:rPr>
          <w:rFonts w:cs="Arial"/>
          <w:szCs w:val="19"/>
          <w:lang w:val="en-US"/>
        </w:rPr>
        <w:t>sion information about revenues and expenditures of the general government sector divided into</w:t>
      </w:r>
      <w:r w:rsidR="000869E3">
        <w:rPr>
          <w:rFonts w:cs="Arial"/>
          <w:szCs w:val="19"/>
          <w:lang w:val="en-US"/>
        </w:rPr>
        <w:t xml:space="preserve"> </w:t>
      </w:r>
      <w:r w:rsidR="006275D5" w:rsidRPr="006275D5">
        <w:rPr>
          <w:rFonts w:cs="Arial"/>
          <w:szCs w:val="19"/>
          <w:lang w:val="en-US"/>
        </w:rPr>
        <w:t>transactions, according to the European System of National an</w:t>
      </w:r>
      <w:r w:rsidR="00D94635">
        <w:rPr>
          <w:rFonts w:cs="Arial"/>
          <w:szCs w:val="19"/>
          <w:lang w:val="en-US"/>
        </w:rPr>
        <w:t xml:space="preserve">d Regional Accounts (ESA2010). </w:t>
      </w:r>
    </w:p>
    <w:p w:rsidR="004C62B0" w:rsidRPr="00F93B25" w:rsidRDefault="004C62B0" w:rsidP="00AE66C1">
      <w:pPr>
        <w:tabs>
          <w:tab w:val="left" w:pos="6237"/>
        </w:tabs>
        <w:spacing w:before="360"/>
        <w:rPr>
          <w:b/>
          <w:bCs/>
          <w:noProof/>
          <w:spacing w:val="-2"/>
          <w:szCs w:val="19"/>
          <w:lang w:val="en-US"/>
        </w:rPr>
      </w:pPr>
      <w:r w:rsidRPr="00F93B25">
        <w:rPr>
          <w:b/>
          <w:bCs/>
          <w:noProof/>
          <w:spacing w:val="-2"/>
          <w:szCs w:val="19"/>
          <w:lang w:val="en-US"/>
        </w:rPr>
        <w:t>Table 2</w:t>
      </w:r>
      <w:r w:rsidR="001D25E9" w:rsidRPr="00F93B25">
        <w:rPr>
          <w:b/>
          <w:bCs/>
          <w:noProof/>
          <w:spacing w:val="-2"/>
          <w:szCs w:val="19"/>
          <w:lang w:val="en-US"/>
        </w:rPr>
        <w:t>.</w:t>
      </w:r>
      <w:r w:rsidRPr="00F93B25">
        <w:rPr>
          <w:b/>
          <w:bCs/>
          <w:noProof/>
          <w:spacing w:val="-2"/>
          <w:szCs w:val="19"/>
          <w:lang w:val="en-US"/>
        </w:rPr>
        <w:t xml:space="preserve"> Total revenues and expenditures of the general government sector according to ESA2010 in years 201</w:t>
      </w:r>
      <w:r w:rsidR="00706C85">
        <w:rPr>
          <w:b/>
          <w:bCs/>
          <w:noProof/>
          <w:spacing w:val="-2"/>
          <w:szCs w:val="19"/>
          <w:lang w:val="en-US"/>
        </w:rPr>
        <w:t>9</w:t>
      </w:r>
      <w:r w:rsidR="00B712E6" w:rsidRPr="00F93B25">
        <w:rPr>
          <w:b/>
          <w:bCs/>
          <w:noProof/>
          <w:spacing w:val="-2"/>
          <w:szCs w:val="19"/>
          <w:lang w:val="en-US"/>
        </w:rPr>
        <w:t>-202</w:t>
      </w:r>
      <w:r w:rsidR="00706C85">
        <w:rPr>
          <w:b/>
          <w:bCs/>
          <w:noProof/>
          <w:spacing w:val="-2"/>
          <w:szCs w:val="19"/>
          <w:lang w:val="en-US"/>
        </w:rPr>
        <w:t>2</w:t>
      </w:r>
      <w:r w:rsidRPr="00F93B25">
        <w:rPr>
          <w:b/>
          <w:bCs/>
          <w:noProof/>
          <w:spacing w:val="-2"/>
          <w:szCs w:val="19"/>
          <w:lang w:val="en-US"/>
        </w:rPr>
        <w:t xml:space="preserve"> (mln zl) </w:t>
      </w:r>
    </w:p>
    <w:tbl>
      <w:tblPr>
        <w:tblW w:w="8048" w:type="dxa"/>
        <w:tblInd w:w="60"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2. Total revenues and expenditures of the general government sector according to ESA2010 in years 2019-2022 (mln zl) "/>
        <w:tblDescription w:val="The table presents the value of total revenues and expenditures of the general governemnt secot and their relation to GDP in years 2019-2022"/>
      </w:tblPr>
      <w:tblGrid>
        <w:gridCol w:w="4051"/>
        <w:gridCol w:w="992"/>
        <w:gridCol w:w="991"/>
        <w:gridCol w:w="1025"/>
        <w:gridCol w:w="989"/>
      </w:tblGrid>
      <w:tr w:rsidR="00B42F8F" w:rsidRPr="00560B28" w:rsidTr="003C5CB8">
        <w:trPr>
          <w:trHeight w:val="539"/>
        </w:trPr>
        <w:tc>
          <w:tcPr>
            <w:tcW w:w="4051" w:type="dxa"/>
            <w:shd w:val="clear" w:color="auto" w:fill="auto"/>
            <w:vAlign w:val="center"/>
            <w:hideMark/>
          </w:tcPr>
          <w:p w:rsidR="00B42F8F" w:rsidRPr="00B42F8F" w:rsidRDefault="00B42F8F" w:rsidP="00B42F8F">
            <w:pPr>
              <w:spacing w:before="0" w:after="0" w:line="240" w:lineRule="auto"/>
              <w:jc w:val="center"/>
              <w:rPr>
                <w:rFonts w:eastAsia="Times New Roman"/>
                <w:bCs/>
                <w:color w:val="000000"/>
                <w:szCs w:val="19"/>
                <w:lang w:val="en-GB" w:eastAsia="pl-PL"/>
              </w:rPr>
            </w:pPr>
            <w:r w:rsidRPr="00B42F8F">
              <w:rPr>
                <w:rFonts w:eastAsia="Times New Roman"/>
                <w:bCs/>
                <w:color w:val="000000"/>
                <w:szCs w:val="19"/>
                <w:lang w:val="en-GB" w:eastAsia="pl-PL"/>
              </w:rPr>
              <w:t>Specification</w:t>
            </w:r>
          </w:p>
        </w:tc>
        <w:tc>
          <w:tcPr>
            <w:tcW w:w="992" w:type="dxa"/>
            <w:shd w:val="clear" w:color="auto" w:fill="auto"/>
            <w:vAlign w:val="center"/>
            <w:hideMark/>
          </w:tcPr>
          <w:p w:rsidR="00B42F8F" w:rsidRPr="00E867EB" w:rsidRDefault="00B42F8F" w:rsidP="00B42F8F">
            <w:pPr>
              <w:spacing w:before="0" w:after="0" w:line="240" w:lineRule="auto"/>
              <w:jc w:val="center"/>
              <w:rPr>
                <w:rFonts w:eastAsia="Times New Roman"/>
                <w:bCs/>
                <w:color w:val="000000"/>
                <w:szCs w:val="19"/>
                <w:lang w:eastAsia="pl-PL"/>
              </w:rPr>
            </w:pPr>
            <w:r w:rsidRPr="00E867EB">
              <w:rPr>
                <w:rFonts w:eastAsia="Times New Roman"/>
                <w:bCs/>
                <w:color w:val="000000"/>
                <w:szCs w:val="19"/>
                <w:lang w:eastAsia="pl-PL"/>
              </w:rPr>
              <w:t>201</w:t>
            </w:r>
            <w:r w:rsidR="00706C85">
              <w:rPr>
                <w:rFonts w:eastAsia="Times New Roman"/>
                <w:bCs/>
                <w:color w:val="000000"/>
                <w:szCs w:val="19"/>
                <w:lang w:eastAsia="pl-PL"/>
              </w:rPr>
              <w:t>9</w:t>
            </w:r>
          </w:p>
        </w:tc>
        <w:tc>
          <w:tcPr>
            <w:tcW w:w="991" w:type="dxa"/>
            <w:shd w:val="clear" w:color="auto" w:fill="auto"/>
            <w:vAlign w:val="center"/>
            <w:hideMark/>
          </w:tcPr>
          <w:p w:rsidR="00B42F8F" w:rsidRPr="00E867EB" w:rsidRDefault="00B42F8F" w:rsidP="00B42F8F">
            <w:pPr>
              <w:spacing w:before="0" w:after="0" w:line="240" w:lineRule="auto"/>
              <w:jc w:val="center"/>
              <w:rPr>
                <w:rFonts w:eastAsia="Times New Roman"/>
                <w:bCs/>
                <w:color w:val="000000"/>
                <w:szCs w:val="19"/>
                <w:lang w:eastAsia="pl-PL"/>
              </w:rPr>
            </w:pPr>
            <w:r w:rsidRPr="00E867EB">
              <w:rPr>
                <w:rFonts w:eastAsia="Times New Roman"/>
                <w:bCs/>
                <w:color w:val="000000"/>
                <w:szCs w:val="19"/>
                <w:lang w:eastAsia="pl-PL"/>
              </w:rPr>
              <w:t>20</w:t>
            </w:r>
            <w:r w:rsidR="00706C85">
              <w:rPr>
                <w:rFonts w:eastAsia="Times New Roman"/>
                <w:bCs/>
                <w:color w:val="000000"/>
                <w:szCs w:val="19"/>
                <w:lang w:eastAsia="pl-PL"/>
              </w:rPr>
              <w:t>20</w:t>
            </w:r>
          </w:p>
        </w:tc>
        <w:tc>
          <w:tcPr>
            <w:tcW w:w="1025" w:type="dxa"/>
            <w:shd w:val="clear" w:color="auto" w:fill="auto"/>
            <w:vAlign w:val="center"/>
            <w:hideMark/>
          </w:tcPr>
          <w:p w:rsidR="00B42F8F" w:rsidRPr="00E867EB" w:rsidRDefault="00B42F8F" w:rsidP="00B42F8F">
            <w:pPr>
              <w:spacing w:before="0" w:after="0" w:line="240" w:lineRule="auto"/>
              <w:jc w:val="center"/>
              <w:rPr>
                <w:rFonts w:eastAsia="Times New Roman"/>
                <w:bCs/>
                <w:color w:val="000000"/>
                <w:szCs w:val="19"/>
                <w:lang w:eastAsia="pl-PL"/>
              </w:rPr>
            </w:pPr>
            <w:r w:rsidRPr="00E867EB">
              <w:rPr>
                <w:rFonts w:eastAsia="Times New Roman"/>
                <w:bCs/>
                <w:color w:val="000000"/>
                <w:szCs w:val="19"/>
                <w:lang w:eastAsia="pl-PL"/>
              </w:rPr>
              <w:t>202</w:t>
            </w:r>
            <w:r w:rsidR="00706C85">
              <w:rPr>
                <w:rFonts w:eastAsia="Times New Roman"/>
                <w:bCs/>
                <w:color w:val="000000"/>
                <w:szCs w:val="19"/>
                <w:lang w:eastAsia="pl-PL"/>
              </w:rPr>
              <w:t>1</w:t>
            </w:r>
          </w:p>
        </w:tc>
        <w:tc>
          <w:tcPr>
            <w:tcW w:w="989" w:type="dxa"/>
            <w:shd w:val="clear" w:color="auto" w:fill="auto"/>
            <w:vAlign w:val="center"/>
            <w:hideMark/>
          </w:tcPr>
          <w:p w:rsidR="00B42F8F" w:rsidRPr="00E867EB" w:rsidRDefault="00B42F8F" w:rsidP="00B42F8F">
            <w:pPr>
              <w:spacing w:before="0" w:after="0" w:line="240" w:lineRule="auto"/>
              <w:jc w:val="center"/>
              <w:rPr>
                <w:rFonts w:eastAsia="Times New Roman"/>
                <w:bCs/>
                <w:color w:val="000000"/>
                <w:szCs w:val="19"/>
                <w:lang w:eastAsia="pl-PL"/>
              </w:rPr>
            </w:pPr>
            <w:r w:rsidRPr="00E867EB">
              <w:rPr>
                <w:rFonts w:eastAsia="Times New Roman"/>
                <w:bCs/>
                <w:color w:val="000000"/>
                <w:szCs w:val="19"/>
                <w:lang w:eastAsia="pl-PL"/>
              </w:rPr>
              <w:t>202</w:t>
            </w:r>
            <w:r w:rsidR="00706C85">
              <w:rPr>
                <w:rFonts w:eastAsia="Times New Roman"/>
                <w:bCs/>
                <w:color w:val="000000"/>
                <w:szCs w:val="19"/>
                <w:lang w:eastAsia="pl-PL"/>
              </w:rPr>
              <w:t>2</w:t>
            </w:r>
          </w:p>
        </w:tc>
      </w:tr>
      <w:tr w:rsidR="005917EF" w:rsidRPr="00560B28" w:rsidTr="00003C62">
        <w:trPr>
          <w:trHeight w:val="344"/>
        </w:trPr>
        <w:tc>
          <w:tcPr>
            <w:tcW w:w="4051" w:type="dxa"/>
            <w:shd w:val="clear" w:color="auto" w:fill="auto"/>
            <w:vAlign w:val="center"/>
            <w:hideMark/>
          </w:tcPr>
          <w:p w:rsidR="005917EF" w:rsidRPr="00B42F8F" w:rsidRDefault="005917EF" w:rsidP="005917EF">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 xml:space="preserve">Total revenues </w:t>
            </w:r>
          </w:p>
        </w:tc>
        <w:tc>
          <w:tcPr>
            <w:tcW w:w="992" w:type="dxa"/>
            <w:shd w:val="clear" w:color="auto" w:fill="auto"/>
            <w:vAlign w:val="center"/>
            <w:hideMark/>
          </w:tcPr>
          <w:p w:rsidR="005917EF" w:rsidRPr="00E867EB" w:rsidRDefault="005917EF" w:rsidP="005917E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941</w:t>
            </w:r>
            <w:r>
              <w:rPr>
                <w:rFonts w:eastAsia="Times New Roman" w:cs="Arial"/>
                <w:color w:val="000000"/>
                <w:szCs w:val="19"/>
                <w:lang w:eastAsia="pl-PL"/>
              </w:rPr>
              <w:t> 316</w:t>
            </w:r>
          </w:p>
        </w:tc>
        <w:tc>
          <w:tcPr>
            <w:tcW w:w="991" w:type="dxa"/>
            <w:shd w:val="clear" w:color="auto" w:fill="auto"/>
            <w:vAlign w:val="center"/>
            <w:hideMark/>
          </w:tcPr>
          <w:p w:rsidR="005917EF" w:rsidRPr="00E867EB" w:rsidRDefault="005917EF" w:rsidP="005917E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966 0</w:t>
            </w:r>
            <w:r>
              <w:rPr>
                <w:rFonts w:eastAsia="Times New Roman" w:cs="Arial"/>
                <w:color w:val="000000"/>
                <w:szCs w:val="19"/>
                <w:lang w:eastAsia="pl-PL"/>
              </w:rPr>
              <w:t>31</w:t>
            </w:r>
          </w:p>
        </w:tc>
        <w:tc>
          <w:tcPr>
            <w:tcW w:w="1025" w:type="dxa"/>
            <w:shd w:val="clear" w:color="auto" w:fill="auto"/>
            <w:vAlign w:val="center"/>
            <w:hideMark/>
          </w:tcPr>
          <w:p w:rsidR="005917EF" w:rsidRPr="00E867EB" w:rsidRDefault="005917EF" w:rsidP="005917EF">
            <w:pPr>
              <w:spacing w:before="0" w:after="0" w:line="240" w:lineRule="auto"/>
              <w:jc w:val="right"/>
              <w:rPr>
                <w:rFonts w:eastAsia="Times New Roman" w:cs="Arial"/>
                <w:color w:val="000000"/>
                <w:szCs w:val="19"/>
                <w:lang w:eastAsia="pl-PL"/>
              </w:rPr>
            </w:pPr>
            <w:r w:rsidRPr="006818C2">
              <w:rPr>
                <w:rFonts w:eastAsia="Times New Roman" w:cs="Arial"/>
                <w:color w:val="000000"/>
                <w:szCs w:val="19"/>
                <w:lang w:eastAsia="pl-PL"/>
              </w:rPr>
              <w:t>1 11</w:t>
            </w:r>
            <w:r>
              <w:rPr>
                <w:rFonts w:eastAsia="Times New Roman" w:cs="Arial"/>
                <w:color w:val="000000"/>
                <w:szCs w:val="19"/>
                <w:lang w:eastAsia="pl-PL"/>
              </w:rPr>
              <w:t>1 99</w:t>
            </w:r>
            <w:r w:rsidRPr="006818C2">
              <w:rPr>
                <w:rFonts w:eastAsia="Times New Roman" w:cs="Arial"/>
                <w:color w:val="000000"/>
                <w:szCs w:val="19"/>
                <w:lang w:eastAsia="pl-PL"/>
              </w:rPr>
              <w:t xml:space="preserve">2    </w:t>
            </w:r>
          </w:p>
        </w:tc>
        <w:tc>
          <w:tcPr>
            <w:tcW w:w="989" w:type="dxa"/>
            <w:shd w:val="clear" w:color="auto" w:fill="auto"/>
            <w:vAlign w:val="center"/>
          </w:tcPr>
          <w:p w:rsidR="005917EF" w:rsidRDefault="005917EF" w:rsidP="005917EF">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1 233 728*</w:t>
            </w:r>
          </w:p>
        </w:tc>
      </w:tr>
      <w:tr w:rsidR="005917EF" w:rsidRPr="00560B28" w:rsidTr="00003C62">
        <w:trPr>
          <w:trHeight w:val="362"/>
        </w:trPr>
        <w:tc>
          <w:tcPr>
            <w:tcW w:w="4051" w:type="dxa"/>
            <w:shd w:val="clear" w:color="auto" w:fill="auto"/>
            <w:vAlign w:val="center"/>
            <w:hideMark/>
          </w:tcPr>
          <w:p w:rsidR="005917EF" w:rsidRPr="00B42F8F" w:rsidRDefault="005917EF" w:rsidP="005917EF">
            <w:pPr>
              <w:spacing w:before="0" w:after="0" w:line="240" w:lineRule="auto"/>
              <w:jc w:val="right"/>
              <w:rPr>
                <w:rFonts w:eastAsia="Times New Roman"/>
                <w:bCs/>
                <w:color w:val="000000"/>
                <w:szCs w:val="19"/>
                <w:lang w:val="en-GB" w:eastAsia="pl-PL"/>
              </w:rPr>
            </w:pPr>
            <w:r w:rsidRPr="00B42F8F">
              <w:rPr>
                <w:rFonts w:eastAsia="Times New Roman"/>
                <w:bCs/>
                <w:color w:val="000000"/>
                <w:szCs w:val="19"/>
                <w:lang w:val="en-GB" w:eastAsia="pl-PL"/>
              </w:rPr>
              <w:t>%</w:t>
            </w:r>
            <w:r>
              <w:rPr>
                <w:rFonts w:eastAsia="Times New Roman"/>
                <w:bCs/>
                <w:color w:val="000000"/>
                <w:szCs w:val="19"/>
                <w:lang w:val="en-GB" w:eastAsia="pl-PL"/>
              </w:rPr>
              <w:t xml:space="preserve"> </w:t>
            </w:r>
            <w:r w:rsidRPr="00B42F8F">
              <w:rPr>
                <w:rFonts w:eastAsia="Times New Roman"/>
                <w:bCs/>
                <w:color w:val="000000"/>
                <w:szCs w:val="19"/>
                <w:lang w:val="en-GB" w:eastAsia="pl-PL"/>
              </w:rPr>
              <w:t>GDP</w:t>
            </w:r>
          </w:p>
        </w:tc>
        <w:tc>
          <w:tcPr>
            <w:tcW w:w="992" w:type="dxa"/>
            <w:shd w:val="clear" w:color="auto" w:fill="auto"/>
            <w:vAlign w:val="center"/>
            <w:hideMark/>
          </w:tcPr>
          <w:p w:rsidR="005917EF" w:rsidRPr="00E867EB" w:rsidRDefault="005917EF" w:rsidP="005917EF">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41,1%</w:t>
            </w:r>
          </w:p>
        </w:tc>
        <w:tc>
          <w:tcPr>
            <w:tcW w:w="991" w:type="dxa"/>
            <w:shd w:val="clear" w:color="auto" w:fill="auto"/>
            <w:vAlign w:val="center"/>
            <w:hideMark/>
          </w:tcPr>
          <w:p w:rsidR="005917EF" w:rsidRPr="00E867EB" w:rsidRDefault="005917EF" w:rsidP="005917E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41,</w:t>
            </w:r>
            <w:r>
              <w:rPr>
                <w:rFonts w:eastAsia="Times New Roman" w:cs="Arial"/>
                <w:color w:val="000000"/>
                <w:szCs w:val="19"/>
                <w:lang w:eastAsia="pl-PL"/>
              </w:rPr>
              <w:t>3</w:t>
            </w:r>
            <w:r w:rsidRPr="00E867EB">
              <w:rPr>
                <w:rFonts w:eastAsia="Times New Roman" w:cs="Arial"/>
                <w:color w:val="000000"/>
                <w:szCs w:val="19"/>
                <w:lang w:eastAsia="pl-PL"/>
              </w:rPr>
              <w:t>%</w:t>
            </w:r>
          </w:p>
        </w:tc>
        <w:tc>
          <w:tcPr>
            <w:tcW w:w="1025" w:type="dxa"/>
            <w:shd w:val="clear" w:color="auto" w:fill="auto"/>
            <w:vAlign w:val="center"/>
            <w:hideMark/>
          </w:tcPr>
          <w:p w:rsidR="005917EF" w:rsidRPr="00E867EB" w:rsidRDefault="005917EF" w:rsidP="005917EF">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42,3%</w:t>
            </w:r>
          </w:p>
        </w:tc>
        <w:tc>
          <w:tcPr>
            <w:tcW w:w="989" w:type="dxa"/>
            <w:shd w:val="clear" w:color="auto" w:fill="auto"/>
            <w:vAlign w:val="center"/>
          </w:tcPr>
          <w:p w:rsidR="005917EF" w:rsidRDefault="005917EF" w:rsidP="005917EF">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40,2%*</w:t>
            </w:r>
          </w:p>
        </w:tc>
      </w:tr>
      <w:tr w:rsidR="005917EF" w:rsidRPr="00560B28" w:rsidTr="00003C62">
        <w:trPr>
          <w:trHeight w:val="362"/>
        </w:trPr>
        <w:tc>
          <w:tcPr>
            <w:tcW w:w="4051" w:type="dxa"/>
            <w:shd w:val="clear" w:color="auto" w:fill="auto"/>
            <w:vAlign w:val="center"/>
            <w:hideMark/>
          </w:tcPr>
          <w:p w:rsidR="005917EF" w:rsidRPr="00B42F8F" w:rsidRDefault="005917EF" w:rsidP="005917EF">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Total expenditures</w:t>
            </w:r>
          </w:p>
        </w:tc>
        <w:tc>
          <w:tcPr>
            <w:tcW w:w="992" w:type="dxa"/>
            <w:shd w:val="clear" w:color="auto" w:fill="auto"/>
            <w:vAlign w:val="center"/>
            <w:hideMark/>
          </w:tcPr>
          <w:p w:rsidR="005917EF" w:rsidRPr="00E867EB" w:rsidRDefault="005917EF" w:rsidP="005917EF">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958 326</w:t>
            </w:r>
          </w:p>
        </w:tc>
        <w:tc>
          <w:tcPr>
            <w:tcW w:w="991" w:type="dxa"/>
            <w:shd w:val="clear" w:color="auto" w:fill="auto"/>
            <w:vAlign w:val="center"/>
            <w:hideMark/>
          </w:tcPr>
          <w:p w:rsidR="005917EF" w:rsidRPr="00E867EB" w:rsidRDefault="005917EF" w:rsidP="005917E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1 127 </w:t>
            </w:r>
            <w:r>
              <w:rPr>
                <w:rFonts w:eastAsia="Times New Roman" w:cs="Arial"/>
                <w:color w:val="000000"/>
                <w:szCs w:val="19"/>
                <w:lang w:eastAsia="pl-PL"/>
              </w:rPr>
              <w:t>866</w:t>
            </w:r>
          </w:p>
        </w:tc>
        <w:tc>
          <w:tcPr>
            <w:tcW w:w="1025" w:type="dxa"/>
            <w:shd w:val="clear" w:color="auto" w:fill="auto"/>
            <w:vAlign w:val="center"/>
            <w:hideMark/>
          </w:tcPr>
          <w:p w:rsidR="005917EF" w:rsidRPr="00E867EB" w:rsidRDefault="005917EF" w:rsidP="005917EF">
            <w:pPr>
              <w:spacing w:before="0" w:after="0" w:line="240" w:lineRule="auto"/>
              <w:jc w:val="right"/>
              <w:rPr>
                <w:rFonts w:eastAsia="Times New Roman" w:cs="Arial"/>
                <w:color w:val="000000"/>
                <w:szCs w:val="19"/>
                <w:lang w:eastAsia="pl-PL"/>
              </w:rPr>
            </w:pPr>
            <w:r w:rsidRPr="006818C2">
              <w:rPr>
                <w:rFonts w:eastAsia="Times New Roman" w:cs="Arial"/>
                <w:color w:val="000000"/>
                <w:szCs w:val="19"/>
                <w:lang w:eastAsia="pl-PL"/>
              </w:rPr>
              <w:t>1 160</w:t>
            </w:r>
            <w:r>
              <w:rPr>
                <w:rFonts w:eastAsia="Times New Roman" w:cs="Arial"/>
                <w:color w:val="000000"/>
                <w:szCs w:val="19"/>
                <w:lang w:eastAsia="pl-PL"/>
              </w:rPr>
              <w:t> </w:t>
            </w:r>
            <w:r w:rsidRPr="006818C2">
              <w:rPr>
                <w:rFonts w:eastAsia="Times New Roman" w:cs="Arial"/>
                <w:color w:val="000000"/>
                <w:szCs w:val="19"/>
                <w:lang w:eastAsia="pl-PL"/>
              </w:rPr>
              <w:t>18</w:t>
            </w:r>
            <w:r>
              <w:rPr>
                <w:rFonts w:eastAsia="Times New Roman" w:cs="Arial"/>
                <w:color w:val="000000"/>
                <w:szCs w:val="19"/>
                <w:lang w:eastAsia="pl-PL"/>
              </w:rPr>
              <w:t>*</w:t>
            </w:r>
            <w:r w:rsidRPr="006818C2">
              <w:rPr>
                <w:rFonts w:eastAsia="Times New Roman" w:cs="Arial"/>
                <w:color w:val="000000"/>
                <w:szCs w:val="19"/>
                <w:lang w:eastAsia="pl-PL"/>
              </w:rPr>
              <w:t xml:space="preserve">    </w:t>
            </w:r>
          </w:p>
        </w:tc>
        <w:tc>
          <w:tcPr>
            <w:tcW w:w="989" w:type="dxa"/>
            <w:shd w:val="clear" w:color="auto" w:fill="auto"/>
            <w:vAlign w:val="center"/>
          </w:tcPr>
          <w:p w:rsidR="005917EF" w:rsidRDefault="005917EF" w:rsidP="005917EF">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1 346 561*</w:t>
            </w:r>
          </w:p>
        </w:tc>
      </w:tr>
      <w:tr w:rsidR="005917EF" w:rsidRPr="00560B28" w:rsidTr="00003C62">
        <w:trPr>
          <w:trHeight w:val="362"/>
        </w:trPr>
        <w:tc>
          <w:tcPr>
            <w:tcW w:w="4051" w:type="dxa"/>
            <w:shd w:val="clear" w:color="auto" w:fill="auto"/>
            <w:vAlign w:val="center"/>
            <w:hideMark/>
          </w:tcPr>
          <w:p w:rsidR="005917EF" w:rsidRPr="00B42F8F" w:rsidRDefault="005917EF" w:rsidP="005917EF">
            <w:pPr>
              <w:spacing w:before="0" w:after="0" w:line="240" w:lineRule="auto"/>
              <w:jc w:val="right"/>
              <w:rPr>
                <w:rFonts w:eastAsia="Times New Roman"/>
                <w:bCs/>
                <w:color w:val="000000"/>
                <w:szCs w:val="19"/>
                <w:lang w:eastAsia="pl-PL"/>
              </w:rPr>
            </w:pPr>
            <w:r w:rsidRPr="00B42F8F">
              <w:rPr>
                <w:rFonts w:eastAsia="Times New Roman"/>
                <w:bCs/>
                <w:color w:val="000000"/>
                <w:szCs w:val="19"/>
                <w:lang w:eastAsia="pl-PL"/>
              </w:rPr>
              <w:t xml:space="preserve"> % GDP </w:t>
            </w:r>
          </w:p>
        </w:tc>
        <w:tc>
          <w:tcPr>
            <w:tcW w:w="992" w:type="dxa"/>
            <w:shd w:val="clear" w:color="auto" w:fill="auto"/>
            <w:vAlign w:val="center"/>
            <w:hideMark/>
          </w:tcPr>
          <w:p w:rsidR="005917EF" w:rsidRPr="00E867EB" w:rsidRDefault="005917EF" w:rsidP="005917E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41,</w:t>
            </w:r>
            <w:r>
              <w:rPr>
                <w:rFonts w:eastAsia="Times New Roman" w:cs="Arial"/>
                <w:color w:val="000000"/>
                <w:szCs w:val="19"/>
                <w:lang w:eastAsia="pl-PL"/>
              </w:rPr>
              <w:t>9</w:t>
            </w:r>
            <w:r w:rsidRPr="00E867EB">
              <w:rPr>
                <w:rFonts w:eastAsia="Times New Roman" w:cs="Arial"/>
                <w:color w:val="000000"/>
                <w:szCs w:val="19"/>
                <w:lang w:eastAsia="pl-PL"/>
              </w:rPr>
              <w:t>%</w:t>
            </w:r>
          </w:p>
        </w:tc>
        <w:tc>
          <w:tcPr>
            <w:tcW w:w="991" w:type="dxa"/>
            <w:shd w:val="clear" w:color="auto" w:fill="auto"/>
            <w:vAlign w:val="center"/>
            <w:hideMark/>
          </w:tcPr>
          <w:p w:rsidR="005917EF" w:rsidRPr="00E867EB" w:rsidRDefault="005917EF" w:rsidP="005917EF">
            <w:pPr>
              <w:spacing w:before="0" w:after="0" w:line="240" w:lineRule="auto"/>
              <w:jc w:val="right"/>
              <w:rPr>
                <w:rFonts w:eastAsia="Times New Roman" w:cs="Arial"/>
                <w:color w:val="000000"/>
                <w:szCs w:val="19"/>
                <w:lang w:eastAsia="pl-PL"/>
              </w:rPr>
            </w:pPr>
            <w:r w:rsidRPr="00E867EB">
              <w:rPr>
                <w:rFonts w:eastAsia="Times New Roman" w:cs="Arial"/>
                <w:color w:val="000000"/>
                <w:szCs w:val="19"/>
                <w:lang w:eastAsia="pl-PL"/>
              </w:rPr>
              <w:t>4</w:t>
            </w:r>
            <w:r>
              <w:rPr>
                <w:rFonts w:eastAsia="Times New Roman" w:cs="Arial"/>
                <w:color w:val="000000"/>
                <w:szCs w:val="19"/>
                <w:lang w:eastAsia="pl-PL"/>
              </w:rPr>
              <w:t>8</w:t>
            </w:r>
            <w:r w:rsidRPr="00E867EB">
              <w:rPr>
                <w:rFonts w:eastAsia="Times New Roman" w:cs="Arial"/>
                <w:color w:val="000000"/>
                <w:szCs w:val="19"/>
                <w:lang w:eastAsia="pl-PL"/>
              </w:rPr>
              <w:t>,</w:t>
            </w:r>
            <w:r>
              <w:rPr>
                <w:rFonts w:eastAsia="Times New Roman" w:cs="Arial"/>
                <w:color w:val="000000"/>
                <w:szCs w:val="19"/>
                <w:lang w:eastAsia="pl-PL"/>
              </w:rPr>
              <w:t>2</w:t>
            </w:r>
            <w:r w:rsidRPr="00E867EB">
              <w:rPr>
                <w:rFonts w:eastAsia="Times New Roman" w:cs="Arial"/>
                <w:color w:val="000000"/>
                <w:szCs w:val="19"/>
                <w:lang w:eastAsia="pl-PL"/>
              </w:rPr>
              <w:t>%</w:t>
            </w:r>
          </w:p>
        </w:tc>
        <w:tc>
          <w:tcPr>
            <w:tcW w:w="1025" w:type="dxa"/>
            <w:shd w:val="clear" w:color="auto" w:fill="auto"/>
            <w:vAlign w:val="center"/>
            <w:hideMark/>
          </w:tcPr>
          <w:p w:rsidR="005917EF" w:rsidRPr="00E867EB" w:rsidRDefault="005917EF" w:rsidP="005917EF">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44,1%</w:t>
            </w:r>
          </w:p>
        </w:tc>
        <w:tc>
          <w:tcPr>
            <w:tcW w:w="989" w:type="dxa"/>
            <w:shd w:val="clear" w:color="auto" w:fill="auto"/>
            <w:vAlign w:val="center"/>
          </w:tcPr>
          <w:p w:rsidR="005917EF" w:rsidRDefault="005917EF" w:rsidP="005917EF">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43,9%*</w:t>
            </w:r>
          </w:p>
        </w:tc>
      </w:tr>
    </w:tbl>
    <w:p w:rsidR="002A6FDA" w:rsidRDefault="00F7518F" w:rsidP="006B55C0">
      <w:pPr>
        <w:tabs>
          <w:tab w:val="left" w:pos="6237"/>
        </w:tabs>
        <w:rPr>
          <w:b/>
          <w:bCs/>
          <w:noProof/>
          <w:spacing w:val="-2"/>
          <w:sz w:val="18"/>
          <w:szCs w:val="18"/>
          <w:lang w:val="en-US"/>
        </w:rPr>
      </w:pPr>
      <w:r w:rsidRPr="00F7518F">
        <w:rPr>
          <w:b/>
          <w:bCs/>
          <w:noProof/>
          <w:spacing w:val="-2"/>
          <w:sz w:val="18"/>
          <w:szCs w:val="18"/>
          <w:lang w:val="en-US"/>
        </w:rPr>
        <w:lastRenderedPageBreak/>
        <w:t>Chart</w:t>
      </w:r>
      <w:r w:rsidR="00124E9E" w:rsidRPr="002A6FDA">
        <w:rPr>
          <w:b/>
          <w:bCs/>
          <w:noProof/>
          <w:spacing w:val="-2"/>
          <w:sz w:val="18"/>
          <w:szCs w:val="18"/>
          <w:lang w:val="en-US"/>
        </w:rPr>
        <w:t xml:space="preserve"> 3</w:t>
      </w:r>
      <w:r w:rsidR="00704CED">
        <w:rPr>
          <w:b/>
          <w:bCs/>
          <w:noProof/>
          <w:spacing w:val="-2"/>
          <w:sz w:val="18"/>
          <w:szCs w:val="18"/>
          <w:lang w:val="en-US"/>
        </w:rPr>
        <w:t>.</w:t>
      </w:r>
      <w:r w:rsidR="00124E9E" w:rsidRPr="002A6FDA">
        <w:rPr>
          <w:b/>
          <w:bCs/>
          <w:noProof/>
          <w:spacing w:val="-2"/>
          <w:sz w:val="18"/>
          <w:szCs w:val="18"/>
          <w:lang w:val="en-US"/>
        </w:rPr>
        <w:t xml:space="preserve"> </w:t>
      </w:r>
      <w:r w:rsidR="002A6FDA" w:rsidRPr="002A6FDA">
        <w:rPr>
          <w:b/>
          <w:bCs/>
          <w:noProof/>
          <w:spacing w:val="-2"/>
          <w:sz w:val="18"/>
          <w:szCs w:val="18"/>
          <w:lang w:val="en-US"/>
        </w:rPr>
        <w:t>Total revenues and expenditures of the general government sector in % of GDP</w:t>
      </w:r>
    </w:p>
    <w:p w:rsidR="003D4B92" w:rsidRDefault="005917EF" w:rsidP="0080765C">
      <w:pPr>
        <w:spacing w:before="240" w:after="0"/>
        <w:ind w:right="130"/>
        <w:jc w:val="both"/>
        <w:rPr>
          <w:rFonts w:cs="Arial"/>
          <w:szCs w:val="19"/>
          <w:lang w:val="en-US"/>
        </w:rPr>
      </w:pPr>
      <w:r>
        <w:rPr>
          <w:noProof/>
          <w:lang w:val="en-GB" w:eastAsia="en-GB"/>
        </w:rPr>
        <w:drawing>
          <wp:anchor distT="0" distB="0" distL="114300" distR="114300" simplePos="0" relativeHeight="251689472" behindDoc="0" locked="0" layoutInCell="1" allowOverlap="1" wp14:anchorId="631E0CE4">
            <wp:simplePos x="0" y="0"/>
            <wp:positionH relativeFrom="margin">
              <wp:align>center</wp:align>
            </wp:positionH>
            <wp:positionV relativeFrom="margin">
              <wp:posOffset>306832</wp:posOffset>
            </wp:positionV>
            <wp:extent cx="3648075" cy="2296795"/>
            <wp:effectExtent l="0" t="0" r="9525" b="8255"/>
            <wp:wrapSquare wrapText="bothSides"/>
            <wp:docPr id="18" name="Obraz 2">
              <a:extLst xmlns:a="http://schemas.openxmlformats.org/drawingml/2006/main">
                <a:ext uri="{FF2B5EF4-FFF2-40B4-BE49-F238E27FC236}">
                  <a16:creationId xmlns:a16="http://schemas.microsoft.com/office/drawing/2014/main" id="{FA782232-BE58-4C85-8012-87AA3CC814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FA782232-BE58-4C85-8012-87AA3CC814F7}"/>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648075" cy="2296795"/>
                    </a:xfrm>
                    <a:prstGeom prst="rect">
                      <a:avLst/>
                    </a:prstGeom>
                  </pic:spPr>
                </pic:pic>
              </a:graphicData>
            </a:graphic>
            <wp14:sizeRelH relativeFrom="margin">
              <wp14:pctWidth>0</wp14:pctWidth>
            </wp14:sizeRelH>
            <wp14:sizeRelV relativeFrom="margin">
              <wp14:pctHeight>0</wp14:pctHeight>
            </wp14:sizeRelV>
          </wp:anchor>
        </w:drawing>
      </w: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C55C1F" w:rsidRDefault="00C55C1F" w:rsidP="0080765C">
      <w:pPr>
        <w:spacing w:before="240" w:after="0"/>
        <w:ind w:right="130"/>
        <w:jc w:val="both"/>
        <w:rPr>
          <w:rFonts w:cs="Arial"/>
          <w:szCs w:val="19"/>
          <w:lang w:val="en-US"/>
        </w:rPr>
      </w:pPr>
    </w:p>
    <w:p w:rsidR="005917EF" w:rsidRDefault="005917EF" w:rsidP="00AA37AC">
      <w:pPr>
        <w:spacing w:before="480" w:line="288" w:lineRule="auto"/>
        <w:ind w:right="130"/>
        <w:rPr>
          <w:rFonts w:cs="Arial"/>
          <w:szCs w:val="19"/>
          <w:lang w:val="en-US"/>
        </w:rPr>
      </w:pPr>
    </w:p>
    <w:p w:rsidR="005917EF" w:rsidRDefault="005917EF" w:rsidP="00AA37AC">
      <w:pPr>
        <w:spacing w:before="480" w:line="288" w:lineRule="auto"/>
        <w:ind w:right="130"/>
        <w:rPr>
          <w:rFonts w:cs="Arial"/>
          <w:szCs w:val="19"/>
          <w:lang w:val="en-US"/>
        </w:rPr>
      </w:pPr>
    </w:p>
    <w:p w:rsidR="0030612E" w:rsidRDefault="0030612E" w:rsidP="005917EF">
      <w:pPr>
        <w:spacing w:before="360" w:line="288" w:lineRule="auto"/>
        <w:ind w:right="130"/>
        <w:rPr>
          <w:rFonts w:cs="Arial"/>
          <w:szCs w:val="19"/>
          <w:lang w:val="en-US"/>
        </w:rPr>
      </w:pPr>
      <w:r w:rsidRPr="0030612E">
        <w:rPr>
          <w:rFonts w:cs="Arial"/>
          <w:szCs w:val="19"/>
          <w:lang w:val="en-US"/>
        </w:rPr>
        <w:t xml:space="preserve">Similarly, as in case of deficit and debt, data on </w:t>
      </w:r>
      <w:r w:rsidR="008202F5">
        <w:rPr>
          <w:rFonts w:cs="Arial"/>
          <w:szCs w:val="19"/>
          <w:lang w:val="en-US"/>
        </w:rPr>
        <w:t xml:space="preserve">the </w:t>
      </w:r>
      <w:r w:rsidRPr="0030612E">
        <w:rPr>
          <w:rFonts w:cs="Arial"/>
          <w:szCs w:val="19"/>
          <w:lang w:val="en-US"/>
        </w:rPr>
        <w:t>general government revenues and</w:t>
      </w:r>
      <w:r w:rsidR="001C2F0A">
        <w:rPr>
          <w:rFonts w:cs="Arial"/>
          <w:szCs w:val="19"/>
          <w:lang w:val="en-US"/>
        </w:rPr>
        <w:t xml:space="preserve"> </w:t>
      </w:r>
      <w:r w:rsidRPr="0030612E">
        <w:rPr>
          <w:rFonts w:cs="Arial"/>
          <w:szCs w:val="19"/>
          <w:lang w:val="en-US"/>
        </w:rPr>
        <w:t xml:space="preserve">expenditures </w:t>
      </w:r>
      <w:r w:rsidR="00706C85">
        <w:rPr>
          <w:rFonts w:cs="Arial"/>
          <w:szCs w:val="19"/>
          <w:lang w:val="en-US"/>
        </w:rPr>
        <w:t>in 202</w:t>
      </w:r>
      <w:r w:rsidR="005917EF">
        <w:rPr>
          <w:rFonts w:cs="Arial"/>
          <w:szCs w:val="19"/>
          <w:lang w:val="en-US"/>
        </w:rPr>
        <w:t>2</w:t>
      </w:r>
      <w:r w:rsidR="00706C85">
        <w:rPr>
          <w:rFonts w:cs="Arial"/>
          <w:szCs w:val="19"/>
          <w:lang w:val="en-US"/>
        </w:rPr>
        <w:t xml:space="preserve"> year</w:t>
      </w:r>
      <w:r w:rsidR="00FB2597">
        <w:rPr>
          <w:rFonts w:cs="Arial"/>
          <w:szCs w:val="19"/>
          <w:lang w:val="en-US"/>
        </w:rPr>
        <w:t xml:space="preserve"> </w:t>
      </w:r>
      <w:r w:rsidRPr="0030612E">
        <w:rPr>
          <w:rFonts w:cs="Arial"/>
          <w:szCs w:val="19"/>
          <w:lang w:val="en-US"/>
        </w:rPr>
        <w:t xml:space="preserve">have been revised in relation to the previously published </w:t>
      </w:r>
      <w:r>
        <w:rPr>
          <w:rFonts w:cs="Arial"/>
          <w:szCs w:val="19"/>
          <w:lang w:val="en-US"/>
        </w:rPr>
        <w:t>(</w:t>
      </w:r>
      <w:r w:rsidR="005917EF">
        <w:rPr>
          <w:rFonts w:cs="Arial"/>
          <w:szCs w:val="19"/>
          <w:lang w:val="en-US"/>
        </w:rPr>
        <w:t>April</w:t>
      </w:r>
      <w:r w:rsidR="00996425">
        <w:rPr>
          <w:rFonts w:cs="Arial"/>
          <w:szCs w:val="19"/>
          <w:lang w:val="en-US"/>
        </w:rPr>
        <w:t xml:space="preserve"> 2</w:t>
      </w:r>
      <w:r w:rsidR="00DE190C">
        <w:rPr>
          <w:rFonts w:cs="Arial"/>
          <w:szCs w:val="19"/>
          <w:lang w:val="en-US"/>
        </w:rPr>
        <w:t>02</w:t>
      </w:r>
      <w:r w:rsidR="005917EF">
        <w:rPr>
          <w:rFonts w:cs="Arial"/>
          <w:szCs w:val="19"/>
          <w:lang w:val="en-US"/>
        </w:rPr>
        <w:t>3</w:t>
      </w:r>
      <w:r w:rsidRPr="0030612E">
        <w:rPr>
          <w:rFonts w:cs="Arial"/>
          <w:szCs w:val="19"/>
          <w:lang w:val="en-US"/>
        </w:rPr>
        <w:t>).</w:t>
      </w:r>
    </w:p>
    <w:p w:rsidR="000E2279" w:rsidRDefault="00151952" w:rsidP="00AA37AC">
      <w:pPr>
        <w:spacing w:before="0" w:line="288" w:lineRule="auto"/>
        <w:ind w:right="130"/>
        <w:rPr>
          <w:rFonts w:cs="Arial"/>
          <w:szCs w:val="19"/>
          <w:lang w:val="en-US"/>
        </w:rPr>
      </w:pPr>
      <w:r>
        <w:rPr>
          <w:rFonts w:cs="Arial"/>
          <w:szCs w:val="19"/>
          <w:lang w:val="en-US"/>
        </w:rPr>
        <w:t xml:space="preserve">The revision of </w:t>
      </w:r>
      <w:r w:rsidR="008202F5">
        <w:rPr>
          <w:rFonts w:cs="Arial"/>
          <w:szCs w:val="19"/>
          <w:lang w:val="en-US"/>
        </w:rPr>
        <w:t xml:space="preserve">the </w:t>
      </w:r>
      <w:r>
        <w:rPr>
          <w:rFonts w:cs="Arial"/>
          <w:szCs w:val="19"/>
          <w:lang w:val="en-US"/>
        </w:rPr>
        <w:t>general government revenue</w:t>
      </w:r>
      <w:r w:rsidR="00EA7C59">
        <w:rPr>
          <w:rFonts w:cs="Arial"/>
          <w:szCs w:val="19"/>
          <w:lang w:val="en-US"/>
        </w:rPr>
        <w:t>s</w:t>
      </w:r>
      <w:r>
        <w:rPr>
          <w:rFonts w:cs="Arial"/>
          <w:szCs w:val="19"/>
          <w:lang w:val="en-US"/>
        </w:rPr>
        <w:t xml:space="preserve"> caused their </w:t>
      </w:r>
      <w:r w:rsidR="00F23BFC">
        <w:rPr>
          <w:rFonts w:cs="Arial"/>
          <w:szCs w:val="19"/>
          <w:lang w:val="en-US"/>
        </w:rPr>
        <w:t>growth</w:t>
      </w:r>
      <w:r w:rsidR="00CF301C">
        <w:rPr>
          <w:rFonts w:cs="Arial"/>
          <w:szCs w:val="19"/>
          <w:lang w:val="en-US"/>
        </w:rPr>
        <w:t xml:space="preserve"> in</w:t>
      </w:r>
      <w:r w:rsidR="00111425">
        <w:rPr>
          <w:rFonts w:cs="Arial"/>
          <w:szCs w:val="19"/>
          <w:lang w:val="en-US"/>
        </w:rPr>
        <w:t xml:space="preserve"> </w:t>
      </w:r>
      <w:r w:rsidR="00100444">
        <w:rPr>
          <w:rFonts w:cs="Arial"/>
          <w:szCs w:val="19"/>
          <w:lang w:val="en-US"/>
        </w:rPr>
        <w:t>2022</w:t>
      </w:r>
      <w:r w:rsidR="000954A9">
        <w:rPr>
          <w:rFonts w:cs="Arial"/>
          <w:szCs w:val="19"/>
          <w:lang w:val="en-US"/>
        </w:rPr>
        <w:t xml:space="preserve"> year</w:t>
      </w:r>
      <w:r w:rsidR="00CF301C">
        <w:rPr>
          <w:rFonts w:cs="Arial"/>
          <w:szCs w:val="19"/>
          <w:lang w:val="en-US"/>
        </w:rPr>
        <w:t xml:space="preserve"> of </w:t>
      </w:r>
      <w:r w:rsidR="00100444">
        <w:rPr>
          <w:rFonts w:cs="Arial"/>
          <w:szCs w:val="19"/>
          <w:lang w:val="en-US"/>
        </w:rPr>
        <w:t>8 696</w:t>
      </w:r>
      <w:r w:rsidR="00111425">
        <w:rPr>
          <w:rFonts w:cs="Arial"/>
          <w:szCs w:val="19"/>
          <w:lang w:val="en-US"/>
        </w:rPr>
        <w:t xml:space="preserve"> </w:t>
      </w:r>
      <w:proofErr w:type="spellStart"/>
      <w:r w:rsidR="00CF301C">
        <w:rPr>
          <w:rFonts w:cs="Arial"/>
          <w:szCs w:val="19"/>
          <w:lang w:val="en-US"/>
        </w:rPr>
        <w:t>mln</w:t>
      </w:r>
      <w:proofErr w:type="spellEnd"/>
      <w:r w:rsidR="00CF301C">
        <w:rPr>
          <w:rFonts w:cs="Arial"/>
          <w:szCs w:val="19"/>
          <w:lang w:val="en-US"/>
        </w:rPr>
        <w:t xml:space="preserve"> </w:t>
      </w:r>
      <w:proofErr w:type="spellStart"/>
      <w:r w:rsidR="00CF301C">
        <w:rPr>
          <w:rFonts w:cs="Arial"/>
          <w:szCs w:val="19"/>
          <w:lang w:val="en-US"/>
        </w:rPr>
        <w:t>zl</w:t>
      </w:r>
      <w:proofErr w:type="spellEnd"/>
      <w:r w:rsidR="00CB3650">
        <w:rPr>
          <w:rFonts w:cs="Arial"/>
          <w:szCs w:val="19"/>
          <w:lang w:val="en-US"/>
        </w:rPr>
        <w:t xml:space="preserve"> (0,</w:t>
      </w:r>
      <w:r w:rsidR="00100444">
        <w:rPr>
          <w:rFonts w:cs="Arial"/>
          <w:szCs w:val="19"/>
          <w:lang w:val="en-US"/>
        </w:rPr>
        <w:t>4</w:t>
      </w:r>
      <w:r w:rsidR="00CB3650">
        <w:rPr>
          <w:rFonts w:cs="Arial"/>
          <w:szCs w:val="19"/>
          <w:lang w:val="en-US"/>
        </w:rPr>
        <w:t xml:space="preserve"> percentage point in relation to GDP</w:t>
      </w:r>
      <w:r w:rsidR="005C35BD">
        <w:rPr>
          <w:rFonts w:cs="Arial"/>
          <w:szCs w:val="19"/>
          <w:lang w:val="en-US"/>
        </w:rPr>
        <w:t xml:space="preserve">). </w:t>
      </w:r>
      <w:r w:rsidR="00111425">
        <w:rPr>
          <w:rFonts w:cs="Arial"/>
          <w:szCs w:val="19"/>
          <w:lang w:val="en-US"/>
        </w:rPr>
        <w:t xml:space="preserve">The </w:t>
      </w:r>
      <w:r w:rsidR="00100444">
        <w:rPr>
          <w:rFonts w:cs="Arial"/>
          <w:szCs w:val="19"/>
          <w:lang w:val="en-US"/>
        </w:rPr>
        <w:t xml:space="preserve">biggest </w:t>
      </w:r>
      <w:r w:rsidR="00111425">
        <w:rPr>
          <w:rFonts w:cs="Arial"/>
          <w:szCs w:val="19"/>
          <w:lang w:val="en-US"/>
        </w:rPr>
        <w:t>increase of revenues in 202</w:t>
      </w:r>
      <w:r w:rsidR="00100444">
        <w:rPr>
          <w:rFonts w:cs="Arial"/>
          <w:szCs w:val="19"/>
          <w:lang w:val="en-US"/>
        </w:rPr>
        <w:t>2</w:t>
      </w:r>
      <w:r w:rsidR="00111425">
        <w:rPr>
          <w:rFonts w:cs="Arial"/>
          <w:szCs w:val="19"/>
          <w:lang w:val="en-US"/>
        </w:rPr>
        <w:t xml:space="preserve"> year </w:t>
      </w:r>
      <w:r w:rsidR="00C80397">
        <w:rPr>
          <w:rFonts w:cs="Arial"/>
          <w:szCs w:val="19"/>
          <w:lang w:val="en-US"/>
        </w:rPr>
        <w:t>was</w:t>
      </w:r>
      <w:r w:rsidR="00F23BFC">
        <w:rPr>
          <w:rFonts w:cs="Arial"/>
          <w:szCs w:val="19"/>
          <w:lang w:val="en-US"/>
        </w:rPr>
        <w:t xml:space="preserve"> observed in transactions: </w:t>
      </w:r>
      <w:r w:rsidR="00DA7768">
        <w:rPr>
          <w:rFonts w:cs="Arial"/>
          <w:szCs w:val="19"/>
          <w:lang w:val="en-US"/>
        </w:rPr>
        <w:t>m</w:t>
      </w:r>
      <w:r w:rsidR="00DA7768" w:rsidRPr="00DA7768">
        <w:rPr>
          <w:rFonts w:cs="Arial"/>
          <w:szCs w:val="19"/>
          <w:lang w:val="en-US"/>
        </w:rPr>
        <w:t>arket output and output for own final use</w:t>
      </w:r>
      <w:r w:rsidR="00DA7768">
        <w:rPr>
          <w:rFonts w:cs="Arial"/>
          <w:szCs w:val="19"/>
          <w:lang w:val="en-US"/>
        </w:rPr>
        <w:t xml:space="preserve"> and </w:t>
      </w:r>
      <w:r w:rsidR="00100444">
        <w:rPr>
          <w:rFonts w:cs="Arial"/>
          <w:szCs w:val="19"/>
          <w:lang w:val="en-US"/>
        </w:rPr>
        <w:t>other</w:t>
      </w:r>
      <w:r w:rsidR="000E2279">
        <w:rPr>
          <w:rFonts w:cs="Arial"/>
          <w:szCs w:val="19"/>
          <w:lang w:val="en-US"/>
        </w:rPr>
        <w:t xml:space="preserve"> current transfers.</w:t>
      </w:r>
      <w:r w:rsidR="00F23BFC">
        <w:rPr>
          <w:rFonts w:cs="Arial"/>
          <w:szCs w:val="19"/>
          <w:lang w:val="en-US"/>
        </w:rPr>
        <w:t xml:space="preserve"> The expenditures </w:t>
      </w:r>
      <w:r w:rsidR="00DA7768">
        <w:rPr>
          <w:rFonts w:cs="Arial"/>
          <w:szCs w:val="19"/>
          <w:lang w:val="en-US"/>
        </w:rPr>
        <w:t>in 202</w:t>
      </w:r>
      <w:r w:rsidR="000E2279">
        <w:rPr>
          <w:rFonts w:cs="Arial"/>
          <w:szCs w:val="19"/>
          <w:lang w:val="en-US"/>
        </w:rPr>
        <w:t>2</w:t>
      </w:r>
      <w:r w:rsidR="00DA7768">
        <w:rPr>
          <w:rFonts w:cs="Arial"/>
          <w:szCs w:val="19"/>
          <w:lang w:val="en-US"/>
        </w:rPr>
        <w:t xml:space="preserve"> year</w:t>
      </w:r>
      <w:r w:rsidR="00F23BFC">
        <w:rPr>
          <w:rFonts w:cs="Arial"/>
          <w:szCs w:val="19"/>
          <w:lang w:val="en-US"/>
        </w:rPr>
        <w:t xml:space="preserve"> </w:t>
      </w:r>
      <w:r w:rsidR="00DA7768">
        <w:rPr>
          <w:rFonts w:cs="Arial"/>
          <w:szCs w:val="19"/>
          <w:lang w:val="en-US"/>
        </w:rPr>
        <w:t>increase</w:t>
      </w:r>
      <w:r w:rsidR="00F867B1">
        <w:rPr>
          <w:rFonts w:cs="Arial"/>
          <w:szCs w:val="19"/>
          <w:lang w:val="en-US"/>
        </w:rPr>
        <w:t>d</w:t>
      </w:r>
      <w:r w:rsidR="00626676">
        <w:rPr>
          <w:rFonts w:cs="Arial"/>
          <w:szCs w:val="19"/>
          <w:lang w:val="en-US"/>
        </w:rPr>
        <w:t xml:space="preserve"> </w:t>
      </w:r>
      <w:r w:rsidR="00E14FE3">
        <w:rPr>
          <w:rFonts w:cs="Arial"/>
          <w:szCs w:val="19"/>
          <w:lang w:val="en-US"/>
        </w:rPr>
        <w:t>by</w:t>
      </w:r>
      <w:r w:rsidR="00F23BFC">
        <w:rPr>
          <w:rFonts w:cs="Arial"/>
          <w:szCs w:val="19"/>
          <w:lang w:val="en-US"/>
        </w:rPr>
        <w:t xml:space="preserve"> </w:t>
      </w:r>
      <w:r w:rsidR="000E2279">
        <w:rPr>
          <w:rFonts w:cs="Arial"/>
          <w:szCs w:val="19"/>
          <w:lang w:val="en-US"/>
        </w:rPr>
        <w:t>6 392</w:t>
      </w:r>
      <w:r w:rsidR="00626676">
        <w:rPr>
          <w:rFonts w:cs="Arial"/>
          <w:szCs w:val="19"/>
          <w:lang w:val="en-US"/>
        </w:rPr>
        <w:t xml:space="preserve"> </w:t>
      </w:r>
      <w:proofErr w:type="spellStart"/>
      <w:r w:rsidR="00626676">
        <w:rPr>
          <w:rFonts w:cs="Arial"/>
          <w:szCs w:val="19"/>
          <w:lang w:val="en-US"/>
        </w:rPr>
        <w:t>mln</w:t>
      </w:r>
      <w:proofErr w:type="spellEnd"/>
      <w:r w:rsidR="00626676">
        <w:rPr>
          <w:rFonts w:cs="Arial"/>
          <w:szCs w:val="19"/>
          <w:lang w:val="en-US"/>
        </w:rPr>
        <w:t xml:space="preserve"> </w:t>
      </w:r>
      <w:proofErr w:type="spellStart"/>
      <w:r w:rsidR="00626676">
        <w:rPr>
          <w:rFonts w:cs="Arial"/>
          <w:szCs w:val="19"/>
          <w:lang w:val="en-US"/>
        </w:rPr>
        <w:t>zl</w:t>
      </w:r>
      <w:proofErr w:type="spellEnd"/>
      <w:r w:rsidR="00626676">
        <w:rPr>
          <w:rFonts w:cs="Arial"/>
          <w:szCs w:val="19"/>
          <w:lang w:val="en-US"/>
        </w:rPr>
        <w:t xml:space="preserve"> (0,</w:t>
      </w:r>
      <w:r w:rsidR="000E2279">
        <w:rPr>
          <w:rFonts w:cs="Arial"/>
          <w:szCs w:val="19"/>
          <w:lang w:val="en-US"/>
        </w:rPr>
        <w:t>4</w:t>
      </w:r>
      <w:r w:rsidR="00626676">
        <w:rPr>
          <w:rFonts w:cs="Arial"/>
          <w:szCs w:val="19"/>
          <w:lang w:val="en-US"/>
        </w:rPr>
        <w:t xml:space="preserve"> percentage point in relation to GDP</w:t>
      </w:r>
      <w:r w:rsidR="00DA7768">
        <w:rPr>
          <w:rFonts w:cs="Arial"/>
          <w:szCs w:val="19"/>
          <w:lang w:val="en-US"/>
        </w:rPr>
        <w:t xml:space="preserve">). </w:t>
      </w:r>
      <w:r w:rsidR="00D7313D">
        <w:rPr>
          <w:rFonts w:cs="Arial"/>
          <w:szCs w:val="19"/>
          <w:lang w:val="en-US"/>
        </w:rPr>
        <w:t>The changes of expenditures</w:t>
      </w:r>
      <w:r w:rsidR="000E2279">
        <w:rPr>
          <w:rFonts w:cs="Arial"/>
          <w:szCs w:val="19"/>
          <w:lang w:val="en-US"/>
        </w:rPr>
        <w:t xml:space="preserve"> mainly</w:t>
      </w:r>
      <w:r w:rsidR="00D7313D">
        <w:rPr>
          <w:rFonts w:cs="Arial"/>
          <w:szCs w:val="19"/>
          <w:lang w:val="en-US"/>
        </w:rPr>
        <w:t xml:space="preserve"> were in transactions</w:t>
      </w:r>
      <w:r w:rsidR="00DA7768">
        <w:rPr>
          <w:rFonts w:cs="Arial"/>
          <w:szCs w:val="19"/>
          <w:lang w:val="en-US"/>
        </w:rPr>
        <w:t xml:space="preserve">: </w:t>
      </w:r>
      <w:r w:rsidR="000E2279">
        <w:rPr>
          <w:rFonts w:cs="Arial"/>
          <w:szCs w:val="19"/>
          <w:lang w:val="en-US"/>
        </w:rPr>
        <w:t>s</w:t>
      </w:r>
      <w:r w:rsidR="000E2279" w:rsidRPr="000E2279">
        <w:rPr>
          <w:rFonts w:cs="Arial"/>
          <w:szCs w:val="19"/>
          <w:lang w:val="en-US"/>
        </w:rPr>
        <w:t>ocial benefits other than social transfers in kind</w:t>
      </w:r>
      <w:r w:rsidR="000E2279">
        <w:rPr>
          <w:rFonts w:cs="Arial"/>
          <w:szCs w:val="19"/>
          <w:lang w:val="en-US"/>
        </w:rPr>
        <w:t>, s</w:t>
      </w:r>
      <w:r w:rsidR="000E2279" w:rsidRPr="000E2279">
        <w:rPr>
          <w:rFonts w:cs="Arial"/>
          <w:szCs w:val="19"/>
          <w:lang w:val="en-US"/>
        </w:rPr>
        <w:t xml:space="preserve">ocial transfers in kind </w:t>
      </w:r>
      <w:r w:rsidR="000E2279">
        <w:rPr>
          <w:rFonts w:cs="Arial"/>
          <w:szCs w:val="19"/>
          <w:lang w:val="en-US"/>
        </w:rPr>
        <w:t>and o</w:t>
      </w:r>
      <w:r w:rsidR="000E2279" w:rsidRPr="000E2279">
        <w:rPr>
          <w:rFonts w:cs="Arial"/>
          <w:szCs w:val="19"/>
          <w:lang w:val="en-US"/>
        </w:rPr>
        <w:t>ther current transfers</w:t>
      </w:r>
      <w:r w:rsidR="000E2279">
        <w:rPr>
          <w:rFonts w:cs="Arial"/>
          <w:szCs w:val="19"/>
          <w:lang w:val="en-US"/>
        </w:rPr>
        <w:t>.</w:t>
      </w:r>
    </w:p>
    <w:p w:rsidR="001A5332" w:rsidRDefault="001A5332" w:rsidP="00AA37AC">
      <w:pPr>
        <w:spacing w:before="0" w:line="288" w:lineRule="auto"/>
        <w:ind w:right="130"/>
        <w:rPr>
          <w:rFonts w:cs="Arial"/>
          <w:szCs w:val="19"/>
          <w:lang w:val="en-US"/>
        </w:rPr>
      </w:pPr>
      <w:r w:rsidRPr="00AA6E24">
        <w:rPr>
          <w:rFonts w:cs="Arial"/>
          <w:szCs w:val="19"/>
          <w:lang w:val="en-US"/>
        </w:rPr>
        <w:t>Detailed data on revenues and expenditures of the general government sector divided into ESA2010 transactions are presented in Annex 1.</w:t>
      </w:r>
    </w:p>
    <w:p w:rsidR="00A95B33" w:rsidRPr="00A95B33" w:rsidRDefault="00A95B33" w:rsidP="00AA37AC">
      <w:pPr>
        <w:spacing w:line="288" w:lineRule="auto"/>
        <w:ind w:right="130"/>
        <w:rPr>
          <w:rFonts w:cs="Arial"/>
          <w:szCs w:val="19"/>
          <w:lang w:val="en-US"/>
        </w:rPr>
      </w:pPr>
      <w:r w:rsidRPr="00A95B33">
        <w:rPr>
          <w:rFonts w:cs="Arial"/>
          <w:szCs w:val="19"/>
          <w:lang w:val="en-US"/>
        </w:rPr>
        <w:t>Information on</w:t>
      </w:r>
      <w:r w:rsidR="008202F5">
        <w:rPr>
          <w:rFonts w:cs="Arial"/>
          <w:szCs w:val="19"/>
          <w:lang w:val="en-US"/>
        </w:rPr>
        <w:t xml:space="preserve"> the</w:t>
      </w:r>
      <w:r w:rsidRPr="00A95B33">
        <w:rPr>
          <w:rFonts w:cs="Arial"/>
          <w:szCs w:val="19"/>
          <w:lang w:val="en-US"/>
        </w:rPr>
        <w:t xml:space="preserve"> general government deficit and debt of all EU Member States will </w:t>
      </w:r>
      <w:r w:rsidR="00116E26">
        <w:rPr>
          <w:rFonts w:cs="Arial"/>
          <w:szCs w:val="19"/>
          <w:lang w:val="en-US"/>
        </w:rPr>
        <w:t xml:space="preserve">                 </w:t>
      </w:r>
      <w:r w:rsidRPr="00A95B33">
        <w:rPr>
          <w:rFonts w:cs="Arial"/>
          <w:szCs w:val="19"/>
          <w:lang w:val="en-US"/>
        </w:rPr>
        <w:t xml:space="preserve">be available on </w:t>
      </w:r>
      <w:r w:rsidR="00532943">
        <w:rPr>
          <w:rFonts w:cs="Arial"/>
          <w:szCs w:val="19"/>
          <w:lang w:val="en-US"/>
        </w:rPr>
        <w:t>2</w:t>
      </w:r>
      <w:r w:rsidR="0048170D">
        <w:rPr>
          <w:rFonts w:cs="Arial"/>
          <w:szCs w:val="19"/>
          <w:lang w:val="en-US"/>
        </w:rPr>
        <w:t>3</w:t>
      </w:r>
      <w:r w:rsidR="00532943" w:rsidRPr="00A95B33">
        <w:rPr>
          <w:rFonts w:cs="Arial"/>
          <w:szCs w:val="19"/>
          <w:lang w:val="en-US"/>
        </w:rPr>
        <w:t xml:space="preserve"> </w:t>
      </w:r>
      <w:r w:rsidR="0048170D">
        <w:rPr>
          <w:rFonts w:cs="Arial"/>
          <w:szCs w:val="19"/>
          <w:lang w:val="en-US"/>
        </w:rPr>
        <w:t>October</w:t>
      </w:r>
      <w:r w:rsidR="002D5237">
        <w:rPr>
          <w:rFonts w:cs="Arial"/>
          <w:szCs w:val="19"/>
          <w:lang w:val="en-US"/>
        </w:rPr>
        <w:t xml:space="preserve"> </w:t>
      </w:r>
      <w:r w:rsidR="00C678E8">
        <w:rPr>
          <w:rFonts w:cs="Arial"/>
          <w:szCs w:val="19"/>
          <w:lang w:val="en-US"/>
        </w:rPr>
        <w:t>202</w:t>
      </w:r>
      <w:r w:rsidR="0048170D">
        <w:rPr>
          <w:rFonts w:cs="Arial"/>
          <w:szCs w:val="19"/>
          <w:lang w:val="en-US"/>
        </w:rPr>
        <w:t>3</w:t>
      </w:r>
      <w:r w:rsidR="00532943" w:rsidRPr="00A95B33">
        <w:rPr>
          <w:rFonts w:cs="Arial"/>
          <w:szCs w:val="19"/>
          <w:lang w:val="en-US"/>
        </w:rPr>
        <w:t xml:space="preserve"> </w:t>
      </w:r>
      <w:r w:rsidRPr="00A95B33">
        <w:rPr>
          <w:rFonts w:cs="Arial"/>
          <w:szCs w:val="19"/>
          <w:lang w:val="en-US"/>
        </w:rPr>
        <w:t>at 11 a.m. on the Eurostat website:</w:t>
      </w:r>
    </w:p>
    <w:p w:rsidR="00A95B33" w:rsidRPr="00B632DC" w:rsidRDefault="00A617CD" w:rsidP="00AA37AC">
      <w:pPr>
        <w:spacing w:line="288" w:lineRule="auto"/>
        <w:ind w:right="130"/>
        <w:rPr>
          <w:rStyle w:val="Hipercze"/>
          <w:color w:val="auto"/>
          <w:szCs w:val="19"/>
          <w:lang w:val="en-US"/>
        </w:rPr>
      </w:pPr>
      <w:r w:rsidRPr="00B632DC">
        <w:rPr>
          <w:szCs w:val="19"/>
          <w:lang w:val="en-US"/>
        </w:rPr>
        <w:fldChar w:fldCharType="begin"/>
      </w:r>
      <w:r w:rsidRPr="00B632DC">
        <w:rPr>
          <w:szCs w:val="19"/>
          <w:lang w:val="en-US"/>
        </w:rPr>
        <w:instrText xml:space="preserve"> HYPERLINK "http://epp.eurostat.ec.europa.eu/portal/page/portal/eurostat/home" </w:instrText>
      </w:r>
      <w:r w:rsidRPr="00B632DC">
        <w:rPr>
          <w:szCs w:val="19"/>
          <w:lang w:val="en-US"/>
        </w:rPr>
        <w:fldChar w:fldCharType="separate"/>
      </w:r>
      <w:r w:rsidR="00A95B33" w:rsidRPr="00B632DC">
        <w:rPr>
          <w:rStyle w:val="Hipercze"/>
          <w:color w:val="auto"/>
          <w:szCs w:val="19"/>
          <w:lang w:val="en-US"/>
        </w:rPr>
        <w:t xml:space="preserve">http://epp.eurostat.ec.europa.eu/portal/page/portal/eurostat/home. </w:t>
      </w:r>
    </w:p>
    <w:p w:rsidR="00C80397" w:rsidRPr="00C80397" w:rsidRDefault="00A617CD" w:rsidP="00AA37AC">
      <w:pPr>
        <w:spacing w:line="288" w:lineRule="auto"/>
        <w:ind w:right="130"/>
        <w:rPr>
          <w:rFonts w:cs="Arial"/>
          <w:color w:val="FF0000"/>
          <w:szCs w:val="19"/>
          <w:lang w:val="en-US"/>
        </w:rPr>
      </w:pPr>
      <w:r w:rsidRPr="00B632DC">
        <w:rPr>
          <w:szCs w:val="19"/>
          <w:lang w:val="en-US"/>
        </w:rPr>
        <w:fldChar w:fldCharType="end"/>
      </w:r>
      <w:r w:rsidR="00A95B33" w:rsidRPr="00A95B33">
        <w:rPr>
          <w:rFonts w:cs="Arial"/>
          <w:szCs w:val="19"/>
          <w:lang w:val="en-US"/>
        </w:rPr>
        <w:t xml:space="preserve">Inventory of the methods, procedures and sources used for the compilation of deficit and debt data and the underlying government sector accounts according to ESA2010 prepared according to the European Commission’s guidelines in English version is available on Eurostat website: </w:t>
      </w:r>
      <w:r w:rsidR="008F3133">
        <w:rPr>
          <w:rFonts w:cs="Arial"/>
          <w:szCs w:val="19"/>
          <w:lang w:val="en-US"/>
        </w:rPr>
        <w:t xml:space="preserve"> </w:t>
      </w:r>
    </w:p>
    <w:p w:rsidR="00C80397" w:rsidRPr="004D19B3" w:rsidRDefault="00C80397" w:rsidP="00C80397">
      <w:pPr>
        <w:spacing w:line="288" w:lineRule="auto"/>
        <w:ind w:right="130"/>
        <w:rPr>
          <w:rFonts w:cs="Arial"/>
          <w:szCs w:val="19"/>
        </w:rPr>
      </w:pPr>
      <w:r w:rsidRPr="004D19B3">
        <w:rPr>
          <w:szCs w:val="19"/>
        </w:rPr>
        <w:fldChar w:fldCharType="begin"/>
      </w:r>
      <w:r w:rsidRPr="004D19B3">
        <w:rPr>
          <w:szCs w:val="19"/>
        </w:rPr>
        <w:instrText xml:space="preserve"> HYPERLINK "http://ec.europa.eu/eurostat/web/government-finance-statistics/excessive-deficit-procedure/edp-inventories</w:instrText>
      </w:r>
      <w:r w:rsidRPr="004D19B3">
        <w:rPr>
          <w:rFonts w:cs="Arial"/>
          <w:szCs w:val="19"/>
        </w:rPr>
        <w:instrText>.</w:instrText>
      </w:r>
    </w:p>
    <w:p w:rsidR="00C80397" w:rsidRPr="004D19B3" w:rsidRDefault="00C80397" w:rsidP="00C80397">
      <w:pPr>
        <w:spacing w:line="288" w:lineRule="auto"/>
        <w:ind w:right="130"/>
        <w:rPr>
          <w:rStyle w:val="Hipercze"/>
          <w:rFonts w:cs="Arial"/>
          <w:color w:val="auto"/>
          <w:szCs w:val="19"/>
        </w:rPr>
      </w:pPr>
      <w:r w:rsidRPr="004D19B3">
        <w:rPr>
          <w:szCs w:val="19"/>
        </w:rPr>
        <w:instrText xml:space="preserve">" </w:instrText>
      </w:r>
      <w:r w:rsidRPr="004D19B3">
        <w:rPr>
          <w:szCs w:val="19"/>
        </w:rPr>
        <w:fldChar w:fldCharType="separate"/>
      </w:r>
      <w:r w:rsidRPr="004D19B3">
        <w:rPr>
          <w:rStyle w:val="Hipercze"/>
          <w:color w:val="auto"/>
          <w:szCs w:val="19"/>
        </w:rPr>
        <w:t>http://ec.europa.eu/eurostat/web/government-finance-statistics/excessive-deficit-procedure/edp-inventories</w:t>
      </w:r>
      <w:r w:rsidRPr="004D19B3">
        <w:rPr>
          <w:rStyle w:val="Hipercze"/>
          <w:rFonts w:cs="Arial"/>
          <w:color w:val="auto"/>
          <w:szCs w:val="19"/>
        </w:rPr>
        <w:t>.</w:t>
      </w:r>
    </w:p>
    <w:p w:rsidR="00C80397" w:rsidRPr="000E4937" w:rsidRDefault="00C80397" w:rsidP="00C80397">
      <w:pPr>
        <w:spacing w:line="288" w:lineRule="auto"/>
        <w:ind w:right="130"/>
        <w:rPr>
          <w:rFonts w:cs="Arial"/>
          <w:szCs w:val="19"/>
        </w:rPr>
        <w:sectPr w:rsidR="00C80397" w:rsidRPr="000E4937" w:rsidSect="004C62B0">
          <w:headerReference w:type="default" r:id="rId14"/>
          <w:headerReference w:type="first" r:id="rId15"/>
          <w:pgSz w:w="11906" w:h="16838"/>
          <w:pgMar w:top="1532" w:right="2975" w:bottom="720" w:left="720" w:header="284" w:footer="397" w:gutter="0"/>
          <w:cols w:space="708"/>
          <w:titlePg/>
          <w:docGrid w:linePitch="360"/>
        </w:sectPr>
      </w:pPr>
      <w:r w:rsidRPr="004D19B3">
        <w:rPr>
          <w:szCs w:val="19"/>
        </w:rPr>
        <w:fldChar w:fldCharType="end"/>
      </w:r>
    </w:p>
    <w:p w:rsidR="00FB60FD" w:rsidRDefault="00FB60FD" w:rsidP="00704CED">
      <w:pPr>
        <w:spacing w:line="288" w:lineRule="auto"/>
        <w:rPr>
          <w:rFonts w:ascii="Calibri" w:hAnsi="Calibri"/>
          <w:sz w:val="22"/>
          <w:lang w:val="en-US"/>
        </w:rPr>
      </w:pPr>
      <w:r>
        <w:rPr>
          <w:lang w:val="en-GB"/>
        </w:rPr>
        <w:lastRenderedPageBreak/>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rsidR="00F75026" w:rsidRPr="00905C6D" w:rsidRDefault="00F75026" w:rsidP="0036643A">
      <w:pPr>
        <w:rPr>
          <w:sz w:val="18"/>
          <w:szCs w:val="18"/>
          <w:lang w:val="en-GB"/>
        </w:rPr>
      </w:pPr>
    </w:p>
    <w:p w:rsidR="00304841" w:rsidRPr="00905C6D" w:rsidRDefault="00304841" w:rsidP="00F75026">
      <w:pPr>
        <w:rPr>
          <w:sz w:val="18"/>
          <w:lang w:val="en-GB"/>
        </w:rPr>
      </w:pPr>
    </w:p>
    <w:p w:rsidR="00F75026" w:rsidRPr="00F24737" w:rsidRDefault="00F75026" w:rsidP="00F75026">
      <w:pPr>
        <w:rPr>
          <w:sz w:val="18"/>
          <w:lang w:val="en-GB"/>
        </w:rPr>
      </w:pPr>
    </w:p>
    <w:tbl>
      <w:tblPr>
        <w:tblW w:w="9853" w:type="dxa"/>
        <w:tblInd w:w="279" w:type="dxa"/>
        <w:tblLook w:val="04A0" w:firstRow="1" w:lastRow="0" w:firstColumn="1" w:lastColumn="0" w:noHBand="0" w:noVBand="1"/>
      </w:tblPr>
      <w:tblGrid>
        <w:gridCol w:w="4926"/>
        <w:gridCol w:w="4927"/>
      </w:tblGrid>
      <w:tr w:rsidR="00704CED" w:rsidTr="001D3F48">
        <w:trPr>
          <w:trHeight w:val="1626"/>
        </w:trPr>
        <w:tc>
          <w:tcPr>
            <w:tcW w:w="4926" w:type="dxa"/>
            <w:shd w:val="clear" w:color="auto" w:fill="auto"/>
          </w:tcPr>
          <w:p w:rsidR="00704CED" w:rsidRPr="00F24737" w:rsidRDefault="00704CED" w:rsidP="001D3F48">
            <w:pPr>
              <w:spacing w:before="0" w:after="0" w:line="276" w:lineRule="auto"/>
              <w:rPr>
                <w:rFonts w:cs="Arial"/>
                <w:sz w:val="20"/>
                <w:lang w:val="en-GB"/>
              </w:rPr>
            </w:pPr>
            <w:bookmarkStart w:id="10" w:name="_Hlk101427354"/>
            <w:r w:rsidRPr="00F24737">
              <w:rPr>
                <w:rFonts w:cs="Arial"/>
                <w:sz w:val="20"/>
                <w:lang w:val="en-GB"/>
              </w:rPr>
              <w:t>Prepared by:</w:t>
            </w:r>
          </w:p>
          <w:p w:rsidR="00704CED" w:rsidRPr="00F24737" w:rsidRDefault="00704CED" w:rsidP="001D3F48">
            <w:pPr>
              <w:spacing w:before="0" w:line="276" w:lineRule="auto"/>
              <w:rPr>
                <w:rFonts w:cs="Arial"/>
                <w:b/>
                <w:color w:val="000000"/>
                <w:sz w:val="20"/>
                <w:lang w:val="en-GB"/>
              </w:rPr>
            </w:pPr>
            <w:r w:rsidRPr="00F24737">
              <w:rPr>
                <w:rFonts w:cs="Arial"/>
                <w:b/>
                <w:color w:val="000000"/>
                <w:sz w:val="20"/>
                <w:lang w:val="en-GB"/>
              </w:rPr>
              <w:t>National Accounts</w:t>
            </w:r>
            <w:r w:rsidRPr="002C1A71">
              <w:rPr>
                <w:rFonts w:cs="Arial"/>
                <w:b/>
                <w:color w:val="000000"/>
                <w:sz w:val="18"/>
                <w:szCs w:val="18"/>
                <w:lang w:val="en-US"/>
              </w:rPr>
              <w:t xml:space="preserve"> </w:t>
            </w:r>
            <w:r w:rsidRPr="00F24737">
              <w:rPr>
                <w:rFonts w:cs="Arial"/>
                <w:b/>
                <w:color w:val="000000"/>
                <w:sz w:val="20"/>
                <w:lang w:val="en-GB"/>
              </w:rPr>
              <w:t>Department</w:t>
            </w:r>
          </w:p>
          <w:p w:rsidR="00704CED" w:rsidRPr="002C1A71" w:rsidRDefault="00704CED" w:rsidP="001D3F48">
            <w:pPr>
              <w:spacing w:before="0" w:after="0" w:line="276" w:lineRule="auto"/>
              <w:rPr>
                <w:b/>
                <w:sz w:val="20"/>
                <w:szCs w:val="20"/>
                <w:lang w:val="fi-FI"/>
              </w:rPr>
            </w:pPr>
            <w:r w:rsidRPr="002C1A71">
              <w:rPr>
                <w:b/>
                <w:sz w:val="20"/>
                <w:szCs w:val="20"/>
                <w:lang w:val="fi-FI"/>
              </w:rPr>
              <w:t>Director Anita Perzyna</w:t>
            </w:r>
          </w:p>
          <w:p w:rsidR="00704CED" w:rsidRPr="002C1A71" w:rsidRDefault="00704CED" w:rsidP="001D3F48">
            <w:pPr>
              <w:pStyle w:val="Nagwek3"/>
              <w:spacing w:before="0" w:after="120" w:line="240" w:lineRule="auto"/>
              <w:rPr>
                <w:rFonts w:ascii="Fira Sans" w:hAnsi="Fira Sans" w:cs="Arial"/>
                <w:color w:val="000000"/>
                <w:sz w:val="20"/>
                <w:lang w:val="fi-FI"/>
              </w:rPr>
            </w:pPr>
            <w:r w:rsidRPr="002C1A71">
              <w:rPr>
                <w:rFonts w:ascii="Fira Sans" w:hAnsi="Fira Sans" w:cs="Arial"/>
                <w:color w:val="000000"/>
                <w:sz w:val="20"/>
                <w:lang w:val="fi-FI"/>
              </w:rPr>
              <w:t>Phone: (+48 22)</w:t>
            </w:r>
            <w:r w:rsidRPr="002C1A71">
              <w:rPr>
                <w:rFonts w:ascii="Fira Sans" w:hAnsi="Fira Sans" w:cs="Arial"/>
                <w:color w:val="000000"/>
                <w:sz w:val="20"/>
                <w:lang w:val="fi-FI" w:eastAsia="en-US"/>
              </w:rPr>
              <w:t> 608 31 17</w:t>
            </w:r>
          </w:p>
        </w:tc>
        <w:tc>
          <w:tcPr>
            <w:tcW w:w="4927" w:type="dxa"/>
            <w:shd w:val="clear" w:color="auto" w:fill="auto"/>
          </w:tcPr>
          <w:p w:rsidR="00704CED" w:rsidRPr="00F24737" w:rsidRDefault="00704CED" w:rsidP="001D3F48">
            <w:pPr>
              <w:spacing w:before="0" w:line="276" w:lineRule="auto"/>
              <w:rPr>
                <w:rFonts w:cs="Arial"/>
                <w:b/>
                <w:sz w:val="20"/>
                <w:lang w:val="en-GB"/>
              </w:rPr>
            </w:pPr>
            <w:r w:rsidRPr="00F24737">
              <w:rPr>
                <w:rFonts w:cs="Arial"/>
                <w:sz w:val="20"/>
                <w:lang w:val="en-GB"/>
              </w:rPr>
              <w:t>Issued by:</w:t>
            </w:r>
            <w:r w:rsidRPr="00F24737">
              <w:rPr>
                <w:rFonts w:cs="Arial"/>
                <w:sz w:val="20"/>
                <w:lang w:val="en-GB"/>
              </w:rPr>
              <w:br/>
            </w:r>
            <w:r w:rsidRPr="00F24737">
              <w:rPr>
                <w:rFonts w:cs="Arial"/>
                <w:b/>
                <w:sz w:val="20"/>
                <w:lang w:val="en-GB"/>
              </w:rPr>
              <w:t>The Spokesperson for the President</w:t>
            </w:r>
            <w:r w:rsidRPr="00F24737">
              <w:rPr>
                <w:rFonts w:cs="Arial"/>
                <w:b/>
                <w:sz w:val="20"/>
                <w:lang w:val="en-GB"/>
              </w:rPr>
              <w:br/>
              <w:t>of Statistics Poland</w:t>
            </w:r>
          </w:p>
          <w:p w:rsidR="00704CED" w:rsidRPr="002C1A71" w:rsidRDefault="00704CED" w:rsidP="001D3F48">
            <w:pPr>
              <w:pStyle w:val="Nagwek3"/>
              <w:spacing w:before="0" w:line="240" w:lineRule="auto"/>
              <w:rPr>
                <w:rFonts w:ascii="Fira Sans" w:hAnsi="Fira Sans" w:cs="Arial"/>
                <w:b/>
                <w:color w:val="auto"/>
                <w:sz w:val="20"/>
                <w:szCs w:val="28"/>
              </w:rPr>
            </w:pPr>
            <w:r w:rsidRPr="002C1A71">
              <w:rPr>
                <w:rFonts w:ascii="Fira Sans" w:hAnsi="Fira Sans" w:cs="Arial"/>
                <w:b/>
                <w:color w:val="auto"/>
                <w:sz w:val="20"/>
                <w:szCs w:val="28"/>
              </w:rPr>
              <w:t>Karolina Banaszek</w:t>
            </w:r>
          </w:p>
          <w:p w:rsidR="00704CED" w:rsidRPr="002C1A71" w:rsidRDefault="00704CED" w:rsidP="001D3F48">
            <w:pPr>
              <w:pStyle w:val="Nagwek3"/>
              <w:spacing w:before="0" w:line="240" w:lineRule="auto"/>
              <w:rPr>
                <w:rFonts w:ascii="Fira Sans" w:hAnsi="Fira Sans" w:cs="Arial"/>
                <w:color w:val="auto"/>
                <w:sz w:val="20"/>
                <w:lang w:val="fi-FI"/>
              </w:rPr>
            </w:pPr>
            <w:r w:rsidRPr="002C1A71">
              <w:rPr>
                <w:rFonts w:ascii="Fira Sans" w:hAnsi="Fira Sans" w:cs="Arial"/>
                <w:color w:val="auto"/>
                <w:sz w:val="20"/>
                <w:lang w:val="fi-FI"/>
              </w:rPr>
              <w:t>Phone: (+48) 695 255 011</w:t>
            </w:r>
          </w:p>
          <w:p w:rsidR="00704CED" w:rsidRPr="002C1A71" w:rsidRDefault="00704CED" w:rsidP="001D3F48">
            <w:pPr>
              <w:rPr>
                <w:sz w:val="18"/>
              </w:rPr>
            </w:pPr>
          </w:p>
        </w:tc>
      </w:tr>
      <w:tr w:rsidR="00185AD0" w:rsidRPr="00A57B83" w:rsidTr="001D3F48">
        <w:trPr>
          <w:trHeight w:val="418"/>
        </w:trPr>
        <w:tc>
          <w:tcPr>
            <w:tcW w:w="4926" w:type="dxa"/>
            <w:vMerge w:val="restart"/>
            <w:shd w:val="clear" w:color="auto" w:fill="auto"/>
          </w:tcPr>
          <w:p w:rsidR="00185AD0" w:rsidRPr="00F24737" w:rsidRDefault="00185AD0" w:rsidP="00185AD0">
            <w:pPr>
              <w:rPr>
                <w:b/>
                <w:sz w:val="20"/>
                <w:lang w:val="en-GB"/>
              </w:rPr>
            </w:pPr>
            <w:r w:rsidRPr="00F24737">
              <w:rPr>
                <w:b/>
                <w:sz w:val="20"/>
                <w:lang w:val="en-GB"/>
              </w:rPr>
              <w:t xml:space="preserve">Press Office </w:t>
            </w:r>
          </w:p>
          <w:p w:rsidR="00185AD0" w:rsidRPr="00F24737" w:rsidRDefault="00185AD0" w:rsidP="00185AD0">
            <w:pPr>
              <w:rPr>
                <w:sz w:val="20"/>
                <w:lang w:val="en-GB"/>
              </w:rPr>
            </w:pPr>
            <w:r w:rsidRPr="00F24737">
              <w:rPr>
                <w:sz w:val="20"/>
                <w:lang w:val="en-GB"/>
              </w:rPr>
              <w:t xml:space="preserve">Phone: (+48 22) 608 38 04 </w:t>
            </w:r>
          </w:p>
          <w:p w:rsidR="00185AD0" w:rsidRPr="002C1A71" w:rsidRDefault="00185AD0" w:rsidP="00185AD0">
            <w:pPr>
              <w:rPr>
                <w:sz w:val="18"/>
                <w:lang w:val="en-US"/>
              </w:rPr>
            </w:pPr>
            <w:r w:rsidRPr="002C1A71">
              <w:rPr>
                <w:b/>
                <w:sz w:val="20"/>
                <w:lang w:val="en-GB"/>
              </w:rPr>
              <w:t>e-mail:</w:t>
            </w:r>
            <w:r w:rsidRPr="002C1A71">
              <w:rPr>
                <w:sz w:val="20"/>
                <w:lang w:val="en-GB"/>
              </w:rPr>
              <w:t xml:space="preserve"> </w:t>
            </w:r>
            <w:hyperlink r:id="rId16" w:history="1">
              <w:r w:rsidRPr="002C1A71">
                <w:rPr>
                  <w:rStyle w:val="Hipercze"/>
                  <w:rFonts w:eastAsia="Times New Roman" w:cs="Arial"/>
                  <w:b/>
                  <w:color w:val="auto"/>
                  <w:sz w:val="20"/>
                  <w:szCs w:val="20"/>
                  <w:lang w:val="en-US"/>
                </w:rPr>
                <w:t>obslugaprasowa@stat.gov.pl</w:t>
              </w:r>
            </w:hyperlink>
          </w:p>
        </w:tc>
        <w:tc>
          <w:tcPr>
            <w:tcW w:w="4927" w:type="dxa"/>
            <w:shd w:val="clear" w:color="auto" w:fill="auto"/>
            <w:vAlign w:val="center"/>
          </w:tcPr>
          <w:p w:rsidR="00185AD0" w:rsidRDefault="00185AD0" w:rsidP="00185AD0">
            <w:pPr>
              <w:ind w:firstLine="680"/>
              <w:rPr>
                <w:sz w:val="18"/>
              </w:rPr>
            </w:pPr>
            <w:r>
              <w:rPr>
                <w:noProof/>
                <w:sz w:val="20"/>
                <w:lang w:val="en-GB" w:eastAsia="en-GB"/>
              </w:rPr>
              <w:drawing>
                <wp:anchor distT="0" distB="0" distL="114300" distR="114300" simplePos="0" relativeHeight="251682304" behindDoc="0" locked="0" layoutInCell="1" allowOverlap="1" wp14:anchorId="265ACCFC" wp14:editId="04769A85">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r>
              <w:rPr>
                <w:sz w:val="18"/>
              </w:rPr>
              <w:t xml:space="preserve">     </w:t>
            </w:r>
          </w:p>
        </w:tc>
      </w:tr>
      <w:tr w:rsidR="00185AD0" w:rsidTr="001D3F48">
        <w:trPr>
          <w:trHeight w:val="418"/>
        </w:trPr>
        <w:tc>
          <w:tcPr>
            <w:tcW w:w="4926" w:type="dxa"/>
            <w:vMerge/>
            <w:shd w:val="clear" w:color="auto" w:fill="auto"/>
          </w:tcPr>
          <w:p w:rsidR="00185AD0" w:rsidRPr="00F24737" w:rsidRDefault="00185AD0" w:rsidP="00185AD0">
            <w:pPr>
              <w:rPr>
                <w:b/>
                <w:sz w:val="20"/>
                <w:lang w:val="en-US"/>
              </w:rPr>
            </w:pPr>
          </w:p>
        </w:tc>
        <w:tc>
          <w:tcPr>
            <w:tcW w:w="4927" w:type="dxa"/>
            <w:shd w:val="clear" w:color="auto" w:fill="auto"/>
            <w:vAlign w:val="center"/>
          </w:tcPr>
          <w:p w:rsidR="00185AD0" w:rsidRDefault="00185AD0" w:rsidP="00185AD0">
            <w:pPr>
              <w:ind w:firstLine="680"/>
              <w:rPr>
                <w:sz w:val="18"/>
              </w:rPr>
            </w:pPr>
            <w:r>
              <w:rPr>
                <w:noProof/>
                <w:sz w:val="20"/>
                <w:lang w:val="en-GB" w:eastAsia="en-GB"/>
              </w:rPr>
              <w:drawing>
                <wp:anchor distT="0" distB="0" distL="114300" distR="114300" simplePos="0" relativeHeight="251683328" behindDoc="0" locked="0" layoutInCell="1" allowOverlap="1" wp14:anchorId="4474C7A7" wp14:editId="4F1C1EFE">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185AD0" w:rsidTr="001D3F48">
        <w:trPr>
          <w:trHeight w:val="480"/>
        </w:trPr>
        <w:tc>
          <w:tcPr>
            <w:tcW w:w="4926" w:type="dxa"/>
            <w:vMerge/>
            <w:shd w:val="clear" w:color="auto" w:fill="auto"/>
          </w:tcPr>
          <w:p w:rsidR="00185AD0" w:rsidRPr="002C1A71" w:rsidRDefault="00185AD0" w:rsidP="00185AD0">
            <w:pPr>
              <w:rPr>
                <w:b/>
                <w:sz w:val="20"/>
              </w:rPr>
            </w:pPr>
          </w:p>
        </w:tc>
        <w:tc>
          <w:tcPr>
            <w:tcW w:w="4927" w:type="dxa"/>
            <w:shd w:val="clear" w:color="auto" w:fill="auto"/>
          </w:tcPr>
          <w:p w:rsidR="00185AD0" w:rsidRDefault="00185AD0" w:rsidP="00185AD0">
            <w:pPr>
              <w:ind w:firstLine="680"/>
              <w:rPr>
                <w:sz w:val="18"/>
              </w:rPr>
            </w:pPr>
            <w:r>
              <w:rPr>
                <w:noProof/>
                <w:sz w:val="20"/>
                <w:lang w:val="en-GB" w:eastAsia="en-GB"/>
              </w:rPr>
              <w:drawing>
                <wp:anchor distT="0" distB="0" distL="114300" distR="114300" simplePos="0" relativeHeight="251684352" behindDoc="0" locked="0" layoutInCell="1" allowOverlap="1" wp14:anchorId="4F209C34" wp14:editId="31155347">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185AD0" w:rsidTr="001D3F48">
        <w:trPr>
          <w:trHeight w:val="480"/>
        </w:trPr>
        <w:tc>
          <w:tcPr>
            <w:tcW w:w="4926" w:type="dxa"/>
            <w:shd w:val="clear" w:color="auto" w:fill="auto"/>
          </w:tcPr>
          <w:p w:rsidR="00185AD0" w:rsidRPr="002C1A71" w:rsidRDefault="00185AD0" w:rsidP="00185AD0">
            <w:pPr>
              <w:rPr>
                <w:b/>
                <w:sz w:val="20"/>
              </w:rPr>
            </w:pPr>
          </w:p>
        </w:tc>
        <w:tc>
          <w:tcPr>
            <w:tcW w:w="4927" w:type="dxa"/>
            <w:shd w:val="clear" w:color="auto" w:fill="auto"/>
          </w:tcPr>
          <w:p w:rsidR="00185AD0" w:rsidRPr="003D5F42" w:rsidRDefault="00185AD0" w:rsidP="00185AD0">
            <w:pPr>
              <w:ind w:firstLine="680"/>
              <w:rPr>
                <w:sz w:val="20"/>
              </w:rPr>
            </w:pPr>
            <w:r>
              <w:rPr>
                <w:noProof/>
                <w:sz w:val="20"/>
                <w:lang w:val="en-GB" w:eastAsia="en-GB"/>
              </w:rPr>
              <w:drawing>
                <wp:anchor distT="0" distB="0" distL="114300" distR="114300" simplePos="0" relativeHeight="251685376" behindDoc="0" locked="0" layoutInCell="1" allowOverlap="1" wp14:anchorId="240A0EFC" wp14:editId="30ED8E26">
                  <wp:simplePos x="0" y="0"/>
                  <wp:positionH relativeFrom="column">
                    <wp:posOffset>82550</wp:posOffset>
                  </wp:positionH>
                  <wp:positionV relativeFrom="paragraph">
                    <wp:posOffset>12700</wp:posOffset>
                  </wp:positionV>
                  <wp:extent cx="251460" cy="251460"/>
                  <wp:effectExtent l="0" t="0" r="0" b="0"/>
                  <wp:wrapNone/>
                  <wp:docPr id="10" name="Obraz 10"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185AD0" w:rsidTr="001D3F48">
        <w:trPr>
          <w:trHeight w:val="480"/>
        </w:trPr>
        <w:tc>
          <w:tcPr>
            <w:tcW w:w="4926" w:type="dxa"/>
            <w:shd w:val="clear" w:color="auto" w:fill="auto"/>
          </w:tcPr>
          <w:p w:rsidR="00185AD0" w:rsidRPr="002C1A71" w:rsidRDefault="00185AD0" w:rsidP="00185AD0">
            <w:pPr>
              <w:rPr>
                <w:b/>
                <w:sz w:val="20"/>
              </w:rPr>
            </w:pPr>
          </w:p>
        </w:tc>
        <w:tc>
          <w:tcPr>
            <w:tcW w:w="4927" w:type="dxa"/>
            <w:shd w:val="clear" w:color="auto" w:fill="auto"/>
          </w:tcPr>
          <w:p w:rsidR="00185AD0" w:rsidRPr="003D5F42" w:rsidRDefault="00185AD0" w:rsidP="00185AD0">
            <w:pPr>
              <w:ind w:firstLine="680"/>
              <w:rPr>
                <w:sz w:val="20"/>
              </w:rPr>
            </w:pPr>
            <w:r>
              <w:rPr>
                <w:noProof/>
                <w:sz w:val="20"/>
                <w:lang w:val="en-GB" w:eastAsia="en-GB"/>
              </w:rPr>
              <w:drawing>
                <wp:anchor distT="0" distB="0" distL="114300" distR="114300" simplePos="0" relativeHeight="251686400" behindDoc="0" locked="0" layoutInCell="1" allowOverlap="1" wp14:anchorId="6D0FE8F1" wp14:editId="16685FC3">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185AD0" w:rsidTr="001D3F48">
        <w:trPr>
          <w:trHeight w:val="953"/>
        </w:trPr>
        <w:tc>
          <w:tcPr>
            <w:tcW w:w="4926" w:type="dxa"/>
            <w:shd w:val="clear" w:color="auto" w:fill="auto"/>
          </w:tcPr>
          <w:p w:rsidR="00185AD0" w:rsidRPr="002C1A71" w:rsidRDefault="00185AD0" w:rsidP="00185AD0">
            <w:pPr>
              <w:rPr>
                <w:b/>
                <w:sz w:val="20"/>
              </w:rPr>
            </w:pPr>
          </w:p>
        </w:tc>
        <w:tc>
          <w:tcPr>
            <w:tcW w:w="4927" w:type="dxa"/>
            <w:shd w:val="clear" w:color="auto" w:fill="auto"/>
          </w:tcPr>
          <w:p w:rsidR="00185AD0" w:rsidRPr="003D5F42" w:rsidRDefault="00185AD0" w:rsidP="00185AD0">
            <w:pPr>
              <w:ind w:firstLine="680"/>
              <w:rPr>
                <w:sz w:val="20"/>
              </w:rPr>
            </w:pPr>
            <w:r w:rsidRPr="00531873">
              <w:rPr>
                <w:noProof/>
                <w:sz w:val="20"/>
                <w:lang w:eastAsia="pl-PL"/>
              </w:rPr>
              <w:t>glownyurzadstatystyczny</w:t>
            </w:r>
            <w:r>
              <w:rPr>
                <w:noProof/>
                <w:sz w:val="20"/>
                <w:lang w:val="en-GB" w:eastAsia="en-GB"/>
              </w:rPr>
              <w:drawing>
                <wp:anchor distT="0" distB="0" distL="114300" distR="114300" simplePos="0" relativeHeight="251687424" behindDoc="0" locked="0" layoutInCell="1" allowOverlap="1" wp14:anchorId="3AECB707" wp14:editId="26365A0A">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04CED" w:rsidTr="001D3F48">
        <w:trPr>
          <w:trHeight w:val="4114"/>
        </w:trPr>
        <w:tc>
          <w:tcPr>
            <w:tcW w:w="9853" w:type="dxa"/>
            <w:gridSpan w:val="2"/>
            <w:shd w:val="clear" w:color="auto" w:fill="D9D9D9"/>
          </w:tcPr>
          <w:p w:rsidR="00704CED" w:rsidRPr="002C1A71" w:rsidRDefault="00704CED" w:rsidP="001D3F48">
            <w:pPr>
              <w:rPr>
                <w:b/>
                <w:lang w:val="en-US"/>
              </w:rPr>
            </w:pPr>
            <w:r w:rsidRPr="002C1A71">
              <w:rPr>
                <w:b/>
                <w:lang w:val="en-US"/>
              </w:rPr>
              <w:t>Related studies</w:t>
            </w:r>
          </w:p>
          <w:p w:rsidR="00704CED" w:rsidRPr="00F24737" w:rsidRDefault="00704CED" w:rsidP="001D3F48">
            <w:pPr>
              <w:rPr>
                <w:rStyle w:val="Hipercze"/>
                <w:rFonts w:eastAsia="Calibri"/>
                <w:lang w:val="en-GB"/>
              </w:rPr>
            </w:pPr>
            <w:r w:rsidRPr="002C1A71">
              <w:rPr>
                <w:rStyle w:val="Hipercze"/>
                <w:rFonts w:eastAsia="Calibri"/>
              </w:rPr>
              <w:fldChar w:fldCharType="begin"/>
            </w:r>
            <w:r w:rsidR="00DD4043" w:rsidRPr="00D221C4">
              <w:rPr>
                <w:rStyle w:val="Hipercze"/>
                <w:rFonts w:eastAsia="Calibri"/>
                <w:lang w:val="en-GB"/>
              </w:rPr>
              <w:instrText>HYPERLINK "https://stat.gov.pl/en/topics/national-accounts/general-government-statistics/general-government-deficit-and-debt-in-2022,5,36.html" \o "Website address at news release 'General government deficit and debt in 2021.'"</w:instrText>
            </w:r>
            <w:r w:rsidRPr="002C1A71">
              <w:rPr>
                <w:rStyle w:val="Hipercze"/>
                <w:rFonts w:eastAsia="Calibri"/>
              </w:rPr>
              <w:fldChar w:fldCharType="separate"/>
            </w:r>
            <w:r w:rsidRPr="00F24737">
              <w:rPr>
                <w:rStyle w:val="Hipercze"/>
                <w:rFonts w:eastAsia="Calibri"/>
                <w:lang w:val="en-GB"/>
              </w:rPr>
              <w:t>General government deficit and debt in 202</w:t>
            </w:r>
            <w:r w:rsidR="0092428C">
              <w:rPr>
                <w:rStyle w:val="Hipercze"/>
                <w:rFonts w:eastAsia="Calibri"/>
                <w:lang w:val="en-GB"/>
              </w:rPr>
              <w:t>2</w:t>
            </w:r>
          </w:p>
          <w:p w:rsidR="00704CED" w:rsidRPr="002C1A71" w:rsidRDefault="00704CED" w:rsidP="001D3F48">
            <w:pPr>
              <w:rPr>
                <w:rStyle w:val="Hipercze"/>
                <w:rFonts w:cs="Arial"/>
                <w:color w:val="auto"/>
                <w:sz w:val="18"/>
                <w:szCs w:val="30"/>
                <w:shd w:val="clear" w:color="auto" w:fill="F0F0F0"/>
                <w:lang w:val="en-US"/>
              </w:rPr>
            </w:pPr>
            <w:r w:rsidRPr="002C1A71">
              <w:rPr>
                <w:rStyle w:val="Hipercze"/>
                <w:rFonts w:eastAsia="Calibri"/>
              </w:rPr>
              <w:fldChar w:fldCharType="end"/>
            </w:r>
          </w:p>
          <w:p w:rsidR="00704CED" w:rsidRPr="002C1A71" w:rsidRDefault="00704CED" w:rsidP="001D3F48">
            <w:pPr>
              <w:rPr>
                <w:rStyle w:val="shorttext"/>
                <w:b/>
                <w:lang w:val="en-GB"/>
              </w:rPr>
            </w:pPr>
            <w:r w:rsidRPr="002C1A71">
              <w:rPr>
                <w:rStyle w:val="shorttext"/>
                <w:b/>
                <w:lang w:val="en-GB"/>
              </w:rPr>
              <w:t>Subject available in databases</w:t>
            </w:r>
          </w:p>
          <w:p w:rsidR="00704CED" w:rsidRPr="00F24737" w:rsidRDefault="00635D93" w:rsidP="001D3F48">
            <w:pPr>
              <w:rPr>
                <w:rStyle w:val="Hipercze"/>
                <w:rFonts w:eastAsia="Calibri"/>
                <w:lang w:val="en-GB"/>
              </w:rPr>
            </w:pPr>
            <w:hyperlink r:id="rId23" w:tooltip="Website address at knowledge database-national accounts is available" w:history="1">
              <w:r w:rsidR="00704CED" w:rsidRPr="00F24737">
                <w:rPr>
                  <w:rStyle w:val="Hipercze"/>
                  <w:rFonts w:eastAsia="Calibri"/>
                  <w:lang w:val="en-GB"/>
                </w:rPr>
                <w:t>Knowledge Databases – National Accounts</w:t>
              </w:r>
            </w:hyperlink>
          </w:p>
          <w:p w:rsidR="00704CED" w:rsidRPr="002C1A71" w:rsidRDefault="00704CED" w:rsidP="001D3F48">
            <w:pPr>
              <w:rPr>
                <w:b/>
                <w:szCs w:val="24"/>
                <w:highlight w:val="yellow"/>
                <w:lang w:val="en-US"/>
              </w:rPr>
            </w:pPr>
          </w:p>
          <w:p w:rsidR="00704CED" w:rsidRPr="002C1A71" w:rsidRDefault="00704CED" w:rsidP="001D3F48">
            <w:pPr>
              <w:rPr>
                <w:b/>
                <w:szCs w:val="24"/>
                <w:lang w:val="en-US"/>
              </w:rPr>
            </w:pPr>
            <w:r w:rsidRPr="002C1A71">
              <w:rPr>
                <w:rStyle w:val="shorttext"/>
                <w:b/>
                <w:lang w:val="en"/>
              </w:rPr>
              <w:t>Important concepts available in the dictionary</w:t>
            </w:r>
          </w:p>
          <w:p w:rsidR="00704CED" w:rsidRPr="002C1A71" w:rsidRDefault="00635D93" w:rsidP="001D3F48">
            <w:pPr>
              <w:rPr>
                <w:rStyle w:val="Hipercze"/>
                <w:rFonts w:eastAsia="Calibri"/>
              </w:rPr>
            </w:pPr>
            <w:hyperlink r:id="rId24" w:tooltip="Website address at terms used in official statistics to define a meaning –gross domestic product is available" w:history="1">
              <w:r w:rsidR="00704CED" w:rsidRPr="002C1A71">
                <w:rPr>
                  <w:rStyle w:val="Hipercze"/>
                  <w:rFonts w:eastAsia="Calibri"/>
                </w:rPr>
                <w:t xml:space="preserve">Gross </w:t>
              </w:r>
              <w:proofErr w:type="spellStart"/>
              <w:r w:rsidR="00704CED" w:rsidRPr="002C1A71">
                <w:rPr>
                  <w:rStyle w:val="Hipercze"/>
                  <w:rFonts w:eastAsia="Calibri"/>
                </w:rPr>
                <w:t>domestic</w:t>
              </w:r>
              <w:proofErr w:type="spellEnd"/>
              <w:r w:rsidR="00704CED" w:rsidRPr="002C1A71">
                <w:rPr>
                  <w:rStyle w:val="Hipercze"/>
                  <w:rFonts w:eastAsia="Calibri"/>
                </w:rPr>
                <w:t xml:space="preserve"> </w:t>
              </w:r>
              <w:proofErr w:type="spellStart"/>
              <w:r w:rsidR="00704CED" w:rsidRPr="002C1A71">
                <w:rPr>
                  <w:rStyle w:val="Hipercze"/>
                  <w:rFonts w:eastAsia="Calibri"/>
                </w:rPr>
                <w:t>product</w:t>
              </w:r>
              <w:proofErr w:type="spellEnd"/>
            </w:hyperlink>
          </w:p>
          <w:p w:rsidR="00704CED" w:rsidRPr="00417835" w:rsidRDefault="00704CED" w:rsidP="001D3F48">
            <w:pPr>
              <w:rPr>
                <w:rStyle w:val="Hipercze"/>
              </w:rPr>
            </w:pPr>
          </w:p>
          <w:p w:rsidR="00704CED" w:rsidRPr="002C1A71" w:rsidRDefault="00704CED" w:rsidP="001D3F48">
            <w:pPr>
              <w:rPr>
                <w:b/>
                <w:color w:val="000000"/>
                <w:szCs w:val="24"/>
                <w:lang w:val="en-GB"/>
              </w:rPr>
            </w:pPr>
          </w:p>
          <w:p w:rsidR="00704CED" w:rsidRPr="002C1A71" w:rsidRDefault="00704CED" w:rsidP="001D3F48">
            <w:pPr>
              <w:rPr>
                <w:b/>
                <w:color w:val="000000"/>
                <w:szCs w:val="24"/>
                <w:lang w:val="en-GB"/>
              </w:rPr>
            </w:pPr>
          </w:p>
          <w:p w:rsidR="00704CED" w:rsidRPr="002C1A71" w:rsidRDefault="00704CED" w:rsidP="001D3F48">
            <w:pPr>
              <w:rPr>
                <w:b/>
                <w:color w:val="000000"/>
                <w:szCs w:val="24"/>
                <w:lang w:val="en-GB"/>
              </w:rPr>
            </w:pPr>
          </w:p>
        </w:tc>
      </w:tr>
      <w:bookmarkEnd w:id="10"/>
    </w:tbl>
    <w:p w:rsidR="00704CED" w:rsidRPr="00905C6D" w:rsidRDefault="00704CED" w:rsidP="00704CED">
      <w:pPr>
        <w:rPr>
          <w:sz w:val="18"/>
          <w:szCs w:val="18"/>
          <w:lang w:val="en-GB"/>
        </w:rPr>
      </w:pPr>
    </w:p>
    <w:p w:rsidR="00704CED" w:rsidRPr="00905C6D" w:rsidRDefault="00704CED" w:rsidP="00704CED">
      <w:pPr>
        <w:rPr>
          <w:sz w:val="18"/>
          <w:lang w:val="en-GB"/>
        </w:rPr>
      </w:pPr>
    </w:p>
    <w:p w:rsidR="00D261A2" w:rsidRPr="00001C5B" w:rsidRDefault="00D261A2" w:rsidP="00E76D26">
      <w:pPr>
        <w:rPr>
          <w:sz w:val="18"/>
        </w:rPr>
      </w:pPr>
    </w:p>
    <w:sectPr w:rsidR="00D261A2" w:rsidRPr="00001C5B" w:rsidSect="00FF1FB2">
      <w:headerReference w:type="default" r:id="rId25"/>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A7E" w:rsidRDefault="00EA4A7E" w:rsidP="000662E2">
      <w:pPr>
        <w:spacing w:after="0" w:line="240" w:lineRule="auto"/>
      </w:pPr>
      <w:r>
        <w:separator/>
      </w:r>
    </w:p>
  </w:endnote>
  <w:endnote w:type="continuationSeparator" w:id="0">
    <w:p w:rsidR="00EA4A7E" w:rsidRDefault="00EA4A7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A7E" w:rsidRDefault="00EA4A7E" w:rsidP="000662E2">
      <w:pPr>
        <w:spacing w:after="0" w:line="240" w:lineRule="auto"/>
      </w:pPr>
      <w:r>
        <w:separator/>
      </w:r>
    </w:p>
  </w:footnote>
  <w:footnote w:type="continuationSeparator" w:id="0">
    <w:p w:rsidR="00EA4A7E" w:rsidRDefault="00EA4A7E" w:rsidP="000662E2">
      <w:pPr>
        <w:spacing w:after="0" w:line="240" w:lineRule="auto"/>
      </w:pPr>
      <w:r>
        <w:continuationSeparator/>
      </w:r>
    </w:p>
  </w:footnote>
  <w:footnote w:id="1">
    <w:p w:rsidR="004301BD" w:rsidRPr="003818AB" w:rsidRDefault="001D3039" w:rsidP="003818AB">
      <w:pPr>
        <w:spacing w:before="0" w:after="0" w:line="240" w:lineRule="auto"/>
        <w:rPr>
          <w:rFonts w:cs="Arial"/>
          <w:szCs w:val="19"/>
          <w:lang w:val="en-US"/>
        </w:rPr>
      </w:pPr>
      <w:r w:rsidRPr="003818AB">
        <w:rPr>
          <w:rFonts w:cs="Arial"/>
          <w:szCs w:val="19"/>
          <w:lang w:val="en-US"/>
        </w:rPr>
        <w:t>* Data have</w:t>
      </w:r>
      <w:r w:rsidR="004301BD" w:rsidRPr="003818AB">
        <w:rPr>
          <w:rFonts w:cs="Arial"/>
          <w:szCs w:val="19"/>
          <w:lang w:val="en-US"/>
        </w:rPr>
        <w:t xml:space="preserve"> been revised in relation to the previously published on </w:t>
      </w:r>
      <w:r w:rsidR="00714E3D">
        <w:rPr>
          <w:rFonts w:cs="Arial"/>
          <w:szCs w:val="19"/>
          <w:lang w:val="en-US"/>
        </w:rPr>
        <w:t>21.04.2023</w:t>
      </w:r>
      <w:r w:rsidR="006455CE" w:rsidRPr="003818AB">
        <w:rPr>
          <w:rFonts w:cs="Arial"/>
          <w:szCs w:val="19"/>
          <w:lang w:val="en-US"/>
        </w:rPr>
        <w:t>.</w:t>
      </w:r>
    </w:p>
    <w:p w:rsidR="00646EF1" w:rsidRPr="003818AB" w:rsidRDefault="00F4367F" w:rsidP="003818AB">
      <w:pPr>
        <w:spacing w:before="0" w:after="0" w:line="240" w:lineRule="auto"/>
        <w:rPr>
          <w:rFonts w:cs="Arial"/>
          <w:szCs w:val="19"/>
          <w:u w:val="single"/>
          <w:lang w:val="en-US"/>
        </w:rPr>
      </w:pPr>
      <w:r w:rsidRPr="003818AB">
        <w:rPr>
          <w:rStyle w:val="Odwoanieprzypisudolnego"/>
          <w:rFonts w:cs="Arial"/>
          <w:szCs w:val="19"/>
        </w:rPr>
        <w:footnoteRef/>
      </w:r>
      <w:r w:rsidRPr="003818AB">
        <w:rPr>
          <w:rFonts w:cs="Arial"/>
          <w:szCs w:val="19"/>
          <w:lang w:val="en-US"/>
        </w:rPr>
        <w:t xml:space="preserve"> </w:t>
      </w:r>
      <w:r w:rsidR="00646EF1" w:rsidRPr="003818AB">
        <w:rPr>
          <w:rFonts w:cs="Arial"/>
          <w:szCs w:val="19"/>
          <w:lang w:val="en-US"/>
        </w:rPr>
        <w:t>T</w:t>
      </w:r>
      <w:r w:rsidR="004301BD" w:rsidRPr="003818AB">
        <w:rPr>
          <w:rFonts w:cs="Arial"/>
          <w:szCs w:val="19"/>
          <w:lang w:val="en-US"/>
        </w:rPr>
        <w:t>he man</w:t>
      </w:r>
      <w:r w:rsidR="00765921" w:rsidRPr="003818AB">
        <w:rPr>
          <w:rFonts w:cs="Arial"/>
          <w:szCs w:val="19"/>
          <w:lang w:val="en-US"/>
        </w:rPr>
        <w:t xml:space="preserve">ual is available on the website: </w:t>
      </w:r>
      <w:r w:rsidR="00B62758" w:rsidRPr="00D221C4">
        <w:rPr>
          <w:rFonts w:cs="Arial"/>
          <w:color w:val="000000"/>
          <w:szCs w:val="19"/>
          <w:u w:val="single"/>
          <w:lang w:val="en-GB"/>
        </w:rPr>
        <w:t>https://ec.europa.eu/eurostat/documents/3859598/16029761/KS-GQ-23-002-EN-N.pdf/77a75b07-61c3-7d34-5243-70d09bc00e44?version=3.0&amp;t=1677163672121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2E2" w:rsidRDefault="006E5848" w:rsidP="004C62B0">
    <w:pPr>
      <w:pStyle w:val="Nagwek"/>
      <w:ind w:right="-155"/>
    </w:pPr>
    <w:r>
      <w:rPr>
        <w:noProof/>
        <w:lang w:val="en-GB" w:eastAsia="en-GB"/>
      </w:rPr>
      <mc:AlternateContent>
        <mc:Choice Requires="wps">
          <w:drawing>
            <wp:anchor distT="0" distB="0" distL="114300" distR="114300" simplePos="0" relativeHeight="251655680" behindDoc="1" locked="0" layoutInCell="1" allowOverlap="1">
              <wp:simplePos x="0" y="0"/>
              <wp:positionH relativeFrom="page">
                <wp:align>right</wp:align>
              </wp:positionH>
              <wp:positionV relativeFrom="paragraph">
                <wp:posOffset>-178435</wp:posOffset>
              </wp:positionV>
              <wp:extent cx="1874520" cy="22680295"/>
              <wp:effectExtent l="3810" t="4445" r="0" b="3810"/>
              <wp:wrapNone/>
              <wp:docPr id="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2268029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351B0D" id="Prostokąt 24" o:spid="_x0000_s1026" style="position:absolute;margin-left:96.4pt;margin-top:-14.05pt;width:147.6pt;height:1785.85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" fillcolor="#d8d8d8" stroked="f" strokeweight="1pt">
              <w10:wrap anchorx="page"/>
            </v:rect>
          </w:pict>
        </mc:Fallback>
      </mc:AlternateContent>
    </w:r>
  </w:p>
  <w:p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49" w:rsidRDefault="006E5848" w:rsidP="00F64219">
    <w:pPr>
      <w:pStyle w:val="Nagwek"/>
      <w:rPr>
        <w:noProof/>
        <w:lang w:eastAsia="pl-PL"/>
      </w:rPr>
    </w:pPr>
    <w:r>
      <w:rPr>
        <w:noProof/>
        <w:lang w:val="en-GB" w:eastAsia="en-GB"/>
      </w:rPr>
      <w:drawing>
        <wp:anchor distT="0" distB="0" distL="114300" distR="114300" simplePos="0" relativeHeight="251659776" behindDoc="0" locked="0" layoutInCell="1" allowOverlap="1">
          <wp:simplePos x="0" y="0"/>
          <wp:positionH relativeFrom="column">
            <wp:posOffset>5080</wp:posOffset>
          </wp:positionH>
          <wp:positionV relativeFrom="paragraph">
            <wp:posOffset>87630</wp:posOffset>
          </wp:positionV>
          <wp:extent cx="1838325" cy="696595"/>
          <wp:effectExtent l="0" t="0" r="0" b="0"/>
          <wp:wrapSquare wrapText="bothSides"/>
          <wp:docPr id="5"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Statistics Poland logo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96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5036820</wp:posOffset>
              </wp:positionH>
              <wp:positionV relativeFrom="paragraph">
                <wp:posOffset>198755</wp:posOffset>
              </wp:positionV>
              <wp:extent cx="2060575" cy="357505"/>
              <wp:effectExtent l="7620" t="7620" r="8255" b="6350"/>
              <wp:wrapNone/>
              <wp:docPr id="3" name="Schemat blokowy: opóźnienie 6" descr="News releases&#10;&#10;&#10;&#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60575" cy="357505"/>
                      </a:xfrm>
                      <a:custGeom>
                        <a:avLst/>
                        <a:gdLst>
                          <a:gd name="T0" fmla="*/ 0 w 3527018"/>
                          <a:gd name="T1" fmla="*/ 0 h 612140"/>
                          <a:gd name="T2" fmla="*/ 1881761 w 3527018"/>
                          <a:gd name="T3" fmla="*/ 0 h 612140"/>
                          <a:gd name="T4" fmla="*/ 2060575 w 3527018"/>
                          <a:gd name="T5" fmla="*/ 178753 h 612140"/>
                          <a:gd name="T6" fmla="*/ 1881761 w 3527018"/>
                          <a:gd name="T7" fmla="*/ 357505 h 612140"/>
                          <a:gd name="T8" fmla="*/ 0 w 3527018"/>
                          <a:gd name="T9" fmla="*/ 357505 h 612140"/>
                          <a:gd name="T10" fmla="*/ 0 w 3527018"/>
                          <a:gd name="T11" fmla="*/ 0 h 612140"/>
                          <a:gd name="T12" fmla="*/ 0 60000 65536"/>
                          <a:gd name="T13" fmla="*/ 0 60000 65536"/>
                          <a:gd name="T14" fmla="*/ 0 60000 65536"/>
                          <a:gd name="T15" fmla="*/ 0 60000 65536"/>
                          <a:gd name="T16" fmla="*/ 0 60000 65536"/>
                          <a:gd name="T17" fmla="*/ 0 60000 65536"/>
                          <a:gd name="T18" fmla="*/ 0 w 3527018"/>
                          <a:gd name="T19" fmla="*/ 0 h 612140"/>
                          <a:gd name="T20" fmla="*/ 3527018 w 3527018"/>
                          <a:gd name="T21" fmla="*/ 612140 h 612140"/>
                        </a:gdLst>
                        <a:ahLst/>
                        <a:cxnLst>
                          <a:cxn ang="T12">
                            <a:pos x="T0" y="T1"/>
                          </a:cxn>
                          <a:cxn ang="T13">
                            <a:pos x="T2" y="T3"/>
                          </a:cxn>
                          <a:cxn ang="T14">
                            <a:pos x="T4" y="T5"/>
                          </a:cxn>
                          <a:cxn ang="T15">
                            <a:pos x="T6" y="T7"/>
                          </a:cxn>
                          <a:cxn ang="T16">
                            <a:pos x="T8" y="T9"/>
                          </a:cxn>
                          <a:cxn ang="T17">
                            <a:pos x="T10" y="T11"/>
                          </a:cxn>
                        </a:cxnLst>
                        <a:rect l="T18" t="T19" r="T20" b="T21"/>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D626C" w:rsidRDefault="00893DFA" w:rsidP="00FD626C">
                          <w:pPr>
                            <w:spacing w:after="0" w:line="240" w:lineRule="auto"/>
                            <w:ind w:left="227"/>
                            <w:jc w:val="both"/>
                            <w:rPr>
                              <w:rStyle w:val="shorttext"/>
                              <w:lang w:val="en"/>
                            </w:rPr>
                          </w:pPr>
                          <w:r>
                            <w:rPr>
                              <w:rStyle w:val="shorttext"/>
                              <w:lang w:val="en"/>
                            </w:rPr>
                            <w:t>NEWS RELEASES</w:t>
                          </w:r>
                        </w:p>
                        <w:p w:rsidR="00893DFA" w:rsidRPr="003C6C8D" w:rsidRDefault="00893DFA" w:rsidP="00FD626C">
                          <w:pPr>
                            <w:spacing w:after="0" w:line="240" w:lineRule="auto"/>
                            <w:ind w:left="227"/>
                            <w:jc w:val="both"/>
                            <w:rPr>
                              <w:rFonts w:ascii="Fira Sans SemiBold" w:hAnsi="Fira Sans SemiBold"/>
                            </w:rPr>
                          </w:pPr>
                        </w:p>
                        <w:p w:rsidR="00F37172" w:rsidRPr="00FD626C" w:rsidRDefault="00F37172" w:rsidP="00FD626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28" alt="News releases&#10;&#10;&#10;&#10;" style="position:absolute;margin-left:396.6pt;margin-top:15.65pt;width:162.25pt;height:28.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" adj="-11796480,,5400" path="m,l3220948,v169038,,306070,137032,306070,306070c3527018,475108,3389986,612140,3220948,612140l,612140,,xe" fillcolor="#001d77" stroked="f" strokeweight="1pt">
              <v:stroke joinstyle="miter"/>
              <v:formulas/>
              <v:path arrowok="t" o:connecttype="custom" o:connectlocs="0,0;1099373,0;1203841,104396;1099373,208792;0,208792;0,0" o:connectangles="0,0,0,0,0,0" textboxrect="0,0,3527018,612140"/>
              <v:textbox>
                <w:txbxContent>
                  <w:p w:rsidR="00FD626C" w:rsidRDefault="00893DFA" w:rsidP="00FD626C">
                    <w:pPr>
                      <w:spacing w:after="0" w:line="240" w:lineRule="auto"/>
                      <w:ind w:left="227"/>
                      <w:jc w:val="both"/>
                      <w:rPr>
                        <w:rStyle w:val="shorttext"/>
                        <w:lang w:val="en"/>
                      </w:rPr>
                    </w:pPr>
                    <w:r>
                      <w:rPr>
                        <w:rStyle w:val="shorttext"/>
                        <w:lang w:val="en"/>
                      </w:rPr>
                      <w:t>NEWS RELEASES</w:t>
                    </w:r>
                  </w:p>
                  <w:p w:rsidR="00893DFA" w:rsidRPr="003C6C8D" w:rsidRDefault="00893DFA" w:rsidP="00FD626C">
                    <w:pPr>
                      <w:spacing w:after="0" w:line="240" w:lineRule="auto"/>
                      <w:ind w:left="227"/>
                      <w:jc w:val="both"/>
                      <w:rPr>
                        <w:rFonts w:ascii="Fira Sans SemiBold" w:hAnsi="Fira Sans SemiBold"/>
                      </w:rPr>
                    </w:pPr>
                  </w:p>
                  <w:p w:rsidR="00F37172" w:rsidRPr="00FD626C" w:rsidRDefault="00F37172" w:rsidP="00FD626C"/>
                </w:txbxContent>
              </v:textbox>
            </v:shape>
          </w:pict>
        </mc:Fallback>
      </mc:AlternateContent>
    </w:r>
    <w:r>
      <w:rPr>
        <w:noProof/>
        <w:lang w:val="en-GB" w:eastAsia="en-GB"/>
      </w:rPr>
      <mc:AlternateContent>
        <mc:Choice Requires="wps">
          <w:drawing>
            <wp:anchor distT="0" distB="0" distL="114300" distR="114300" simplePos="0" relativeHeight="251656704" behindDoc="1" locked="0" layoutInCell="1" allowOverlap="1">
              <wp:simplePos x="0" y="0"/>
              <wp:positionH relativeFrom="column">
                <wp:posOffset>5219065</wp:posOffset>
              </wp:positionH>
              <wp:positionV relativeFrom="paragraph">
                <wp:posOffset>511810</wp:posOffset>
              </wp:positionV>
              <wp:extent cx="1871980" cy="22905085"/>
              <wp:effectExtent l="0" t="0" r="0" b="2540"/>
              <wp:wrapTight wrapText="bothSides">
                <wp:wrapPolygon edited="0">
                  <wp:start x="-110" y="0"/>
                  <wp:lineTo x="-110" y="21591"/>
                  <wp:lineTo x="21600" y="21591"/>
                  <wp:lineTo x="21600" y="0"/>
                  <wp:lineTo x="-110" y="0"/>
                </wp:wrapPolygon>
              </wp:wrapTight>
              <wp:docPr id="2"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290508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73EA81" id="Prostokąt 10" o:spid="_x0000_s1026" style="position:absolute;margin-left:410.95pt;margin-top:40.3pt;width:147.4pt;height:180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" fillcolor="#d8d8d8" stroked="f" strokeweight="1pt">
              <w10:wrap type="tight"/>
            </v:rect>
          </w:pict>
        </mc:Fallback>
      </mc:AlternateContent>
    </w:r>
    <w:r>
      <w:rPr>
        <w:noProof/>
        <w:lang w:val="en-GB" w:eastAsia="en-GB"/>
      </w:rPr>
      <mc:AlternateContent>
        <mc:Choice Requires="wps">
          <w:drawing>
            <wp:anchor distT="45720" distB="45720" distL="114300" distR="114300" simplePos="0" relativeHeight="251658752" behindDoc="0" locked="0" layoutInCell="1" allowOverlap="1">
              <wp:simplePos x="0" y="0"/>
              <wp:positionH relativeFrom="column">
                <wp:posOffset>5219700</wp:posOffset>
              </wp:positionH>
              <wp:positionV relativeFrom="paragraph">
                <wp:posOffset>716915</wp:posOffset>
              </wp:positionV>
              <wp:extent cx="1432560" cy="336550"/>
              <wp:effectExtent l="0" t="1905" r="0" b="4445"/>
              <wp:wrapNone/>
              <wp:docPr id="1" name="Text Box 1" descr="Publication date,23.10.20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172" w:rsidRPr="003818AB" w:rsidRDefault="00185AD0" w:rsidP="00F37172">
                          <w:pPr>
                            <w:jc w:val="both"/>
                            <w:rPr>
                              <w:rFonts w:ascii="Fira Sans SemiBold" w:hAnsi="Fira Sans SemiBold"/>
                              <w:color w:val="001D77"/>
                              <w:sz w:val="20"/>
                            </w:rPr>
                          </w:pPr>
                          <w:r>
                            <w:rPr>
                              <w:rFonts w:ascii="Fira Sans SemiBold" w:hAnsi="Fira Sans SemiBold"/>
                              <w:color w:val="001D77"/>
                              <w:sz w:val="20"/>
                            </w:rPr>
                            <w:t>23.10</w:t>
                          </w:r>
                          <w:r w:rsidR="008A462E">
                            <w:rPr>
                              <w:rFonts w:ascii="Fira Sans SemiBold" w:hAnsi="Fira Sans SemiBold"/>
                              <w:color w:val="001D77"/>
                              <w:sz w:val="20"/>
                            </w:rPr>
                            <w:t>.</w:t>
                          </w:r>
                          <w:r w:rsidR="0072384A" w:rsidRPr="003818AB">
                            <w:rPr>
                              <w:rFonts w:ascii="Fira Sans SemiBold" w:hAnsi="Fira Sans SemiBold"/>
                              <w:color w:val="001D77"/>
                              <w:sz w:val="20"/>
                            </w:rPr>
                            <w:t>202</w:t>
                          </w:r>
                          <w:r w:rsidR="00706C85">
                            <w:rPr>
                              <w:rFonts w:ascii="Fira Sans SemiBold" w:hAnsi="Fira Sans SemiBold"/>
                              <w:color w:val="001D77"/>
                              <w:sz w:val="20"/>
                            </w:rPr>
                            <w:t>3</w:t>
                          </w:r>
                        </w:p>
                        <w:p w:rsidR="0072384A" w:rsidRPr="00C97596" w:rsidRDefault="0072384A" w:rsidP="00F37172">
                          <w:pPr>
                            <w:jc w:val="both"/>
                            <w:rPr>
                              <w:rFonts w:ascii="Fira Sans SemiBold" w:hAnsi="Fira Sans SemiBold"/>
                              <w:color w:val="001D7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alt="Publication date,23.10.20223" style="position:absolute;margin-left:411pt;margin-top:56.45pt;width:112.8pt;height:2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" filled="f" stroked="f">
              <v:textbox>
                <w:txbxContent>
                  <w:p w:rsidR="00F37172" w:rsidRPr="003818AB" w:rsidRDefault="00185AD0" w:rsidP="00F37172">
                    <w:pPr>
                      <w:jc w:val="both"/>
                      <w:rPr>
                        <w:rFonts w:ascii="Fira Sans SemiBold" w:hAnsi="Fira Sans SemiBold"/>
                        <w:color w:val="001D77"/>
                        <w:sz w:val="20"/>
                      </w:rPr>
                    </w:pPr>
                    <w:r>
                      <w:rPr>
                        <w:rFonts w:ascii="Fira Sans SemiBold" w:hAnsi="Fira Sans SemiBold"/>
                        <w:color w:val="001D77"/>
                        <w:sz w:val="20"/>
                      </w:rPr>
                      <w:t>23.10</w:t>
                    </w:r>
                    <w:r w:rsidR="008A462E">
                      <w:rPr>
                        <w:rFonts w:ascii="Fira Sans SemiBold" w:hAnsi="Fira Sans SemiBold"/>
                        <w:color w:val="001D77"/>
                        <w:sz w:val="20"/>
                      </w:rPr>
                      <w:t>.</w:t>
                    </w:r>
                    <w:r w:rsidR="0072384A" w:rsidRPr="003818AB">
                      <w:rPr>
                        <w:rFonts w:ascii="Fira Sans SemiBold" w:hAnsi="Fira Sans SemiBold"/>
                        <w:color w:val="001D77"/>
                        <w:sz w:val="20"/>
                      </w:rPr>
                      <w:t>202</w:t>
                    </w:r>
                    <w:r w:rsidR="00706C85">
                      <w:rPr>
                        <w:rFonts w:ascii="Fira Sans SemiBold" w:hAnsi="Fira Sans SemiBold"/>
                        <w:color w:val="001D77"/>
                        <w:sz w:val="20"/>
                      </w:rPr>
                      <w:t>3</w:t>
                    </w:r>
                  </w:p>
                  <w:p w:rsidR="0072384A" w:rsidRPr="00C97596" w:rsidRDefault="0072384A"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23.85pt;height:125pt;visibility:visible" o:bullet="t">
        <v:imagedata r:id="rId1" o:title=""/>
      </v:shape>
    </w:pict>
  </w:numPicBullet>
  <w:numPicBullet w:numPicBulletId="1">
    <w:pict>
      <v:shape id="_x0000_i1075" type="#_x0000_t75" style="width:124.4pt;height:1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ocumentProtection w:edit="trackedChanges" w:enforcement="0"/>
  <w:defaultTabStop w:val="708"/>
  <w:autoHyphenation/>
  <w:hyphenationZone w:val="425"/>
  <w:drawingGridHorizontalSpacing w:val="57"/>
  <w:drawingGridVerticalSpacing w:val="57"/>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C62"/>
    <w:rsid w:val="0000709F"/>
    <w:rsid w:val="000108B8"/>
    <w:rsid w:val="000152F5"/>
    <w:rsid w:val="000166E0"/>
    <w:rsid w:val="00030B2F"/>
    <w:rsid w:val="000351AF"/>
    <w:rsid w:val="00040320"/>
    <w:rsid w:val="0004582E"/>
    <w:rsid w:val="000470AA"/>
    <w:rsid w:val="0005234C"/>
    <w:rsid w:val="00052F16"/>
    <w:rsid w:val="00057B03"/>
    <w:rsid w:val="00057CA1"/>
    <w:rsid w:val="00060050"/>
    <w:rsid w:val="00062FB3"/>
    <w:rsid w:val="000662E2"/>
    <w:rsid w:val="00066438"/>
    <w:rsid w:val="00066883"/>
    <w:rsid w:val="00067AFD"/>
    <w:rsid w:val="000700A1"/>
    <w:rsid w:val="000734F2"/>
    <w:rsid w:val="00074DD8"/>
    <w:rsid w:val="000806F7"/>
    <w:rsid w:val="00080771"/>
    <w:rsid w:val="0008133A"/>
    <w:rsid w:val="000850F3"/>
    <w:rsid w:val="000869E3"/>
    <w:rsid w:val="0009213C"/>
    <w:rsid w:val="00094689"/>
    <w:rsid w:val="000954A9"/>
    <w:rsid w:val="000A3C3C"/>
    <w:rsid w:val="000B0727"/>
    <w:rsid w:val="000B54A0"/>
    <w:rsid w:val="000C135D"/>
    <w:rsid w:val="000C57EA"/>
    <w:rsid w:val="000D13D0"/>
    <w:rsid w:val="000D1D43"/>
    <w:rsid w:val="000D20C4"/>
    <w:rsid w:val="000D225C"/>
    <w:rsid w:val="000D2A5C"/>
    <w:rsid w:val="000D3145"/>
    <w:rsid w:val="000E0918"/>
    <w:rsid w:val="000E2279"/>
    <w:rsid w:val="000E4937"/>
    <w:rsid w:val="000E6618"/>
    <w:rsid w:val="00100444"/>
    <w:rsid w:val="001011C3"/>
    <w:rsid w:val="001036E7"/>
    <w:rsid w:val="00110D87"/>
    <w:rsid w:val="00111425"/>
    <w:rsid w:val="00114DB9"/>
    <w:rsid w:val="00116087"/>
    <w:rsid w:val="0011642E"/>
    <w:rsid w:val="00116E26"/>
    <w:rsid w:val="00124E9E"/>
    <w:rsid w:val="00126D76"/>
    <w:rsid w:val="00130296"/>
    <w:rsid w:val="00131434"/>
    <w:rsid w:val="0013276F"/>
    <w:rsid w:val="001328FA"/>
    <w:rsid w:val="001377AC"/>
    <w:rsid w:val="001423B6"/>
    <w:rsid w:val="00142CA9"/>
    <w:rsid w:val="001433F1"/>
    <w:rsid w:val="001448A7"/>
    <w:rsid w:val="00146621"/>
    <w:rsid w:val="00146F51"/>
    <w:rsid w:val="001471B9"/>
    <w:rsid w:val="001478BF"/>
    <w:rsid w:val="00150391"/>
    <w:rsid w:val="00151952"/>
    <w:rsid w:val="00152273"/>
    <w:rsid w:val="001542BB"/>
    <w:rsid w:val="00154BEE"/>
    <w:rsid w:val="00162325"/>
    <w:rsid w:val="001733FB"/>
    <w:rsid w:val="00185AD0"/>
    <w:rsid w:val="001951DA"/>
    <w:rsid w:val="001A174B"/>
    <w:rsid w:val="001A2FC2"/>
    <w:rsid w:val="001A5332"/>
    <w:rsid w:val="001A7E95"/>
    <w:rsid w:val="001B4FC4"/>
    <w:rsid w:val="001B6F2F"/>
    <w:rsid w:val="001C2F0A"/>
    <w:rsid w:val="001C3269"/>
    <w:rsid w:val="001D187C"/>
    <w:rsid w:val="001D1DB4"/>
    <w:rsid w:val="001D25E9"/>
    <w:rsid w:val="001D3039"/>
    <w:rsid w:val="001D3F48"/>
    <w:rsid w:val="001E2B1C"/>
    <w:rsid w:val="001E3FF4"/>
    <w:rsid w:val="001E7357"/>
    <w:rsid w:val="001F0374"/>
    <w:rsid w:val="001F4767"/>
    <w:rsid w:val="001F7382"/>
    <w:rsid w:val="00202F0E"/>
    <w:rsid w:val="00220346"/>
    <w:rsid w:val="0022623B"/>
    <w:rsid w:val="0023016F"/>
    <w:rsid w:val="0023558F"/>
    <w:rsid w:val="002409EE"/>
    <w:rsid w:val="00253EC9"/>
    <w:rsid w:val="00257081"/>
    <w:rsid w:val="002574F9"/>
    <w:rsid w:val="002600BF"/>
    <w:rsid w:val="00262883"/>
    <w:rsid w:val="002631E2"/>
    <w:rsid w:val="00267DFF"/>
    <w:rsid w:val="00274706"/>
    <w:rsid w:val="00276811"/>
    <w:rsid w:val="00280C0E"/>
    <w:rsid w:val="00282699"/>
    <w:rsid w:val="0028762C"/>
    <w:rsid w:val="0029081F"/>
    <w:rsid w:val="002926DF"/>
    <w:rsid w:val="0029316F"/>
    <w:rsid w:val="0029469C"/>
    <w:rsid w:val="00296697"/>
    <w:rsid w:val="002A2947"/>
    <w:rsid w:val="002A6FDA"/>
    <w:rsid w:val="002B0472"/>
    <w:rsid w:val="002B5988"/>
    <w:rsid w:val="002B6B12"/>
    <w:rsid w:val="002C6F5F"/>
    <w:rsid w:val="002D5237"/>
    <w:rsid w:val="002D7EFE"/>
    <w:rsid w:val="002E0C25"/>
    <w:rsid w:val="002E6140"/>
    <w:rsid w:val="002E6953"/>
    <w:rsid w:val="002E6985"/>
    <w:rsid w:val="002E71B6"/>
    <w:rsid w:val="002F0491"/>
    <w:rsid w:val="002F26D7"/>
    <w:rsid w:val="002F6DAE"/>
    <w:rsid w:val="002F77C8"/>
    <w:rsid w:val="0030011A"/>
    <w:rsid w:val="00304841"/>
    <w:rsid w:val="00304F22"/>
    <w:rsid w:val="0030612E"/>
    <w:rsid w:val="00306C7C"/>
    <w:rsid w:val="003071E2"/>
    <w:rsid w:val="00313055"/>
    <w:rsid w:val="00316D51"/>
    <w:rsid w:val="00322EDD"/>
    <w:rsid w:val="00322FEF"/>
    <w:rsid w:val="00326832"/>
    <w:rsid w:val="00332320"/>
    <w:rsid w:val="003344B0"/>
    <w:rsid w:val="003452E2"/>
    <w:rsid w:val="00347D72"/>
    <w:rsid w:val="003533AD"/>
    <w:rsid w:val="00353FF9"/>
    <w:rsid w:val="00357611"/>
    <w:rsid w:val="00361913"/>
    <w:rsid w:val="0036643A"/>
    <w:rsid w:val="00366D5E"/>
    <w:rsid w:val="00367237"/>
    <w:rsid w:val="0037077F"/>
    <w:rsid w:val="00373882"/>
    <w:rsid w:val="00373AD5"/>
    <w:rsid w:val="00373EDF"/>
    <w:rsid w:val="003760C5"/>
    <w:rsid w:val="0037770B"/>
    <w:rsid w:val="003818AB"/>
    <w:rsid w:val="0038292F"/>
    <w:rsid w:val="003843DB"/>
    <w:rsid w:val="00390650"/>
    <w:rsid w:val="00393761"/>
    <w:rsid w:val="00397D18"/>
    <w:rsid w:val="003A198C"/>
    <w:rsid w:val="003A1B36"/>
    <w:rsid w:val="003A35BE"/>
    <w:rsid w:val="003A3C11"/>
    <w:rsid w:val="003A4A79"/>
    <w:rsid w:val="003B1454"/>
    <w:rsid w:val="003B5FC7"/>
    <w:rsid w:val="003C1CC5"/>
    <w:rsid w:val="003C59E0"/>
    <w:rsid w:val="003C5CB8"/>
    <w:rsid w:val="003C6C8D"/>
    <w:rsid w:val="003C791F"/>
    <w:rsid w:val="003D4B92"/>
    <w:rsid w:val="003D4F95"/>
    <w:rsid w:val="003D5F42"/>
    <w:rsid w:val="003D60A9"/>
    <w:rsid w:val="003D6799"/>
    <w:rsid w:val="003D691C"/>
    <w:rsid w:val="003D7DDC"/>
    <w:rsid w:val="003E1260"/>
    <w:rsid w:val="003E2353"/>
    <w:rsid w:val="003E421F"/>
    <w:rsid w:val="003E4FD0"/>
    <w:rsid w:val="003E5607"/>
    <w:rsid w:val="003E64E5"/>
    <w:rsid w:val="003F33BD"/>
    <w:rsid w:val="003F4C97"/>
    <w:rsid w:val="003F7FE6"/>
    <w:rsid w:val="00400193"/>
    <w:rsid w:val="004046AC"/>
    <w:rsid w:val="00411FD8"/>
    <w:rsid w:val="00412FAE"/>
    <w:rsid w:val="00416B53"/>
    <w:rsid w:val="00417F49"/>
    <w:rsid w:val="004212E7"/>
    <w:rsid w:val="0042254A"/>
    <w:rsid w:val="0042446D"/>
    <w:rsid w:val="00427BF8"/>
    <w:rsid w:val="004301BD"/>
    <w:rsid w:val="00431C02"/>
    <w:rsid w:val="004357CF"/>
    <w:rsid w:val="00436230"/>
    <w:rsid w:val="004372E5"/>
    <w:rsid w:val="00437395"/>
    <w:rsid w:val="00444EA8"/>
    <w:rsid w:val="00445047"/>
    <w:rsid w:val="0046016E"/>
    <w:rsid w:val="00463888"/>
    <w:rsid w:val="00463E39"/>
    <w:rsid w:val="004657FC"/>
    <w:rsid w:val="00466C0E"/>
    <w:rsid w:val="00466DED"/>
    <w:rsid w:val="004733F6"/>
    <w:rsid w:val="00474E69"/>
    <w:rsid w:val="004773B6"/>
    <w:rsid w:val="0048170D"/>
    <w:rsid w:val="00482124"/>
    <w:rsid w:val="0049158F"/>
    <w:rsid w:val="004916D2"/>
    <w:rsid w:val="00494E16"/>
    <w:rsid w:val="0049621B"/>
    <w:rsid w:val="004B065A"/>
    <w:rsid w:val="004B270C"/>
    <w:rsid w:val="004B4F88"/>
    <w:rsid w:val="004C1895"/>
    <w:rsid w:val="004C62B0"/>
    <w:rsid w:val="004C6D40"/>
    <w:rsid w:val="004D37DF"/>
    <w:rsid w:val="004D5717"/>
    <w:rsid w:val="004E36D9"/>
    <w:rsid w:val="004E5344"/>
    <w:rsid w:val="004F0C3C"/>
    <w:rsid w:val="004F63FC"/>
    <w:rsid w:val="004F69C4"/>
    <w:rsid w:val="005026F8"/>
    <w:rsid w:val="00503152"/>
    <w:rsid w:val="00505A92"/>
    <w:rsid w:val="00513E55"/>
    <w:rsid w:val="00513E95"/>
    <w:rsid w:val="00516117"/>
    <w:rsid w:val="0051666B"/>
    <w:rsid w:val="005203F1"/>
    <w:rsid w:val="00521BC3"/>
    <w:rsid w:val="00521C72"/>
    <w:rsid w:val="00530DD6"/>
    <w:rsid w:val="00532943"/>
    <w:rsid w:val="00533632"/>
    <w:rsid w:val="00534A1C"/>
    <w:rsid w:val="0054251F"/>
    <w:rsid w:val="00547BE0"/>
    <w:rsid w:val="00547CF5"/>
    <w:rsid w:val="00550618"/>
    <w:rsid w:val="005520D8"/>
    <w:rsid w:val="005535A2"/>
    <w:rsid w:val="00554D74"/>
    <w:rsid w:val="00556CF1"/>
    <w:rsid w:val="00571BEA"/>
    <w:rsid w:val="00572E91"/>
    <w:rsid w:val="00573C80"/>
    <w:rsid w:val="00574821"/>
    <w:rsid w:val="005762A7"/>
    <w:rsid w:val="005773B0"/>
    <w:rsid w:val="00577EAC"/>
    <w:rsid w:val="00582073"/>
    <w:rsid w:val="00591649"/>
    <w:rsid w:val="005916D7"/>
    <w:rsid w:val="005917EF"/>
    <w:rsid w:val="005A698C"/>
    <w:rsid w:val="005A6D3D"/>
    <w:rsid w:val="005B0A49"/>
    <w:rsid w:val="005B0BE6"/>
    <w:rsid w:val="005C35BD"/>
    <w:rsid w:val="005C49AF"/>
    <w:rsid w:val="005D0DDF"/>
    <w:rsid w:val="005D2A63"/>
    <w:rsid w:val="005E0799"/>
    <w:rsid w:val="005E645F"/>
    <w:rsid w:val="005F0C9B"/>
    <w:rsid w:val="005F5A80"/>
    <w:rsid w:val="006044FF"/>
    <w:rsid w:val="00607CC5"/>
    <w:rsid w:val="00616189"/>
    <w:rsid w:val="0062390F"/>
    <w:rsid w:val="00624080"/>
    <w:rsid w:val="006240E0"/>
    <w:rsid w:val="00626676"/>
    <w:rsid w:val="006275D5"/>
    <w:rsid w:val="00633014"/>
    <w:rsid w:val="0063437B"/>
    <w:rsid w:val="00635D93"/>
    <w:rsid w:val="006455CE"/>
    <w:rsid w:val="00646EF1"/>
    <w:rsid w:val="0065389A"/>
    <w:rsid w:val="006618F5"/>
    <w:rsid w:val="006673CA"/>
    <w:rsid w:val="0067350E"/>
    <w:rsid w:val="00673C26"/>
    <w:rsid w:val="006812AF"/>
    <w:rsid w:val="006822F9"/>
    <w:rsid w:val="0068327D"/>
    <w:rsid w:val="00690893"/>
    <w:rsid w:val="00692EB6"/>
    <w:rsid w:val="00694AF0"/>
    <w:rsid w:val="00695E23"/>
    <w:rsid w:val="006A0131"/>
    <w:rsid w:val="006A0327"/>
    <w:rsid w:val="006A10BF"/>
    <w:rsid w:val="006B0E9E"/>
    <w:rsid w:val="006B55C0"/>
    <w:rsid w:val="006B5AE4"/>
    <w:rsid w:val="006B5E06"/>
    <w:rsid w:val="006C4D80"/>
    <w:rsid w:val="006D3220"/>
    <w:rsid w:val="006D3E99"/>
    <w:rsid w:val="006D4054"/>
    <w:rsid w:val="006D49AB"/>
    <w:rsid w:val="006E02EC"/>
    <w:rsid w:val="006E4685"/>
    <w:rsid w:val="006E5848"/>
    <w:rsid w:val="006F3A3A"/>
    <w:rsid w:val="006F4638"/>
    <w:rsid w:val="006F569E"/>
    <w:rsid w:val="00704CED"/>
    <w:rsid w:val="00706C85"/>
    <w:rsid w:val="00714E3D"/>
    <w:rsid w:val="00717AFC"/>
    <w:rsid w:val="007211B1"/>
    <w:rsid w:val="0072170E"/>
    <w:rsid w:val="007232BE"/>
    <w:rsid w:val="0072384A"/>
    <w:rsid w:val="00741EA9"/>
    <w:rsid w:val="00742082"/>
    <w:rsid w:val="00746187"/>
    <w:rsid w:val="00747BF9"/>
    <w:rsid w:val="0076254F"/>
    <w:rsid w:val="00765921"/>
    <w:rsid w:val="00773CA5"/>
    <w:rsid w:val="007801F5"/>
    <w:rsid w:val="00783CA4"/>
    <w:rsid w:val="007842FB"/>
    <w:rsid w:val="00786124"/>
    <w:rsid w:val="00787696"/>
    <w:rsid w:val="0079514B"/>
    <w:rsid w:val="007A20C5"/>
    <w:rsid w:val="007A2DC1"/>
    <w:rsid w:val="007A2DF0"/>
    <w:rsid w:val="007A4EF4"/>
    <w:rsid w:val="007B5A2A"/>
    <w:rsid w:val="007C0A9B"/>
    <w:rsid w:val="007C2125"/>
    <w:rsid w:val="007C4817"/>
    <w:rsid w:val="007C5AEF"/>
    <w:rsid w:val="007D3319"/>
    <w:rsid w:val="007D335D"/>
    <w:rsid w:val="007D544C"/>
    <w:rsid w:val="007E173E"/>
    <w:rsid w:val="007E1968"/>
    <w:rsid w:val="007E3314"/>
    <w:rsid w:val="007E4B03"/>
    <w:rsid w:val="007E50CC"/>
    <w:rsid w:val="007E7070"/>
    <w:rsid w:val="007E7E83"/>
    <w:rsid w:val="007F324B"/>
    <w:rsid w:val="007F3F8F"/>
    <w:rsid w:val="00804313"/>
    <w:rsid w:val="0080553C"/>
    <w:rsid w:val="00805B46"/>
    <w:rsid w:val="00805E15"/>
    <w:rsid w:val="0080765C"/>
    <w:rsid w:val="00807A5D"/>
    <w:rsid w:val="00811539"/>
    <w:rsid w:val="00811D37"/>
    <w:rsid w:val="00813856"/>
    <w:rsid w:val="008202F5"/>
    <w:rsid w:val="00822919"/>
    <w:rsid w:val="00823A6E"/>
    <w:rsid w:val="00825DC2"/>
    <w:rsid w:val="0082793A"/>
    <w:rsid w:val="00831544"/>
    <w:rsid w:val="00834AD3"/>
    <w:rsid w:val="0084182C"/>
    <w:rsid w:val="00843795"/>
    <w:rsid w:val="00847842"/>
    <w:rsid w:val="00847F0F"/>
    <w:rsid w:val="00852448"/>
    <w:rsid w:val="0085527B"/>
    <w:rsid w:val="00860E59"/>
    <w:rsid w:val="00865D62"/>
    <w:rsid w:val="00871069"/>
    <w:rsid w:val="00871B59"/>
    <w:rsid w:val="008736A6"/>
    <w:rsid w:val="0087425A"/>
    <w:rsid w:val="0088258A"/>
    <w:rsid w:val="00885D71"/>
    <w:rsid w:val="00886332"/>
    <w:rsid w:val="00890179"/>
    <w:rsid w:val="00893DFA"/>
    <w:rsid w:val="008A05A9"/>
    <w:rsid w:val="008A26D9"/>
    <w:rsid w:val="008A462E"/>
    <w:rsid w:val="008A6E26"/>
    <w:rsid w:val="008B0038"/>
    <w:rsid w:val="008B0F83"/>
    <w:rsid w:val="008B1E16"/>
    <w:rsid w:val="008B5A4B"/>
    <w:rsid w:val="008B6123"/>
    <w:rsid w:val="008C0C29"/>
    <w:rsid w:val="008C0CF3"/>
    <w:rsid w:val="008C45AE"/>
    <w:rsid w:val="008C5481"/>
    <w:rsid w:val="008D3879"/>
    <w:rsid w:val="008E2D58"/>
    <w:rsid w:val="008E3FD3"/>
    <w:rsid w:val="008E5724"/>
    <w:rsid w:val="008F3133"/>
    <w:rsid w:val="008F3638"/>
    <w:rsid w:val="008F6F31"/>
    <w:rsid w:val="008F74DF"/>
    <w:rsid w:val="009007C1"/>
    <w:rsid w:val="00905B8B"/>
    <w:rsid w:val="00905C6D"/>
    <w:rsid w:val="009127BA"/>
    <w:rsid w:val="009201A8"/>
    <w:rsid w:val="009227A6"/>
    <w:rsid w:val="0092428C"/>
    <w:rsid w:val="00930939"/>
    <w:rsid w:val="00930DBE"/>
    <w:rsid w:val="00933EC1"/>
    <w:rsid w:val="00940EED"/>
    <w:rsid w:val="0094172E"/>
    <w:rsid w:val="00952EAA"/>
    <w:rsid w:val="009530DB"/>
    <w:rsid w:val="00953676"/>
    <w:rsid w:val="009637BF"/>
    <w:rsid w:val="009705EE"/>
    <w:rsid w:val="009724EC"/>
    <w:rsid w:val="00977927"/>
    <w:rsid w:val="0098135C"/>
    <w:rsid w:val="00981472"/>
    <w:rsid w:val="0098156A"/>
    <w:rsid w:val="00983768"/>
    <w:rsid w:val="00991BAC"/>
    <w:rsid w:val="00996425"/>
    <w:rsid w:val="00996CD1"/>
    <w:rsid w:val="009A0715"/>
    <w:rsid w:val="009A0AEE"/>
    <w:rsid w:val="009A62C2"/>
    <w:rsid w:val="009A6EA0"/>
    <w:rsid w:val="009B021C"/>
    <w:rsid w:val="009B7C4B"/>
    <w:rsid w:val="009C113C"/>
    <w:rsid w:val="009C1335"/>
    <w:rsid w:val="009C1AB2"/>
    <w:rsid w:val="009C33CD"/>
    <w:rsid w:val="009C70BD"/>
    <w:rsid w:val="009C71ED"/>
    <w:rsid w:val="009C7251"/>
    <w:rsid w:val="009C748C"/>
    <w:rsid w:val="009D1F87"/>
    <w:rsid w:val="009D23F3"/>
    <w:rsid w:val="009E2E91"/>
    <w:rsid w:val="009E3936"/>
    <w:rsid w:val="009F2201"/>
    <w:rsid w:val="009F76B9"/>
    <w:rsid w:val="00A02E78"/>
    <w:rsid w:val="00A075F1"/>
    <w:rsid w:val="00A11E70"/>
    <w:rsid w:val="00A12D2D"/>
    <w:rsid w:val="00A139F5"/>
    <w:rsid w:val="00A32A01"/>
    <w:rsid w:val="00A32D05"/>
    <w:rsid w:val="00A334DB"/>
    <w:rsid w:val="00A337E2"/>
    <w:rsid w:val="00A35913"/>
    <w:rsid w:val="00A365F4"/>
    <w:rsid w:val="00A3719C"/>
    <w:rsid w:val="00A377DA"/>
    <w:rsid w:val="00A40C43"/>
    <w:rsid w:val="00A41997"/>
    <w:rsid w:val="00A42D7C"/>
    <w:rsid w:val="00A46098"/>
    <w:rsid w:val="00A47D80"/>
    <w:rsid w:val="00A47F3A"/>
    <w:rsid w:val="00A53132"/>
    <w:rsid w:val="00A563F2"/>
    <w:rsid w:val="00A566E8"/>
    <w:rsid w:val="00A57B83"/>
    <w:rsid w:val="00A605CD"/>
    <w:rsid w:val="00A617CD"/>
    <w:rsid w:val="00A62678"/>
    <w:rsid w:val="00A67688"/>
    <w:rsid w:val="00A67F74"/>
    <w:rsid w:val="00A810F9"/>
    <w:rsid w:val="00A86ECC"/>
    <w:rsid w:val="00A86FCC"/>
    <w:rsid w:val="00A87F65"/>
    <w:rsid w:val="00A90146"/>
    <w:rsid w:val="00A942F9"/>
    <w:rsid w:val="00A94912"/>
    <w:rsid w:val="00A95B33"/>
    <w:rsid w:val="00A976C1"/>
    <w:rsid w:val="00AA37AC"/>
    <w:rsid w:val="00AA52F9"/>
    <w:rsid w:val="00AA710D"/>
    <w:rsid w:val="00AB004C"/>
    <w:rsid w:val="00AB317B"/>
    <w:rsid w:val="00AB4EF0"/>
    <w:rsid w:val="00AB5D92"/>
    <w:rsid w:val="00AB6D25"/>
    <w:rsid w:val="00AC0A23"/>
    <w:rsid w:val="00AC6A4B"/>
    <w:rsid w:val="00AC757E"/>
    <w:rsid w:val="00AD07F3"/>
    <w:rsid w:val="00AD0F3D"/>
    <w:rsid w:val="00AD5989"/>
    <w:rsid w:val="00AD6205"/>
    <w:rsid w:val="00AE2D4B"/>
    <w:rsid w:val="00AE4F99"/>
    <w:rsid w:val="00AE66C1"/>
    <w:rsid w:val="00AE7699"/>
    <w:rsid w:val="00AF0A5D"/>
    <w:rsid w:val="00AF6A83"/>
    <w:rsid w:val="00AF7583"/>
    <w:rsid w:val="00B119FA"/>
    <w:rsid w:val="00B141C4"/>
    <w:rsid w:val="00B14869"/>
    <w:rsid w:val="00B14952"/>
    <w:rsid w:val="00B14A55"/>
    <w:rsid w:val="00B170D5"/>
    <w:rsid w:val="00B17987"/>
    <w:rsid w:val="00B20E86"/>
    <w:rsid w:val="00B237B4"/>
    <w:rsid w:val="00B258CC"/>
    <w:rsid w:val="00B27ABB"/>
    <w:rsid w:val="00B3166E"/>
    <w:rsid w:val="00B31E5A"/>
    <w:rsid w:val="00B33B76"/>
    <w:rsid w:val="00B42F8F"/>
    <w:rsid w:val="00B62758"/>
    <w:rsid w:val="00B632DC"/>
    <w:rsid w:val="00B63DC1"/>
    <w:rsid w:val="00B653AB"/>
    <w:rsid w:val="00B65F9E"/>
    <w:rsid w:val="00B66B19"/>
    <w:rsid w:val="00B712E6"/>
    <w:rsid w:val="00B72A6B"/>
    <w:rsid w:val="00B85636"/>
    <w:rsid w:val="00B914E9"/>
    <w:rsid w:val="00B956EE"/>
    <w:rsid w:val="00BA2BA1"/>
    <w:rsid w:val="00BA2F07"/>
    <w:rsid w:val="00BB0128"/>
    <w:rsid w:val="00BB0447"/>
    <w:rsid w:val="00BB18E8"/>
    <w:rsid w:val="00BB4F09"/>
    <w:rsid w:val="00BB52BF"/>
    <w:rsid w:val="00BC4167"/>
    <w:rsid w:val="00BC6DC1"/>
    <w:rsid w:val="00BC7B8A"/>
    <w:rsid w:val="00BD3D40"/>
    <w:rsid w:val="00BD4289"/>
    <w:rsid w:val="00BD4E33"/>
    <w:rsid w:val="00BE2DE5"/>
    <w:rsid w:val="00BE5024"/>
    <w:rsid w:val="00BF0BB4"/>
    <w:rsid w:val="00BF61FA"/>
    <w:rsid w:val="00C002F7"/>
    <w:rsid w:val="00C006F3"/>
    <w:rsid w:val="00C00B05"/>
    <w:rsid w:val="00C030DE"/>
    <w:rsid w:val="00C04CF9"/>
    <w:rsid w:val="00C07AB3"/>
    <w:rsid w:val="00C10066"/>
    <w:rsid w:val="00C17A31"/>
    <w:rsid w:val="00C22105"/>
    <w:rsid w:val="00C22198"/>
    <w:rsid w:val="00C244B6"/>
    <w:rsid w:val="00C31912"/>
    <w:rsid w:val="00C3240D"/>
    <w:rsid w:val="00C3702F"/>
    <w:rsid w:val="00C37B54"/>
    <w:rsid w:val="00C41B62"/>
    <w:rsid w:val="00C471C2"/>
    <w:rsid w:val="00C5122A"/>
    <w:rsid w:val="00C5160D"/>
    <w:rsid w:val="00C55C1F"/>
    <w:rsid w:val="00C56B97"/>
    <w:rsid w:val="00C6453E"/>
    <w:rsid w:val="00C64A37"/>
    <w:rsid w:val="00C65C10"/>
    <w:rsid w:val="00C678E8"/>
    <w:rsid w:val="00C7158E"/>
    <w:rsid w:val="00C7250B"/>
    <w:rsid w:val="00C7281A"/>
    <w:rsid w:val="00C7346B"/>
    <w:rsid w:val="00C778CF"/>
    <w:rsid w:val="00C77C0E"/>
    <w:rsid w:val="00C80397"/>
    <w:rsid w:val="00C85C79"/>
    <w:rsid w:val="00C91687"/>
    <w:rsid w:val="00C924A8"/>
    <w:rsid w:val="00C934F2"/>
    <w:rsid w:val="00C945FE"/>
    <w:rsid w:val="00C95D0C"/>
    <w:rsid w:val="00C96FAA"/>
    <w:rsid w:val="00C97A04"/>
    <w:rsid w:val="00C97DB3"/>
    <w:rsid w:val="00CA107B"/>
    <w:rsid w:val="00CA484D"/>
    <w:rsid w:val="00CA4A73"/>
    <w:rsid w:val="00CB3650"/>
    <w:rsid w:val="00CB62B5"/>
    <w:rsid w:val="00CC03D4"/>
    <w:rsid w:val="00CC3F28"/>
    <w:rsid w:val="00CC5264"/>
    <w:rsid w:val="00CC739E"/>
    <w:rsid w:val="00CD050F"/>
    <w:rsid w:val="00CD493A"/>
    <w:rsid w:val="00CD58B7"/>
    <w:rsid w:val="00CE5F1F"/>
    <w:rsid w:val="00CF301C"/>
    <w:rsid w:val="00CF4099"/>
    <w:rsid w:val="00D00796"/>
    <w:rsid w:val="00D02F6A"/>
    <w:rsid w:val="00D04AAE"/>
    <w:rsid w:val="00D153FF"/>
    <w:rsid w:val="00D2207F"/>
    <w:rsid w:val="00D221C4"/>
    <w:rsid w:val="00D24BA1"/>
    <w:rsid w:val="00D261A2"/>
    <w:rsid w:val="00D54A72"/>
    <w:rsid w:val="00D60796"/>
    <w:rsid w:val="00D616D2"/>
    <w:rsid w:val="00D62996"/>
    <w:rsid w:val="00D63B5F"/>
    <w:rsid w:val="00D66940"/>
    <w:rsid w:val="00D70EF7"/>
    <w:rsid w:val="00D7313D"/>
    <w:rsid w:val="00D77F89"/>
    <w:rsid w:val="00D82C77"/>
    <w:rsid w:val="00D8397C"/>
    <w:rsid w:val="00D86CFF"/>
    <w:rsid w:val="00D94635"/>
    <w:rsid w:val="00D94EED"/>
    <w:rsid w:val="00D9552D"/>
    <w:rsid w:val="00D96026"/>
    <w:rsid w:val="00DA12B4"/>
    <w:rsid w:val="00DA1B65"/>
    <w:rsid w:val="00DA21C6"/>
    <w:rsid w:val="00DA5837"/>
    <w:rsid w:val="00DA7768"/>
    <w:rsid w:val="00DA7C1C"/>
    <w:rsid w:val="00DB147A"/>
    <w:rsid w:val="00DB1B7A"/>
    <w:rsid w:val="00DB24F1"/>
    <w:rsid w:val="00DB42D7"/>
    <w:rsid w:val="00DB562E"/>
    <w:rsid w:val="00DC6668"/>
    <w:rsid w:val="00DC6708"/>
    <w:rsid w:val="00DD192E"/>
    <w:rsid w:val="00DD2849"/>
    <w:rsid w:val="00DD4043"/>
    <w:rsid w:val="00DE0213"/>
    <w:rsid w:val="00DE190C"/>
    <w:rsid w:val="00DF30B1"/>
    <w:rsid w:val="00DF5E19"/>
    <w:rsid w:val="00E01436"/>
    <w:rsid w:val="00E029B6"/>
    <w:rsid w:val="00E02B32"/>
    <w:rsid w:val="00E045BD"/>
    <w:rsid w:val="00E11AEE"/>
    <w:rsid w:val="00E146C4"/>
    <w:rsid w:val="00E14FE3"/>
    <w:rsid w:val="00E17B77"/>
    <w:rsid w:val="00E228B8"/>
    <w:rsid w:val="00E23337"/>
    <w:rsid w:val="00E259EA"/>
    <w:rsid w:val="00E25FC7"/>
    <w:rsid w:val="00E32061"/>
    <w:rsid w:val="00E42FF9"/>
    <w:rsid w:val="00E430D4"/>
    <w:rsid w:val="00E4714C"/>
    <w:rsid w:val="00E51AEB"/>
    <w:rsid w:val="00E522A7"/>
    <w:rsid w:val="00E54349"/>
    <w:rsid w:val="00E54452"/>
    <w:rsid w:val="00E5594F"/>
    <w:rsid w:val="00E664C5"/>
    <w:rsid w:val="00E671A2"/>
    <w:rsid w:val="00E75A6E"/>
    <w:rsid w:val="00E76D26"/>
    <w:rsid w:val="00E815A3"/>
    <w:rsid w:val="00E816C9"/>
    <w:rsid w:val="00E82CD8"/>
    <w:rsid w:val="00E97600"/>
    <w:rsid w:val="00EA089C"/>
    <w:rsid w:val="00EA25CA"/>
    <w:rsid w:val="00EA4A7E"/>
    <w:rsid w:val="00EA7439"/>
    <w:rsid w:val="00EA7C59"/>
    <w:rsid w:val="00EB1390"/>
    <w:rsid w:val="00EB1BB9"/>
    <w:rsid w:val="00EB2C71"/>
    <w:rsid w:val="00EB3163"/>
    <w:rsid w:val="00EB4340"/>
    <w:rsid w:val="00EB556D"/>
    <w:rsid w:val="00EB5A7D"/>
    <w:rsid w:val="00ED0CE4"/>
    <w:rsid w:val="00ED3432"/>
    <w:rsid w:val="00ED55C0"/>
    <w:rsid w:val="00ED682B"/>
    <w:rsid w:val="00ED73E7"/>
    <w:rsid w:val="00ED74D7"/>
    <w:rsid w:val="00ED7773"/>
    <w:rsid w:val="00EE15E2"/>
    <w:rsid w:val="00EE41D5"/>
    <w:rsid w:val="00EF4243"/>
    <w:rsid w:val="00EF639B"/>
    <w:rsid w:val="00EF64C0"/>
    <w:rsid w:val="00F037A4"/>
    <w:rsid w:val="00F04245"/>
    <w:rsid w:val="00F04580"/>
    <w:rsid w:val="00F04CF3"/>
    <w:rsid w:val="00F06B8D"/>
    <w:rsid w:val="00F17DA1"/>
    <w:rsid w:val="00F22B78"/>
    <w:rsid w:val="00F23BFC"/>
    <w:rsid w:val="00F24737"/>
    <w:rsid w:val="00F26745"/>
    <w:rsid w:val="00F2756D"/>
    <w:rsid w:val="00F27C8F"/>
    <w:rsid w:val="00F32749"/>
    <w:rsid w:val="00F37172"/>
    <w:rsid w:val="00F37D35"/>
    <w:rsid w:val="00F4367F"/>
    <w:rsid w:val="00F4477E"/>
    <w:rsid w:val="00F5012A"/>
    <w:rsid w:val="00F53584"/>
    <w:rsid w:val="00F64219"/>
    <w:rsid w:val="00F64508"/>
    <w:rsid w:val="00F67D8F"/>
    <w:rsid w:val="00F728FF"/>
    <w:rsid w:val="00F747CA"/>
    <w:rsid w:val="00F75026"/>
    <w:rsid w:val="00F7518F"/>
    <w:rsid w:val="00F75F92"/>
    <w:rsid w:val="00F802BE"/>
    <w:rsid w:val="00F81AE9"/>
    <w:rsid w:val="00F82F18"/>
    <w:rsid w:val="00F86024"/>
    <w:rsid w:val="00F8611A"/>
    <w:rsid w:val="00F867B1"/>
    <w:rsid w:val="00F92945"/>
    <w:rsid w:val="00F931B6"/>
    <w:rsid w:val="00F93B25"/>
    <w:rsid w:val="00F973A9"/>
    <w:rsid w:val="00FA5128"/>
    <w:rsid w:val="00FA7D66"/>
    <w:rsid w:val="00FB0534"/>
    <w:rsid w:val="00FB2597"/>
    <w:rsid w:val="00FB42D4"/>
    <w:rsid w:val="00FB4558"/>
    <w:rsid w:val="00FB5906"/>
    <w:rsid w:val="00FB60FD"/>
    <w:rsid w:val="00FB762F"/>
    <w:rsid w:val="00FC2AED"/>
    <w:rsid w:val="00FC3A17"/>
    <w:rsid w:val="00FC6054"/>
    <w:rsid w:val="00FD0C1E"/>
    <w:rsid w:val="00FD2D8B"/>
    <w:rsid w:val="00FD37CD"/>
    <w:rsid w:val="00FD5EA7"/>
    <w:rsid w:val="00FD626C"/>
    <w:rsid w:val="00FE2D63"/>
    <w:rsid w:val="00FF1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5:chartTrackingRefBased/>
  <w15:docId w15:val="{FF868038-062A-4796-9E54-08DEA9FC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val="x-none"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lang w:val="x-none" w:eastAsia="x-none"/>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lang w:val="x-none" w:eastAsia="x-none"/>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lang w:val="x-none" w:eastAsia="x-none"/>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lang w:val="x-none" w:eastAsia="x-none"/>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lang w:val="x-none" w:eastAsia="x-none"/>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Fira Sans Medium" w:eastAsia="Times New Roman" w:hAnsi="Fira Sans Medium"/>
      <w:i/>
      <w:iCs/>
      <w:color w:val="272727"/>
      <w:sz w:val="21"/>
      <w:szCs w:val="21"/>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rFonts w:ascii="Fira Sans Light" w:hAnsi="Fira Sans Light"/>
      <w:sz w:val="20"/>
      <w:szCs w:val="20"/>
      <w:lang w:val="x-none" w:eastAsia="x-none"/>
    </w:rPr>
  </w:style>
  <w:style w:type="character" w:customStyle="1" w:styleId="TekstprzypisudolnegoZnak">
    <w:name w:val="Tekst przypisu dolnego Znak"/>
    <w:link w:val="Tekstprzypisudolnego"/>
    <w:uiPriority w:val="99"/>
    <w:rsid w:val="001448A7"/>
    <w:rPr>
      <w:sz w:val="20"/>
      <w:szCs w:val="20"/>
    </w:rPr>
  </w:style>
  <w:style w:type="character" w:styleId="Odwoanieprzypisudolnego">
    <w:name w:val="footnote reference"/>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695E23"/>
    <w:rPr>
      <w:color w:val="954F72"/>
      <w:u w:val="single"/>
    </w:rPr>
  </w:style>
  <w:style w:type="character" w:customStyle="1" w:styleId="shorttext">
    <w:name w:val="short_text"/>
    <w:basedOn w:val="Domylnaczcionkaakapitu"/>
    <w:rsid w:val="00FD626C"/>
  </w:style>
  <w:style w:type="paragraph" w:styleId="NormalnyWeb">
    <w:name w:val="Normal (Web)"/>
    <w:basedOn w:val="Normalny"/>
    <w:uiPriority w:val="99"/>
    <w:semiHidden/>
    <w:unhideWhenUsed/>
    <w:rsid w:val="00FD62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t-edited1">
    <w:name w:val="alt-edited1"/>
    <w:rsid w:val="006A0327"/>
    <w:rPr>
      <w:color w:val="4D90F0"/>
    </w:rPr>
  </w:style>
  <w:style w:type="paragraph" w:styleId="Tekstprzypisukocowego">
    <w:name w:val="endnote text"/>
    <w:basedOn w:val="Normalny"/>
    <w:link w:val="TekstprzypisukocowegoZnak"/>
    <w:uiPriority w:val="99"/>
    <w:semiHidden/>
    <w:unhideWhenUsed/>
    <w:rsid w:val="004301BD"/>
    <w:pPr>
      <w:spacing w:before="0" w:after="200" w:line="276" w:lineRule="auto"/>
    </w:pPr>
    <w:rPr>
      <w:rFonts w:ascii="Calibri" w:eastAsia="Times New Roman" w:hAnsi="Calibri"/>
      <w:sz w:val="20"/>
      <w:szCs w:val="20"/>
      <w:lang w:val="x-none" w:eastAsia="x-none"/>
    </w:rPr>
  </w:style>
  <w:style w:type="character" w:customStyle="1" w:styleId="TekstprzypisukocowegoZnak">
    <w:name w:val="Tekst przypisu końcowego Znak"/>
    <w:link w:val="Tekstprzypisukocowego"/>
    <w:uiPriority w:val="99"/>
    <w:semiHidden/>
    <w:rsid w:val="004301BD"/>
    <w:rPr>
      <w:rFonts w:ascii="Calibri" w:eastAsia="Times New Roman" w:hAnsi="Calibri"/>
    </w:rPr>
  </w:style>
  <w:style w:type="character" w:styleId="Odwoanieprzypisukocowego">
    <w:name w:val="endnote reference"/>
    <w:uiPriority w:val="99"/>
    <w:semiHidden/>
    <w:unhideWhenUsed/>
    <w:rsid w:val="004301BD"/>
    <w:rPr>
      <w:vertAlign w:val="superscript"/>
    </w:rPr>
  </w:style>
  <w:style w:type="character" w:styleId="Odwoaniedokomentarza">
    <w:name w:val="annotation reference"/>
    <w:uiPriority w:val="99"/>
    <w:semiHidden/>
    <w:unhideWhenUsed/>
    <w:rsid w:val="000734F2"/>
    <w:rPr>
      <w:sz w:val="16"/>
      <w:szCs w:val="16"/>
    </w:rPr>
  </w:style>
  <w:style w:type="paragraph" w:styleId="Tekstkomentarza">
    <w:name w:val="annotation text"/>
    <w:basedOn w:val="Normalny"/>
    <w:link w:val="TekstkomentarzaZnak"/>
    <w:uiPriority w:val="99"/>
    <w:semiHidden/>
    <w:unhideWhenUsed/>
    <w:rsid w:val="000734F2"/>
    <w:rPr>
      <w:sz w:val="20"/>
      <w:szCs w:val="20"/>
    </w:rPr>
  </w:style>
  <w:style w:type="character" w:customStyle="1" w:styleId="TekstkomentarzaZnak">
    <w:name w:val="Tekst komentarza Znak"/>
    <w:link w:val="Tekstkomentarza"/>
    <w:uiPriority w:val="99"/>
    <w:semiHidden/>
    <w:rsid w:val="000734F2"/>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322FEF"/>
    <w:rPr>
      <w:b/>
      <w:bCs/>
    </w:rPr>
  </w:style>
  <w:style w:type="character" w:customStyle="1" w:styleId="TematkomentarzaZnak">
    <w:name w:val="Temat komentarza Znak"/>
    <w:link w:val="Tematkomentarza"/>
    <w:uiPriority w:val="99"/>
    <w:semiHidden/>
    <w:rsid w:val="00322FEF"/>
    <w:rPr>
      <w:rFonts w:ascii="Fira Sans" w:hAnsi="Fira Sans"/>
      <w:b/>
      <w:bCs/>
      <w:lang w:eastAsia="en-US"/>
    </w:rPr>
  </w:style>
  <w:style w:type="paragraph" w:customStyle="1" w:styleId="Opiswskanika">
    <w:name w:val="Opis wskaźnika"/>
    <w:basedOn w:val="tekstnaniebieskimtle"/>
    <w:link w:val="OpiswskanikaZnak"/>
    <w:qFormat/>
    <w:rsid w:val="003818AB"/>
    <w:rPr>
      <w:color w:val="FFFFFF"/>
    </w:rPr>
  </w:style>
  <w:style w:type="character" w:customStyle="1" w:styleId="OpiswskanikaZnak">
    <w:name w:val="Opis wskaźnika Znak"/>
    <w:link w:val="Opiswskanika"/>
    <w:rsid w:val="003818AB"/>
    <w:rPr>
      <w:rFonts w:ascii="Fira Sans" w:hAnsi="Fira Sans"/>
      <w:color w:val="FFFFF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8260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8158686">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15425113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65649298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634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stat.gov.pl/en/metainformation/glossary/terms-used-in-official-statistics/364,term.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aid.stat.gov.pl/EN/SitePagesDBW/RachunkiNarodowe.aspx" TargetMode="Externa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2.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54C410-1BC0-41FD-9E3C-1F1A31A14B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4.xml><?xml version="1.0" encoding="utf-8"?>
<ds:datastoreItem xmlns:ds="http://schemas.openxmlformats.org/officeDocument/2006/customXml" ds:itemID="{84FD2E2B-7F09-4D7B-8B46-F455FFFB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5490</Characters>
  <DocSecurity>4</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6392</CharactersWithSpaces>
  <SharedDoc>false</SharedDoc>
  <HLinks>
    <vt:vector size="30" baseType="variant">
      <vt:variant>
        <vt:i4>8257585</vt:i4>
      </vt:variant>
      <vt:variant>
        <vt:i4>12</vt:i4>
      </vt:variant>
      <vt:variant>
        <vt:i4>0</vt:i4>
      </vt:variant>
      <vt:variant>
        <vt:i4>5</vt:i4>
      </vt:variant>
      <vt:variant>
        <vt:lpwstr>http://stat.gov.pl/en/metainformations/glossary/terms-used-in-official-statistics/364,term.html</vt:lpwstr>
      </vt:variant>
      <vt:variant>
        <vt:lpwstr/>
      </vt:variant>
      <vt:variant>
        <vt:i4>3670060</vt:i4>
      </vt:variant>
      <vt:variant>
        <vt:i4>9</vt:i4>
      </vt:variant>
      <vt:variant>
        <vt:i4>0</vt:i4>
      </vt:variant>
      <vt:variant>
        <vt:i4>5</vt:i4>
      </vt:variant>
      <vt:variant>
        <vt:lpwstr>http://swaid.stat.gov.pl/EN/SitePagesDBW/RachunkiNarodowe.aspx</vt:lpwstr>
      </vt:variant>
      <vt:variant>
        <vt:lpwstr/>
      </vt:variant>
      <vt:variant>
        <vt:i4>8323117</vt:i4>
      </vt:variant>
      <vt:variant>
        <vt:i4>6</vt:i4>
      </vt:variant>
      <vt:variant>
        <vt:i4>0</vt:i4>
      </vt:variant>
      <vt:variant>
        <vt:i4>5</vt:i4>
      </vt:variant>
      <vt:variant>
        <vt:lpwstr>https://stat.gov.pl/en/topics/national-accounts/general-government-statistics/general-government-deficit-and-debt-in-2020,5,33.html</vt:lpwstr>
      </vt:variant>
      <vt:variant>
        <vt:lpwstr/>
      </vt:variant>
      <vt:variant>
        <vt:i4>3997761</vt:i4>
      </vt:variant>
      <vt:variant>
        <vt:i4>3</vt:i4>
      </vt:variant>
      <vt:variant>
        <vt:i4>0</vt:i4>
      </vt:variant>
      <vt:variant>
        <vt:i4>5</vt:i4>
      </vt:variant>
      <vt:variant>
        <vt:lpwstr>mailto:obslugaprasowa@stat.gov.pl</vt:lpwstr>
      </vt:variant>
      <vt:variant>
        <vt:lpwstr/>
      </vt:variant>
      <vt:variant>
        <vt:i4>5308490</vt:i4>
      </vt:variant>
      <vt:variant>
        <vt:i4>0</vt:i4>
      </vt:variant>
      <vt:variant>
        <vt:i4>0</vt:i4>
      </vt:variant>
      <vt:variant>
        <vt:i4>5</vt:i4>
      </vt:variant>
      <vt:variant>
        <vt:lpwstr>http://epp.eurostat.ec.europa.eu/portal/page/portal/eurostat/home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2022-04-21T12:15:00Z</cp:lastPrinted>
  <dcterms:created xsi:type="dcterms:W3CDTF">2023-10-20T11:40:00Z</dcterms:created>
  <dcterms:modified xsi:type="dcterms:W3CDTF">2023-10-20T11:40:00Z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