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AE337" w14:textId="58710B84" w:rsidR="00720CDD" w:rsidRPr="00996567" w:rsidRDefault="00DE0BAF" w:rsidP="00720CDD">
      <w:pPr>
        <w:pStyle w:val="Tytuinfomacjisygnalnej"/>
        <w:rPr>
          <w:lang w:val="en-US"/>
        </w:rPr>
      </w:pPr>
      <w:bookmarkStart w:id="0" w:name="_GoBack"/>
      <w:bookmarkEnd w:id="0"/>
      <w:r w:rsidRPr="00DE0BAF">
        <w:rPr>
          <w:lang w:val="en-US"/>
        </w:rPr>
        <w:t>Average paid employment, wages and salaries in the national economy in 2022 – preliminary data</w:t>
      </w:r>
      <w:r w:rsidRPr="00996567">
        <w:rPr>
          <w:color w:val="auto"/>
          <w:lang w:val="en-US"/>
        </w:rPr>
        <w:t xml:space="preserve"> </w:t>
      </w:r>
    </w:p>
    <w:p w14:paraId="4C2A8DBD" w14:textId="3ADDEF71" w:rsidR="00DE0BAF" w:rsidRPr="00DE0BAF" w:rsidRDefault="00996567" w:rsidP="00DE0BAF">
      <w:pPr>
        <w:pStyle w:val="Lead"/>
        <w:spacing w:before="240" w:after="840"/>
        <w:rPr>
          <w:rFonts w:eastAsia="Times New Roman" w:cs="Times New Roman"/>
          <w:bCs/>
          <w:noProof w:val="0"/>
          <w:lang w:val="en-US"/>
        </w:rPr>
      </w:pPr>
      <w:r w:rsidRPr="00996567">
        <w:rPr>
          <w:spacing w:val="-2"/>
        </w:rPr>
        <mc:AlternateContent>
          <mc:Choice Requires="wps">
            <w:drawing>
              <wp:anchor distT="45720" distB="45720" distL="114300" distR="114300" simplePos="0" relativeHeight="251659264" behindDoc="0" locked="0" layoutInCell="1" allowOverlap="1" wp14:anchorId="5B85D36C" wp14:editId="06A437A9">
                <wp:simplePos x="0" y="0"/>
                <wp:positionH relativeFrom="margin">
                  <wp:posOffset>31750</wp:posOffset>
                </wp:positionH>
                <wp:positionV relativeFrom="paragraph">
                  <wp:posOffset>27940</wp:posOffset>
                </wp:positionV>
                <wp:extent cx="2711450" cy="1219200"/>
                <wp:effectExtent l="0" t="0" r="0" b="0"/>
                <wp:wrapSquare wrapText="bothSides"/>
                <wp:docPr id="2" name="Pole tekstowe 2" descr="1.4% Increase in the average paid employment in 2022 in the national economy compared with the previous year" title="Lea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1219200"/>
                        </a:xfrm>
                        <a:prstGeom prst="roundRect">
                          <a:avLst/>
                        </a:prstGeom>
                        <a:solidFill>
                          <a:srgbClr val="001D77"/>
                        </a:solidFill>
                        <a:ln w="9525">
                          <a:noFill/>
                          <a:miter lim="800000"/>
                          <a:headEnd/>
                          <a:tailEnd/>
                        </a:ln>
                      </wps:spPr>
                      <wps:txbx>
                        <w:txbxContent>
                          <w:p w14:paraId="6A5197AB" w14:textId="77777777" w:rsidR="00DE0BAF" w:rsidRPr="00DE0BAF" w:rsidRDefault="00DE0BAF" w:rsidP="00DE0BAF">
                            <w:pPr>
                              <w:autoSpaceDE w:val="0"/>
                              <w:autoSpaceDN w:val="0"/>
                              <w:adjustRightInd w:val="0"/>
                              <w:spacing w:before="0" w:after="0" w:line="240" w:lineRule="auto"/>
                              <w:rPr>
                                <w:rFonts w:ascii="Fira Sans SemiBold" w:hAnsi="Fira Sans SemiBold"/>
                                <w:color w:val="FFFFFF" w:themeColor="background1"/>
                                <w:sz w:val="72"/>
                                <w:szCs w:val="72"/>
                                <w:lang w:val="en-US"/>
                              </w:rPr>
                            </w:pPr>
                            <w:r w:rsidRPr="004C4800">
                              <w:rPr>
                                <w:rStyle w:val="IkonawskanikaZnak"/>
                                <w:sz w:val="76"/>
                                <w:szCs w:val="76"/>
                              </w:rPr>
                              <w:sym w:font="Wingdings" w:char="F0F1"/>
                            </w:r>
                            <w:r w:rsidRPr="00DE0BAF">
                              <w:rPr>
                                <w:rFonts w:ascii="Fira Sans SemiBold" w:hAnsi="Fira Sans SemiBold"/>
                                <w:color w:val="FFFFFF" w:themeColor="background1"/>
                                <w:sz w:val="60"/>
                                <w:szCs w:val="60"/>
                                <w:lang w:val="en-US"/>
                              </w:rPr>
                              <w:t xml:space="preserve"> </w:t>
                            </w:r>
                            <w:r w:rsidRPr="00DE0BAF">
                              <w:rPr>
                                <w:rStyle w:val="WartowskanikaZnak"/>
                                <w:sz w:val="72"/>
                                <w:szCs w:val="72"/>
                                <w:lang w:val="en-US"/>
                              </w:rPr>
                              <w:t>1.4%</w:t>
                            </w:r>
                          </w:p>
                          <w:p w14:paraId="57346358" w14:textId="5EA4033C" w:rsidR="00DE0BAF" w:rsidRPr="00DE0BAF" w:rsidRDefault="00DE0BAF" w:rsidP="00DE0BAF">
                            <w:pPr>
                              <w:pStyle w:val="tekstnaniebieskimtle"/>
                              <w:ind w:left="57" w:right="-113"/>
                              <w:rPr>
                                <w:szCs w:val="20"/>
                                <w:lang w:val="en-US"/>
                              </w:rPr>
                            </w:pPr>
                            <w:r w:rsidRPr="00DE0BAF">
                              <w:rPr>
                                <w:szCs w:val="20"/>
                                <w:lang w:val="en-US"/>
                              </w:rPr>
                              <w:t>Increase in the average paid employment in 2022 in the national economy compared with the previous year</w:t>
                            </w:r>
                          </w:p>
                          <w:p w14:paraId="49EC5240" w14:textId="204DF8E1" w:rsidR="00720CDD" w:rsidRPr="00996567" w:rsidRDefault="00720CDD" w:rsidP="00996567">
                            <w:pPr>
                              <w:pStyle w:val="Opiswskanika"/>
                              <w:spacing w:before="120"/>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B85D36C" id="Pole tekstowe 2" o:spid="_x0000_s1026" alt="Tytuł: Lead — opis: 1.4% Increase in the average paid employment in 2022 in the national economy compared with the previous year" style="position:absolute;margin-left:2.5pt;margin-top:2.2pt;width:213.5pt;height: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" fillcolor="#001d77" stroked="f">
                <v:stroke joinstyle="miter"/>
                <v:textbox>
                  <w:txbxContent>
                    <w:p w14:paraId="6A5197AB" w14:textId="77777777" w:rsidR="00DE0BAF" w:rsidRPr="00DE0BAF" w:rsidRDefault="00DE0BAF" w:rsidP="00DE0BAF">
                      <w:pPr>
                        <w:autoSpaceDE w:val="0"/>
                        <w:autoSpaceDN w:val="0"/>
                        <w:adjustRightInd w:val="0"/>
                        <w:spacing w:before="0" w:after="0" w:line="240" w:lineRule="auto"/>
                        <w:rPr>
                          <w:rFonts w:ascii="Fira Sans SemiBold" w:hAnsi="Fira Sans SemiBold"/>
                          <w:color w:val="FFFFFF" w:themeColor="background1"/>
                          <w:sz w:val="72"/>
                          <w:szCs w:val="72"/>
                          <w:lang w:val="en-US"/>
                        </w:rPr>
                      </w:pPr>
                      <w:r w:rsidRPr="004C4800">
                        <w:rPr>
                          <w:rStyle w:val="IkonawskanikaZnak"/>
                          <w:sz w:val="76"/>
                          <w:szCs w:val="76"/>
                        </w:rPr>
                        <w:sym w:font="Wingdings" w:char="F0F1"/>
                      </w:r>
                      <w:r w:rsidRPr="00DE0BAF">
                        <w:rPr>
                          <w:rFonts w:ascii="Fira Sans SemiBold" w:hAnsi="Fira Sans SemiBold"/>
                          <w:color w:val="FFFFFF" w:themeColor="background1"/>
                          <w:sz w:val="60"/>
                          <w:szCs w:val="60"/>
                          <w:lang w:val="en-US"/>
                        </w:rPr>
                        <w:t xml:space="preserve"> </w:t>
                      </w:r>
                      <w:r w:rsidRPr="00DE0BAF">
                        <w:rPr>
                          <w:rStyle w:val="WartowskanikaZnak"/>
                          <w:sz w:val="72"/>
                          <w:szCs w:val="72"/>
                          <w:lang w:val="en-US"/>
                        </w:rPr>
                        <w:t>1.4%</w:t>
                      </w:r>
                    </w:p>
                    <w:p w14:paraId="57346358" w14:textId="5EA4033C" w:rsidR="00DE0BAF" w:rsidRPr="00DE0BAF" w:rsidRDefault="00DE0BAF" w:rsidP="00DE0BAF">
                      <w:pPr>
                        <w:pStyle w:val="tekstnaniebieskimtle"/>
                        <w:ind w:left="57" w:right="-113"/>
                        <w:rPr>
                          <w:szCs w:val="20"/>
                          <w:lang w:val="en-US"/>
                        </w:rPr>
                      </w:pPr>
                      <w:r w:rsidRPr="00DE0BAF">
                        <w:rPr>
                          <w:szCs w:val="20"/>
                          <w:lang w:val="en-US"/>
                        </w:rPr>
                        <w:t>Increase in the average paid employment in 2022 in the national economy compared with the previous year</w:t>
                      </w:r>
                    </w:p>
                    <w:p w14:paraId="49EC5240" w14:textId="204DF8E1" w:rsidR="00720CDD" w:rsidRPr="00996567" w:rsidRDefault="00720CDD" w:rsidP="00996567">
                      <w:pPr>
                        <w:pStyle w:val="Opiswskanika"/>
                        <w:spacing w:before="120"/>
                        <w:rPr>
                          <w:sz w:val="18"/>
                          <w:szCs w:val="20"/>
                          <w:lang w:val="en-US"/>
                        </w:rPr>
                      </w:pPr>
                    </w:p>
                  </w:txbxContent>
                </v:textbox>
                <w10:wrap type="square" anchorx="margin"/>
              </v:roundrect>
            </w:pict>
          </mc:Fallback>
        </mc:AlternateContent>
      </w:r>
      <w:r w:rsidR="00DE0BAF" w:rsidRPr="00DE0BAF">
        <w:rPr>
          <w:lang w:val="en-US"/>
        </w:rPr>
        <w:t>According to preliminary data, in 2022, the average paid employment in the national economy was 11.0 million full-time equivalent employees. There were 1.4% more of them compared with the previous year.</w:t>
      </w:r>
    </w:p>
    <w:p w14:paraId="5D279B56" w14:textId="08FEA5C1" w:rsidR="00DE0BAF" w:rsidRPr="00DE0BAF" w:rsidRDefault="00C9664A" w:rsidP="00DE0BAF">
      <w:pPr>
        <w:pStyle w:val="Nagwek1"/>
        <w:rPr>
          <w:lang w:val="en-US"/>
        </w:rPr>
      </w:pPr>
      <w:r w:rsidRPr="00606E66">
        <w:rPr>
          <w:b/>
          <w:noProof/>
          <w:spacing w:val="-2"/>
          <w:szCs w:val="19"/>
        </w:rPr>
        <mc:AlternateContent>
          <mc:Choice Requires="wps">
            <w:drawing>
              <wp:anchor distT="45720" distB="45720" distL="114300" distR="114300" simplePos="0" relativeHeight="251678720" behindDoc="1" locked="0" layoutInCell="1" allowOverlap="1" wp14:anchorId="3709498C" wp14:editId="59A8AB70">
                <wp:simplePos x="0" y="0"/>
                <wp:positionH relativeFrom="column">
                  <wp:posOffset>5291455</wp:posOffset>
                </wp:positionH>
                <wp:positionV relativeFrom="paragraph">
                  <wp:posOffset>149694</wp:posOffset>
                </wp:positionV>
                <wp:extent cx="1760855" cy="1120775"/>
                <wp:effectExtent l="0" t="0" r="0" b="3175"/>
                <wp:wrapTight wrapText="bothSides">
                  <wp:wrapPolygon edited="0">
                    <wp:start x="701" y="0"/>
                    <wp:lineTo x="701" y="21294"/>
                    <wp:lineTo x="20798" y="21294"/>
                    <wp:lineTo x="20798" y="0"/>
                    <wp:lineTo x="701" y="0"/>
                  </wp:wrapPolygon>
                </wp:wrapTight>
                <wp:docPr id="3" name="Pole tekstowe 3" descr="Average paid employment includes full-time employees and part-time employees converted into full-time equivalent employee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1120775"/>
                        </a:xfrm>
                        <a:prstGeom prst="rect">
                          <a:avLst/>
                        </a:prstGeom>
                        <a:noFill/>
                        <a:ln w="9525">
                          <a:noFill/>
                          <a:miter lim="800000"/>
                          <a:headEnd/>
                          <a:tailEnd/>
                        </a:ln>
                      </wps:spPr>
                      <wps:txbx>
                        <w:txbxContent>
                          <w:p w14:paraId="05E2D67C" w14:textId="77777777" w:rsidR="00C9664A" w:rsidRPr="006B1CD8" w:rsidRDefault="00C9664A" w:rsidP="00C9664A">
                            <w:pPr>
                              <w:pStyle w:val="tekstzboku"/>
                              <w:spacing w:before="0"/>
                              <w:rPr>
                                <w:spacing w:val="-3"/>
                                <w:lang w:val="en-US"/>
                              </w:rPr>
                            </w:pPr>
                            <w:r w:rsidRPr="006B1CD8">
                              <w:rPr>
                                <w:spacing w:val="-3"/>
                                <w:lang w:val="en-US"/>
                              </w:rPr>
                              <w:t>Average paid employment</w:t>
                            </w:r>
                          </w:p>
                          <w:p w14:paraId="6A4B0ED6" w14:textId="77777777" w:rsidR="00C9664A" w:rsidRPr="006B1CD8" w:rsidRDefault="00C9664A" w:rsidP="00C9664A">
                            <w:pPr>
                              <w:pStyle w:val="tekstzboku"/>
                              <w:spacing w:before="0"/>
                              <w:rPr>
                                <w:spacing w:val="-3"/>
                                <w:lang w:val="en-US"/>
                              </w:rPr>
                            </w:pPr>
                            <w:r w:rsidRPr="006B1CD8">
                              <w:rPr>
                                <w:spacing w:val="-3"/>
                                <w:lang w:val="en-US"/>
                              </w:rPr>
                              <w:t>includes full-time employees</w:t>
                            </w:r>
                          </w:p>
                          <w:p w14:paraId="5C8525FF" w14:textId="77777777" w:rsidR="00C9664A" w:rsidRPr="00C9664A" w:rsidRDefault="00C9664A" w:rsidP="00C9664A">
                            <w:pPr>
                              <w:pStyle w:val="tekstzboku"/>
                              <w:spacing w:before="0"/>
                              <w:rPr>
                                <w:spacing w:val="-3"/>
                                <w:lang w:val="en-US"/>
                              </w:rPr>
                            </w:pPr>
                            <w:r w:rsidRPr="006B1CD8">
                              <w:rPr>
                                <w:spacing w:val="-3"/>
                                <w:lang w:val="en-US"/>
                              </w:rPr>
                              <w:t>an</w:t>
                            </w:r>
                            <w:r w:rsidRPr="00C9664A">
                              <w:rPr>
                                <w:spacing w:val="-3"/>
                                <w:lang w:val="en-US"/>
                              </w:rPr>
                              <w:t>d part-time employees</w:t>
                            </w:r>
                          </w:p>
                          <w:p w14:paraId="7B0F83F2" w14:textId="77777777" w:rsidR="00C9664A" w:rsidRPr="00C9664A" w:rsidRDefault="00C9664A" w:rsidP="00C9664A">
                            <w:pPr>
                              <w:pStyle w:val="tekstzboku"/>
                              <w:spacing w:before="0"/>
                              <w:rPr>
                                <w:spacing w:val="-3"/>
                                <w:lang w:val="en-US"/>
                              </w:rPr>
                            </w:pPr>
                            <w:r w:rsidRPr="00C9664A">
                              <w:rPr>
                                <w:spacing w:val="-3"/>
                                <w:lang w:val="en-US"/>
                              </w:rPr>
                              <w:t>converted into full-time</w:t>
                            </w:r>
                          </w:p>
                          <w:p w14:paraId="1D45D2BA" w14:textId="77777777" w:rsidR="00C9664A" w:rsidRPr="00C9664A" w:rsidRDefault="00C9664A" w:rsidP="00C9664A">
                            <w:pPr>
                              <w:pStyle w:val="tekstzboku"/>
                              <w:spacing w:before="0"/>
                              <w:rPr>
                                <w:spacing w:val="-3"/>
                                <w:lang w:val="en-US"/>
                              </w:rPr>
                            </w:pPr>
                            <w:r w:rsidRPr="00C9664A">
                              <w:rPr>
                                <w:spacing w:val="-3"/>
                                <w:lang w:val="en-US"/>
                              </w:rPr>
                              <w:t>equivalent employees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09498C" id="_x0000_t202" coordsize="21600,21600" o:spt="202" path="m,l,21600r21600,l21600,xe">
                <v:stroke joinstyle="miter"/>
                <v:path gradientshapeok="t" o:connecttype="rect"/>
              </v:shapetype>
              <v:shape id="Pole tekstowe 3" o:spid="_x0000_s1027" type="#_x0000_t202" alt="Average paid employment includes full-time employees and part-time employees converted into full-time equivalent employees&#10;" style="position:absolute;margin-left:416.65pt;margin-top:11.8pt;width:138.65pt;height:88.2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" filled="f" stroked="f">
                <v:textbox>
                  <w:txbxContent>
                    <w:p w14:paraId="05E2D67C" w14:textId="77777777" w:rsidR="00C9664A" w:rsidRPr="006B1CD8" w:rsidRDefault="00C9664A" w:rsidP="00C9664A">
                      <w:pPr>
                        <w:pStyle w:val="tekstzboku"/>
                        <w:spacing w:before="0"/>
                        <w:rPr>
                          <w:spacing w:val="-3"/>
                          <w:lang w:val="en-US"/>
                        </w:rPr>
                      </w:pPr>
                      <w:r w:rsidRPr="006B1CD8">
                        <w:rPr>
                          <w:spacing w:val="-3"/>
                          <w:lang w:val="en-US"/>
                        </w:rPr>
                        <w:t>Average paid employment</w:t>
                      </w:r>
                    </w:p>
                    <w:p w14:paraId="6A4B0ED6" w14:textId="77777777" w:rsidR="00C9664A" w:rsidRPr="006B1CD8" w:rsidRDefault="00C9664A" w:rsidP="00C9664A">
                      <w:pPr>
                        <w:pStyle w:val="tekstzboku"/>
                        <w:spacing w:before="0"/>
                        <w:rPr>
                          <w:spacing w:val="-3"/>
                          <w:lang w:val="en-US"/>
                        </w:rPr>
                      </w:pPr>
                      <w:r w:rsidRPr="006B1CD8">
                        <w:rPr>
                          <w:spacing w:val="-3"/>
                          <w:lang w:val="en-US"/>
                        </w:rPr>
                        <w:t>includes full-time employees</w:t>
                      </w:r>
                    </w:p>
                    <w:p w14:paraId="5C8525FF" w14:textId="77777777" w:rsidR="00C9664A" w:rsidRPr="00C9664A" w:rsidRDefault="00C9664A" w:rsidP="00C9664A">
                      <w:pPr>
                        <w:pStyle w:val="tekstzboku"/>
                        <w:spacing w:before="0"/>
                        <w:rPr>
                          <w:spacing w:val="-3"/>
                          <w:lang w:val="en-US"/>
                        </w:rPr>
                      </w:pPr>
                      <w:r w:rsidRPr="006B1CD8">
                        <w:rPr>
                          <w:spacing w:val="-3"/>
                          <w:lang w:val="en-US"/>
                        </w:rPr>
                        <w:t>an</w:t>
                      </w:r>
                      <w:r w:rsidRPr="00C9664A">
                        <w:rPr>
                          <w:spacing w:val="-3"/>
                          <w:lang w:val="en-US"/>
                        </w:rPr>
                        <w:t>d part-time employees</w:t>
                      </w:r>
                    </w:p>
                    <w:p w14:paraId="7B0F83F2" w14:textId="77777777" w:rsidR="00C9664A" w:rsidRPr="00C9664A" w:rsidRDefault="00C9664A" w:rsidP="00C9664A">
                      <w:pPr>
                        <w:pStyle w:val="tekstzboku"/>
                        <w:spacing w:before="0"/>
                        <w:rPr>
                          <w:spacing w:val="-3"/>
                          <w:lang w:val="en-US"/>
                        </w:rPr>
                      </w:pPr>
                      <w:r w:rsidRPr="00C9664A">
                        <w:rPr>
                          <w:spacing w:val="-3"/>
                          <w:lang w:val="en-US"/>
                        </w:rPr>
                        <w:t>converted into full-time</w:t>
                      </w:r>
                    </w:p>
                    <w:p w14:paraId="1D45D2BA" w14:textId="77777777" w:rsidR="00C9664A" w:rsidRPr="00C9664A" w:rsidRDefault="00C9664A" w:rsidP="00C9664A">
                      <w:pPr>
                        <w:pStyle w:val="tekstzboku"/>
                        <w:spacing w:before="0"/>
                        <w:rPr>
                          <w:spacing w:val="-3"/>
                          <w:lang w:val="en-US"/>
                        </w:rPr>
                      </w:pPr>
                      <w:r w:rsidRPr="00C9664A">
                        <w:rPr>
                          <w:spacing w:val="-3"/>
                          <w:lang w:val="en-US"/>
                        </w:rPr>
                        <w:t>equivalent employees</w:t>
                      </w:r>
                    </w:p>
                  </w:txbxContent>
                </v:textbox>
                <w10:wrap type="tight"/>
              </v:shape>
            </w:pict>
          </mc:Fallback>
        </mc:AlternateContent>
      </w:r>
      <w:r w:rsidR="00DE0BAF" w:rsidRPr="00DE0BAF">
        <w:rPr>
          <w:lang w:val="en-US"/>
        </w:rPr>
        <w:t>Average paid employment in the national economy</w:t>
      </w:r>
    </w:p>
    <w:p w14:paraId="08A5D10E" w14:textId="043F3C72" w:rsidR="00DE0BAF" w:rsidRDefault="00DE0BAF" w:rsidP="00DE0BAF">
      <w:pPr>
        <w:spacing w:line="288" w:lineRule="auto"/>
        <w:rPr>
          <w:lang w:val="en-US"/>
        </w:rPr>
      </w:pPr>
      <w:r w:rsidRPr="00DE0BAF">
        <w:rPr>
          <w:lang w:val="en-US"/>
        </w:rPr>
        <w:t>In 2022, the most full-time equivalent employees were concentrated in the Manufacturing section – 23.2% of total average paid employment. Compared with 2021, the average paid employment decreased in five sections, with the highest decrease recorded in the Electricity, gas, steam and air conditioning supply section and Agriculture, forestry and fishing section (1.2% each). Compared with 2021, the average paid employment increased the most in the Information and communication section (by 10.2%) and Accommodation and catering</w:t>
      </w:r>
      <w:r w:rsidRPr="00DE0BAF">
        <w:rPr>
          <w:vertAlign w:val="superscript"/>
          <w:lang w:val="en-US"/>
        </w:rPr>
        <w:t>∆</w:t>
      </w:r>
      <w:r w:rsidRPr="00DE0BAF">
        <w:rPr>
          <w:lang w:val="en-US"/>
        </w:rPr>
        <w:t xml:space="preserve"> section (by 7.1%).</w:t>
      </w:r>
    </w:p>
    <w:p w14:paraId="278753C4" w14:textId="61107E00" w:rsidR="00DE0BAF" w:rsidRDefault="004864D0" w:rsidP="00DE0BAF">
      <w:pPr>
        <w:spacing w:before="360" w:line="240" w:lineRule="auto"/>
        <w:ind w:left="709" w:hanging="709"/>
        <w:rPr>
          <w:b/>
          <w:lang w:val="en-US"/>
        </w:rPr>
      </w:pPr>
      <w:r w:rsidRPr="004864D0">
        <w:rPr>
          <w:b/>
          <w:noProof/>
          <w:lang w:eastAsia="pl-PL"/>
        </w:rPr>
        <w:drawing>
          <wp:anchor distT="0" distB="0" distL="114300" distR="114300" simplePos="0" relativeHeight="251673600" behindDoc="0" locked="0" layoutInCell="1" allowOverlap="1" wp14:anchorId="37ADC3D1" wp14:editId="217D3E2B">
            <wp:simplePos x="0" y="0"/>
            <wp:positionH relativeFrom="column">
              <wp:posOffset>64770</wp:posOffset>
            </wp:positionH>
            <wp:positionV relativeFrom="paragraph">
              <wp:posOffset>495935</wp:posOffset>
            </wp:positionV>
            <wp:extent cx="5038090" cy="4578350"/>
            <wp:effectExtent l="0" t="0" r="0" b="0"/>
            <wp:wrapTopAndBottom/>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mfbdg01\WOU_SHARE\PUBLIKACJE\PUBLIKACJE_2023\SYGNALNE\przec_zatrudn_i_wynagrodz_w_gosp_narod_w_2022_dane_wstepne\jpg\wykres_01_ang.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38090" cy="457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0BAF" w:rsidRPr="00DE0BAF">
        <w:rPr>
          <w:b/>
          <w:lang w:val="en-US"/>
        </w:rPr>
        <w:t xml:space="preserve">Chart 1. Average paid employment in the national economy by PKD/NACE section in 2022 </w:t>
      </w:r>
      <w:r w:rsidR="00DE0BAF">
        <w:rPr>
          <w:b/>
          <w:lang w:val="en-US"/>
        </w:rPr>
        <w:br/>
      </w:r>
      <w:r w:rsidR="00DE0BAF" w:rsidRPr="00DE0BAF">
        <w:rPr>
          <w:b/>
          <w:lang w:val="en-US"/>
        </w:rPr>
        <w:t>– preliminary data</w:t>
      </w:r>
    </w:p>
    <w:p w14:paraId="62EE1163" w14:textId="77777777" w:rsidR="004864D0" w:rsidRPr="006B1CD8" w:rsidRDefault="004864D0" w:rsidP="004864D0">
      <w:pPr>
        <w:pStyle w:val="Nagwek1"/>
        <w:rPr>
          <w:b/>
          <w:lang w:val="en-US"/>
        </w:rPr>
      </w:pPr>
      <w:r w:rsidRPr="006B1CD8">
        <w:rPr>
          <w:noProof/>
          <w:lang w:val="en-US"/>
        </w:rPr>
        <w:lastRenderedPageBreak/>
        <w:t>Average monthly gross wages and salaries in the national economy</w:t>
      </w:r>
    </w:p>
    <w:p w14:paraId="621DFCDF" w14:textId="77777777" w:rsidR="004864D0" w:rsidRPr="006B1CD8" w:rsidRDefault="004864D0" w:rsidP="004864D0">
      <w:pPr>
        <w:spacing w:line="288" w:lineRule="auto"/>
        <w:rPr>
          <w:lang w:val="en-US"/>
        </w:rPr>
      </w:pPr>
      <w:r w:rsidRPr="006B1CD8">
        <w:rPr>
          <w:lang w:val="en-US"/>
        </w:rPr>
        <w:t>According to preliminary data, the average monthly gross wage and salary in the national economy in Poland in 2022 was PLN 6 346.15. Compared with 2021 it increased nominally by 11.7%. This is a larger increase than that recorded in 2021 compared with 2020 – the average monthly gross wage and salary then increased by 8.7%.</w:t>
      </w:r>
    </w:p>
    <w:p w14:paraId="337AE528" w14:textId="18227853" w:rsidR="004864D0" w:rsidRPr="006B1CD8" w:rsidRDefault="004864D0" w:rsidP="004864D0">
      <w:pPr>
        <w:spacing w:line="288" w:lineRule="auto"/>
        <w:rPr>
          <w:lang w:val="en-US"/>
        </w:rPr>
      </w:pPr>
      <w:r w:rsidRPr="006B1CD8">
        <w:rPr>
          <w:lang w:val="en-US"/>
        </w:rPr>
        <w:t>The average monthly gross wage and salary by PKD/NACE section remained differentiated. In 2022, it ranged from PLN 4 127.68 in the Accommodation and catering</w:t>
      </w:r>
      <w:r w:rsidRPr="006B1CD8">
        <w:rPr>
          <w:vertAlign w:val="superscript"/>
          <w:lang w:val="en-US"/>
        </w:rPr>
        <w:t>∆</w:t>
      </w:r>
      <w:r w:rsidR="00C9664A">
        <w:rPr>
          <w:lang w:val="en-US"/>
        </w:rPr>
        <w:t xml:space="preserve"> section to PLN 11 </w:t>
      </w:r>
      <w:r w:rsidRPr="006B1CD8">
        <w:rPr>
          <w:lang w:val="en-US"/>
        </w:rPr>
        <w:t>101.46 in the Mining and quarrying section. These values were respectively 35.0% lower and 74.9% higher than the average monthly gross wage and salary in Poland.</w:t>
      </w:r>
    </w:p>
    <w:p w14:paraId="3AC0DE1D" w14:textId="7D828690" w:rsidR="003F652B" w:rsidRDefault="004864D0" w:rsidP="00DE0BAF">
      <w:pPr>
        <w:spacing w:before="360" w:line="240" w:lineRule="auto"/>
        <w:ind w:left="709" w:hanging="709"/>
        <w:rPr>
          <w:b/>
          <w:lang w:val="en-US"/>
        </w:rPr>
      </w:pPr>
      <w:r w:rsidRPr="004864D0">
        <w:rPr>
          <w:b/>
          <w:noProof/>
          <w:lang w:eastAsia="pl-PL"/>
        </w:rPr>
        <w:drawing>
          <wp:anchor distT="0" distB="0" distL="114300" distR="114300" simplePos="0" relativeHeight="251674624" behindDoc="0" locked="0" layoutInCell="1" allowOverlap="1" wp14:anchorId="6A2E0FDC" wp14:editId="2DE336BD">
            <wp:simplePos x="0" y="0"/>
            <wp:positionH relativeFrom="column">
              <wp:posOffset>44450</wp:posOffset>
            </wp:positionH>
            <wp:positionV relativeFrom="paragraph">
              <wp:posOffset>478155</wp:posOffset>
            </wp:positionV>
            <wp:extent cx="5041900" cy="4552950"/>
            <wp:effectExtent l="0" t="0" r="6350" b="0"/>
            <wp:wrapTopAndBottom/>
            <wp:docPr id="25" name="Obraz 25" descr="The chart shows the average monthly gross wage and salary in the national economy by PKD/NACE section, in thousand PLN. The data presented in the chart are preliminary. The highest value of the average monthly gross wage and salary was recorded in the Information and communication section, and the lowest in the Accommodation and catering section.&#10;The chart shows the change in the average monthly gross wages and salaries compared with 2021. The data presented in the chart are preliminary. The highest increase in the average monthly gross wage and salary was recorded in the Human health and social work activities section, while the lowest in the Electricity, gas, steam and air conditioning supply section." title="Chart 2. Average monthly gross wages and salaries in the national economy by PKD/NACE section in 2022 – preliminary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mfbdg01\WOU_SHARE\PUBLIKACJE\PUBLIKACJE_2023\SYGNALNE\przec_zatrudn_i_wynagrodz_w_gosp_narod_w_2022_dane_wstepne\jpg\wykres_02_a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1900" cy="4552950"/>
                    </a:xfrm>
                    <a:prstGeom prst="rect">
                      <a:avLst/>
                    </a:prstGeom>
                    <a:noFill/>
                    <a:ln>
                      <a:noFill/>
                    </a:ln>
                  </pic:spPr>
                </pic:pic>
              </a:graphicData>
            </a:graphic>
            <wp14:sizeRelH relativeFrom="page">
              <wp14:pctWidth>0</wp14:pctWidth>
            </wp14:sizeRelH>
            <wp14:sizeRelV relativeFrom="page">
              <wp14:pctHeight>0</wp14:pctHeight>
            </wp14:sizeRelV>
          </wp:anchor>
        </w:drawing>
      </w:r>
      <w:r>
        <w:rPr>
          <w:b/>
          <w:lang w:val="en-US"/>
        </w:rPr>
        <w:t>C</w:t>
      </w:r>
      <w:r w:rsidRPr="004864D0">
        <w:rPr>
          <w:b/>
          <w:lang w:val="en-US"/>
        </w:rPr>
        <w:t>hart 2. Average monthly gross wages and salaries in the national economy by PKD/NACE section in 2022</w:t>
      </w:r>
      <w:r>
        <w:rPr>
          <w:b/>
          <w:lang w:val="en-US"/>
        </w:rPr>
        <w:t xml:space="preserve"> </w:t>
      </w:r>
      <w:r w:rsidRPr="00DE0BAF">
        <w:rPr>
          <w:b/>
          <w:lang w:val="en-US"/>
        </w:rPr>
        <w:t>– preliminary data</w:t>
      </w:r>
    </w:p>
    <w:p w14:paraId="360271F4" w14:textId="0853A1AE" w:rsidR="004864D0" w:rsidRDefault="00C9664A" w:rsidP="004864D0">
      <w:pPr>
        <w:spacing w:line="288" w:lineRule="auto"/>
        <w:rPr>
          <w:lang w:val="en-US"/>
        </w:rPr>
      </w:pPr>
      <w:r w:rsidRPr="00606E66">
        <w:rPr>
          <w:b/>
          <w:noProof/>
          <w:color w:val="FF0000"/>
          <w:spacing w:val="-2"/>
          <w:lang w:eastAsia="pl-PL"/>
        </w:rPr>
        <mc:AlternateContent>
          <mc:Choice Requires="wps">
            <w:drawing>
              <wp:anchor distT="45720" distB="45720" distL="114300" distR="114300" simplePos="0" relativeHeight="251676672" behindDoc="1" locked="0" layoutInCell="1" allowOverlap="1" wp14:anchorId="379E0F34" wp14:editId="7F3D2AF2">
                <wp:simplePos x="0" y="0"/>
                <wp:positionH relativeFrom="page">
                  <wp:posOffset>5780405</wp:posOffset>
                </wp:positionH>
                <wp:positionV relativeFrom="paragraph">
                  <wp:posOffset>4737100</wp:posOffset>
                </wp:positionV>
                <wp:extent cx="1628775" cy="1200150"/>
                <wp:effectExtent l="0" t="0" r="0" b="0"/>
                <wp:wrapTight wrapText="bothSides">
                  <wp:wrapPolygon edited="0">
                    <wp:start x="758" y="0"/>
                    <wp:lineTo x="758" y="21257"/>
                    <wp:lineTo x="20716" y="21257"/>
                    <wp:lineTo x="20716" y="0"/>
                    <wp:lineTo x="758" y="0"/>
                  </wp:wrapPolygon>
                </wp:wrapTight>
                <wp:docPr id="4" name="Pole tekstowe 4" descr="In 2022, the average monthly nominal gross wage and salary increased by 11.7% compared with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200150"/>
                        </a:xfrm>
                        <a:prstGeom prst="rect">
                          <a:avLst/>
                        </a:prstGeom>
                        <a:noFill/>
                        <a:ln w="9525">
                          <a:noFill/>
                          <a:miter lim="800000"/>
                          <a:headEnd/>
                          <a:tailEnd/>
                        </a:ln>
                      </wps:spPr>
                      <wps:txbx>
                        <w:txbxContent>
                          <w:p w14:paraId="3B16F685" w14:textId="77777777" w:rsidR="00C9664A" w:rsidRPr="00C9664A" w:rsidRDefault="00C9664A" w:rsidP="00C9664A">
                            <w:pPr>
                              <w:pStyle w:val="tekstzboku"/>
                              <w:rPr>
                                <w:lang w:val="en-US"/>
                              </w:rPr>
                            </w:pPr>
                            <w:r w:rsidRPr="00C9664A">
                              <w:rPr>
                                <w:lang w:val="en-US"/>
                              </w:rPr>
                              <w:t>In 2022, the average monthly nominal gross wage and salary increased by 11.7% compared with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E0F34" id="Pole tekstowe 4" o:spid="_x0000_s1028" type="#_x0000_t202" alt="In 2022, the average monthly nominal gross wage and salary increased by 11.7% compared with 2021" style="position:absolute;margin-left:455.15pt;margin-top:373pt;width:128.25pt;height:94.5pt;z-index:-2516398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" filled="f" stroked="f">
                <v:textbox>
                  <w:txbxContent>
                    <w:p w14:paraId="3B16F685" w14:textId="77777777" w:rsidR="00C9664A" w:rsidRPr="00C9664A" w:rsidRDefault="00C9664A" w:rsidP="00C9664A">
                      <w:pPr>
                        <w:pStyle w:val="tekstzboku"/>
                        <w:rPr>
                          <w:lang w:val="en-US"/>
                        </w:rPr>
                      </w:pPr>
                      <w:r w:rsidRPr="00C9664A">
                        <w:rPr>
                          <w:lang w:val="en-US"/>
                        </w:rPr>
                        <w:t>In 2022, the average monthly nominal gross wage and salary increased by 11.7% compared with 2021</w:t>
                      </w:r>
                    </w:p>
                  </w:txbxContent>
                </v:textbox>
                <w10:wrap type="tight" anchorx="page"/>
              </v:shape>
            </w:pict>
          </mc:Fallback>
        </mc:AlternateContent>
      </w:r>
    </w:p>
    <w:p w14:paraId="7FF4F0F4" w14:textId="52EDF4AC" w:rsidR="004864D0" w:rsidRDefault="004864D0" w:rsidP="004864D0">
      <w:pPr>
        <w:spacing w:line="288" w:lineRule="auto"/>
        <w:rPr>
          <w:lang w:val="en-US"/>
        </w:rPr>
      </w:pPr>
      <w:r w:rsidRPr="006B1CD8">
        <w:rPr>
          <w:lang w:val="en-US"/>
        </w:rPr>
        <w:t>In all PKD/NACE sections, increases in the average monthly nominal gross wage and salary compared with 2021 were recorded. The increases ranged from 5.9% in the Education section to 22.6% in the Mining and quarrying section.</w:t>
      </w:r>
    </w:p>
    <w:p w14:paraId="02E1C13C" w14:textId="6698A089" w:rsidR="004864D0" w:rsidRPr="006B1CD8" w:rsidRDefault="004864D0" w:rsidP="004864D0">
      <w:pPr>
        <w:pStyle w:val="Nagwek1"/>
        <w:rPr>
          <w:noProof/>
          <w:lang w:val="en-US"/>
        </w:rPr>
      </w:pPr>
      <w:r w:rsidRPr="006B1CD8">
        <w:rPr>
          <w:noProof/>
          <w:lang w:val="en-US"/>
        </w:rPr>
        <w:t>Minimum gross wage and salary</w:t>
      </w:r>
    </w:p>
    <w:p w14:paraId="29BEBB18" w14:textId="77777777" w:rsidR="004864D0" w:rsidRPr="006B1CD8" w:rsidRDefault="004864D0" w:rsidP="004864D0">
      <w:pPr>
        <w:spacing w:line="288" w:lineRule="auto"/>
        <w:rPr>
          <w:lang w:val="en-US"/>
        </w:rPr>
      </w:pPr>
      <w:r w:rsidRPr="006B1CD8">
        <w:rPr>
          <w:lang w:val="en-US"/>
        </w:rPr>
        <w:t>In 2022, the minimum gross wage and salary increased by PLN 210.00 compared with 2021 and amounted to PLN 3 010.00. It accounted for 47.9% of the average monthly gross wage and salary without annual awards</w:t>
      </w:r>
      <w:r w:rsidRPr="00A808F0">
        <w:rPr>
          <w:rStyle w:val="Odwoanieprzypisudolnego"/>
        </w:rPr>
        <w:footnoteReference w:id="1"/>
      </w:r>
      <w:r w:rsidRPr="006B1CD8">
        <w:rPr>
          <w:lang w:val="en-US"/>
        </w:rPr>
        <w:t>. According to preliminary data, in December 2022, wages and salaries that were equal to or lower than the minimum gross wage and salary were paid to 402.6 thousand employees</w:t>
      </w:r>
      <w:r w:rsidRPr="00A808F0">
        <w:rPr>
          <w:rStyle w:val="Odwoanieprzypisudolnego"/>
        </w:rPr>
        <w:footnoteReference w:id="2"/>
      </w:r>
      <w:r w:rsidRPr="006B1CD8">
        <w:rPr>
          <w:lang w:val="en-US"/>
        </w:rPr>
        <w:t>.</w:t>
      </w:r>
    </w:p>
    <w:p w14:paraId="1BD559EC" w14:textId="77777777" w:rsidR="004864D0" w:rsidRPr="00DE0BAF" w:rsidRDefault="004864D0" w:rsidP="004864D0">
      <w:pPr>
        <w:spacing w:before="3960" w:line="240" w:lineRule="auto"/>
        <w:rPr>
          <w:b/>
          <w:lang w:val="en-US"/>
        </w:rPr>
      </w:pPr>
    </w:p>
    <w:p w14:paraId="1CBE58BC" w14:textId="77777777" w:rsidR="00720CDD" w:rsidRPr="00996567" w:rsidRDefault="0046694A" w:rsidP="00C9664A">
      <w:pPr>
        <w:spacing w:before="5280" w:line="288" w:lineRule="auto"/>
        <w:rPr>
          <w:color w:val="000000" w:themeColor="text1"/>
          <w:szCs w:val="19"/>
          <w:lang w:val="en-US"/>
        </w:rPr>
      </w:pPr>
      <w:r w:rsidRPr="00996567">
        <w:rPr>
          <w:color w:val="000000" w:themeColor="text1"/>
          <w:szCs w:val="19"/>
          <w:lang w:val="en-US"/>
        </w:rPr>
        <w:t xml:space="preserve">In this news release abbreviated names of NACE, Rev. 2 sections were used. Abbreviations are marked with a ‘Δ’ symbol. Full names are available on the Eurostat website at: </w:t>
      </w:r>
      <w:hyperlink r:id="rId11" w:history="1">
        <w:r w:rsidR="001609F9" w:rsidRPr="00996567">
          <w:rPr>
            <w:rStyle w:val="Hipercze"/>
            <w:rFonts w:cstheme="minorBidi"/>
            <w:szCs w:val="19"/>
            <w:lang w:val="en-US"/>
          </w:rPr>
          <w:t>https://ec.europa.eu/eurostat/data/classifications</w:t>
        </w:r>
      </w:hyperlink>
      <w:r w:rsidR="001609F9" w:rsidRPr="00996567">
        <w:rPr>
          <w:color w:val="000000" w:themeColor="text1"/>
          <w:szCs w:val="19"/>
          <w:lang w:val="en-US"/>
        </w:rPr>
        <w:t xml:space="preserve"> </w:t>
      </w:r>
    </w:p>
    <w:p w14:paraId="4B7A0DBD" w14:textId="77777777" w:rsidR="009955CE" w:rsidRPr="00996567" w:rsidRDefault="009955CE" w:rsidP="00B56CA8">
      <w:pPr>
        <w:spacing w:line="288" w:lineRule="auto"/>
        <w:jc w:val="both"/>
        <w:rPr>
          <w:color w:val="000000" w:themeColor="text1"/>
          <w:lang w:val="en-US" w:eastAsia="pl-PL"/>
        </w:rPr>
      </w:pPr>
    </w:p>
    <w:p w14:paraId="246DE427" w14:textId="77777777" w:rsidR="00720CDD" w:rsidRPr="00996567" w:rsidRDefault="00E865D0" w:rsidP="00B56CA8">
      <w:pPr>
        <w:spacing w:line="288" w:lineRule="auto"/>
        <w:rPr>
          <w:color w:val="000000" w:themeColor="text1"/>
          <w:lang w:val="en-US"/>
        </w:rPr>
        <w:sectPr w:rsidR="00720CDD" w:rsidRPr="00996567"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996567">
        <w:rPr>
          <w:color w:val="000000" w:themeColor="text1"/>
          <w:lang w:val="en-US"/>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tbl>
      <w:tblPr>
        <w:tblStyle w:val="Tabela-Siatka"/>
        <w:tblW w:w="976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1"/>
        <w:gridCol w:w="4883"/>
      </w:tblGrid>
      <w:tr w:rsidR="00720CDD" w:rsidRPr="00C71C3B" w14:paraId="20F2AA3A" w14:textId="77777777" w:rsidTr="00AF5921">
        <w:trPr>
          <w:trHeight w:val="2435"/>
        </w:trPr>
        <w:tc>
          <w:tcPr>
            <w:tcW w:w="4881" w:type="dxa"/>
          </w:tcPr>
          <w:p w14:paraId="26D67380" w14:textId="77777777" w:rsidR="00720CDD" w:rsidRPr="00996567" w:rsidRDefault="00113469" w:rsidP="000759CD">
            <w:pPr>
              <w:spacing w:before="0" w:after="0" w:line="276" w:lineRule="auto"/>
              <w:rPr>
                <w:rFonts w:cs="Arial"/>
                <w:sz w:val="20"/>
                <w:lang w:val="en-US"/>
              </w:rPr>
            </w:pPr>
            <w:r w:rsidRPr="00996567">
              <w:rPr>
                <w:rFonts w:cs="Arial"/>
                <w:sz w:val="20"/>
                <w:lang w:val="en-US"/>
              </w:rPr>
              <w:t>Prepared by</w:t>
            </w:r>
            <w:r w:rsidR="00720CDD" w:rsidRPr="00996567">
              <w:rPr>
                <w:rFonts w:cs="Arial"/>
                <w:sz w:val="20"/>
                <w:lang w:val="en-US"/>
              </w:rPr>
              <w:t>:</w:t>
            </w:r>
          </w:p>
          <w:p w14:paraId="0C19CC58" w14:textId="77777777" w:rsidR="00720CDD" w:rsidRPr="00996567" w:rsidRDefault="00BD254A" w:rsidP="000759CD">
            <w:pPr>
              <w:spacing w:before="0" w:line="276" w:lineRule="auto"/>
              <w:rPr>
                <w:rFonts w:cs="Arial"/>
                <w:b/>
                <w:color w:val="000000" w:themeColor="text1"/>
                <w:sz w:val="20"/>
                <w:lang w:val="en-US"/>
              </w:rPr>
            </w:pPr>
            <w:r w:rsidRPr="00996567">
              <w:rPr>
                <w:rFonts w:cs="Arial"/>
                <w:b/>
                <w:sz w:val="20"/>
                <w:lang w:val="en-US"/>
              </w:rPr>
              <w:t>Statistical Office in Bydgoszcz</w:t>
            </w:r>
          </w:p>
          <w:p w14:paraId="54C11373" w14:textId="77777777" w:rsidR="00720CDD" w:rsidRPr="00DE0BAF" w:rsidRDefault="00ED0AE4" w:rsidP="000759CD">
            <w:pPr>
              <w:spacing w:before="0" w:after="0" w:line="276" w:lineRule="auto"/>
              <w:rPr>
                <w:b/>
              </w:rPr>
            </w:pPr>
            <w:r w:rsidRPr="00DE0BAF">
              <w:rPr>
                <w:b/>
              </w:rPr>
              <w:t>Director</w:t>
            </w:r>
            <w:r w:rsidR="00720CDD" w:rsidRPr="00DE0BAF">
              <w:rPr>
                <w:b/>
              </w:rPr>
              <w:t xml:space="preserve"> Wiesława Gierańczyk</w:t>
            </w:r>
            <w:r w:rsidRPr="00DE0BAF">
              <w:rPr>
                <w:b/>
              </w:rPr>
              <w:t>, Ph.D.</w:t>
            </w:r>
          </w:p>
          <w:p w14:paraId="0E14078F" w14:textId="77777777" w:rsidR="00720CDD" w:rsidRPr="00996567" w:rsidRDefault="001610DE" w:rsidP="000759CD">
            <w:pPr>
              <w:pStyle w:val="Nagwek3"/>
              <w:spacing w:before="0" w:after="120" w:line="240" w:lineRule="auto"/>
              <w:outlineLvl w:val="2"/>
              <w:rPr>
                <w:rFonts w:ascii="Fira Sans" w:hAnsi="Fira Sans" w:cs="Arial"/>
                <w:color w:val="000000" w:themeColor="text1"/>
                <w:sz w:val="20"/>
                <w:lang w:val="en-US"/>
              </w:rPr>
            </w:pPr>
            <w:r w:rsidRPr="00996567">
              <w:rPr>
                <w:rFonts w:ascii="Fira Sans" w:hAnsi="Fira Sans" w:cs="Arial"/>
                <w:color w:val="000000" w:themeColor="text1"/>
                <w:sz w:val="20"/>
                <w:lang w:val="en-US"/>
              </w:rPr>
              <w:t>Phone: (+48 52) 366 93 90</w:t>
            </w:r>
          </w:p>
        </w:tc>
        <w:tc>
          <w:tcPr>
            <w:tcW w:w="4882" w:type="dxa"/>
          </w:tcPr>
          <w:p w14:paraId="3172B831" w14:textId="77777777" w:rsidR="00720CDD" w:rsidRPr="00996567" w:rsidRDefault="009E32B0" w:rsidP="000759CD">
            <w:pPr>
              <w:spacing w:before="0" w:line="276" w:lineRule="auto"/>
              <w:rPr>
                <w:rFonts w:cs="Arial"/>
                <w:b/>
                <w:sz w:val="20"/>
                <w:lang w:val="en-US"/>
              </w:rPr>
            </w:pPr>
            <w:r w:rsidRPr="00996567">
              <w:rPr>
                <w:rFonts w:cs="Arial"/>
                <w:sz w:val="20"/>
                <w:lang w:val="en-US"/>
              </w:rPr>
              <w:t>Issued by</w:t>
            </w:r>
            <w:r w:rsidR="00720CDD" w:rsidRPr="00996567">
              <w:rPr>
                <w:rFonts w:cs="Arial"/>
                <w:sz w:val="20"/>
                <w:lang w:val="en-US"/>
              </w:rPr>
              <w:t>:</w:t>
            </w:r>
            <w:r w:rsidR="00720CDD" w:rsidRPr="00996567">
              <w:rPr>
                <w:rFonts w:cs="Arial"/>
                <w:sz w:val="20"/>
                <w:lang w:val="en-US"/>
              </w:rPr>
              <w:br/>
            </w:r>
            <w:r w:rsidR="00FD680B" w:rsidRPr="00996567">
              <w:rPr>
                <w:rFonts w:cs="Arial"/>
                <w:b/>
                <w:sz w:val="20"/>
                <w:lang w:val="en-US"/>
              </w:rPr>
              <w:t>The Spokesperson for the President</w:t>
            </w:r>
          </w:p>
          <w:p w14:paraId="1910EEF8" w14:textId="77777777" w:rsidR="00956132" w:rsidRPr="00996567" w:rsidRDefault="00956132" w:rsidP="000759CD">
            <w:pPr>
              <w:spacing w:before="0" w:line="276" w:lineRule="auto"/>
              <w:rPr>
                <w:rFonts w:cs="Arial"/>
                <w:b/>
                <w:sz w:val="20"/>
                <w:lang w:val="en-US"/>
              </w:rPr>
            </w:pPr>
            <w:r w:rsidRPr="00996567">
              <w:rPr>
                <w:rFonts w:cs="Arial"/>
                <w:b/>
                <w:sz w:val="20"/>
                <w:lang w:val="en-US"/>
              </w:rPr>
              <w:t>of Statistics Poland</w:t>
            </w:r>
          </w:p>
          <w:p w14:paraId="39AC584A" w14:textId="77777777" w:rsidR="00720CDD" w:rsidRPr="00996567" w:rsidRDefault="00720CDD" w:rsidP="000759CD">
            <w:pPr>
              <w:pStyle w:val="Nagwek3"/>
              <w:spacing w:before="0" w:line="240" w:lineRule="auto"/>
              <w:outlineLvl w:val="2"/>
              <w:rPr>
                <w:rFonts w:ascii="Fira Sans" w:hAnsi="Fira Sans" w:cs="Arial"/>
                <w:b/>
                <w:color w:val="auto"/>
                <w:sz w:val="20"/>
                <w:szCs w:val="28"/>
                <w:lang w:val="en-US"/>
              </w:rPr>
            </w:pPr>
            <w:r w:rsidRPr="00996567">
              <w:rPr>
                <w:rFonts w:ascii="Fira Sans" w:hAnsi="Fira Sans" w:cs="Arial"/>
                <w:b/>
                <w:color w:val="auto"/>
                <w:sz w:val="20"/>
                <w:szCs w:val="28"/>
                <w:lang w:val="en-US"/>
              </w:rPr>
              <w:t>Karolina Banaszek</w:t>
            </w:r>
          </w:p>
          <w:p w14:paraId="23C3F191" w14:textId="77777777" w:rsidR="00720CDD" w:rsidRPr="00996567" w:rsidRDefault="00626D2C" w:rsidP="000759CD">
            <w:pPr>
              <w:pStyle w:val="Nagwek3"/>
              <w:spacing w:before="0" w:line="240" w:lineRule="auto"/>
              <w:outlineLvl w:val="2"/>
              <w:rPr>
                <w:rFonts w:ascii="Fira Sans" w:hAnsi="Fira Sans" w:cs="Arial"/>
                <w:color w:val="auto"/>
                <w:sz w:val="20"/>
                <w:lang w:val="en-US"/>
              </w:rPr>
            </w:pPr>
            <w:r w:rsidRPr="00996567">
              <w:rPr>
                <w:rFonts w:ascii="Fira Sans" w:hAnsi="Fira Sans" w:cs="Arial"/>
                <w:color w:val="auto"/>
                <w:sz w:val="20"/>
                <w:lang w:val="en-US"/>
              </w:rPr>
              <w:t>Phone: (+48) 695 255 011</w:t>
            </w:r>
          </w:p>
          <w:p w14:paraId="2F17039F" w14:textId="77777777" w:rsidR="00720CDD" w:rsidRPr="00996567" w:rsidRDefault="00720CDD" w:rsidP="000759CD">
            <w:pPr>
              <w:rPr>
                <w:sz w:val="18"/>
                <w:lang w:val="en-US"/>
              </w:rPr>
            </w:pPr>
          </w:p>
        </w:tc>
      </w:tr>
      <w:tr w:rsidR="00720CDD" w:rsidRPr="00996567" w14:paraId="548D1082" w14:textId="77777777" w:rsidTr="00AF5921">
        <w:trPr>
          <w:trHeight w:val="626"/>
        </w:trPr>
        <w:tc>
          <w:tcPr>
            <w:tcW w:w="4881" w:type="dxa"/>
            <w:vMerge w:val="restart"/>
          </w:tcPr>
          <w:p w14:paraId="18794725" w14:textId="77777777" w:rsidR="00720CDD" w:rsidRPr="00996567" w:rsidRDefault="004B2970" w:rsidP="000759CD">
            <w:pPr>
              <w:rPr>
                <w:b/>
                <w:sz w:val="20"/>
                <w:lang w:val="en-US"/>
              </w:rPr>
            </w:pPr>
            <w:r w:rsidRPr="00996567">
              <w:rPr>
                <w:b/>
                <w:sz w:val="20"/>
                <w:lang w:val="en-US"/>
              </w:rPr>
              <w:t>Press Office</w:t>
            </w:r>
          </w:p>
          <w:p w14:paraId="7FAB0245" w14:textId="77777777" w:rsidR="00720CDD" w:rsidRPr="00996567" w:rsidRDefault="000F47D8" w:rsidP="000759CD">
            <w:pPr>
              <w:rPr>
                <w:sz w:val="20"/>
                <w:lang w:val="en-US"/>
              </w:rPr>
            </w:pPr>
            <w:r w:rsidRPr="00996567">
              <w:rPr>
                <w:sz w:val="20"/>
                <w:lang w:val="en-US"/>
              </w:rPr>
              <w:t>Phone: (+48 22) 608 38 04</w:t>
            </w:r>
          </w:p>
          <w:p w14:paraId="5E831B3C" w14:textId="77777777" w:rsidR="00720CDD" w:rsidRPr="00996567" w:rsidRDefault="00720CDD" w:rsidP="000759CD">
            <w:pPr>
              <w:rPr>
                <w:sz w:val="18"/>
                <w:lang w:val="en-US"/>
              </w:rPr>
            </w:pPr>
            <w:r w:rsidRPr="00996567">
              <w:rPr>
                <w:b/>
                <w:sz w:val="20"/>
                <w:lang w:val="en-US"/>
              </w:rPr>
              <w:t>e-mail:</w:t>
            </w:r>
            <w:r w:rsidRPr="00996567">
              <w:rPr>
                <w:sz w:val="20"/>
                <w:lang w:val="en-US"/>
              </w:rPr>
              <w:t xml:space="preserve"> </w:t>
            </w:r>
            <w:hyperlink r:id="rId16" w:history="1">
              <w:r w:rsidRPr="00996567">
                <w:rPr>
                  <w:rStyle w:val="Hipercze"/>
                  <w:rFonts w:eastAsiaTheme="majorEastAsia" w:cs="Arial"/>
                  <w:b/>
                  <w:sz w:val="20"/>
                  <w:szCs w:val="20"/>
                  <w:lang w:val="en-US"/>
                </w:rPr>
                <w:t>obslugaprasowa@stat.gov.pl</w:t>
              </w:r>
            </w:hyperlink>
          </w:p>
        </w:tc>
        <w:tc>
          <w:tcPr>
            <w:tcW w:w="4882" w:type="dxa"/>
            <w:vAlign w:val="center"/>
          </w:tcPr>
          <w:p w14:paraId="66B8A489" w14:textId="77777777" w:rsidR="00720CDD" w:rsidRPr="00996567" w:rsidRDefault="007643FE" w:rsidP="000759CD">
            <w:pPr>
              <w:ind w:firstLine="680"/>
              <w:rPr>
                <w:sz w:val="18"/>
                <w:lang w:val="en-US"/>
              </w:rPr>
            </w:pPr>
            <w:r w:rsidRPr="00996567">
              <w:rPr>
                <w:lang w:val="en-US"/>
              </w:rPr>
              <w:t>stat.gov.pl/en/</w:t>
            </w:r>
            <w:r w:rsidR="00720CDD" w:rsidRPr="00996567">
              <w:rPr>
                <w:strike/>
                <w:noProof/>
                <w:sz w:val="20"/>
                <w:lang w:eastAsia="pl-PL"/>
              </w:rPr>
              <w:drawing>
                <wp:anchor distT="0" distB="0" distL="114300" distR="114300" simplePos="0" relativeHeight="251667456" behindDoc="0" locked="0" layoutInCell="1" allowOverlap="1" wp14:anchorId="2D37923F" wp14:editId="47F249B6">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996567" w14:paraId="7C686070" w14:textId="77777777" w:rsidTr="00AF5921">
        <w:trPr>
          <w:trHeight w:val="626"/>
        </w:trPr>
        <w:tc>
          <w:tcPr>
            <w:tcW w:w="4881" w:type="dxa"/>
            <w:vMerge/>
          </w:tcPr>
          <w:p w14:paraId="42BF24EA" w14:textId="77777777" w:rsidR="00720CDD" w:rsidRPr="00996567" w:rsidRDefault="00720CDD" w:rsidP="000759CD">
            <w:pPr>
              <w:rPr>
                <w:b/>
                <w:sz w:val="20"/>
                <w:lang w:val="en-US"/>
              </w:rPr>
            </w:pPr>
          </w:p>
        </w:tc>
        <w:tc>
          <w:tcPr>
            <w:tcW w:w="4882" w:type="dxa"/>
            <w:vAlign w:val="center"/>
          </w:tcPr>
          <w:p w14:paraId="39F80F1B" w14:textId="77777777" w:rsidR="00720CDD" w:rsidRPr="00996567" w:rsidRDefault="00720CDD" w:rsidP="000759CD">
            <w:pPr>
              <w:ind w:firstLine="680"/>
              <w:rPr>
                <w:sz w:val="18"/>
                <w:lang w:val="en-US"/>
              </w:rPr>
            </w:pPr>
            <w:r w:rsidRPr="00996567">
              <w:rPr>
                <w:noProof/>
                <w:sz w:val="20"/>
                <w:lang w:eastAsia="pl-PL"/>
              </w:rPr>
              <w:drawing>
                <wp:anchor distT="0" distB="0" distL="114300" distR="114300" simplePos="0" relativeHeight="251668480" behindDoc="0" locked="0" layoutInCell="1" allowOverlap="1" wp14:anchorId="3502A841" wp14:editId="41FD96FC">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96567">
              <w:rPr>
                <w:sz w:val="20"/>
                <w:lang w:val="en-US"/>
              </w:rPr>
              <w:t>@GUS_STAT</w:t>
            </w:r>
            <w:r w:rsidRPr="00996567">
              <w:rPr>
                <w:noProof/>
                <w:sz w:val="20"/>
                <w:lang w:val="en-US" w:eastAsia="pl-PL"/>
              </w:rPr>
              <w:t xml:space="preserve"> </w:t>
            </w:r>
          </w:p>
        </w:tc>
      </w:tr>
      <w:tr w:rsidR="00720CDD" w:rsidRPr="00996567" w14:paraId="7950FBAB" w14:textId="77777777" w:rsidTr="00AF5921">
        <w:trPr>
          <w:trHeight w:val="712"/>
        </w:trPr>
        <w:tc>
          <w:tcPr>
            <w:tcW w:w="4881" w:type="dxa"/>
            <w:vMerge/>
          </w:tcPr>
          <w:p w14:paraId="4B489C87" w14:textId="77777777" w:rsidR="00720CDD" w:rsidRPr="00996567" w:rsidRDefault="00720CDD" w:rsidP="000759CD">
            <w:pPr>
              <w:rPr>
                <w:b/>
                <w:sz w:val="20"/>
                <w:lang w:val="en-US"/>
              </w:rPr>
            </w:pPr>
          </w:p>
        </w:tc>
        <w:tc>
          <w:tcPr>
            <w:tcW w:w="4882" w:type="dxa"/>
          </w:tcPr>
          <w:p w14:paraId="3BA9B9FD" w14:textId="77777777" w:rsidR="00720CDD" w:rsidRPr="00996567" w:rsidRDefault="00720CDD" w:rsidP="000759CD">
            <w:pPr>
              <w:ind w:firstLine="680"/>
              <w:rPr>
                <w:sz w:val="18"/>
                <w:lang w:val="en-US"/>
              </w:rPr>
            </w:pPr>
            <w:r w:rsidRPr="00996567">
              <w:rPr>
                <w:noProof/>
                <w:sz w:val="20"/>
                <w:lang w:eastAsia="pl-PL"/>
              </w:rPr>
              <w:drawing>
                <wp:anchor distT="0" distB="0" distL="114300" distR="114300" simplePos="0" relativeHeight="251669504" behindDoc="0" locked="0" layoutInCell="1" allowOverlap="1" wp14:anchorId="3896256D" wp14:editId="7326A54E">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96567">
              <w:rPr>
                <w:sz w:val="20"/>
                <w:lang w:val="en-US"/>
              </w:rPr>
              <w:t>@GlownyUrzadStatystyczny</w:t>
            </w:r>
            <w:r w:rsidRPr="00996567">
              <w:rPr>
                <w:noProof/>
                <w:sz w:val="20"/>
                <w:lang w:val="en-US" w:eastAsia="pl-PL"/>
              </w:rPr>
              <w:t xml:space="preserve"> </w:t>
            </w:r>
          </w:p>
        </w:tc>
      </w:tr>
      <w:tr w:rsidR="00720CDD" w:rsidRPr="00996567" w14:paraId="7DFB2F20" w14:textId="77777777" w:rsidTr="00AF5921">
        <w:trPr>
          <w:trHeight w:val="712"/>
        </w:trPr>
        <w:tc>
          <w:tcPr>
            <w:tcW w:w="4881" w:type="dxa"/>
          </w:tcPr>
          <w:p w14:paraId="32D3CA61" w14:textId="77777777" w:rsidR="00720CDD" w:rsidRPr="00996567" w:rsidRDefault="00720CDD" w:rsidP="000759CD">
            <w:pPr>
              <w:rPr>
                <w:b/>
                <w:sz w:val="20"/>
                <w:lang w:val="en-US"/>
              </w:rPr>
            </w:pPr>
          </w:p>
        </w:tc>
        <w:tc>
          <w:tcPr>
            <w:tcW w:w="4882" w:type="dxa"/>
          </w:tcPr>
          <w:p w14:paraId="0207BD70" w14:textId="77777777" w:rsidR="00720CDD" w:rsidRPr="00996567" w:rsidRDefault="00720CDD" w:rsidP="000759CD">
            <w:pPr>
              <w:ind w:firstLine="680"/>
              <w:rPr>
                <w:sz w:val="20"/>
                <w:lang w:val="en-US"/>
              </w:rPr>
            </w:pPr>
            <w:r w:rsidRPr="00996567">
              <w:rPr>
                <w:noProof/>
                <w:sz w:val="20"/>
                <w:lang w:eastAsia="pl-PL"/>
              </w:rPr>
              <w:drawing>
                <wp:anchor distT="0" distB="0" distL="114300" distR="114300" simplePos="0" relativeHeight="251670528" behindDoc="0" locked="0" layoutInCell="1" allowOverlap="1" wp14:anchorId="2CA091F4" wp14:editId="270C17C8">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96567">
              <w:rPr>
                <w:sz w:val="20"/>
                <w:lang w:val="en-US"/>
              </w:rPr>
              <w:t>gus_stat</w:t>
            </w:r>
          </w:p>
        </w:tc>
      </w:tr>
      <w:tr w:rsidR="00720CDD" w:rsidRPr="00996567" w14:paraId="54D3E8AF" w14:textId="77777777" w:rsidTr="00AF5921">
        <w:trPr>
          <w:trHeight w:val="712"/>
        </w:trPr>
        <w:tc>
          <w:tcPr>
            <w:tcW w:w="4881" w:type="dxa"/>
          </w:tcPr>
          <w:p w14:paraId="284BDCBC" w14:textId="77777777" w:rsidR="00720CDD" w:rsidRPr="00996567" w:rsidRDefault="00720CDD" w:rsidP="000759CD">
            <w:pPr>
              <w:rPr>
                <w:b/>
                <w:sz w:val="20"/>
                <w:lang w:val="en-US"/>
              </w:rPr>
            </w:pPr>
          </w:p>
        </w:tc>
        <w:tc>
          <w:tcPr>
            <w:tcW w:w="4882" w:type="dxa"/>
          </w:tcPr>
          <w:p w14:paraId="015FD751" w14:textId="77777777" w:rsidR="00720CDD" w:rsidRPr="00996567" w:rsidRDefault="00720CDD" w:rsidP="000759CD">
            <w:pPr>
              <w:ind w:firstLine="680"/>
              <w:rPr>
                <w:sz w:val="20"/>
                <w:lang w:val="en-US"/>
              </w:rPr>
            </w:pPr>
            <w:r w:rsidRPr="00996567">
              <w:rPr>
                <w:noProof/>
                <w:sz w:val="20"/>
                <w:lang w:eastAsia="pl-PL"/>
              </w:rPr>
              <w:drawing>
                <wp:anchor distT="0" distB="0" distL="114300" distR="114300" simplePos="0" relativeHeight="251671552" behindDoc="0" locked="0" layoutInCell="1" allowOverlap="1" wp14:anchorId="15F91AD7" wp14:editId="10877304">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96567">
              <w:rPr>
                <w:sz w:val="20"/>
                <w:lang w:val="en-US"/>
              </w:rPr>
              <w:t>glownyurzadstatystycznygus</w:t>
            </w:r>
          </w:p>
        </w:tc>
      </w:tr>
      <w:tr w:rsidR="00720CDD" w:rsidRPr="00996567" w14:paraId="34BFB063" w14:textId="77777777" w:rsidTr="00AF5921">
        <w:trPr>
          <w:trHeight w:val="1427"/>
        </w:trPr>
        <w:tc>
          <w:tcPr>
            <w:tcW w:w="4881" w:type="dxa"/>
          </w:tcPr>
          <w:p w14:paraId="60926C7F" w14:textId="77777777" w:rsidR="00720CDD" w:rsidRPr="00996567" w:rsidRDefault="00720CDD" w:rsidP="000759CD">
            <w:pPr>
              <w:rPr>
                <w:b/>
                <w:sz w:val="20"/>
                <w:lang w:val="en-US"/>
              </w:rPr>
            </w:pPr>
          </w:p>
        </w:tc>
        <w:tc>
          <w:tcPr>
            <w:tcW w:w="4882" w:type="dxa"/>
          </w:tcPr>
          <w:p w14:paraId="6C593128" w14:textId="77777777" w:rsidR="00720CDD" w:rsidRPr="00996567" w:rsidRDefault="00720CDD" w:rsidP="000759CD">
            <w:pPr>
              <w:ind w:firstLine="680"/>
              <w:rPr>
                <w:sz w:val="20"/>
                <w:lang w:val="en-US"/>
              </w:rPr>
            </w:pPr>
            <w:r w:rsidRPr="00996567">
              <w:rPr>
                <w:noProof/>
                <w:sz w:val="20"/>
                <w:lang w:val="en-US" w:eastAsia="pl-PL"/>
              </w:rPr>
              <w:t>glownyurzadstatystyczny</w:t>
            </w:r>
            <w:r w:rsidRPr="00996567">
              <w:rPr>
                <w:noProof/>
                <w:sz w:val="20"/>
                <w:lang w:eastAsia="pl-PL"/>
              </w:rPr>
              <w:drawing>
                <wp:anchor distT="0" distB="0" distL="114300" distR="114300" simplePos="0" relativeHeight="251672576" behindDoc="0" locked="0" layoutInCell="1" allowOverlap="1" wp14:anchorId="375409D0" wp14:editId="2E095498">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C71C3B" w14:paraId="2C1259FB" w14:textId="77777777" w:rsidTr="00AF5921">
        <w:trPr>
          <w:trHeight w:val="6162"/>
        </w:trPr>
        <w:tc>
          <w:tcPr>
            <w:tcW w:w="9764" w:type="dxa"/>
            <w:gridSpan w:val="2"/>
            <w:shd w:val="clear" w:color="auto" w:fill="D9D9D9" w:themeFill="background1" w:themeFillShade="D9"/>
          </w:tcPr>
          <w:p w14:paraId="38DE8C53" w14:textId="77777777" w:rsidR="00720CDD" w:rsidRPr="00996567" w:rsidRDefault="000F47D8" w:rsidP="000759CD">
            <w:pPr>
              <w:shd w:val="clear" w:color="auto" w:fill="D9D9D9" w:themeFill="background1" w:themeFillShade="D9"/>
              <w:rPr>
                <w:b/>
                <w:lang w:val="en-US"/>
              </w:rPr>
            </w:pPr>
            <w:r w:rsidRPr="00996567">
              <w:rPr>
                <w:b/>
                <w:lang w:val="en-US"/>
              </w:rPr>
              <w:t>Related information</w:t>
            </w:r>
          </w:p>
          <w:p w14:paraId="6188A05C" w14:textId="15C9AA34" w:rsidR="00C9664A" w:rsidRPr="00C9664A" w:rsidRDefault="00C9664A" w:rsidP="00C9664A">
            <w:pPr>
              <w:rPr>
                <w:rStyle w:val="Hipercze"/>
                <w:szCs w:val="19"/>
                <w:lang w:val="en-US"/>
              </w:rPr>
            </w:pPr>
            <w:r w:rsidRPr="00C9664A">
              <w:rPr>
                <w:color w:val="001D77"/>
                <w:szCs w:val="19"/>
              </w:rPr>
              <w:fldChar w:fldCharType="begin"/>
            </w:r>
            <w:r w:rsidR="006E42BD" w:rsidRPr="00C71C3B">
              <w:rPr>
                <w:color w:val="001D77"/>
                <w:szCs w:val="19"/>
                <w:lang w:val="en-US"/>
              </w:rPr>
              <w:instrText>HYPERLINK "https://stat.gov.pl/obszary-tematyczne/roczniki-statystyczne/roczniki-statystyczne/rocznik-statystyczny-pracy-2021,7,7.html" \o "Link to the publication Yearbook of Labour Statistics 2021"</w:instrText>
            </w:r>
            <w:r w:rsidRPr="00C9664A">
              <w:rPr>
                <w:color w:val="001D77"/>
                <w:szCs w:val="19"/>
              </w:rPr>
              <w:fldChar w:fldCharType="separate"/>
            </w:r>
            <w:r w:rsidRPr="00C9664A">
              <w:rPr>
                <w:rStyle w:val="Hipercze"/>
                <w:color w:val="001D77"/>
                <w:szCs w:val="19"/>
                <w:lang w:val="en-US"/>
              </w:rPr>
              <w:t>Yearbook of Labour Statistics 2021</w:t>
            </w:r>
          </w:p>
          <w:p w14:paraId="517CD6D1" w14:textId="1845600F" w:rsidR="00C9664A" w:rsidRPr="00C9664A" w:rsidRDefault="00C9664A" w:rsidP="00C9664A">
            <w:pPr>
              <w:rPr>
                <w:rStyle w:val="Hipercze"/>
                <w:b/>
                <w:color w:val="001D77"/>
                <w:szCs w:val="19"/>
                <w:lang w:val="en-US"/>
              </w:rPr>
            </w:pPr>
            <w:r w:rsidRPr="00C9664A">
              <w:rPr>
                <w:color w:val="001D77"/>
                <w:szCs w:val="19"/>
              </w:rPr>
              <w:fldChar w:fldCharType="end"/>
            </w:r>
            <w:r w:rsidRPr="00C9664A">
              <w:rPr>
                <w:color w:val="001D77"/>
                <w:szCs w:val="19"/>
              </w:rPr>
              <w:fldChar w:fldCharType="begin"/>
            </w:r>
            <w:r w:rsidR="006E42BD" w:rsidRPr="00C71C3B">
              <w:rPr>
                <w:color w:val="001D77"/>
                <w:szCs w:val="19"/>
                <w:lang w:val="en-US"/>
              </w:rPr>
              <w:instrText>HYPERLINK "http://stat.gov.pl/publikacje/szukaj.html?topic=11&amp;page=2" \o "Link to the publication Other publications related to the labour market"</w:instrText>
            </w:r>
            <w:r w:rsidRPr="00C9664A">
              <w:rPr>
                <w:color w:val="001D77"/>
                <w:szCs w:val="19"/>
              </w:rPr>
              <w:fldChar w:fldCharType="separate"/>
            </w:r>
            <w:r w:rsidRPr="00C9664A">
              <w:rPr>
                <w:rStyle w:val="Hipercze"/>
                <w:color w:val="001D77"/>
                <w:szCs w:val="19"/>
                <w:lang w:val="en-US"/>
              </w:rPr>
              <w:t>Other publications related to the labour market</w:t>
            </w:r>
          </w:p>
          <w:p w14:paraId="64F93B0A" w14:textId="3D49F142" w:rsidR="00720CDD" w:rsidRPr="00996567" w:rsidRDefault="00C9664A" w:rsidP="00C9664A">
            <w:pPr>
              <w:shd w:val="clear" w:color="auto" w:fill="D9D9D9" w:themeFill="background1" w:themeFillShade="D9"/>
              <w:spacing w:before="360"/>
              <w:rPr>
                <w:b/>
                <w:color w:val="000000" w:themeColor="text1"/>
                <w:szCs w:val="24"/>
                <w:lang w:val="en-US"/>
              </w:rPr>
            </w:pPr>
            <w:r w:rsidRPr="00C9664A">
              <w:rPr>
                <w:color w:val="001D77"/>
                <w:szCs w:val="19"/>
              </w:rPr>
              <w:fldChar w:fldCharType="end"/>
            </w:r>
            <w:r w:rsidR="004C55CA" w:rsidRPr="00996567">
              <w:rPr>
                <w:b/>
                <w:color w:val="000000" w:themeColor="text1"/>
                <w:szCs w:val="24"/>
                <w:lang w:val="en-US"/>
              </w:rPr>
              <w:t>Data available in databases</w:t>
            </w:r>
          </w:p>
          <w:p w14:paraId="756B7DE2" w14:textId="60C6E8A0" w:rsidR="00C9664A" w:rsidRPr="00DB7758" w:rsidRDefault="00DB7758" w:rsidP="00C9664A">
            <w:pPr>
              <w:rPr>
                <w:rStyle w:val="Hipercze"/>
                <w:color w:val="001D77"/>
                <w:szCs w:val="19"/>
                <w:lang w:val="en-US"/>
              </w:rPr>
            </w:pPr>
            <w:r w:rsidRPr="00DB7758">
              <w:rPr>
                <w:rFonts w:cs="Times New Roman"/>
                <w:color w:val="001D77"/>
                <w:szCs w:val="19"/>
                <w:lang w:val="en-US"/>
              </w:rPr>
              <w:fldChar w:fldCharType="begin"/>
            </w:r>
            <w:r w:rsidRPr="00DB7758">
              <w:rPr>
                <w:rFonts w:cs="Times New Roman"/>
                <w:color w:val="001D77"/>
                <w:szCs w:val="19"/>
                <w:lang w:val="en-US"/>
              </w:rPr>
              <w:instrText xml:space="preserve"> HYPERLINK "https://bdl.stat.gov.pl/BDL/start" \o "Link to data in the database: Local Data Bank -&gt; Labour market " </w:instrText>
            </w:r>
            <w:r w:rsidRPr="00DB7758">
              <w:rPr>
                <w:rFonts w:cs="Times New Roman"/>
                <w:color w:val="001D77"/>
                <w:szCs w:val="19"/>
                <w:lang w:val="en-US"/>
              </w:rPr>
              <w:fldChar w:fldCharType="separate"/>
            </w:r>
            <w:r w:rsidR="00C9664A" w:rsidRPr="00DB7758">
              <w:rPr>
                <w:rStyle w:val="Hipercze"/>
                <w:color w:val="001D77"/>
                <w:szCs w:val="19"/>
                <w:lang w:val="en-US"/>
              </w:rPr>
              <w:t xml:space="preserve">Local Data Bank -&gt; Labour market </w:t>
            </w:r>
          </w:p>
          <w:p w14:paraId="37C94222" w14:textId="522A3180" w:rsidR="00C9664A" w:rsidRPr="00DB7758" w:rsidRDefault="00DB7758" w:rsidP="00C9664A">
            <w:pPr>
              <w:rPr>
                <w:rStyle w:val="Hipercze"/>
                <w:color w:val="001D77"/>
                <w:szCs w:val="19"/>
                <w:lang w:val="en-US"/>
              </w:rPr>
            </w:pPr>
            <w:r w:rsidRPr="00DB7758">
              <w:rPr>
                <w:rFonts w:cs="Times New Roman"/>
                <w:color w:val="001D77"/>
                <w:szCs w:val="19"/>
                <w:lang w:val="en-US"/>
              </w:rPr>
              <w:fldChar w:fldCharType="end"/>
            </w:r>
            <w:r w:rsidR="00C9664A" w:rsidRPr="00DB7758">
              <w:rPr>
                <w:color w:val="001D77"/>
                <w:szCs w:val="19"/>
              </w:rPr>
              <w:fldChar w:fldCharType="begin"/>
            </w:r>
            <w:r w:rsidRPr="00DB7758">
              <w:rPr>
                <w:color w:val="001D77"/>
                <w:szCs w:val="19"/>
                <w:lang w:val="en-US"/>
              </w:rPr>
              <w:instrText>HYPERLINK "http://old-strateg.stat.gov.pl/Home/Strateg" \o "Link to data in the database: Strateg -&gt; Statistics by theme -&gt; Labour market"</w:instrText>
            </w:r>
            <w:r w:rsidR="00C9664A" w:rsidRPr="00DB7758">
              <w:rPr>
                <w:color w:val="001D77"/>
                <w:szCs w:val="19"/>
              </w:rPr>
              <w:fldChar w:fldCharType="separate"/>
            </w:r>
            <w:r w:rsidR="00C9664A" w:rsidRPr="00DB7758">
              <w:rPr>
                <w:rStyle w:val="Hipercze"/>
                <w:color w:val="001D77"/>
                <w:szCs w:val="19"/>
                <w:lang w:val="en-US"/>
              </w:rPr>
              <w:t>Strateg -&gt; Statistics by theme -&gt; Labour market</w:t>
            </w:r>
          </w:p>
          <w:p w14:paraId="3EFAF615" w14:textId="3F783B51" w:rsidR="00C9664A" w:rsidRPr="00DB7758" w:rsidRDefault="00C9664A" w:rsidP="00C9664A">
            <w:pPr>
              <w:rPr>
                <w:rStyle w:val="Hipercze"/>
                <w:color w:val="001D77"/>
                <w:szCs w:val="19"/>
                <w:lang w:val="en-US"/>
              </w:rPr>
            </w:pPr>
            <w:r w:rsidRPr="00DB7758">
              <w:rPr>
                <w:color w:val="001D77"/>
                <w:szCs w:val="19"/>
              </w:rPr>
              <w:fldChar w:fldCharType="end"/>
            </w:r>
            <w:r w:rsidRPr="00DB7758">
              <w:rPr>
                <w:rStyle w:val="Hipercze"/>
                <w:color w:val="001D77"/>
                <w:szCs w:val="19"/>
              </w:rPr>
              <w:fldChar w:fldCharType="begin"/>
            </w:r>
            <w:r w:rsidR="00DB7758" w:rsidRPr="00DB7758">
              <w:rPr>
                <w:rStyle w:val="Hipercze"/>
                <w:color w:val="001D77"/>
                <w:szCs w:val="19"/>
              </w:rPr>
              <w:instrText>HYPERLINK "http://swaid.stat.gov.pl/SitePages/StronaGlownaDBW.aspx" \o "Link to data in the database: Knowledge Databases -&gt; Labour market"</w:instrText>
            </w:r>
            <w:r w:rsidRPr="00DB7758">
              <w:rPr>
                <w:rStyle w:val="Hipercze"/>
                <w:color w:val="001D77"/>
                <w:szCs w:val="19"/>
              </w:rPr>
              <w:fldChar w:fldCharType="separate"/>
            </w:r>
            <w:r w:rsidRPr="00DB7758">
              <w:rPr>
                <w:rStyle w:val="Hipercze"/>
                <w:color w:val="001D77"/>
                <w:szCs w:val="19"/>
                <w:lang w:val="en-US"/>
              </w:rPr>
              <w:t>Knowledge Databases -&gt; Labour market</w:t>
            </w:r>
          </w:p>
          <w:p w14:paraId="4CD300A8" w14:textId="3CBF5467" w:rsidR="00720CDD" w:rsidRPr="00996567" w:rsidRDefault="00C9664A" w:rsidP="00C9664A">
            <w:pPr>
              <w:shd w:val="clear" w:color="auto" w:fill="D9D9D9" w:themeFill="background1" w:themeFillShade="D9"/>
              <w:spacing w:before="360"/>
              <w:rPr>
                <w:b/>
                <w:color w:val="000000" w:themeColor="text1"/>
                <w:szCs w:val="24"/>
                <w:lang w:val="en-US"/>
              </w:rPr>
            </w:pPr>
            <w:r w:rsidRPr="00DB7758">
              <w:rPr>
                <w:rStyle w:val="Hipercze"/>
                <w:color w:val="001D77"/>
                <w:szCs w:val="19"/>
              </w:rPr>
              <w:fldChar w:fldCharType="end"/>
            </w:r>
            <w:r w:rsidR="00201A31" w:rsidRPr="00996567">
              <w:rPr>
                <w:b/>
                <w:color w:val="000000" w:themeColor="text1"/>
                <w:szCs w:val="24"/>
                <w:lang w:val="en-US"/>
              </w:rPr>
              <w:t>Terms used in official statistics</w:t>
            </w:r>
          </w:p>
          <w:p w14:paraId="3A0B5092" w14:textId="7586D467" w:rsidR="00C9664A" w:rsidRPr="00C9664A" w:rsidRDefault="00C9664A" w:rsidP="00C9664A">
            <w:pPr>
              <w:rPr>
                <w:rStyle w:val="Hipercze"/>
                <w:color w:val="001D77"/>
                <w:szCs w:val="19"/>
                <w:lang w:val="en-US"/>
              </w:rPr>
            </w:pPr>
            <w:r w:rsidRPr="00C9664A">
              <w:rPr>
                <w:rFonts w:cs="Times New Roman"/>
                <w:color w:val="001D77"/>
                <w:szCs w:val="19"/>
                <w:u w:val="single"/>
              </w:rPr>
              <w:fldChar w:fldCharType="begin"/>
            </w:r>
            <w:r w:rsidR="00C71C3B" w:rsidRPr="00C71C3B">
              <w:rPr>
                <w:rFonts w:cs="Times New Roman"/>
                <w:color w:val="001D77"/>
                <w:szCs w:val="19"/>
                <w:u w:val="single"/>
                <w:lang w:val="en-US"/>
              </w:rPr>
              <w:instrText>HYPERLINK "http://stat.gov.pl/metainformacje/slownik-pojec/pojecia-stosowane-w-statystyce-publicznej/376,pojecie.html" \o "Link to the glossary of terms: Average paid employment"</w:instrText>
            </w:r>
            <w:r w:rsidRPr="00C9664A">
              <w:rPr>
                <w:rFonts w:cs="Times New Roman"/>
                <w:color w:val="001D77"/>
                <w:szCs w:val="19"/>
                <w:u w:val="single"/>
              </w:rPr>
              <w:fldChar w:fldCharType="separate"/>
            </w:r>
            <w:r w:rsidRPr="00C9664A">
              <w:rPr>
                <w:rStyle w:val="Hipercze"/>
                <w:color w:val="001D77"/>
                <w:szCs w:val="19"/>
                <w:lang w:val="en-US"/>
              </w:rPr>
              <w:t>Average paid employment</w:t>
            </w:r>
          </w:p>
          <w:p w14:paraId="380ED51C" w14:textId="734A734B" w:rsidR="00720CDD" w:rsidRPr="00C71C3B" w:rsidRDefault="00C9664A" w:rsidP="00C9664A">
            <w:pPr>
              <w:pStyle w:val="tekstzboku"/>
              <w:rPr>
                <w:u w:val="single"/>
                <w:lang w:val="en-US"/>
              </w:rPr>
            </w:pPr>
            <w:r w:rsidRPr="00C9664A">
              <w:rPr>
                <w:sz w:val="19"/>
                <w:szCs w:val="19"/>
                <w:u w:val="single"/>
              </w:rPr>
              <w:fldChar w:fldCharType="end"/>
            </w:r>
            <w:hyperlink r:id="rId23" w:tooltip="Link to the glossary of terms: Average monthly gross wages and salaries" w:history="1">
              <w:r w:rsidRPr="00C71C3B">
                <w:rPr>
                  <w:rStyle w:val="Hipercze"/>
                  <w:rFonts w:cstheme="minorBidi"/>
                  <w:color w:val="001D77"/>
                  <w:sz w:val="19"/>
                  <w:szCs w:val="19"/>
                  <w:lang w:val="en-US"/>
                </w:rPr>
                <w:t>Average monthly gross wages and salaries</w:t>
              </w:r>
            </w:hyperlink>
          </w:p>
        </w:tc>
      </w:tr>
      <w:tr w:rsidR="00C558E5" w:rsidRPr="00C71C3B" w14:paraId="05274B01" w14:textId="77777777" w:rsidTr="00C71C3B">
        <w:trPr>
          <w:trHeight w:val="70"/>
        </w:trPr>
        <w:tc>
          <w:tcPr>
            <w:tcW w:w="9764" w:type="dxa"/>
            <w:gridSpan w:val="2"/>
            <w:shd w:val="clear" w:color="auto" w:fill="D9D9D9" w:themeFill="background1" w:themeFillShade="D9"/>
          </w:tcPr>
          <w:p w14:paraId="5712BE9C" w14:textId="77777777" w:rsidR="00C558E5" w:rsidRPr="00996567" w:rsidRDefault="00C558E5" w:rsidP="000759CD">
            <w:pPr>
              <w:shd w:val="clear" w:color="auto" w:fill="D9D9D9" w:themeFill="background1" w:themeFillShade="D9"/>
              <w:rPr>
                <w:b/>
                <w:lang w:val="en-US"/>
              </w:rPr>
            </w:pPr>
          </w:p>
        </w:tc>
      </w:tr>
    </w:tbl>
    <w:p w14:paraId="4F752128" w14:textId="77777777" w:rsidR="00382B0D" w:rsidRPr="00996567" w:rsidRDefault="00382B0D" w:rsidP="000F2415">
      <w:pPr>
        <w:rPr>
          <w:lang w:val="en-US"/>
        </w:rPr>
      </w:pPr>
    </w:p>
    <w:sectPr w:rsidR="00382B0D" w:rsidRPr="00996567" w:rsidSect="003B18B6">
      <w:headerReference w:type="default" r:id="rId24"/>
      <w:footerReference w:type="default" r:id="rId2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C6293" w14:textId="77777777" w:rsidR="00C13F56" w:rsidRDefault="00C13F56" w:rsidP="00720CDD">
      <w:pPr>
        <w:spacing w:before="0" w:after="0" w:line="240" w:lineRule="auto"/>
      </w:pPr>
      <w:r>
        <w:separator/>
      </w:r>
    </w:p>
  </w:endnote>
  <w:endnote w:type="continuationSeparator" w:id="0">
    <w:p w14:paraId="30A210A1" w14:textId="77777777" w:rsidR="00C13F56" w:rsidRDefault="00C13F56"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09B2DCB1" w14:textId="632F3D44" w:rsidR="00720CDD" w:rsidRDefault="00720CDD" w:rsidP="003B18B6">
        <w:pPr>
          <w:pStyle w:val="Stopka"/>
          <w:jc w:val="center"/>
        </w:pPr>
        <w:r>
          <w:fldChar w:fldCharType="begin"/>
        </w:r>
        <w:r>
          <w:instrText>PAGE   \* MERGEFORMAT</w:instrText>
        </w:r>
        <w:r>
          <w:fldChar w:fldCharType="separate"/>
        </w:r>
        <w:r w:rsidR="00FE3FFC">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030176E5" w14:textId="3DD04463" w:rsidR="00720CDD" w:rsidRDefault="00720CDD" w:rsidP="003B18B6">
        <w:pPr>
          <w:pStyle w:val="Stopka"/>
          <w:jc w:val="center"/>
        </w:pPr>
        <w:r>
          <w:fldChar w:fldCharType="begin"/>
        </w:r>
        <w:r>
          <w:instrText>PAGE   \* MERGEFORMAT</w:instrText>
        </w:r>
        <w:r>
          <w:fldChar w:fldCharType="separate"/>
        </w:r>
        <w:r w:rsidR="00FE3FFC">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2570B39B" w14:textId="046CC388" w:rsidR="008025B1" w:rsidRDefault="00BC1501" w:rsidP="003B18B6">
        <w:pPr>
          <w:pStyle w:val="Stopka"/>
          <w:jc w:val="center"/>
        </w:pPr>
        <w:r>
          <w:fldChar w:fldCharType="begin"/>
        </w:r>
        <w:r>
          <w:instrText>PAGE   \* MERGEFORMAT</w:instrText>
        </w:r>
        <w:r>
          <w:fldChar w:fldCharType="separate"/>
        </w:r>
        <w:r w:rsidR="00FE3FFC">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A8D98" w14:textId="77777777" w:rsidR="00C13F56" w:rsidRDefault="00C13F56" w:rsidP="00720CDD">
      <w:pPr>
        <w:spacing w:before="0" w:after="0" w:line="240" w:lineRule="auto"/>
      </w:pPr>
      <w:r>
        <w:separator/>
      </w:r>
    </w:p>
  </w:footnote>
  <w:footnote w:type="continuationSeparator" w:id="0">
    <w:p w14:paraId="556476CB" w14:textId="77777777" w:rsidR="00C13F56" w:rsidRDefault="00C13F56" w:rsidP="00720CDD">
      <w:pPr>
        <w:spacing w:before="0" w:after="0" w:line="240" w:lineRule="auto"/>
      </w:pPr>
      <w:r>
        <w:continuationSeparator/>
      </w:r>
    </w:p>
  </w:footnote>
  <w:footnote w:id="1">
    <w:p w14:paraId="78BE62D3" w14:textId="6B9FD034" w:rsidR="004864D0" w:rsidRPr="006B1CD8" w:rsidRDefault="004864D0" w:rsidP="004864D0">
      <w:pPr>
        <w:pStyle w:val="Tekstprzypisudolnego"/>
        <w:rPr>
          <w:sz w:val="16"/>
          <w:szCs w:val="16"/>
          <w:lang w:val="en-US"/>
        </w:rPr>
      </w:pPr>
      <w:r w:rsidRPr="004864D0">
        <w:rPr>
          <w:rStyle w:val="Odwoanieprzypisudolnego"/>
          <w:sz w:val="19"/>
          <w:szCs w:val="19"/>
        </w:rPr>
        <w:footnoteRef/>
      </w:r>
      <w:r w:rsidRPr="004864D0">
        <w:rPr>
          <w:sz w:val="19"/>
          <w:szCs w:val="19"/>
          <w:lang w:val="en-US"/>
        </w:rPr>
        <w:t xml:space="preserve"> Without profit for distribution or balance surpluses in cooperatives and annual extra wages and salaries</w:t>
      </w:r>
      <w:r>
        <w:rPr>
          <w:sz w:val="19"/>
          <w:szCs w:val="19"/>
          <w:lang w:val="en-US"/>
        </w:rPr>
        <w:t xml:space="preserve"> </w:t>
      </w:r>
      <w:r w:rsidRPr="004864D0">
        <w:rPr>
          <w:sz w:val="19"/>
          <w:szCs w:val="19"/>
          <w:lang w:val="en-US"/>
        </w:rPr>
        <w:t>for employees of budgetary sphere units.</w:t>
      </w:r>
      <w:r w:rsidRPr="004864D0">
        <w:rPr>
          <w:sz w:val="19"/>
          <w:szCs w:val="19"/>
          <w:lang w:val="en-US"/>
        </w:rPr>
        <w:cr/>
      </w:r>
    </w:p>
  </w:footnote>
  <w:footnote w:id="2">
    <w:p w14:paraId="3AE2375B" w14:textId="77777777" w:rsidR="004864D0" w:rsidRPr="004864D0" w:rsidRDefault="004864D0" w:rsidP="004864D0">
      <w:pPr>
        <w:pStyle w:val="Tekstprzypisudolnego"/>
        <w:rPr>
          <w:sz w:val="19"/>
          <w:szCs w:val="19"/>
          <w:lang w:val="en-US"/>
        </w:rPr>
      </w:pPr>
      <w:r w:rsidRPr="004864D0">
        <w:rPr>
          <w:rStyle w:val="Odwoanieprzypisudolnego"/>
          <w:sz w:val="19"/>
          <w:szCs w:val="19"/>
        </w:rPr>
        <w:footnoteRef/>
      </w:r>
      <w:r w:rsidRPr="004864D0">
        <w:rPr>
          <w:sz w:val="19"/>
          <w:szCs w:val="19"/>
          <w:lang w:val="en-US"/>
        </w:rPr>
        <w:t xml:space="preserve"> Data concern national economy entities with 10 or more employed persons and budgetary sphere units regardless of the number of employed persons.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CE3F" w14:textId="77777777"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7A074D9B" wp14:editId="05392FE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F95EB"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48D4F664" w14:textId="77777777" w:rsidR="00720CDD" w:rsidRDefault="00720C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8912" w14:textId="77777777" w:rsidR="00720CDD" w:rsidRDefault="009955CE">
    <w:pPr>
      <w:pStyle w:val="Nagwek"/>
      <w:rPr>
        <w:noProof/>
        <w:lang w:eastAsia="pl-PL"/>
      </w:rPr>
    </w:pPr>
    <w:r>
      <w:rPr>
        <w:noProof/>
        <w:shd w:val="clear" w:color="auto" w:fill="FFFFFF"/>
        <w:lang w:eastAsia="pl-PL"/>
      </w:rPr>
      <w:drawing>
        <wp:anchor distT="0" distB="0" distL="114300" distR="114300" simplePos="0" relativeHeight="251664384" behindDoc="0" locked="0" layoutInCell="1" allowOverlap="1" wp14:anchorId="7DF0008A" wp14:editId="7B51BAD8">
          <wp:simplePos x="0" y="0"/>
          <wp:positionH relativeFrom="margin">
            <wp:align>left</wp:align>
          </wp:positionH>
          <wp:positionV relativeFrom="paragraph">
            <wp:posOffset>-16593</wp:posOffset>
          </wp:positionV>
          <wp:extent cx="1838325" cy="696595"/>
          <wp:effectExtent l="0" t="0" r="9525" b="0"/>
          <wp:wrapSquare wrapText="bothSides"/>
          <wp:docPr id="17" name="Obraz 1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0CDD" w:rsidRPr="00F37172">
      <w:rPr>
        <w:noProof/>
        <w:lang w:eastAsia="pl-PL"/>
      </w:rPr>
      <mc:AlternateContent>
        <mc:Choice Requires="wps">
          <w:drawing>
            <wp:anchor distT="0" distB="0" distL="114300" distR="114300" simplePos="0" relativeHeight="251660288" behindDoc="0" locked="0" layoutInCell="1" allowOverlap="1" wp14:anchorId="0979F578" wp14:editId="26CABFF5">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C773B0" w14:textId="77777777" w:rsidR="00720CDD" w:rsidRPr="003C6C8D" w:rsidRDefault="009955CE"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9F578" id="Schemat blokowy: opóźnienie 6" o:spid="_x0000_s1029" alt="Tytuł: nazwa serii wydawniczej — opis: Napis &quot;Informacje sygnalne&quot;" style="position:absolute;margin-left:396.6pt;margin-top:15.65pt;width:162.2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68C773B0" w14:textId="77777777" w:rsidR="00720CDD" w:rsidRPr="003C6C8D" w:rsidRDefault="009955CE"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v:textbox>
            </v:shape>
          </w:pict>
        </mc:Fallback>
      </mc:AlternateContent>
    </w:r>
    <w:r w:rsidR="00720CDD">
      <w:rPr>
        <w:noProof/>
        <w:lang w:eastAsia="pl-PL"/>
      </w:rPr>
      <mc:AlternateContent>
        <mc:Choice Requires="wps">
          <w:drawing>
            <wp:anchor distT="0" distB="0" distL="114300" distR="114300" simplePos="0" relativeHeight="251659264" behindDoc="1" locked="0" layoutInCell="1" allowOverlap="1" wp14:anchorId="4B32D8CB" wp14:editId="78B3C5D3">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08FA3"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720CDD">
      <w:rPr>
        <w:noProof/>
        <w:lang w:eastAsia="pl-PL"/>
      </w:rPr>
      <w:t xml:space="preserve"> </w:t>
    </w:r>
    <w:r w:rsidR="00720CDD" w:rsidRPr="00540C5C">
      <w:rPr>
        <w:noProof/>
      </w:rPr>
      <w:t xml:space="preserve"> </w:t>
    </w:r>
  </w:p>
  <w:p w14:paraId="7D6E2F0F" w14:textId="77777777" w:rsidR="00720CDD" w:rsidRDefault="00720CDD">
    <w:pPr>
      <w:pStyle w:val="Nagwek"/>
      <w:rPr>
        <w:noProof/>
        <w:lang w:eastAsia="pl-PL"/>
      </w:rPr>
    </w:pPr>
  </w:p>
  <w:p w14:paraId="07104325" w14:textId="77777777" w:rsidR="00720CDD" w:rsidRDefault="00720CDD">
    <w:pPr>
      <w:pStyle w:val="Nagwek"/>
      <w:rPr>
        <w:noProof/>
        <w:lang w:eastAsia="pl-PL"/>
      </w:rPr>
    </w:pPr>
  </w:p>
  <w:p w14:paraId="15EC9D1D" w14:textId="77777777" w:rsidR="00720CDD" w:rsidRDefault="00720CDD">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23B926F1" wp14:editId="57CFDA77">
              <wp:simplePos x="0" y="0"/>
              <wp:positionH relativeFrom="column">
                <wp:posOffset>5287976</wp:posOffset>
              </wp:positionH>
              <wp:positionV relativeFrom="paragraph">
                <wp:posOffset>266065</wp:posOffset>
              </wp:positionV>
              <wp:extent cx="1432293" cy="336589"/>
              <wp:effectExtent l="0" t="0" r="0" b="6350"/>
              <wp:wrapNone/>
              <wp:docPr id="8" name="Pole tekstowe 2" descr="19 June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1516B10" w14:textId="28285145" w:rsidR="00720CDD" w:rsidRPr="00A01B40" w:rsidRDefault="00DE0BAF" w:rsidP="00F049AB">
                          <w:pPr>
                            <w:pStyle w:val="Datainformacjisygnalnej"/>
                          </w:pPr>
                          <w:r>
                            <w:t>19</w:t>
                          </w:r>
                          <w:r w:rsidR="00566D71">
                            <w:t>.06</w:t>
                          </w:r>
                          <w:r w:rsidR="009955CE">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926F1" id="_x0000_t202" coordsize="21600,21600" o:spt="202" path="m,l,21600r21600,l21600,xe">
              <v:stroke joinstyle="miter"/>
              <v:path gradientshapeok="t" o:connecttype="rect"/>
            </v:shapetype>
            <v:shape id="_x0000_s1030" type="#_x0000_t202" alt="19 June 2023"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" filled="f" stroked="f">
              <v:textbox>
                <w:txbxContent>
                  <w:p w14:paraId="21516B10" w14:textId="28285145" w:rsidR="00720CDD" w:rsidRPr="00A01B40" w:rsidRDefault="00DE0BAF" w:rsidP="00F049AB">
                    <w:pPr>
                      <w:pStyle w:val="Datainformacjisygnalnej"/>
                    </w:pPr>
                    <w:r>
                      <w:t>19</w:t>
                    </w:r>
                    <w:r w:rsidR="00566D71">
                      <w:t>.06</w:t>
                    </w:r>
                    <w:r w:rsidR="009955CE">
                      <w:t>.2023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03FA" w14:textId="77777777" w:rsidR="008025B1" w:rsidRDefault="00C13F56">
    <w:pPr>
      <w:pStyle w:val="Nagwek"/>
    </w:pPr>
  </w:p>
  <w:p w14:paraId="1E8E8196" w14:textId="77777777" w:rsidR="008025B1" w:rsidRDefault="00C13F5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DD"/>
    <w:rsid w:val="00010668"/>
    <w:rsid w:val="00014B16"/>
    <w:rsid w:val="00033F93"/>
    <w:rsid w:val="00040C0C"/>
    <w:rsid w:val="00042632"/>
    <w:rsid w:val="0006133B"/>
    <w:rsid w:val="000617E3"/>
    <w:rsid w:val="00072122"/>
    <w:rsid w:val="00072C8B"/>
    <w:rsid w:val="000741D6"/>
    <w:rsid w:val="00084404"/>
    <w:rsid w:val="0009246D"/>
    <w:rsid w:val="000C4D6F"/>
    <w:rsid w:val="000C6C48"/>
    <w:rsid w:val="000D298A"/>
    <w:rsid w:val="000E2F14"/>
    <w:rsid w:val="000F2415"/>
    <w:rsid w:val="000F47D8"/>
    <w:rsid w:val="00100717"/>
    <w:rsid w:val="0010448B"/>
    <w:rsid w:val="00113469"/>
    <w:rsid w:val="00120B54"/>
    <w:rsid w:val="0012374D"/>
    <w:rsid w:val="0013313E"/>
    <w:rsid w:val="00135F14"/>
    <w:rsid w:val="00136C4D"/>
    <w:rsid w:val="001609F9"/>
    <w:rsid w:val="001610DE"/>
    <w:rsid w:val="001A2B1A"/>
    <w:rsid w:val="001A3E80"/>
    <w:rsid w:val="001B0215"/>
    <w:rsid w:val="001B139D"/>
    <w:rsid w:val="001C513E"/>
    <w:rsid w:val="001D3B2D"/>
    <w:rsid w:val="001E5094"/>
    <w:rsid w:val="001F1D29"/>
    <w:rsid w:val="001F2903"/>
    <w:rsid w:val="001F594C"/>
    <w:rsid w:val="001F5FEE"/>
    <w:rsid w:val="00200CEA"/>
    <w:rsid w:val="00201A31"/>
    <w:rsid w:val="00205DC9"/>
    <w:rsid w:val="002155E9"/>
    <w:rsid w:val="0021598E"/>
    <w:rsid w:val="00221311"/>
    <w:rsid w:val="0023017B"/>
    <w:rsid w:val="00231B3B"/>
    <w:rsid w:val="00261432"/>
    <w:rsid w:val="00262367"/>
    <w:rsid w:val="00271647"/>
    <w:rsid w:val="002970F5"/>
    <w:rsid w:val="002B5D32"/>
    <w:rsid w:val="002C29D7"/>
    <w:rsid w:val="002C6D6A"/>
    <w:rsid w:val="002D0409"/>
    <w:rsid w:val="002D3D8F"/>
    <w:rsid w:val="002E27C9"/>
    <w:rsid w:val="002F1B00"/>
    <w:rsid w:val="002F4D94"/>
    <w:rsid w:val="003105CA"/>
    <w:rsid w:val="00311940"/>
    <w:rsid w:val="00322A68"/>
    <w:rsid w:val="00332D11"/>
    <w:rsid w:val="00354F27"/>
    <w:rsid w:val="0035668D"/>
    <w:rsid w:val="0037174E"/>
    <w:rsid w:val="00382B0D"/>
    <w:rsid w:val="00396508"/>
    <w:rsid w:val="003B138F"/>
    <w:rsid w:val="003B3827"/>
    <w:rsid w:val="003C0189"/>
    <w:rsid w:val="003C0B54"/>
    <w:rsid w:val="003D05AD"/>
    <w:rsid w:val="003D6F79"/>
    <w:rsid w:val="003E12E4"/>
    <w:rsid w:val="003E3BFB"/>
    <w:rsid w:val="003F0E28"/>
    <w:rsid w:val="003F652B"/>
    <w:rsid w:val="00402693"/>
    <w:rsid w:val="004134BD"/>
    <w:rsid w:val="0041637A"/>
    <w:rsid w:val="00441D2C"/>
    <w:rsid w:val="00446915"/>
    <w:rsid w:val="00455772"/>
    <w:rsid w:val="00456245"/>
    <w:rsid w:val="0046694A"/>
    <w:rsid w:val="004772C9"/>
    <w:rsid w:val="004843A1"/>
    <w:rsid w:val="004864D0"/>
    <w:rsid w:val="00492DDE"/>
    <w:rsid w:val="00495BD4"/>
    <w:rsid w:val="004A4570"/>
    <w:rsid w:val="004B10F9"/>
    <w:rsid w:val="004B2970"/>
    <w:rsid w:val="004C1642"/>
    <w:rsid w:val="004C55CA"/>
    <w:rsid w:val="004D0FCB"/>
    <w:rsid w:val="004D781D"/>
    <w:rsid w:val="004E12FF"/>
    <w:rsid w:val="004E5D51"/>
    <w:rsid w:val="004E7ADC"/>
    <w:rsid w:val="004F63D4"/>
    <w:rsid w:val="004F70D2"/>
    <w:rsid w:val="005012C8"/>
    <w:rsid w:val="00506C23"/>
    <w:rsid w:val="0051121C"/>
    <w:rsid w:val="00514512"/>
    <w:rsid w:val="00522C72"/>
    <w:rsid w:val="005243C3"/>
    <w:rsid w:val="00530E40"/>
    <w:rsid w:val="00550D72"/>
    <w:rsid w:val="005529EE"/>
    <w:rsid w:val="00556172"/>
    <w:rsid w:val="00566D71"/>
    <w:rsid w:val="00581C88"/>
    <w:rsid w:val="005903ED"/>
    <w:rsid w:val="00593514"/>
    <w:rsid w:val="005961EF"/>
    <w:rsid w:val="00596530"/>
    <w:rsid w:val="005A2875"/>
    <w:rsid w:val="005A4A62"/>
    <w:rsid w:val="005B27A8"/>
    <w:rsid w:val="005F1C21"/>
    <w:rsid w:val="005F2C2A"/>
    <w:rsid w:val="005F458F"/>
    <w:rsid w:val="005F54EC"/>
    <w:rsid w:val="006013C9"/>
    <w:rsid w:val="00611FF9"/>
    <w:rsid w:val="00620C08"/>
    <w:rsid w:val="00626D2C"/>
    <w:rsid w:val="00631F77"/>
    <w:rsid w:val="0063401D"/>
    <w:rsid w:val="00645475"/>
    <w:rsid w:val="00654EE9"/>
    <w:rsid w:val="00655786"/>
    <w:rsid w:val="00663108"/>
    <w:rsid w:val="00671096"/>
    <w:rsid w:val="006A2260"/>
    <w:rsid w:val="006C3758"/>
    <w:rsid w:val="006C5BEA"/>
    <w:rsid w:val="006D3EFD"/>
    <w:rsid w:val="006E42BD"/>
    <w:rsid w:val="006E7E02"/>
    <w:rsid w:val="006F44F4"/>
    <w:rsid w:val="006F6534"/>
    <w:rsid w:val="00717B8B"/>
    <w:rsid w:val="00720CDD"/>
    <w:rsid w:val="0072155F"/>
    <w:rsid w:val="0072588A"/>
    <w:rsid w:val="00731220"/>
    <w:rsid w:val="00734D1B"/>
    <w:rsid w:val="0073793F"/>
    <w:rsid w:val="00760275"/>
    <w:rsid w:val="00761A7B"/>
    <w:rsid w:val="007643FE"/>
    <w:rsid w:val="00765F34"/>
    <w:rsid w:val="007734CA"/>
    <w:rsid w:val="00773751"/>
    <w:rsid w:val="007A1882"/>
    <w:rsid w:val="007B2F71"/>
    <w:rsid w:val="007B30EA"/>
    <w:rsid w:val="007D73CA"/>
    <w:rsid w:val="007F4B1D"/>
    <w:rsid w:val="008114F8"/>
    <w:rsid w:val="0081375A"/>
    <w:rsid w:val="008278B4"/>
    <w:rsid w:val="008317CE"/>
    <w:rsid w:val="008505E8"/>
    <w:rsid w:val="0085605A"/>
    <w:rsid w:val="00860861"/>
    <w:rsid w:val="0087038D"/>
    <w:rsid w:val="00871022"/>
    <w:rsid w:val="00887ED7"/>
    <w:rsid w:val="00890234"/>
    <w:rsid w:val="00893CB9"/>
    <w:rsid w:val="008A138E"/>
    <w:rsid w:val="008A45B6"/>
    <w:rsid w:val="008B1633"/>
    <w:rsid w:val="008B79C3"/>
    <w:rsid w:val="008C6733"/>
    <w:rsid w:val="008D4659"/>
    <w:rsid w:val="008F15AF"/>
    <w:rsid w:val="008F38D4"/>
    <w:rsid w:val="008F7433"/>
    <w:rsid w:val="008F7B23"/>
    <w:rsid w:val="009019C4"/>
    <w:rsid w:val="00910FF3"/>
    <w:rsid w:val="0092123A"/>
    <w:rsid w:val="00926A45"/>
    <w:rsid w:val="009445C3"/>
    <w:rsid w:val="00945862"/>
    <w:rsid w:val="00956132"/>
    <w:rsid w:val="0095707D"/>
    <w:rsid w:val="0096351A"/>
    <w:rsid w:val="00967390"/>
    <w:rsid w:val="0099237C"/>
    <w:rsid w:val="009955CE"/>
    <w:rsid w:val="00996567"/>
    <w:rsid w:val="009A3E72"/>
    <w:rsid w:val="009B2B20"/>
    <w:rsid w:val="009C2EAE"/>
    <w:rsid w:val="009D063B"/>
    <w:rsid w:val="009D206C"/>
    <w:rsid w:val="009E32B0"/>
    <w:rsid w:val="009E6832"/>
    <w:rsid w:val="00A161FD"/>
    <w:rsid w:val="00A25B9F"/>
    <w:rsid w:val="00A458B4"/>
    <w:rsid w:val="00A467B5"/>
    <w:rsid w:val="00A503D8"/>
    <w:rsid w:val="00A533E4"/>
    <w:rsid w:val="00A54564"/>
    <w:rsid w:val="00A60E5C"/>
    <w:rsid w:val="00A63BE7"/>
    <w:rsid w:val="00A76CCB"/>
    <w:rsid w:val="00A908CD"/>
    <w:rsid w:val="00AA1415"/>
    <w:rsid w:val="00AA331E"/>
    <w:rsid w:val="00AC6398"/>
    <w:rsid w:val="00AC78D4"/>
    <w:rsid w:val="00AD68C5"/>
    <w:rsid w:val="00AF2D86"/>
    <w:rsid w:val="00AF5921"/>
    <w:rsid w:val="00B02ACE"/>
    <w:rsid w:val="00B0758E"/>
    <w:rsid w:val="00B128AF"/>
    <w:rsid w:val="00B20956"/>
    <w:rsid w:val="00B26977"/>
    <w:rsid w:val="00B56CA8"/>
    <w:rsid w:val="00B71882"/>
    <w:rsid w:val="00B73E64"/>
    <w:rsid w:val="00B86C69"/>
    <w:rsid w:val="00B9249F"/>
    <w:rsid w:val="00BC1501"/>
    <w:rsid w:val="00BC6F83"/>
    <w:rsid w:val="00BD24E2"/>
    <w:rsid w:val="00BD254A"/>
    <w:rsid w:val="00BE7106"/>
    <w:rsid w:val="00C1006E"/>
    <w:rsid w:val="00C12060"/>
    <w:rsid w:val="00C13270"/>
    <w:rsid w:val="00C13F56"/>
    <w:rsid w:val="00C16C2D"/>
    <w:rsid w:val="00C249EE"/>
    <w:rsid w:val="00C32112"/>
    <w:rsid w:val="00C32DF8"/>
    <w:rsid w:val="00C4433F"/>
    <w:rsid w:val="00C44E53"/>
    <w:rsid w:val="00C50BED"/>
    <w:rsid w:val="00C558E5"/>
    <w:rsid w:val="00C5725B"/>
    <w:rsid w:val="00C64104"/>
    <w:rsid w:val="00C70E38"/>
    <w:rsid w:val="00C71C3B"/>
    <w:rsid w:val="00C73DCE"/>
    <w:rsid w:val="00C7438E"/>
    <w:rsid w:val="00C766CC"/>
    <w:rsid w:val="00C848C6"/>
    <w:rsid w:val="00C86FFD"/>
    <w:rsid w:val="00C95452"/>
    <w:rsid w:val="00C9664A"/>
    <w:rsid w:val="00CC7BFE"/>
    <w:rsid w:val="00CF2919"/>
    <w:rsid w:val="00CF6104"/>
    <w:rsid w:val="00D006CD"/>
    <w:rsid w:val="00D079F7"/>
    <w:rsid w:val="00D133A4"/>
    <w:rsid w:val="00D21889"/>
    <w:rsid w:val="00D4361E"/>
    <w:rsid w:val="00D671FD"/>
    <w:rsid w:val="00D71C8E"/>
    <w:rsid w:val="00D74F74"/>
    <w:rsid w:val="00D84D20"/>
    <w:rsid w:val="00D93666"/>
    <w:rsid w:val="00D96AA0"/>
    <w:rsid w:val="00DA1596"/>
    <w:rsid w:val="00DA5312"/>
    <w:rsid w:val="00DA5E2D"/>
    <w:rsid w:val="00DB3C7A"/>
    <w:rsid w:val="00DB7758"/>
    <w:rsid w:val="00DC0463"/>
    <w:rsid w:val="00DC6D52"/>
    <w:rsid w:val="00DD3D0A"/>
    <w:rsid w:val="00DE0BAF"/>
    <w:rsid w:val="00DE1A22"/>
    <w:rsid w:val="00DE641F"/>
    <w:rsid w:val="00DF7DDF"/>
    <w:rsid w:val="00E05C9A"/>
    <w:rsid w:val="00E0656F"/>
    <w:rsid w:val="00E21803"/>
    <w:rsid w:val="00E247D4"/>
    <w:rsid w:val="00E32988"/>
    <w:rsid w:val="00E5068C"/>
    <w:rsid w:val="00E518ED"/>
    <w:rsid w:val="00E57EFE"/>
    <w:rsid w:val="00E63ED2"/>
    <w:rsid w:val="00E67417"/>
    <w:rsid w:val="00E865D0"/>
    <w:rsid w:val="00EB5F18"/>
    <w:rsid w:val="00EC7A8E"/>
    <w:rsid w:val="00ED0AE4"/>
    <w:rsid w:val="00EE5809"/>
    <w:rsid w:val="00EE741F"/>
    <w:rsid w:val="00EF598E"/>
    <w:rsid w:val="00F03F53"/>
    <w:rsid w:val="00F11CBA"/>
    <w:rsid w:val="00F14A61"/>
    <w:rsid w:val="00F15C18"/>
    <w:rsid w:val="00F20518"/>
    <w:rsid w:val="00F2567A"/>
    <w:rsid w:val="00F31971"/>
    <w:rsid w:val="00F46448"/>
    <w:rsid w:val="00F53587"/>
    <w:rsid w:val="00F56DA1"/>
    <w:rsid w:val="00F57EAC"/>
    <w:rsid w:val="00F70D42"/>
    <w:rsid w:val="00F75AE4"/>
    <w:rsid w:val="00F7621C"/>
    <w:rsid w:val="00F92148"/>
    <w:rsid w:val="00FA069A"/>
    <w:rsid w:val="00FA3339"/>
    <w:rsid w:val="00FA7516"/>
    <w:rsid w:val="00FB2204"/>
    <w:rsid w:val="00FB3F71"/>
    <w:rsid w:val="00FC6D5D"/>
    <w:rsid w:val="00FD680B"/>
    <w:rsid w:val="00FE3FFC"/>
    <w:rsid w:val="00FE5CB2"/>
    <w:rsid w:val="00FF633E"/>
    <w:rsid w:val="00FF6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9D012"/>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semiHidden/>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C558E5"/>
    <w:rPr>
      <w:color w:val="954F72" w:themeColor="followedHyperlink"/>
      <w:u w:val="single"/>
    </w:rPr>
  </w:style>
  <w:style w:type="paragraph" w:styleId="Tekstprzypisudolnego">
    <w:name w:val="footnote text"/>
    <w:basedOn w:val="Normalny"/>
    <w:link w:val="TekstprzypisudolnegoZnak"/>
    <w:uiPriority w:val="99"/>
    <w:semiHidden/>
    <w:unhideWhenUsed/>
    <w:rsid w:val="00F46448"/>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46448"/>
    <w:rPr>
      <w:rFonts w:ascii="Fira Sans" w:hAnsi="Fira Sans"/>
      <w:sz w:val="20"/>
      <w:szCs w:val="20"/>
    </w:rPr>
  </w:style>
  <w:style w:type="paragraph" w:customStyle="1" w:styleId="tekstnaniebieskimtle">
    <w:name w:val="tekst na niebieskim tle"/>
    <w:basedOn w:val="Normalny"/>
    <w:link w:val="tekstnaniebieskimtleZnak"/>
    <w:qFormat/>
    <w:rsid w:val="00DE0BAF"/>
    <w:pPr>
      <w:spacing w:before="0" w:after="0" w:line="240" w:lineRule="auto"/>
    </w:pPr>
    <w:rPr>
      <w:sz w:val="20"/>
    </w:rPr>
  </w:style>
  <w:style w:type="character" w:customStyle="1" w:styleId="tekstnaniebieskimtleZnak">
    <w:name w:val="tekst na niebieskim tle Znak"/>
    <w:basedOn w:val="Domylnaczcionkaakapitu"/>
    <w:link w:val="tekstnaniebieskimtle"/>
    <w:rsid w:val="00DE0BAF"/>
    <w:rPr>
      <w:rFonts w:ascii="Fira Sans" w:hAnsi="Fira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507242">
      <w:bodyDiv w:val="1"/>
      <w:marLeft w:val="0"/>
      <w:marRight w:val="0"/>
      <w:marTop w:val="0"/>
      <w:marBottom w:val="0"/>
      <w:divBdr>
        <w:top w:val="none" w:sz="0" w:space="0" w:color="auto"/>
        <w:left w:val="none" w:sz="0" w:space="0" w:color="auto"/>
        <w:bottom w:val="none" w:sz="0" w:space="0" w:color="auto"/>
        <w:right w:val="none" w:sz="0" w:space="0" w:color="auto"/>
      </w:divBdr>
    </w:div>
    <w:div w:id="12148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urostat/data/classifications"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stat.gov.pl/metainformacje/slownik-pojec/pojecia-stosowane-w-statystyce-publicznej/693,pojecie.html" TargetMode="Externa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9.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News releases_Average paid employment, wages and salaries in the national economy in 2022 – preliminary data.docx.docx</NazwaPliku>
    <Osoba xmlns="AD3641B4-23D9-4536-AF9E-7D0EADDEB824">STAT\GORKAM</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91693-5BFD-4480-BD8F-516308CCC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AD32F-3EE4-43BE-8AC7-5060B4D57AA6}">
  <ds:schemaRefs>
    <ds:schemaRef ds:uri="http://schemas.microsoft.com/office/2006/metadata/properties"/>
    <ds:schemaRef ds:uri="http://schemas.microsoft.com/office/infopath/2007/PartnerControls"/>
    <ds:schemaRef ds:uri="http://schemas.microsoft.com/sharepoint/v3"/>
    <ds:schemaRef ds:uri="AD3641B4-23D9-4536-AF9E-7D0EADDEB824"/>
  </ds:schemaRefs>
</ds:datastoreItem>
</file>

<file path=customXml/itemProps3.xml><?xml version="1.0" encoding="utf-8"?>
<ds:datastoreItem xmlns:ds="http://schemas.openxmlformats.org/officeDocument/2006/customXml" ds:itemID="{394172B2-28EC-44AC-B368-D40688116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718</Words>
  <Characters>4310</Characters>
  <DocSecurity>0</DocSecurity>
  <Lines>35</Lines>
  <Paragraphs>10</Paragraphs>
  <ScaleCrop>false</ScaleCrop>
  <HeadingPairs>
    <vt:vector size="2" baseType="variant">
      <vt:variant>
        <vt:lpstr>Tytuł</vt:lpstr>
      </vt:variant>
      <vt:variant>
        <vt:i4>1</vt:i4>
      </vt:variant>
    </vt:vector>
  </HeadingPairs>
  <TitlesOfParts>
    <vt:vector size="1" baseType="lpstr">
      <vt:lpstr>Average paid employment, wages and salaries in the national economy in 2022 – preliminary data</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Average paid employment, wages and salaries in the national economy in 2022 – preliminary data</dc:title>
  <dc:subject/>
  <cp:keywords/>
  <dc:description/>
  <cp:lastPrinted>2023-05-17T12:37:00Z</cp:lastPrinted>
  <dcterms:created xsi:type="dcterms:W3CDTF">2023-06-16T13:13:00Z</dcterms:created>
  <dcterms:modified xsi:type="dcterms:W3CDTF">2023-06-16T13:13:00Z</dcterms:modified>
</cp:coreProperties>
</file>