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F3B13" w14:textId="5649DFB7" w:rsidR="00B0162C" w:rsidRPr="00230C83" w:rsidRDefault="00B0162C" w:rsidP="00B0162C">
      <w:pPr>
        <w:pStyle w:val="Tytuinfomacjisygnalnej"/>
        <w:rPr>
          <w:rFonts w:ascii="Fira Sans Condensed SemiBold" w:hAnsi="Fira Sans Condensed SemiBold"/>
          <w:szCs w:val="40"/>
          <w:shd w:val="clear" w:color="auto" w:fill="auto"/>
          <w:lang w:val="en-GB"/>
        </w:rPr>
      </w:pPr>
      <w:r w:rsidRPr="00230C83">
        <w:rPr>
          <w:rFonts w:ascii="Fira Sans Condensed SemiBold" w:hAnsi="Fira Sans Condensed SemiBold"/>
          <w:szCs w:val="40"/>
          <w:shd w:val="clear" w:color="auto" w:fill="auto"/>
          <w:lang w:val="en-GB"/>
        </w:rPr>
        <w:t xml:space="preserve">Energy </w:t>
      </w:r>
      <w:r w:rsidR="006214F0">
        <w:rPr>
          <w:rFonts w:ascii="Fira Sans Condensed SemiBold" w:hAnsi="Fira Sans Condensed SemiBold"/>
          <w:szCs w:val="40"/>
          <w:shd w:val="clear" w:color="auto" w:fill="auto"/>
          <w:lang w:val="en-GB"/>
        </w:rPr>
        <w:t>efficiency in the years 2011</w:t>
      </w:r>
      <w:r w:rsidR="00AF07ED">
        <w:rPr>
          <w:rFonts w:ascii="Fira Sans Condensed SemiBold" w:hAnsi="Fira Sans Condensed SemiBold"/>
          <w:szCs w:val="40"/>
          <w:shd w:val="clear" w:color="auto" w:fill="auto"/>
          <w:lang w:val="en-GB"/>
        </w:rPr>
        <w:t>–</w:t>
      </w:r>
      <w:r w:rsidRPr="00230C83">
        <w:rPr>
          <w:rFonts w:ascii="Fira Sans Condensed SemiBold" w:hAnsi="Fira Sans Condensed SemiBold"/>
          <w:szCs w:val="40"/>
          <w:shd w:val="clear" w:color="auto" w:fill="auto"/>
          <w:lang w:val="en-GB"/>
        </w:rPr>
        <w:t xml:space="preserve">2021 </w:t>
      </w:r>
    </w:p>
    <w:p w14:paraId="0EFA2F4F" w14:textId="3B89DD48" w:rsidR="00B0162C" w:rsidRPr="003A689B" w:rsidRDefault="00B0162C" w:rsidP="00B0162C">
      <w:pPr>
        <w:pStyle w:val="Lead"/>
        <w:rPr>
          <w:lang w:val="en-GB"/>
        </w:rPr>
      </w:pPr>
      <w:r w:rsidRPr="00230C83">
        <w:rPr>
          <w:color w:val="001D77"/>
          <w:lang w:val="en-GB"/>
        </w:rPr>
        <mc:AlternateContent>
          <mc:Choice Requires="wps">
            <w:drawing>
              <wp:anchor distT="45720" distB="45720" distL="114300" distR="114300" simplePos="0" relativeHeight="251666432" behindDoc="0" locked="0" layoutInCell="1" allowOverlap="1" wp14:anchorId="304C6014" wp14:editId="4DCA254F">
                <wp:simplePos x="0" y="0"/>
                <wp:positionH relativeFrom="margin">
                  <wp:align>left</wp:align>
                </wp:positionH>
                <wp:positionV relativeFrom="paragraph">
                  <wp:posOffset>8890</wp:posOffset>
                </wp:positionV>
                <wp:extent cx="2317750" cy="1174750"/>
                <wp:effectExtent l="0" t="0" r="6350" b="6350"/>
                <wp:wrapSquare wrapText="bothSides"/>
                <wp:docPr id="6" name="Pole tekstowe 2" descr="Arrowhead icon pointing upwards, indicating a 0.5 per cent increase in energy efficiency in Poland in 2021 compared to 20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1174750"/>
                        </a:xfrm>
                        <a:prstGeom prst="roundRect">
                          <a:avLst/>
                        </a:prstGeom>
                        <a:solidFill>
                          <a:srgbClr val="001D77"/>
                        </a:solidFill>
                        <a:ln w="9525">
                          <a:noFill/>
                          <a:miter lim="800000"/>
                          <a:headEnd/>
                          <a:tailEnd/>
                        </a:ln>
                      </wps:spPr>
                      <wps:txbx>
                        <w:txbxContent>
                          <w:p w14:paraId="689D9268" w14:textId="0958A341" w:rsidR="006214F0" w:rsidRPr="006214F0" w:rsidRDefault="006214F0" w:rsidP="006214F0">
                            <w:pPr>
                              <w:spacing w:after="0" w:line="240" w:lineRule="auto"/>
                              <w:rPr>
                                <w:rFonts w:ascii="Fira Sans SemiBold" w:hAnsi="Fira Sans SemiBold"/>
                                <w:color w:val="FFFFFF" w:themeColor="background1"/>
                                <w:sz w:val="72"/>
                                <w:lang w:val="en-GB"/>
                              </w:rPr>
                            </w:pPr>
                            <w:r>
                              <w:rPr>
                                <w:rFonts w:asciiTheme="minorHAnsi" w:hAnsiTheme="minorHAnsi"/>
                                <w:b/>
                                <w:noProof/>
                                <w:color w:val="001D77"/>
                                <w:sz w:val="22"/>
                                <w:lang w:eastAsia="pl-PL"/>
                              </w:rPr>
                              <w:drawing>
                                <wp:inline distT="0" distB="0" distL="0" distR="0" wp14:anchorId="34F2224C" wp14:editId="481A98A6">
                                  <wp:extent cx="336550" cy="336550"/>
                                  <wp:effectExtent l="0" t="0" r="6350" b="635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r w:rsidRPr="006214F0">
                              <w:rPr>
                                <w:rFonts w:ascii="Fira Sans SemiBold" w:hAnsi="Fira Sans SemiBold"/>
                                <w:color w:val="FFFFFF" w:themeColor="background1"/>
                                <w:sz w:val="72"/>
                                <w:lang w:val="en-GB"/>
                              </w:rPr>
                              <w:t xml:space="preserve"> 0</w:t>
                            </w:r>
                            <w:r w:rsidR="0012690B">
                              <w:rPr>
                                <w:rFonts w:ascii="Fira Sans SemiBold" w:hAnsi="Fira Sans SemiBold"/>
                                <w:color w:val="FFFFFF" w:themeColor="background1"/>
                                <w:sz w:val="72"/>
                                <w:lang w:val="en-GB"/>
                              </w:rPr>
                              <w:t>.</w:t>
                            </w:r>
                            <w:r w:rsidR="00F013CC">
                              <w:rPr>
                                <w:rFonts w:ascii="Fira Sans SemiBold" w:hAnsi="Fira Sans SemiBold"/>
                                <w:color w:val="FFFFFF" w:themeColor="background1"/>
                                <w:sz w:val="72"/>
                                <w:lang w:val="en-GB"/>
                              </w:rPr>
                              <w:t>5</w:t>
                            </w:r>
                            <w:r w:rsidRPr="006214F0">
                              <w:rPr>
                                <w:rFonts w:ascii="Fira Sans SemiBold" w:hAnsi="Fira Sans SemiBold"/>
                                <w:color w:val="FFFFFF" w:themeColor="background1"/>
                                <w:sz w:val="72"/>
                                <w:lang w:val="en-GB"/>
                              </w:rPr>
                              <w:t>%</w:t>
                            </w:r>
                            <w:r w:rsidRPr="006214F0">
                              <w:rPr>
                                <w:rFonts w:eastAsia="Times New Roman" w:cstheme="minorHAnsi"/>
                                <w:sz w:val="20"/>
                                <w:szCs w:val="20"/>
                                <w:lang w:val="en-GB" w:eastAsia="pl-PL"/>
                              </w:rPr>
                              <w:br/>
                              <w:t>An increase of energy efficiency in Poland in 2021 com</w:t>
                            </w:r>
                            <w:r>
                              <w:rPr>
                                <w:rFonts w:eastAsia="Times New Roman" w:cstheme="minorHAnsi"/>
                                <w:sz w:val="20"/>
                                <w:szCs w:val="20"/>
                                <w:lang w:val="en-GB" w:eastAsia="pl-PL"/>
                              </w:rPr>
                              <w:t>pared to 2020</w:t>
                            </w:r>
                            <w:r w:rsidRPr="006214F0">
                              <w:rPr>
                                <w:rFonts w:eastAsia="Times New Roman" w:cstheme="minorHAnsi"/>
                                <w:sz w:val="20"/>
                                <w:szCs w:val="20"/>
                                <w:lang w:val="en-GB" w:eastAsia="pl-PL"/>
                              </w:rPr>
                              <w:t>.</w:t>
                            </w:r>
                          </w:p>
                          <w:p w14:paraId="00067BF3" w14:textId="77777777" w:rsidR="00B0162C" w:rsidRPr="006214F0" w:rsidRDefault="00B0162C" w:rsidP="00B0162C">
                            <w:pPr>
                              <w:pStyle w:val="tekstnaniebieskimtle"/>
                              <w:spacing w:before="120"/>
                              <w:rPr>
                                <w:sz w:val="18"/>
                                <w:szCs w:val="20"/>
                                <w:lang w:val="en-GB"/>
                              </w:rPr>
                            </w:pPr>
                            <w:r w:rsidRPr="006214F0">
                              <w:rPr>
                                <w:lang w:val="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04C6014" id="Pole tekstowe 2" o:spid="_x0000_s1026" alt="Arrowhead icon pointing upwards, indicating a 0.5 per cent increase in energy efficiency in Poland in 2021 compared to 2020." style="position:absolute;margin-left:0;margin-top:.7pt;width:182.5pt;height:9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" fillcolor="#001d77" stroked="f">
                <v:stroke joinstyle="miter"/>
                <v:textbox>
                  <w:txbxContent>
                    <w:p w14:paraId="689D9268" w14:textId="0958A341" w:rsidR="006214F0" w:rsidRPr="006214F0" w:rsidRDefault="006214F0" w:rsidP="006214F0">
                      <w:pPr>
                        <w:spacing w:after="0" w:line="240" w:lineRule="auto"/>
                        <w:rPr>
                          <w:rFonts w:ascii="Fira Sans SemiBold" w:hAnsi="Fira Sans SemiBold"/>
                          <w:color w:val="FFFFFF" w:themeColor="background1"/>
                          <w:sz w:val="72"/>
                          <w:lang w:val="en-GB"/>
                        </w:rPr>
                      </w:pPr>
                      <w:r>
                        <w:rPr>
                          <w:rFonts w:asciiTheme="minorHAnsi" w:hAnsiTheme="minorHAnsi"/>
                          <w:b/>
                          <w:noProof/>
                          <w:color w:val="001D77"/>
                          <w:sz w:val="22"/>
                          <w:lang w:eastAsia="pl-PL"/>
                        </w:rPr>
                        <w:drawing>
                          <wp:inline distT="0" distB="0" distL="0" distR="0" wp14:anchorId="34F2224C" wp14:editId="481A98A6">
                            <wp:extent cx="336550" cy="336550"/>
                            <wp:effectExtent l="0" t="0" r="6350" b="635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r w:rsidRPr="006214F0">
                        <w:rPr>
                          <w:rFonts w:ascii="Fira Sans SemiBold" w:hAnsi="Fira Sans SemiBold"/>
                          <w:color w:val="FFFFFF" w:themeColor="background1"/>
                          <w:sz w:val="72"/>
                          <w:lang w:val="en-GB"/>
                        </w:rPr>
                        <w:t xml:space="preserve"> 0</w:t>
                      </w:r>
                      <w:r w:rsidR="0012690B">
                        <w:rPr>
                          <w:rFonts w:ascii="Fira Sans SemiBold" w:hAnsi="Fira Sans SemiBold"/>
                          <w:color w:val="FFFFFF" w:themeColor="background1"/>
                          <w:sz w:val="72"/>
                          <w:lang w:val="en-GB"/>
                        </w:rPr>
                        <w:t>.</w:t>
                      </w:r>
                      <w:r w:rsidR="00F013CC">
                        <w:rPr>
                          <w:rFonts w:ascii="Fira Sans SemiBold" w:hAnsi="Fira Sans SemiBold"/>
                          <w:color w:val="FFFFFF" w:themeColor="background1"/>
                          <w:sz w:val="72"/>
                          <w:lang w:val="en-GB"/>
                        </w:rPr>
                        <w:t>5</w:t>
                      </w:r>
                      <w:r w:rsidRPr="006214F0">
                        <w:rPr>
                          <w:rFonts w:ascii="Fira Sans SemiBold" w:hAnsi="Fira Sans SemiBold"/>
                          <w:color w:val="FFFFFF" w:themeColor="background1"/>
                          <w:sz w:val="72"/>
                          <w:lang w:val="en-GB"/>
                        </w:rPr>
                        <w:t>%</w:t>
                      </w:r>
                      <w:r w:rsidRPr="006214F0">
                        <w:rPr>
                          <w:rFonts w:eastAsia="Times New Roman" w:cstheme="minorHAnsi"/>
                          <w:sz w:val="20"/>
                          <w:szCs w:val="20"/>
                          <w:lang w:val="en-GB" w:eastAsia="pl-PL"/>
                        </w:rPr>
                        <w:br/>
                        <w:t>An increase of energy efficiency in Poland in 2021 com</w:t>
                      </w:r>
                      <w:r>
                        <w:rPr>
                          <w:rFonts w:eastAsia="Times New Roman" w:cstheme="minorHAnsi"/>
                          <w:sz w:val="20"/>
                          <w:szCs w:val="20"/>
                          <w:lang w:val="en-GB" w:eastAsia="pl-PL"/>
                        </w:rPr>
                        <w:t>pared to 2020</w:t>
                      </w:r>
                      <w:r w:rsidRPr="006214F0">
                        <w:rPr>
                          <w:rFonts w:eastAsia="Times New Roman" w:cstheme="minorHAnsi"/>
                          <w:sz w:val="20"/>
                          <w:szCs w:val="20"/>
                          <w:lang w:val="en-GB" w:eastAsia="pl-PL"/>
                        </w:rPr>
                        <w:t>.</w:t>
                      </w:r>
                    </w:p>
                    <w:p w14:paraId="00067BF3" w14:textId="77777777" w:rsidR="00B0162C" w:rsidRPr="006214F0" w:rsidRDefault="00B0162C" w:rsidP="00B0162C">
                      <w:pPr>
                        <w:pStyle w:val="tekstnaniebieskimtle"/>
                        <w:spacing w:before="120"/>
                        <w:rPr>
                          <w:sz w:val="18"/>
                          <w:szCs w:val="20"/>
                          <w:lang w:val="en-GB"/>
                        </w:rPr>
                      </w:pPr>
                      <w:r w:rsidRPr="006214F0">
                        <w:rPr>
                          <w:lang w:val="en-GB"/>
                        </w:rPr>
                        <w:t xml:space="preserve"> </w:t>
                      </w:r>
                    </w:p>
                  </w:txbxContent>
                </v:textbox>
                <w10:wrap type="square" anchorx="margin"/>
              </v:roundrect>
            </w:pict>
          </mc:Fallback>
        </mc:AlternateContent>
      </w:r>
      <w:r w:rsidR="006214F0" w:rsidRPr="00E83DFB">
        <w:rPr>
          <w:lang w:val="en-GB"/>
        </w:rPr>
        <w:t>Poland's energy efficiency increased by 0.</w:t>
      </w:r>
      <w:r w:rsidR="00F013CC">
        <w:rPr>
          <w:lang w:val="en-GB"/>
        </w:rPr>
        <w:t>5</w:t>
      </w:r>
      <w:r w:rsidR="006214F0" w:rsidRPr="00E83DFB">
        <w:rPr>
          <w:lang w:val="en-GB"/>
        </w:rPr>
        <w:t xml:space="preserve">% in 2021 compared to 2020. </w:t>
      </w:r>
      <w:r w:rsidR="006214F0" w:rsidRPr="003A689B">
        <w:rPr>
          <w:lang w:val="en-GB"/>
        </w:rPr>
        <w:t>Between 201</w:t>
      </w:r>
      <w:r w:rsidR="00E83DFB" w:rsidRPr="003A689B">
        <w:rPr>
          <w:lang w:val="en-GB"/>
        </w:rPr>
        <w:t>1</w:t>
      </w:r>
      <w:r w:rsidR="006214F0" w:rsidRPr="003A689B">
        <w:rPr>
          <w:lang w:val="en-GB"/>
        </w:rPr>
        <w:t xml:space="preserve"> and 2021, the </w:t>
      </w:r>
      <w:r w:rsidR="00F013CC" w:rsidRPr="00F013CC">
        <w:rPr>
          <w:lang w:val="en-GB"/>
        </w:rPr>
        <w:t xml:space="preserve">annual cumulative growth rate </w:t>
      </w:r>
      <w:r w:rsidR="006214F0" w:rsidRPr="003A689B">
        <w:rPr>
          <w:lang w:val="en-GB"/>
        </w:rPr>
        <w:t xml:space="preserve">of energy efficiency </w:t>
      </w:r>
      <w:r w:rsidR="00E83DFB" w:rsidRPr="003A689B">
        <w:rPr>
          <w:lang w:val="en-GB"/>
        </w:rPr>
        <w:t>amounted to</w:t>
      </w:r>
      <w:r w:rsidR="006214F0" w:rsidRPr="003A689B">
        <w:rPr>
          <w:lang w:val="en-GB"/>
        </w:rPr>
        <w:t xml:space="preserve"> </w:t>
      </w:r>
      <w:r w:rsidR="00F013CC">
        <w:rPr>
          <w:lang w:val="en-GB"/>
        </w:rPr>
        <w:t>0</w:t>
      </w:r>
      <w:r w:rsidR="006214F0" w:rsidRPr="003A689B">
        <w:rPr>
          <w:lang w:val="en-GB"/>
        </w:rPr>
        <w:t>.</w:t>
      </w:r>
      <w:r w:rsidR="00F013CC">
        <w:rPr>
          <w:lang w:val="en-GB"/>
        </w:rPr>
        <w:t>9</w:t>
      </w:r>
      <w:r w:rsidR="006214F0" w:rsidRPr="003A689B">
        <w:rPr>
          <w:lang w:val="en-GB"/>
        </w:rPr>
        <w:t xml:space="preserve">%. </w:t>
      </w:r>
      <w:r w:rsidR="006214F0" w:rsidRPr="00E83DFB">
        <w:rPr>
          <w:lang w:val="en-GB"/>
        </w:rPr>
        <w:t xml:space="preserve">Primary energy intensity </w:t>
      </w:r>
      <w:r w:rsidR="00F013CC">
        <w:rPr>
          <w:lang w:val="en-GB"/>
        </w:rPr>
        <w:t xml:space="preserve">of GDP </w:t>
      </w:r>
      <w:r w:rsidR="006214F0" w:rsidRPr="00E83DFB">
        <w:rPr>
          <w:lang w:val="en-GB"/>
        </w:rPr>
        <w:t>decreased by an average of 2.6% per year during this period</w:t>
      </w:r>
      <w:r w:rsidR="00E83DFB" w:rsidRPr="00E83DFB">
        <w:rPr>
          <w:lang w:val="en-GB"/>
        </w:rPr>
        <w:t>, wh</w:t>
      </w:r>
      <w:r w:rsidR="00A71396">
        <w:rPr>
          <w:lang w:val="en-GB"/>
        </w:rPr>
        <w:t>ile</w:t>
      </w:r>
      <w:r w:rsidR="006214F0" w:rsidRPr="00E83DFB">
        <w:rPr>
          <w:lang w:val="en-GB"/>
        </w:rPr>
        <w:t xml:space="preserve"> final energy intensity </w:t>
      </w:r>
      <w:r w:rsidR="00F013CC">
        <w:rPr>
          <w:lang w:val="en-GB"/>
        </w:rPr>
        <w:t xml:space="preserve">of GDP </w:t>
      </w:r>
      <w:r w:rsidR="00E83DFB" w:rsidRPr="00E83DFB">
        <w:rPr>
          <w:lang w:val="en-GB"/>
        </w:rPr>
        <w:t>de</w:t>
      </w:r>
      <w:r w:rsidR="00E83DFB">
        <w:rPr>
          <w:lang w:val="en-GB"/>
        </w:rPr>
        <w:t>creased</w:t>
      </w:r>
      <w:r w:rsidR="00E83DFB" w:rsidRPr="00E83DFB">
        <w:rPr>
          <w:lang w:val="en-GB"/>
        </w:rPr>
        <w:t xml:space="preserve"> </w:t>
      </w:r>
      <w:r w:rsidR="006214F0" w:rsidRPr="00E83DFB">
        <w:rPr>
          <w:lang w:val="en-GB"/>
        </w:rPr>
        <w:t>by 1.</w:t>
      </w:r>
      <w:r w:rsidR="00F013CC">
        <w:rPr>
          <w:lang w:val="en-GB"/>
        </w:rPr>
        <w:t>5</w:t>
      </w:r>
      <w:r w:rsidR="006214F0" w:rsidRPr="00E83DFB">
        <w:rPr>
          <w:lang w:val="en-GB"/>
        </w:rPr>
        <w:t xml:space="preserve">%. </w:t>
      </w:r>
      <w:r w:rsidR="006214F0" w:rsidRPr="003A689B">
        <w:rPr>
          <w:lang w:val="en-GB"/>
        </w:rPr>
        <w:t xml:space="preserve">The fastest rate of energy efficiency improvement was </w:t>
      </w:r>
      <w:r w:rsidR="00E83DFB" w:rsidRPr="003A689B">
        <w:rPr>
          <w:lang w:val="en-GB"/>
        </w:rPr>
        <w:t>observed in</w:t>
      </w:r>
      <w:r w:rsidR="006214F0" w:rsidRPr="003A689B">
        <w:rPr>
          <w:lang w:val="en-GB"/>
        </w:rPr>
        <w:t xml:space="preserve"> transport (by 2.3%).</w:t>
      </w:r>
    </w:p>
    <w:p w14:paraId="1495929B" w14:textId="32FAF0BE" w:rsidR="00E83DFB" w:rsidRDefault="00FF3D74" w:rsidP="00DE10D5">
      <w:pPr>
        <w:spacing w:before="240" w:line="312" w:lineRule="auto"/>
        <w:rPr>
          <w:rFonts w:eastAsia="Times New Roman" w:cs="Times New Roman"/>
          <w:szCs w:val="19"/>
          <w:lang w:val="en-GB" w:eastAsia="pl-PL"/>
        </w:rPr>
      </w:pPr>
      <w:r w:rsidRPr="00230C83">
        <w:rPr>
          <w:b/>
          <w:noProof/>
          <w:spacing w:val="-2"/>
          <w:szCs w:val="19"/>
          <w:lang w:val="en-GB"/>
        </w:rPr>
        <mc:AlternateContent>
          <mc:Choice Requires="wps">
            <w:drawing>
              <wp:anchor distT="45720" distB="45720" distL="114300" distR="114300" simplePos="0" relativeHeight="251659264" behindDoc="1" locked="0" layoutInCell="1" allowOverlap="1" wp14:anchorId="38A69511" wp14:editId="0044CEEF">
                <wp:simplePos x="0" y="0"/>
                <wp:positionH relativeFrom="page">
                  <wp:posOffset>5720715</wp:posOffset>
                </wp:positionH>
                <wp:positionV relativeFrom="paragraph">
                  <wp:posOffset>83820</wp:posOffset>
                </wp:positionV>
                <wp:extent cx="1725295" cy="831850"/>
                <wp:effectExtent l="0" t="0" r="0" b="6350"/>
                <wp:wrapTight wrapText="bothSides">
                  <wp:wrapPolygon edited="0">
                    <wp:start x="715" y="0"/>
                    <wp:lineTo x="715" y="21270"/>
                    <wp:lineTo x="20749" y="21270"/>
                    <wp:lineTo x="20749" y="0"/>
                    <wp:lineTo x="715" y="0"/>
                  </wp:wrapPolygon>
                </wp:wrapTight>
                <wp:docPr id="2" name="Pole tekstowe 2" descr="In 2021 total primary energy consumption amounted to 104.0 Mtoe, while final energy consumption to 75.2 Mto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831850"/>
                        </a:xfrm>
                        <a:prstGeom prst="rect">
                          <a:avLst/>
                        </a:prstGeom>
                        <a:noFill/>
                        <a:ln w="9525">
                          <a:noFill/>
                          <a:miter lim="800000"/>
                          <a:headEnd/>
                          <a:tailEnd/>
                        </a:ln>
                      </wps:spPr>
                      <wps:txbx>
                        <w:txbxContent>
                          <w:p w14:paraId="55DC4053" w14:textId="77777777" w:rsidR="00B0162C" w:rsidRPr="00A47949" w:rsidRDefault="00A71396" w:rsidP="00B0162C">
                            <w:pPr>
                              <w:pStyle w:val="tekstzboku"/>
                              <w:spacing w:before="0"/>
                              <w:rPr>
                                <w:bCs w:val="0"/>
                                <w:lang w:val="en-GB"/>
                              </w:rPr>
                            </w:pPr>
                            <w:r>
                              <w:rPr>
                                <w:lang w:val="en-GB"/>
                              </w:rPr>
                              <w:t>In 2021 t</w:t>
                            </w:r>
                            <w:r w:rsidRPr="00A71396">
                              <w:rPr>
                                <w:lang w:val="en-GB"/>
                              </w:rPr>
                              <w:t xml:space="preserve">otal primary energy consumption </w:t>
                            </w:r>
                            <w:r>
                              <w:rPr>
                                <w:lang w:val="en-GB"/>
                              </w:rPr>
                              <w:t xml:space="preserve">amounted to </w:t>
                            </w:r>
                            <w:r w:rsidRPr="00E83DFB">
                              <w:rPr>
                                <w:szCs w:val="19"/>
                                <w:lang w:val="en-GB"/>
                              </w:rPr>
                              <w:t xml:space="preserve">104.0 </w:t>
                            </w:r>
                            <w:proofErr w:type="spellStart"/>
                            <w:r w:rsidRPr="00E83DFB">
                              <w:rPr>
                                <w:szCs w:val="19"/>
                                <w:lang w:val="en-GB"/>
                              </w:rPr>
                              <w:t>Mtoe</w:t>
                            </w:r>
                            <w:proofErr w:type="spellEnd"/>
                            <w:r>
                              <w:rPr>
                                <w:szCs w:val="19"/>
                                <w:lang w:val="en-GB"/>
                              </w:rPr>
                              <w:t>, while f</w:t>
                            </w:r>
                            <w:r w:rsidRPr="00A71396">
                              <w:rPr>
                                <w:szCs w:val="19"/>
                                <w:lang w:val="en-GB"/>
                              </w:rPr>
                              <w:t>inal energy consumption</w:t>
                            </w:r>
                            <w:r>
                              <w:rPr>
                                <w:szCs w:val="19"/>
                                <w:lang w:val="en-GB"/>
                              </w:rPr>
                              <w:t xml:space="preserve"> to </w:t>
                            </w:r>
                            <w:r w:rsidRPr="00B56009">
                              <w:rPr>
                                <w:szCs w:val="19"/>
                                <w:lang w:val="en-GB"/>
                              </w:rPr>
                              <w:t xml:space="preserve">75.2 </w:t>
                            </w:r>
                            <w:proofErr w:type="spellStart"/>
                            <w:r w:rsidRPr="00B56009">
                              <w:rPr>
                                <w:szCs w:val="19"/>
                                <w:lang w:val="en-GB"/>
                              </w:rPr>
                              <w:t>Mtoe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A69511" id="_x0000_t202" coordsize="21600,21600" o:spt="202" path="m,l,21600r21600,l21600,xe">
                <v:stroke joinstyle="miter"/>
                <v:path gradientshapeok="t" o:connecttype="rect"/>
              </v:shapetype>
              <v:shape id="_x0000_s1027" type="#_x0000_t202" alt="In 2021 total primary energy consumption amounted to 104.0 Mtoe, while final energy consumption to 75.2 Mtoe" style="position:absolute;margin-left:450.45pt;margin-top:6.6pt;width:135.85pt;height:65.5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" filled="f" stroked="f">
                <v:textbox>
                  <w:txbxContent>
                    <w:p w14:paraId="55DC4053" w14:textId="77777777" w:rsidR="00B0162C" w:rsidRPr="00A47949" w:rsidRDefault="00A71396" w:rsidP="00B0162C">
                      <w:pPr>
                        <w:pStyle w:val="tekstzboku"/>
                        <w:spacing w:before="0"/>
                        <w:rPr>
                          <w:bCs w:val="0"/>
                          <w:lang w:val="en-GB"/>
                        </w:rPr>
                      </w:pPr>
                      <w:r>
                        <w:rPr>
                          <w:lang w:val="en-GB"/>
                        </w:rPr>
                        <w:t>In 2021 t</w:t>
                      </w:r>
                      <w:r w:rsidRPr="00A71396">
                        <w:rPr>
                          <w:lang w:val="en-GB"/>
                        </w:rPr>
                        <w:t xml:space="preserve">otal primary energy consumption </w:t>
                      </w:r>
                      <w:r>
                        <w:rPr>
                          <w:lang w:val="en-GB"/>
                        </w:rPr>
                        <w:t xml:space="preserve">amounted to </w:t>
                      </w:r>
                      <w:r w:rsidRPr="00E83DFB">
                        <w:rPr>
                          <w:szCs w:val="19"/>
                          <w:lang w:val="en-GB"/>
                        </w:rPr>
                        <w:t xml:space="preserve">104.0 </w:t>
                      </w:r>
                      <w:proofErr w:type="spellStart"/>
                      <w:r w:rsidRPr="00E83DFB">
                        <w:rPr>
                          <w:szCs w:val="19"/>
                          <w:lang w:val="en-GB"/>
                        </w:rPr>
                        <w:t>Mtoe</w:t>
                      </w:r>
                      <w:proofErr w:type="spellEnd"/>
                      <w:r>
                        <w:rPr>
                          <w:szCs w:val="19"/>
                          <w:lang w:val="en-GB"/>
                        </w:rPr>
                        <w:t>, while f</w:t>
                      </w:r>
                      <w:r w:rsidRPr="00A71396">
                        <w:rPr>
                          <w:szCs w:val="19"/>
                          <w:lang w:val="en-GB"/>
                        </w:rPr>
                        <w:t>inal energy consumption</w:t>
                      </w:r>
                      <w:r>
                        <w:rPr>
                          <w:szCs w:val="19"/>
                          <w:lang w:val="en-GB"/>
                        </w:rPr>
                        <w:t xml:space="preserve"> to </w:t>
                      </w:r>
                      <w:r w:rsidRPr="00B56009">
                        <w:rPr>
                          <w:szCs w:val="19"/>
                          <w:lang w:val="en-GB"/>
                        </w:rPr>
                        <w:t xml:space="preserve">75.2 </w:t>
                      </w:r>
                      <w:proofErr w:type="spellStart"/>
                      <w:r w:rsidRPr="00B56009">
                        <w:rPr>
                          <w:szCs w:val="19"/>
                          <w:lang w:val="en-GB"/>
                        </w:rPr>
                        <w:t>Mtoe</w:t>
                      </w:r>
                      <w:proofErr w:type="spellEnd"/>
                    </w:p>
                  </w:txbxContent>
                </v:textbox>
                <w10:wrap type="tight" anchorx="page"/>
              </v:shape>
            </w:pict>
          </mc:Fallback>
        </mc:AlternateContent>
      </w:r>
      <w:r w:rsidR="00F013CC" w:rsidRPr="00F013CC">
        <w:rPr>
          <w:rFonts w:eastAsia="Times New Roman" w:cs="Times New Roman"/>
          <w:b/>
          <w:szCs w:val="19"/>
          <w:lang w:val="en-GB" w:eastAsia="pl-PL"/>
        </w:rPr>
        <w:t>Total primary energy consumption</w:t>
      </w:r>
      <w:r w:rsidR="00F013CC" w:rsidRPr="00F013CC">
        <w:rPr>
          <w:rFonts w:eastAsia="Times New Roman" w:cs="Times New Roman"/>
          <w:szCs w:val="19"/>
          <w:lang w:val="en-GB" w:eastAsia="pl-PL"/>
        </w:rPr>
        <w:t xml:space="preserve"> increased between 2011 and 2021 from 96.6 </w:t>
      </w:r>
      <w:proofErr w:type="spellStart"/>
      <w:r w:rsidR="00F013CC" w:rsidRPr="00F013CC">
        <w:rPr>
          <w:rFonts w:eastAsia="Times New Roman" w:cs="Times New Roman"/>
          <w:szCs w:val="19"/>
          <w:lang w:val="en-GB" w:eastAsia="pl-PL"/>
        </w:rPr>
        <w:t>Mtoe</w:t>
      </w:r>
      <w:proofErr w:type="spellEnd"/>
      <w:r w:rsidR="00F013CC" w:rsidRPr="00F013CC">
        <w:rPr>
          <w:rFonts w:eastAsia="Times New Roman" w:cs="Times New Roman"/>
          <w:szCs w:val="19"/>
          <w:lang w:val="en-GB" w:eastAsia="pl-PL"/>
        </w:rPr>
        <w:t xml:space="preserve"> to </w:t>
      </w:r>
      <w:r w:rsidR="000719B5">
        <w:rPr>
          <w:rFonts w:eastAsia="Times New Roman" w:cs="Times New Roman"/>
          <w:szCs w:val="19"/>
          <w:lang w:val="en-GB" w:eastAsia="pl-PL"/>
        </w:rPr>
        <w:br/>
      </w:r>
      <w:r w:rsidR="00F013CC" w:rsidRPr="00F013CC">
        <w:rPr>
          <w:rFonts w:eastAsia="Times New Roman" w:cs="Times New Roman"/>
          <w:szCs w:val="19"/>
          <w:lang w:val="en-GB" w:eastAsia="pl-PL"/>
        </w:rPr>
        <w:t xml:space="preserve">104.0 </w:t>
      </w:r>
      <w:proofErr w:type="spellStart"/>
      <w:r w:rsidR="00F013CC" w:rsidRPr="00F013CC">
        <w:rPr>
          <w:rFonts w:eastAsia="Times New Roman" w:cs="Times New Roman"/>
          <w:szCs w:val="19"/>
          <w:lang w:val="en-GB" w:eastAsia="pl-PL"/>
        </w:rPr>
        <w:t>Mtoe</w:t>
      </w:r>
      <w:proofErr w:type="spellEnd"/>
      <w:r w:rsidR="00F013CC" w:rsidRPr="00F013CC">
        <w:rPr>
          <w:rFonts w:eastAsia="Times New Roman" w:cs="Times New Roman"/>
          <w:szCs w:val="19"/>
          <w:lang w:val="en-GB" w:eastAsia="pl-PL"/>
        </w:rPr>
        <w:t xml:space="preserve"> (i.e. cumulative annual growth rate - 0.7%). In contrast, </w:t>
      </w:r>
      <w:r w:rsidR="00F013CC" w:rsidRPr="00F013CC">
        <w:rPr>
          <w:rFonts w:eastAsia="Times New Roman" w:cs="Times New Roman"/>
          <w:b/>
          <w:szCs w:val="19"/>
          <w:lang w:val="en-GB" w:eastAsia="pl-PL"/>
        </w:rPr>
        <w:t>final energy consumption increased</w:t>
      </w:r>
      <w:r w:rsidR="00F013CC" w:rsidRPr="00F013CC">
        <w:rPr>
          <w:rFonts w:eastAsia="Times New Roman" w:cs="Times New Roman"/>
          <w:szCs w:val="19"/>
          <w:lang w:val="en-GB" w:eastAsia="pl-PL"/>
        </w:rPr>
        <w:t xml:space="preserve"> from 64.7 to 75.2 </w:t>
      </w:r>
      <w:proofErr w:type="spellStart"/>
      <w:r w:rsidR="00F013CC" w:rsidRPr="00F013CC">
        <w:rPr>
          <w:rFonts w:eastAsia="Times New Roman" w:cs="Times New Roman"/>
          <w:szCs w:val="19"/>
          <w:lang w:val="en-GB" w:eastAsia="pl-PL"/>
        </w:rPr>
        <w:t>Mtoe</w:t>
      </w:r>
      <w:proofErr w:type="spellEnd"/>
      <w:r w:rsidR="00F013CC" w:rsidRPr="00F013CC">
        <w:rPr>
          <w:rFonts w:eastAsia="Times New Roman" w:cs="Times New Roman"/>
          <w:szCs w:val="19"/>
          <w:lang w:val="en-GB" w:eastAsia="pl-PL"/>
        </w:rPr>
        <w:t xml:space="preserve"> </w:t>
      </w:r>
      <w:r w:rsidR="00F013CC" w:rsidRPr="00B56009">
        <w:rPr>
          <w:rFonts w:eastAsia="Times New Roman" w:cs="Times New Roman"/>
          <w:szCs w:val="19"/>
          <w:lang w:val="en-GB" w:eastAsia="pl-PL"/>
        </w:rPr>
        <w:t>during the analysed period</w:t>
      </w:r>
      <w:r w:rsidR="00F013CC" w:rsidRPr="00F013CC">
        <w:rPr>
          <w:rFonts w:eastAsia="Times New Roman" w:cs="Times New Roman"/>
          <w:szCs w:val="19"/>
          <w:lang w:val="en-GB" w:eastAsia="pl-PL"/>
        </w:rPr>
        <w:t xml:space="preserve"> (i.e. a cumulative annual growth rate of - 1.5%). Both total and final consumption</w:t>
      </w:r>
      <w:r w:rsidR="00F013CC">
        <w:rPr>
          <w:rFonts w:eastAsia="Times New Roman" w:cs="Times New Roman"/>
          <w:szCs w:val="19"/>
          <w:lang w:val="en-GB" w:eastAsia="pl-PL"/>
        </w:rPr>
        <w:t xml:space="preserve"> reached its</w:t>
      </w:r>
      <w:r w:rsidR="00F013CC" w:rsidRPr="00F013CC">
        <w:rPr>
          <w:rFonts w:eastAsia="Times New Roman" w:cs="Times New Roman"/>
          <w:szCs w:val="19"/>
          <w:lang w:val="en-GB" w:eastAsia="pl-PL"/>
        </w:rPr>
        <w:t xml:space="preserve"> peak in 2018 (104.1 </w:t>
      </w:r>
      <w:proofErr w:type="spellStart"/>
      <w:r w:rsidR="00F013CC" w:rsidRPr="00F013CC">
        <w:rPr>
          <w:rFonts w:eastAsia="Times New Roman" w:cs="Times New Roman"/>
          <w:szCs w:val="19"/>
          <w:lang w:val="en-GB" w:eastAsia="pl-PL"/>
        </w:rPr>
        <w:t>Mtoe</w:t>
      </w:r>
      <w:proofErr w:type="spellEnd"/>
      <w:r w:rsidR="00F013CC" w:rsidRPr="00F013CC">
        <w:rPr>
          <w:rFonts w:eastAsia="Times New Roman" w:cs="Times New Roman"/>
          <w:szCs w:val="19"/>
          <w:lang w:val="en-GB" w:eastAsia="pl-PL"/>
        </w:rPr>
        <w:t xml:space="preserve"> and 74.9 </w:t>
      </w:r>
      <w:proofErr w:type="spellStart"/>
      <w:r w:rsidR="00F013CC" w:rsidRPr="00F013CC">
        <w:rPr>
          <w:rFonts w:eastAsia="Times New Roman" w:cs="Times New Roman"/>
          <w:szCs w:val="19"/>
          <w:lang w:val="en-GB" w:eastAsia="pl-PL"/>
        </w:rPr>
        <w:t>Mtoe</w:t>
      </w:r>
      <w:proofErr w:type="spellEnd"/>
      <w:r w:rsidR="00F013CC" w:rsidRPr="00F013CC">
        <w:rPr>
          <w:rFonts w:eastAsia="Times New Roman" w:cs="Times New Roman"/>
          <w:szCs w:val="19"/>
          <w:lang w:val="en-GB" w:eastAsia="pl-PL"/>
        </w:rPr>
        <w:t xml:space="preserve"> respectively).</w:t>
      </w:r>
    </w:p>
    <w:p w14:paraId="530C8FC2" w14:textId="1739429A" w:rsidR="00B56009" w:rsidRDefault="000719B5" w:rsidP="000719B5">
      <w:pPr>
        <w:pStyle w:val="tytuwykresu"/>
        <w:spacing w:before="360" w:line="240" w:lineRule="auto"/>
        <w:rPr>
          <w:rFonts w:eastAsia="Times New Roman" w:cs="Times New Roman"/>
          <w:szCs w:val="19"/>
          <w:lang w:val="en-GB" w:eastAsia="pl-PL"/>
        </w:rPr>
      </w:pPr>
      <w:r w:rsidRPr="00AF07ED">
        <w:rPr>
          <w:sz w:val="19"/>
          <w:szCs w:val="19"/>
          <w:lang w:val="en-GB"/>
        </w:rPr>
        <w:t>Chart</w:t>
      </w:r>
      <w:r w:rsidRPr="000719B5">
        <w:rPr>
          <w:rFonts w:eastAsia="Times New Roman" w:cs="Times New Roman"/>
          <w:szCs w:val="19"/>
          <w:lang w:val="en-GB" w:eastAsia="pl-PL"/>
        </w:rPr>
        <w:t xml:space="preserve"> 1. Total primary energy consumption and final energy consumption </w:t>
      </w:r>
      <w:r w:rsidR="00A31AF7">
        <w:rPr>
          <w:rFonts w:eastAsia="Times New Roman" w:cs="Times New Roman"/>
          <w:noProof/>
          <w:szCs w:val="19"/>
          <w:lang w:val="en-GB" w:eastAsia="pl-PL"/>
        </w:rPr>
        <w:drawing>
          <wp:inline distT="0" distB="0" distL="0" distR="0" wp14:anchorId="347BE102" wp14:editId="5AEB8C50">
            <wp:extent cx="4911090" cy="2870200"/>
            <wp:effectExtent l="0" t="0" r="0" b="0"/>
            <wp:docPr id="19" name="Obraz 19" descr="Graph showing values for total primary energy consumption and final energy consumption from 2011 to 2021. Data for the graph is provided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2827" t="8223"/>
                    <a:stretch/>
                  </pic:blipFill>
                  <pic:spPr bwMode="auto">
                    <a:xfrm>
                      <a:off x="0" y="0"/>
                      <a:ext cx="4911090" cy="2870200"/>
                    </a:xfrm>
                    <a:prstGeom prst="rect">
                      <a:avLst/>
                    </a:prstGeom>
                    <a:noFill/>
                    <a:ln>
                      <a:noFill/>
                    </a:ln>
                    <a:extLst>
                      <a:ext uri="{53640926-AAD7-44D8-BBD7-CCE9431645EC}">
                        <a14:shadowObscured xmlns:a14="http://schemas.microsoft.com/office/drawing/2010/main"/>
                      </a:ext>
                    </a:extLst>
                  </pic:spPr>
                </pic:pic>
              </a:graphicData>
            </a:graphic>
          </wp:inline>
        </w:drawing>
      </w:r>
    </w:p>
    <w:p w14:paraId="23F3D713" w14:textId="33736F20" w:rsidR="00A71396" w:rsidRPr="00A71396" w:rsidRDefault="00A71396" w:rsidP="00DE10D5">
      <w:pPr>
        <w:spacing w:before="240" w:line="312" w:lineRule="auto"/>
        <w:rPr>
          <w:rFonts w:eastAsia="Times New Roman" w:cs="Times New Roman"/>
          <w:szCs w:val="19"/>
          <w:lang w:val="en-GB" w:eastAsia="pl-PL"/>
        </w:rPr>
      </w:pPr>
      <w:r w:rsidRPr="00A71396">
        <w:rPr>
          <w:rFonts w:eastAsia="Times New Roman" w:cs="Times New Roman"/>
          <w:b/>
          <w:szCs w:val="19"/>
          <w:lang w:val="en-GB" w:eastAsia="pl-PL"/>
        </w:rPr>
        <w:t>Primary energy intensity of GDP</w:t>
      </w:r>
      <w:r w:rsidRPr="00A71396">
        <w:rPr>
          <w:rFonts w:eastAsia="Times New Roman" w:cs="Times New Roman"/>
          <w:szCs w:val="19"/>
          <w:lang w:val="en-GB" w:eastAsia="pl-PL"/>
        </w:rPr>
        <w:t xml:space="preserve"> </w:t>
      </w:r>
      <w:r w:rsidR="00F013CC" w:rsidRPr="00A71396">
        <w:rPr>
          <w:rFonts w:eastAsia="Times New Roman" w:cs="Times New Roman"/>
          <w:szCs w:val="19"/>
          <w:lang w:val="en-GB" w:eastAsia="pl-PL"/>
        </w:rPr>
        <w:t xml:space="preserve">in 2021 </w:t>
      </w:r>
      <w:r w:rsidRPr="00A71396">
        <w:rPr>
          <w:rFonts w:eastAsia="Times New Roman" w:cs="Times New Roman"/>
          <w:szCs w:val="19"/>
          <w:lang w:val="en-GB" w:eastAsia="pl-PL"/>
        </w:rPr>
        <w:t xml:space="preserve">increased by 10.5% compared to the previous year, while </w:t>
      </w:r>
      <w:r w:rsidRPr="00A71396">
        <w:rPr>
          <w:rFonts w:eastAsia="Times New Roman" w:cs="Times New Roman"/>
          <w:b/>
          <w:szCs w:val="19"/>
          <w:lang w:val="en-GB" w:eastAsia="pl-PL"/>
        </w:rPr>
        <w:t>final energy intensity of GDP</w:t>
      </w:r>
      <w:r w:rsidRPr="00A71396">
        <w:rPr>
          <w:rFonts w:eastAsia="Times New Roman" w:cs="Times New Roman"/>
          <w:szCs w:val="19"/>
          <w:lang w:val="en-GB" w:eastAsia="pl-PL"/>
        </w:rPr>
        <w:t xml:space="preserve"> increased by 9.8%.</w:t>
      </w:r>
      <w:r w:rsidR="00F013CC">
        <w:rPr>
          <w:rFonts w:eastAsia="Times New Roman" w:cs="Times New Roman"/>
          <w:szCs w:val="19"/>
          <w:lang w:val="en-GB" w:eastAsia="pl-PL"/>
        </w:rPr>
        <w:t xml:space="preserve"> </w:t>
      </w:r>
    </w:p>
    <w:p w14:paraId="25CD6D8E" w14:textId="03288710" w:rsidR="000719B5" w:rsidRPr="003A689B" w:rsidRDefault="00A71396" w:rsidP="00AF07ED">
      <w:pPr>
        <w:spacing w:line="312" w:lineRule="auto"/>
        <w:rPr>
          <w:rFonts w:eastAsia="Times New Roman" w:cs="Times New Roman"/>
          <w:szCs w:val="19"/>
          <w:lang w:val="en-GB" w:eastAsia="pl-PL"/>
        </w:rPr>
      </w:pPr>
      <w:r w:rsidRPr="00A71396">
        <w:rPr>
          <w:rFonts w:eastAsia="Times New Roman" w:cs="Times New Roman"/>
          <w:szCs w:val="19"/>
          <w:lang w:val="en-GB" w:eastAsia="pl-PL"/>
        </w:rPr>
        <w:t xml:space="preserve">Compared to 2011, the </w:t>
      </w:r>
      <w:r w:rsidR="000149E2">
        <w:rPr>
          <w:rFonts w:eastAsia="Times New Roman" w:cs="Times New Roman"/>
          <w:szCs w:val="19"/>
          <w:lang w:val="en-GB" w:eastAsia="pl-PL"/>
        </w:rPr>
        <w:t xml:space="preserve">primary </w:t>
      </w:r>
      <w:r w:rsidRPr="00A71396">
        <w:rPr>
          <w:rFonts w:eastAsia="Times New Roman" w:cs="Times New Roman"/>
          <w:szCs w:val="19"/>
          <w:lang w:val="en-GB" w:eastAsia="pl-PL"/>
        </w:rPr>
        <w:t xml:space="preserve">energy intensity of GDP in 2021 decreased by 20.3% and </w:t>
      </w:r>
      <w:r w:rsidR="000149E2">
        <w:rPr>
          <w:rFonts w:eastAsia="Times New Roman" w:cs="Times New Roman"/>
          <w:szCs w:val="19"/>
          <w:lang w:val="en-GB" w:eastAsia="pl-PL"/>
        </w:rPr>
        <w:t xml:space="preserve">final energy intensity of GDP by </w:t>
      </w:r>
      <w:r w:rsidRPr="00A71396">
        <w:rPr>
          <w:rFonts w:eastAsia="Times New Roman" w:cs="Times New Roman"/>
          <w:szCs w:val="19"/>
          <w:lang w:val="en-GB" w:eastAsia="pl-PL"/>
        </w:rPr>
        <w:t>13.8%</w:t>
      </w:r>
      <w:r w:rsidR="000149E2">
        <w:rPr>
          <w:rFonts w:eastAsia="Times New Roman" w:cs="Times New Roman"/>
          <w:szCs w:val="19"/>
          <w:lang w:val="en-GB" w:eastAsia="pl-PL"/>
        </w:rPr>
        <w:t xml:space="preserve">. With </w:t>
      </w:r>
      <w:r w:rsidRPr="00A71396">
        <w:rPr>
          <w:rFonts w:eastAsia="Times New Roman" w:cs="Times New Roman"/>
          <w:szCs w:val="19"/>
          <w:lang w:val="en-GB" w:eastAsia="pl-PL"/>
        </w:rPr>
        <w:t>climat</w:t>
      </w:r>
      <w:r w:rsidR="000149E2">
        <w:rPr>
          <w:rFonts w:eastAsia="Times New Roman" w:cs="Times New Roman"/>
          <w:szCs w:val="19"/>
          <w:lang w:val="en-GB" w:eastAsia="pl-PL"/>
        </w:rPr>
        <w:t>ic corrections</w:t>
      </w:r>
      <w:r w:rsidRPr="00A71396">
        <w:rPr>
          <w:rFonts w:eastAsia="Times New Roman" w:cs="Times New Roman"/>
          <w:szCs w:val="19"/>
          <w:lang w:val="en-GB" w:eastAsia="pl-PL"/>
        </w:rPr>
        <w:t>, the rate of improvement was slightly higher (21.0% and 15% respectively).</w:t>
      </w:r>
    </w:p>
    <w:p w14:paraId="016069E2" w14:textId="50FAFFEB" w:rsidR="00444C85" w:rsidRPr="00444C85" w:rsidRDefault="00444C85" w:rsidP="00AF07ED">
      <w:pPr>
        <w:pStyle w:val="tytuwykresu"/>
        <w:spacing w:before="2280" w:line="240" w:lineRule="auto"/>
        <w:rPr>
          <w:szCs w:val="19"/>
          <w:lang w:val="en-GB"/>
        </w:rPr>
      </w:pPr>
      <w:r w:rsidRPr="003A689B">
        <w:rPr>
          <w:sz w:val="19"/>
          <w:szCs w:val="19"/>
          <w:lang w:val="en-GB"/>
        </w:rPr>
        <w:lastRenderedPageBreak/>
        <w:t xml:space="preserve">Table 1. </w:t>
      </w:r>
      <w:r w:rsidRPr="00444C85">
        <w:rPr>
          <w:sz w:val="19"/>
          <w:szCs w:val="19"/>
          <w:lang w:val="en-GB"/>
        </w:rPr>
        <w:t xml:space="preserve">The </w:t>
      </w:r>
      <w:r w:rsidR="00725275" w:rsidRPr="00F013CC">
        <w:rPr>
          <w:lang w:val="en-GB"/>
        </w:rPr>
        <w:t xml:space="preserve">annual cumulative growth rate </w:t>
      </w:r>
      <w:r w:rsidRPr="00444C85">
        <w:rPr>
          <w:sz w:val="19"/>
          <w:szCs w:val="19"/>
          <w:lang w:val="en-GB"/>
        </w:rPr>
        <w:t>of e</w:t>
      </w:r>
      <w:r>
        <w:rPr>
          <w:sz w:val="19"/>
          <w:szCs w:val="19"/>
          <w:lang w:val="en-GB"/>
        </w:rPr>
        <w:t>n</w:t>
      </w:r>
      <w:r w:rsidRPr="00444C85">
        <w:rPr>
          <w:sz w:val="19"/>
          <w:szCs w:val="19"/>
          <w:lang w:val="en-GB"/>
        </w:rPr>
        <w:t xml:space="preserve">ergy </w:t>
      </w:r>
      <w:r w:rsidR="00725275">
        <w:rPr>
          <w:sz w:val="19"/>
          <w:szCs w:val="19"/>
          <w:lang w:val="en-GB"/>
        </w:rPr>
        <w:t>efficiency</w:t>
      </w:r>
      <w:r>
        <w:rPr>
          <w:sz w:val="19"/>
          <w:szCs w:val="19"/>
          <w:lang w:val="en-GB"/>
        </w:rPr>
        <w:t xml:space="preserve"> of GDP</w:t>
      </w:r>
      <w:r w:rsidRPr="00444C85">
        <w:rPr>
          <w:sz w:val="19"/>
          <w:szCs w:val="19"/>
          <w:lang w:val="en-GB"/>
        </w:rPr>
        <w:t xml:space="preserve"> (%/</w:t>
      </w:r>
      <w:r>
        <w:rPr>
          <w:sz w:val="19"/>
          <w:szCs w:val="19"/>
          <w:lang w:val="en-GB"/>
        </w:rPr>
        <w:t>year</w:t>
      </w:r>
      <w:r w:rsidRPr="00444C85">
        <w:rPr>
          <w:sz w:val="19"/>
          <w:szCs w:val="19"/>
          <w:lang w:val="en-GB"/>
        </w:rPr>
        <w:t>)</w:t>
      </w:r>
    </w:p>
    <w:tbl>
      <w:tblPr>
        <w:tblpPr w:leftFromText="141" w:rightFromText="141" w:vertAnchor="text" w:horzAnchor="margin" w:tblpY="152"/>
        <w:tblW w:w="8080" w:type="dxa"/>
        <w:tblBorders>
          <w:top w:val="single" w:sz="4" w:space="0" w:color="1F4E79"/>
          <w:insideH w:val="single" w:sz="4" w:space="0" w:color="1F4E79"/>
          <w:insideV w:val="single" w:sz="4" w:space="0" w:color="1F4E79"/>
        </w:tblBorders>
        <w:tblLayout w:type="fixed"/>
        <w:tblCellMar>
          <w:left w:w="70" w:type="dxa"/>
          <w:right w:w="70" w:type="dxa"/>
        </w:tblCellMar>
        <w:tblLook w:val="0000" w:firstRow="0" w:lastRow="0" w:firstColumn="0" w:lastColumn="0" w:noHBand="0" w:noVBand="0"/>
        <w:tblCaption w:val="Table 1. The annual cumulative growth rate of energy efficiency of GDP (%/year)"/>
        <w:tblDescription w:val="The table shows the value of the average annual rate of change of GDP energy intensity indicators expressed in % for the years 2012-2016, 2017-2021 and 2012-2021. The data for the table is provided in the attached Excel file."/>
      </w:tblPr>
      <w:tblGrid>
        <w:gridCol w:w="3686"/>
        <w:gridCol w:w="1464"/>
        <w:gridCol w:w="1465"/>
        <w:gridCol w:w="1465"/>
      </w:tblGrid>
      <w:tr w:rsidR="00444C85" w:rsidRPr="002B57E6" w14:paraId="2CB51260" w14:textId="77777777" w:rsidTr="00725275">
        <w:tc>
          <w:tcPr>
            <w:tcW w:w="3686" w:type="dxa"/>
            <w:tcBorders>
              <w:bottom w:val="single" w:sz="12" w:space="0" w:color="1F4E79"/>
            </w:tcBorders>
          </w:tcPr>
          <w:p w14:paraId="6ACAAC63" w14:textId="77777777" w:rsidR="00444C85" w:rsidRPr="00021B0E" w:rsidRDefault="00444C85" w:rsidP="00725275">
            <w:pPr>
              <w:pStyle w:val="Tekstpodstawowywcity"/>
              <w:keepNext/>
              <w:jc w:val="center"/>
              <w:rPr>
                <w:rFonts w:cstheme="minorHAnsi"/>
                <w:szCs w:val="19"/>
              </w:rPr>
            </w:pPr>
            <w:r>
              <w:rPr>
                <w:szCs w:val="19"/>
                <w:lang w:val="en-GB"/>
              </w:rPr>
              <w:t>R</w:t>
            </w:r>
            <w:r w:rsidRPr="00444C85">
              <w:rPr>
                <w:szCs w:val="19"/>
                <w:lang w:val="en-GB"/>
              </w:rPr>
              <w:t>ate of improvement</w:t>
            </w:r>
          </w:p>
        </w:tc>
        <w:tc>
          <w:tcPr>
            <w:tcW w:w="1464" w:type="dxa"/>
            <w:tcBorders>
              <w:bottom w:val="single" w:sz="12" w:space="0" w:color="1F4E79"/>
            </w:tcBorders>
            <w:shd w:val="clear" w:color="auto" w:fill="auto"/>
            <w:vAlign w:val="center"/>
          </w:tcPr>
          <w:p w14:paraId="7C442F06" w14:textId="77777777" w:rsidR="00444C85" w:rsidRPr="002E41D3" w:rsidRDefault="00444C85" w:rsidP="001F31CA">
            <w:pPr>
              <w:pStyle w:val="Tekstpodstawowywcity"/>
              <w:keepNext/>
              <w:jc w:val="center"/>
              <w:rPr>
                <w:rFonts w:cstheme="minorHAnsi"/>
                <w:szCs w:val="19"/>
              </w:rPr>
            </w:pPr>
            <w:r>
              <w:rPr>
                <w:rFonts w:cs="Calibri"/>
                <w:color w:val="000000"/>
                <w:szCs w:val="19"/>
              </w:rPr>
              <w:t>2012–2016</w:t>
            </w:r>
          </w:p>
        </w:tc>
        <w:tc>
          <w:tcPr>
            <w:tcW w:w="1465" w:type="dxa"/>
            <w:tcBorders>
              <w:bottom w:val="single" w:sz="12" w:space="0" w:color="1F4E79"/>
            </w:tcBorders>
            <w:shd w:val="clear" w:color="auto" w:fill="auto"/>
            <w:vAlign w:val="center"/>
          </w:tcPr>
          <w:p w14:paraId="5ECCF57C" w14:textId="77777777" w:rsidR="00444C85" w:rsidRPr="002E41D3" w:rsidRDefault="00444C85" w:rsidP="001F31CA">
            <w:pPr>
              <w:pStyle w:val="Tekstpodstawowywcity"/>
              <w:keepNext/>
              <w:jc w:val="center"/>
              <w:rPr>
                <w:rFonts w:cstheme="minorHAnsi"/>
                <w:szCs w:val="19"/>
              </w:rPr>
            </w:pPr>
            <w:r>
              <w:rPr>
                <w:rFonts w:cs="Calibri"/>
                <w:color w:val="000000"/>
                <w:szCs w:val="19"/>
              </w:rPr>
              <w:t>2017–2021</w:t>
            </w:r>
          </w:p>
        </w:tc>
        <w:tc>
          <w:tcPr>
            <w:tcW w:w="1465" w:type="dxa"/>
            <w:tcBorders>
              <w:bottom w:val="single" w:sz="12" w:space="0" w:color="1F4E79"/>
            </w:tcBorders>
            <w:shd w:val="clear" w:color="auto" w:fill="auto"/>
            <w:vAlign w:val="center"/>
          </w:tcPr>
          <w:p w14:paraId="77F27D12" w14:textId="77777777" w:rsidR="00444C85" w:rsidRPr="002E41D3" w:rsidRDefault="00444C85" w:rsidP="001F31CA">
            <w:pPr>
              <w:pStyle w:val="Tekstpodstawowywcity"/>
              <w:keepNext/>
              <w:jc w:val="center"/>
              <w:rPr>
                <w:rFonts w:cstheme="minorHAnsi"/>
                <w:szCs w:val="19"/>
              </w:rPr>
            </w:pPr>
            <w:r>
              <w:rPr>
                <w:rFonts w:cs="Calibri"/>
                <w:color w:val="000000"/>
                <w:szCs w:val="19"/>
              </w:rPr>
              <w:t>2012–2021</w:t>
            </w:r>
          </w:p>
        </w:tc>
      </w:tr>
      <w:tr w:rsidR="00444C85" w:rsidRPr="002B57E6" w14:paraId="0DDD2F57" w14:textId="77777777" w:rsidTr="00725275">
        <w:trPr>
          <w:trHeight w:val="555"/>
        </w:trPr>
        <w:tc>
          <w:tcPr>
            <w:tcW w:w="3686" w:type="dxa"/>
            <w:tcBorders>
              <w:top w:val="single" w:sz="12" w:space="0" w:color="1F4E79"/>
            </w:tcBorders>
            <w:vAlign w:val="center"/>
          </w:tcPr>
          <w:p w14:paraId="398ECA03" w14:textId="77777777" w:rsidR="00444C85" w:rsidRPr="00444C85" w:rsidRDefault="00444C85" w:rsidP="00444C85">
            <w:pPr>
              <w:pStyle w:val="Tekstpodstawowywcity"/>
              <w:keepNext/>
              <w:ind w:left="0"/>
              <w:jc w:val="both"/>
              <w:rPr>
                <w:rFonts w:cstheme="minorHAnsi"/>
                <w:szCs w:val="19"/>
                <w:lang w:val="en-GB"/>
              </w:rPr>
            </w:pPr>
            <w:r w:rsidRPr="00444C85">
              <w:rPr>
                <w:rFonts w:eastAsia="Times New Roman" w:cs="Times New Roman"/>
                <w:szCs w:val="19"/>
                <w:lang w:val="en-GB" w:eastAsia="pl-PL"/>
              </w:rPr>
              <w:t>Primary energy intensity of GDP</w:t>
            </w:r>
          </w:p>
        </w:tc>
        <w:tc>
          <w:tcPr>
            <w:tcW w:w="1464" w:type="dxa"/>
            <w:tcBorders>
              <w:top w:val="single" w:sz="12" w:space="0" w:color="1F4E79"/>
            </w:tcBorders>
            <w:shd w:val="clear" w:color="auto" w:fill="auto"/>
            <w:vAlign w:val="center"/>
          </w:tcPr>
          <w:p w14:paraId="35E8A677" w14:textId="77777777" w:rsidR="00444C85" w:rsidRPr="00EA5525" w:rsidRDefault="00444C85" w:rsidP="001F31CA">
            <w:pPr>
              <w:jc w:val="right"/>
            </w:pPr>
            <w:r>
              <w:rPr>
                <w:rFonts w:cs="Calibri"/>
                <w:color w:val="000000"/>
                <w:szCs w:val="19"/>
              </w:rPr>
              <w:t>-3,98</w:t>
            </w:r>
          </w:p>
        </w:tc>
        <w:tc>
          <w:tcPr>
            <w:tcW w:w="1465" w:type="dxa"/>
            <w:tcBorders>
              <w:top w:val="single" w:sz="12" w:space="0" w:color="1F4E79"/>
            </w:tcBorders>
            <w:shd w:val="clear" w:color="auto" w:fill="auto"/>
            <w:vAlign w:val="center"/>
          </w:tcPr>
          <w:p w14:paraId="3946E0BF" w14:textId="77777777" w:rsidR="00444C85" w:rsidRPr="00EA5525" w:rsidRDefault="00444C85" w:rsidP="001F31CA">
            <w:pPr>
              <w:jc w:val="right"/>
            </w:pPr>
            <w:r>
              <w:rPr>
                <w:rFonts w:cs="Calibri"/>
                <w:color w:val="000000"/>
                <w:szCs w:val="19"/>
              </w:rPr>
              <w:t>-0,49</w:t>
            </w:r>
          </w:p>
        </w:tc>
        <w:tc>
          <w:tcPr>
            <w:tcW w:w="1465" w:type="dxa"/>
            <w:tcBorders>
              <w:top w:val="single" w:sz="12" w:space="0" w:color="1F4E79"/>
            </w:tcBorders>
            <w:shd w:val="clear" w:color="auto" w:fill="auto"/>
            <w:vAlign w:val="center"/>
          </w:tcPr>
          <w:p w14:paraId="6F28DE18" w14:textId="77777777" w:rsidR="00444C85" w:rsidRPr="00EA5525" w:rsidRDefault="00444C85" w:rsidP="001F31CA">
            <w:pPr>
              <w:jc w:val="right"/>
            </w:pPr>
            <w:r>
              <w:rPr>
                <w:rFonts w:cs="Calibri"/>
                <w:color w:val="000000"/>
                <w:szCs w:val="19"/>
              </w:rPr>
              <w:t>-2,25</w:t>
            </w:r>
          </w:p>
        </w:tc>
      </w:tr>
      <w:tr w:rsidR="00444C85" w:rsidRPr="002B57E6" w14:paraId="6DE3D419" w14:textId="77777777" w:rsidTr="001F31CA">
        <w:trPr>
          <w:trHeight w:val="555"/>
        </w:trPr>
        <w:tc>
          <w:tcPr>
            <w:tcW w:w="3686" w:type="dxa"/>
          </w:tcPr>
          <w:p w14:paraId="796DD061" w14:textId="6D64F74B" w:rsidR="00444C85" w:rsidRPr="00444C85" w:rsidRDefault="00444C85" w:rsidP="00444C85">
            <w:pPr>
              <w:pStyle w:val="Tekstpodstawowywcity"/>
              <w:keepNext/>
              <w:ind w:left="0"/>
              <w:rPr>
                <w:rFonts w:cstheme="minorHAnsi"/>
                <w:szCs w:val="19"/>
                <w:lang w:val="en-GB"/>
              </w:rPr>
            </w:pPr>
            <w:r w:rsidRPr="00444C85">
              <w:rPr>
                <w:rFonts w:eastAsia="Times New Roman" w:cs="Times New Roman"/>
                <w:szCs w:val="19"/>
                <w:lang w:val="en-GB" w:eastAsia="pl-PL"/>
              </w:rPr>
              <w:t xml:space="preserve">Primary energy intensity of GDP </w:t>
            </w:r>
            <w:r w:rsidR="00725275">
              <w:rPr>
                <w:rFonts w:eastAsia="Times New Roman" w:cs="Times New Roman"/>
                <w:szCs w:val="19"/>
                <w:lang w:val="en-GB" w:eastAsia="pl-PL"/>
              </w:rPr>
              <w:br/>
            </w:r>
            <w:r w:rsidRPr="00444C85">
              <w:rPr>
                <w:rFonts w:eastAsia="Times New Roman" w:cs="Times New Roman"/>
                <w:szCs w:val="19"/>
                <w:lang w:val="en-GB" w:eastAsia="pl-PL"/>
              </w:rPr>
              <w:t>with climatic corrections</w:t>
            </w:r>
          </w:p>
        </w:tc>
        <w:tc>
          <w:tcPr>
            <w:tcW w:w="1464" w:type="dxa"/>
            <w:shd w:val="clear" w:color="auto" w:fill="auto"/>
            <w:vAlign w:val="center"/>
          </w:tcPr>
          <w:p w14:paraId="04E006CA" w14:textId="77777777" w:rsidR="00444C85" w:rsidRPr="00EA5525" w:rsidRDefault="00444C85" w:rsidP="001F31CA">
            <w:pPr>
              <w:jc w:val="right"/>
            </w:pPr>
            <w:r>
              <w:rPr>
                <w:rFonts w:cs="Calibri"/>
                <w:color w:val="000000"/>
                <w:szCs w:val="19"/>
              </w:rPr>
              <w:t>-3,95</w:t>
            </w:r>
          </w:p>
        </w:tc>
        <w:tc>
          <w:tcPr>
            <w:tcW w:w="1465" w:type="dxa"/>
            <w:shd w:val="clear" w:color="auto" w:fill="auto"/>
            <w:vAlign w:val="center"/>
          </w:tcPr>
          <w:p w14:paraId="21711614" w14:textId="77777777" w:rsidR="00444C85" w:rsidRPr="00EA5525" w:rsidRDefault="00444C85" w:rsidP="001F31CA">
            <w:pPr>
              <w:jc w:val="right"/>
            </w:pPr>
            <w:r>
              <w:rPr>
                <w:rFonts w:cs="Calibri"/>
                <w:color w:val="000000"/>
                <w:szCs w:val="19"/>
              </w:rPr>
              <w:t>-0,70</w:t>
            </w:r>
          </w:p>
        </w:tc>
        <w:tc>
          <w:tcPr>
            <w:tcW w:w="1465" w:type="dxa"/>
            <w:shd w:val="clear" w:color="auto" w:fill="auto"/>
            <w:vAlign w:val="center"/>
          </w:tcPr>
          <w:p w14:paraId="0A68B491" w14:textId="77777777" w:rsidR="00444C85" w:rsidRPr="00EA5525" w:rsidRDefault="00444C85" w:rsidP="001F31CA">
            <w:pPr>
              <w:jc w:val="right"/>
            </w:pPr>
            <w:r>
              <w:rPr>
                <w:rFonts w:cs="Calibri"/>
                <w:color w:val="000000"/>
                <w:szCs w:val="19"/>
              </w:rPr>
              <w:t>-2,33</w:t>
            </w:r>
          </w:p>
        </w:tc>
      </w:tr>
      <w:tr w:rsidR="00444C85" w:rsidRPr="002B57E6" w14:paraId="7F7EF2AD" w14:textId="77777777" w:rsidTr="001F31CA">
        <w:trPr>
          <w:trHeight w:val="555"/>
        </w:trPr>
        <w:tc>
          <w:tcPr>
            <w:tcW w:w="3686" w:type="dxa"/>
            <w:vAlign w:val="center"/>
          </w:tcPr>
          <w:p w14:paraId="584CB07A" w14:textId="77777777" w:rsidR="00444C85" w:rsidRPr="00444C85" w:rsidRDefault="00444C85" w:rsidP="00444C85">
            <w:pPr>
              <w:pStyle w:val="Tekstpodstawowywcity"/>
              <w:keepNext/>
              <w:ind w:left="0"/>
              <w:rPr>
                <w:rFonts w:cstheme="minorHAnsi"/>
                <w:szCs w:val="19"/>
                <w:lang w:val="en-GB"/>
              </w:rPr>
            </w:pPr>
            <w:r w:rsidRPr="00444C85">
              <w:rPr>
                <w:rFonts w:eastAsia="Times New Roman" w:cs="Times New Roman"/>
                <w:szCs w:val="19"/>
                <w:lang w:val="en-GB" w:eastAsia="pl-PL"/>
              </w:rPr>
              <w:t>Final energy intensity of GDP</w:t>
            </w:r>
          </w:p>
        </w:tc>
        <w:tc>
          <w:tcPr>
            <w:tcW w:w="1464" w:type="dxa"/>
            <w:shd w:val="clear" w:color="auto" w:fill="auto"/>
            <w:vAlign w:val="center"/>
          </w:tcPr>
          <w:p w14:paraId="111B19A8" w14:textId="77777777" w:rsidR="00444C85" w:rsidRPr="00EA5525" w:rsidRDefault="00444C85" w:rsidP="001F31CA">
            <w:pPr>
              <w:jc w:val="right"/>
            </w:pPr>
            <w:r>
              <w:rPr>
                <w:rFonts w:cs="Calibri"/>
                <w:color w:val="000000"/>
                <w:szCs w:val="19"/>
              </w:rPr>
              <w:t>-3,31</w:t>
            </w:r>
          </w:p>
        </w:tc>
        <w:tc>
          <w:tcPr>
            <w:tcW w:w="1465" w:type="dxa"/>
            <w:shd w:val="clear" w:color="auto" w:fill="auto"/>
            <w:vAlign w:val="center"/>
          </w:tcPr>
          <w:p w14:paraId="57B3F3A2" w14:textId="77777777" w:rsidR="00444C85" w:rsidRPr="00EA5525" w:rsidRDefault="00444C85" w:rsidP="001F31CA">
            <w:pPr>
              <w:jc w:val="right"/>
            </w:pPr>
            <w:r>
              <w:rPr>
                <w:rFonts w:cs="Calibri"/>
                <w:color w:val="000000"/>
                <w:szCs w:val="19"/>
              </w:rPr>
              <w:t>0,38</w:t>
            </w:r>
          </w:p>
        </w:tc>
        <w:tc>
          <w:tcPr>
            <w:tcW w:w="1465" w:type="dxa"/>
            <w:shd w:val="clear" w:color="auto" w:fill="auto"/>
            <w:vAlign w:val="center"/>
          </w:tcPr>
          <w:p w14:paraId="2D967122" w14:textId="77777777" w:rsidR="00444C85" w:rsidRPr="00EA5525" w:rsidRDefault="00444C85" w:rsidP="001F31CA">
            <w:pPr>
              <w:jc w:val="right"/>
            </w:pPr>
            <w:r>
              <w:rPr>
                <w:rFonts w:cs="Calibri"/>
                <w:color w:val="000000"/>
                <w:szCs w:val="19"/>
              </w:rPr>
              <w:t>-1,48</w:t>
            </w:r>
          </w:p>
        </w:tc>
      </w:tr>
      <w:tr w:rsidR="00444C85" w:rsidRPr="002B57E6" w14:paraId="563ADC32" w14:textId="77777777" w:rsidTr="001F31CA">
        <w:trPr>
          <w:trHeight w:val="555"/>
        </w:trPr>
        <w:tc>
          <w:tcPr>
            <w:tcW w:w="3686" w:type="dxa"/>
          </w:tcPr>
          <w:p w14:paraId="4430C212" w14:textId="556FE81D" w:rsidR="00444C85" w:rsidRPr="00444C85" w:rsidRDefault="00444C85" w:rsidP="00444C85">
            <w:pPr>
              <w:pStyle w:val="Tekstpodstawowywcity"/>
              <w:keepNext/>
              <w:ind w:left="0"/>
              <w:rPr>
                <w:rFonts w:cstheme="minorHAnsi"/>
                <w:szCs w:val="19"/>
                <w:lang w:val="en-GB"/>
              </w:rPr>
            </w:pPr>
            <w:r w:rsidRPr="00444C85">
              <w:rPr>
                <w:rFonts w:eastAsia="Times New Roman" w:cs="Times New Roman"/>
                <w:szCs w:val="19"/>
                <w:lang w:val="en-GB" w:eastAsia="pl-PL"/>
              </w:rPr>
              <w:t xml:space="preserve">Final energy intensity of GDP  </w:t>
            </w:r>
            <w:r w:rsidR="00725275">
              <w:rPr>
                <w:rFonts w:eastAsia="Times New Roman" w:cs="Times New Roman"/>
                <w:szCs w:val="19"/>
                <w:lang w:val="en-GB" w:eastAsia="pl-PL"/>
              </w:rPr>
              <w:br/>
            </w:r>
            <w:r w:rsidRPr="00444C85">
              <w:rPr>
                <w:rFonts w:eastAsia="Times New Roman" w:cs="Times New Roman"/>
                <w:szCs w:val="19"/>
                <w:lang w:val="en-GB" w:eastAsia="pl-PL"/>
              </w:rPr>
              <w:t>with climatic corrections</w:t>
            </w:r>
          </w:p>
        </w:tc>
        <w:tc>
          <w:tcPr>
            <w:tcW w:w="1464" w:type="dxa"/>
            <w:shd w:val="clear" w:color="auto" w:fill="auto"/>
            <w:vAlign w:val="center"/>
          </w:tcPr>
          <w:p w14:paraId="1D9203AF" w14:textId="77777777" w:rsidR="00444C85" w:rsidRPr="00EA5525" w:rsidRDefault="00444C85" w:rsidP="001F31CA">
            <w:pPr>
              <w:jc w:val="right"/>
            </w:pPr>
            <w:r>
              <w:rPr>
                <w:rFonts w:cs="Calibri"/>
                <w:color w:val="000000"/>
                <w:szCs w:val="19"/>
              </w:rPr>
              <w:t>-3,26</w:t>
            </w:r>
          </w:p>
        </w:tc>
        <w:tc>
          <w:tcPr>
            <w:tcW w:w="1465" w:type="dxa"/>
            <w:shd w:val="clear" w:color="auto" w:fill="auto"/>
            <w:vAlign w:val="center"/>
          </w:tcPr>
          <w:p w14:paraId="05A40D92" w14:textId="77777777" w:rsidR="00444C85" w:rsidRPr="00EA5525" w:rsidRDefault="00444C85" w:rsidP="001F31CA">
            <w:pPr>
              <w:jc w:val="right"/>
            </w:pPr>
            <w:r>
              <w:rPr>
                <w:rFonts w:cs="Calibri"/>
                <w:color w:val="000000"/>
                <w:szCs w:val="19"/>
              </w:rPr>
              <w:t>0,07</w:t>
            </w:r>
          </w:p>
        </w:tc>
        <w:tc>
          <w:tcPr>
            <w:tcW w:w="1465" w:type="dxa"/>
            <w:shd w:val="clear" w:color="auto" w:fill="auto"/>
            <w:vAlign w:val="center"/>
          </w:tcPr>
          <w:p w14:paraId="01A947F9" w14:textId="77777777" w:rsidR="00444C85" w:rsidRDefault="00444C85" w:rsidP="001F31CA">
            <w:pPr>
              <w:jc w:val="right"/>
            </w:pPr>
            <w:r>
              <w:rPr>
                <w:rFonts w:cs="Calibri"/>
                <w:color w:val="000000"/>
                <w:szCs w:val="19"/>
              </w:rPr>
              <w:t>-1,61</w:t>
            </w:r>
          </w:p>
        </w:tc>
      </w:tr>
    </w:tbl>
    <w:p w14:paraId="03763E60" w14:textId="77777777" w:rsidR="00444C85" w:rsidRPr="00725275" w:rsidRDefault="00BF3E84" w:rsidP="00444C85">
      <w:pPr>
        <w:pStyle w:val="Nagwek1"/>
        <w:spacing w:before="360" w:line="240" w:lineRule="auto"/>
        <w:rPr>
          <w:rFonts w:ascii="Fira Sans" w:eastAsia="Times New Roman" w:hAnsi="Fira Sans" w:cs="Times New Roman"/>
          <w:b/>
          <w:bCs/>
          <w:color w:val="001D77"/>
          <w:sz w:val="19"/>
          <w:szCs w:val="19"/>
          <w:lang w:val="en-GB" w:eastAsia="pl-PL"/>
        </w:rPr>
      </w:pPr>
      <w:r w:rsidRPr="00725275">
        <w:rPr>
          <w:rFonts w:ascii="Fira Sans" w:eastAsia="Times New Roman" w:hAnsi="Fira Sans" w:cs="Times New Roman"/>
          <w:b/>
          <w:bCs/>
          <w:color w:val="001D77"/>
          <w:sz w:val="19"/>
          <w:szCs w:val="19"/>
          <w:lang w:val="en-GB" w:eastAsia="pl-PL"/>
        </w:rPr>
        <w:t>Households</w:t>
      </w:r>
    </w:p>
    <w:p w14:paraId="63F42488" w14:textId="77777777" w:rsidR="000B6CFF" w:rsidRDefault="00BF3E84" w:rsidP="00DE10D5">
      <w:pPr>
        <w:spacing w:line="312" w:lineRule="auto"/>
        <w:rPr>
          <w:rFonts w:eastAsia="Times New Roman" w:cs="Times New Roman"/>
          <w:szCs w:val="19"/>
          <w:lang w:val="en-GB" w:eastAsia="pl-PL"/>
        </w:rPr>
      </w:pPr>
      <w:r>
        <w:rPr>
          <w:rFonts w:eastAsia="Times New Roman" w:cs="Times New Roman"/>
          <w:szCs w:val="19"/>
          <w:lang w:val="en-GB" w:eastAsia="pl-PL"/>
        </w:rPr>
        <w:t>I</w:t>
      </w:r>
      <w:r w:rsidRPr="00BF3E84">
        <w:rPr>
          <w:rFonts w:eastAsia="Times New Roman" w:cs="Times New Roman"/>
          <w:szCs w:val="19"/>
          <w:lang w:val="en-GB" w:eastAsia="pl-PL"/>
        </w:rPr>
        <w:t>n 2021</w:t>
      </w:r>
      <w:r>
        <w:rPr>
          <w:rFonts w:eastAsia="Times New Roman" w:cs="Times New Roman"/>
          <w:szCs w:val="19"/>
          <w:lang w:val="en-GB" w:eastAsia="pl-PL"/>
        </w:rPr>
        <w:t xml:space="preserve"> h</w:t>
      </w:r>
      <w:r w:rsidRPr="00BF3E84">
        <w:rPr>
          <w:rFonts w:eastAsia="Times New Roman" w:cs="Times New Roman"/>
          <w:szCs w:val="19"/>
          <w:lang w:val="en-GB" w:eastAsia="pl-PL"/>
        </w:rPr>
        <w:t xml:space="preserve">ousehold energy consumption accounted for 20.2% of final energy consumption. </w:t>
      </w:r>
      <w:r w:rsidR="00532D1B" w:rsidRPr="00532D1B">
        <w:rPr>
          <w:rFonts w:eastAsia="Times New Roman" w:cs="Times New Roman"/>
          <w:szCs w:val="19"/>
          <w:lang w:val="en-GB" w:eastAsia="pl-PL"/>
        </w:rPr>
        <w:t xml:space="preserve">The most commonly consumed energy carrier was </w:t>
      </w:r>
      <w:r w:rsidR="000B6CFF">
        <w:rPr>
          <w:rFonts w:eastAsia="Times New Roman" w:cs="Times New Roman"/>
          <w:szCs w:val="19"/>
          <w:lang w:val="en-GB" w:eastAsia="pl-PL"/>
        </w:rPr>
        <w:t>solid fossil fuels</w:t>
      </w:r>
      <w:r w:rsidR="00532D1B" w:rsidRPr="00532D1B">
        <w:rPr>
          <w:rFonts w:eastAsia="Times New Roman" w:cs="Times New Roman"/>
          <w:szCs w:val="19"/>
          <w:lang w:val="en-GB" w:eastAsia="pl-PL"/>
        </w:rPr>
        <w:t xml:space="preserve"> with a share of 21.9% in 2021. This was followed </w:t>
      </w:r>
      <w:r w:rsidR="000B6CFF" w:rsidRPr="000B6CFF">
        <w:rPr>
          <w:rFonts w:eastAsia="Times New Roman" w:cs="Times New Roman"/>
          <w:szCs w:val="19"/>
          <w:lang w:val="en-GB" w:eastAsia="pl-PL"/>
        </w:rPr>
        <w:t>by natural gas (20.6%), heat (18.3%) electricity (11.9%) liquid fuels (2.8%). The consumption of other energy carriers, which included solid biofuels and ambient heat, was 24.4%.</w:t>
      </w:r>
      <w:r w:rsidR="000B6CFF">
        <w:rPr>
          <w:rFonts w:eastAsia="Times New Roman" w:cs="Times New Roman"/>
          <w:szCs w:val="19"/>
          <w:lang w:val="en-GB" w:eastAsia="pl-PL"/>
        </w:rPr>
        <w:t xml:space="preserve"> </w:t>
      </w:r>
      <w:r w:rsidR="000B6CFF" w:rsidRPr="000B6CFF">
        <w:rPr>
          <w:rFonts w:eastAsia="Times New Roman" w:cs="Times New Roman"/>
          <w:szCs w:val="19"/>
          <w:lang w:val="en-GB" w:eastAsia="pl-PL"/>
        </w:rPr>
        <w:t xml:space="preserve">The consumption of other energy carriers, which included solid biofuels and ambient heat, </w:t>
      </w:r>
      <w:r w:rsidR="000B6CFF">
        <w:rPr>
          <w:rFonts w:eastAsia="Times New Roman" w:cs="Times New Roman"/>
          <w:szCs w:val="19"/>
          <w:lang w:val="en-GB" w:eastAsia="pl-PL"/>
        </w:rPr>
        <w:t>amounted to</w:t>
      </w:r>
      <w:r w:rsidR="000B6CFF" w:rsidRPr="000B6CFF">
        <w:rPr>
          <w:rFonts w:eastAsia="Times New Roman" w:cs="Times New Roman"/>
          <w:szCs w:val="19"/>
          <w:lang w:val="en-GB" w:eastAsia="pl-PL"/>
        </w:rPr>
        <w:t xml:space="preserve"> 24.4%.</w:t>
      </w:r>
      <w:r w:rsidR="000B6CFF">
        <w:rPr>
          <w:rFonts w:eastAsia="Times New Roman" w:cs="Times New Roman"/>
          <w:szCs w:val="19"/>
          <w:lang w:val="en-GB" w:eastAsia="pl-PL"/>
        </w:rPr>
        <w:t xml:space="preserve"> </w:t>
      </w:r>
    </w:p>
    <w:p w14:paraId="6A439A66" w14:textId="087DFA33" w:rsidR="00444C85" w:rsidRDefault="00BF3E84" w:rsidP="00DE10D5">
      <w:pPr>
        <w:spacing w:line="312" w:lineRule="auto"/>
        <w:rPr>
          <w:rFonts w:eastAsia="Times New Roman" w:cs="Times New Roman"/>
          <w:szCs w:val="19"/>
          <w:lang w:val="en-GB" w:eastAsia="pl-PL"/>
        </w:rPr>
      </w:pPr>
      <w:r w:rsidRPr="00BF3E84">
        <w:rPr>
          <w:rFonts w:eastAsia="Times New Roman" w:cs="Times New Roman"/>
          <w:szCs w:val="19"/>
          <w:lang w:val="en-GB" w:eastAsia="pl-PL"/>
        </w:rPr>
        <w:t xml:space="preserve">The most important direction of energy use was space heating, with a 65.4% share in 2021. Water heating consumed 17.1% of energy, lighting and electrical appliances 9.2% and </w:t>
      </w:r>
      <w:r>
        <w:rPr>
          <w:rFonts w:eastAsia="Times New Roman" w:cs="Times New Roman"/>
          <w:szCs w:val="19"/>
          <w:lang w:val="en-GB" w:eastAsia="pl-PL"/>
        </w:rPr>
        <w:t>preparing meals</w:t>
      </w:r>
      <w:r w:rsidRPr="00BF3E84">
        <w:rPr>
          <w:rFonts w:eastAsia="Times New Roman" w:cs="Times New Roman"/>
          <w:szCs w:val="19"/>
          <w:lang w:val="en-GB" w:eastAsia="pl-PL"/>
        </w:rPr>
        <w:t xml:space="preserve"> 8.3%.</w:t>
      </w:r>
    </w:p>
    <w:p w14:paraId="3E873DBB" w14:textId="6E966D52" w:rsidR="00B43482" w:rsidRPr="003A689B" w:rsidRDefault="007B41CA" w:rsidP="00DE10D5">
      <w:pPr>
        <w:spacing w:before="360" w:line="240" w:lineRule="auto"/>
        <w:ind w:left="709" w:hanging="709"/>
        <w:rPr>
          <w:b/>
          <w:bCs/>
          <w:szCs w:val="19"/>
          <w:lang w:val="en-GB"/>
        </w:rPr>
      </w:pPr>
      <w:r w:rsidRPr="003125C5">
        <w:rPr>
          <w:b/>
          <w:noProof/>
          <w:spacing w:val="-2"/>
          <w:szCs w:val="19"/>
          <w:lang w:eastAsia="pl-PL"/>
        </w:rPr>
        <mc:AlternateContent>
          <mc:Choice Requires="wps">
            <w:drawing>
              <wp:anchor distT="45720" distB="45720" distL="114300" distR="114300" simplePos="0" relativeHeight="251671552" behindDoc="1" locked="0" layoutInCell="1" allowOverlap="1" wp14:anchorId="5B646CD0" wp14:editId="28AABD3A">
                <wp:simplePos x="0" y="0"/>
                <wp:positionH relativeFrom="column">
                  <wp:posOffset>5229860</wp:posOffset>
                </wp:positionH>
                <wp:positionV relativeFrom="paragraph">
                  <wp:posOffset>427355</wp:posOffset>
                </wp:positionV>
                <wp:extent cx="1796415" cy="644525"/>
                <wp:effectExtent l="0" t="0" r="0" b="3175"/>
                <wp:wrapTight wrapText="bothSides">
                  <wp:wrapPolygon edited="0">
                    <wp:start x="687" y="0"/>
                    <wp:lineTo x="687" y="21068"/>
                    <wp:lineTo x="20844" y="21068"/>
                    <wp:lineTo x="20844" y="0"/>
                    <wp:lineTo x="687" y="0"/>
                  </wp:wrapPolygon>
                </wp:wrapTight>
                <wp:docPr id="24" name="Pole tekstowe 24" descr="In 2021 space heating accounted for 65.4% of energy consumed by households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6415" cy="644525"/>
                        </a:xfrm>
                        <a:prstGeom prst="rect">
                          <a:avLst/>
                        </a:prstGeom>
                        <a:noFill/>
                        <a:ln w="9525">
                          <a:noFill/>
                          <a:miter lim="800000"/>
                          <a:headEnd/>
                          <a:tailEnd/>
                        </a:ln>
                      </wps:spPr>
                      <wps:txbx>
                        <w:txbxContent>
                          <w:p w14:paraId="7B72875B" w14:textId="77777777" w:rsidR="00F82D71" w:rsidRPr="00F82D71" w:rsidRDefault="00F82D71" w:rsidP="007B41CA">
                            <w:pPr>
                              <w:spacing w:before="0" w:after="0"/>
                              <w:rPr>
                                <w:rFonts w:eastAsia="Times New Roman" w:cs="Times New Roman"/>
                                <w:bCs/>
                                <w:color w:val="001D77"/>
                                <w:sz w:val="18"/>
                                <w:szCs w:val="18"/>
                                <w:lang w:val="en-GB" w:eastAsia="pl-PL"/>
                              </w:rPr>
                            </w:pPr>
                            <w:r w:rsidRPr="00F82D71">
                              <w:rPr>
                                <w:rFonts w:eastAsia="Times New Roman" w:cs="Times New Roman"/>
                                <w:bCs/>
                                <w:color w:val="001D77"/>
                                <w:sz w:val="18"/>
                                <w:szCs w:val="18"/>
                                <w:lang w:val="en-GB" w:eastAsia="pl-PL"/>
                              </w:rPr>
                              <w:t>In 2021 space heating</w:t>
                            </w:r>
                            <w:r>
                              <w:rPr>
                                <w:rFonts w:eastAsia="Times New Roman" w:cs="Times New Roman"/>
                                <w:bCs/>
                                <w:color w:val="001D77"/>
                                <w:sz w:val="18"/>
                                <w:szCs w:val="18"/>
                                <w:lang w:val="en-GB" w:eastAsia="pl-PL"/>
                              </w:rPr>
                              <w:t xml:space="preserve"> accounted for</w:t>
                            </w:r>
                            <w:r w:rsidRPr="00F82D71">
                              <w:rPr>
                                <w:rFonts w:eastAsia="Times New Roman" w:cs="Times New Roman"/>
                                <w:bCs/>
                                <w:color w:val="001D77"/>
                                <w:sz w:val="18"/>
                                <w:szCs w:val="18"/>
                                <w:lang w:val="en-GB" w:eastAsia="pl-PL"/>
                              </w:rPr>
                              <w:t xml:space="preserve"> 65.4% of energy consumed by households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646CD0" id="Pole tekstowe 24" o:spid="_x0000_s1028" type="#_x0000_t202" alt="In 2021 space heating accounted for 65.4% of energy consumed by households " style="position:absolute;left:0;text-align:left;margin-left:411.8pt;margin-top:33.65pt;width:141.45pt;height:50.75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" filled="f" stroked="f">
                <v:textbox>
                  <w:txbxContent>
                    <w:p w14:paraId="7B72875B" w14:textId="77777777" w:rsidR="00F82D71" w:rsidRPr="00F82D71" w:rsidRDefault="00F82D71" w:rsidP="007B41CA">
                      <w:pPr>
                        <w:spacing w:before="0" w:after="0"/>
                        <w:rPr>
                          <w:rFonts w:eastAsia="Times New Roman" w:cs="Times New Roman"/>
                          <w:bCs/>
                          <w:color w:val="001D77"/>
                          <w:sz w:val="18"/>
                          <w:szCs w:val="18"/>
                          <w:lang w:val="en-GB" w:eastAsia="pl-PL"/>
                        </w:rPr>
                      </w:pPr>
                      <w:r w:rsidRPr="00F82D71">
                        <w:rPr>
                          <w:rFonts w:eastAsia="Times New Roman" w:cs="Times New Roman"/>
                          <w:bCs/>
                          <w:color w:val="001D77"/>
                          <w:sz w:val="18"/>
                          <w:szCs w:val="18"/>
                          <w:lang w:val="en-GB" w:eastAsia="pl-PL"/>
                        </w:rPr>
                        <w:t>In 2021 space heating</w:t>
                      </w:r>
                      <w:r>
                        <w:rPr>
                          <w:rFonts w:eastAsia="Times New Roman" w:cs="Times New Roman"/>
                          <w:bCs/>
                          <w:color w:val="001D77"/>
                          <w:sz w:val="18"/>
                          <w:szCs w:val="18"/>
                          <w:lang w:val="en-GB" w:eastAsia="pl-PL"/>
                        </w:rPr>
                        <w:t xml:space="preserve"> accounted for</w:t>
                      </w:r>
                      <w:r w:rsidRPr="00F82D71">
                        <w:rPr>
                          <w:rFonts w:eastAsia="Times New Roman" w:cs="Times New Roman"/>
                          <w:bCs/>
                          <w:color w:val="001D77"/>
                          <w:sz w:val="18"/>
                          <w:szCs w:val="18"/>
                          <w:lang w:val="en-GB" w:eastAsia="pl-PL"/>
                        </w:rPr>
                        <w:t xml:space="preserve"> 65.4% of energy consumed by households </w:t>
                      </w:r>
                    </w:p>
                  </w:txbxContent>
                </v:textbox>
                <w10:wrap type="tight"/>
              </v:shape>
            </w:pict>
          </mc:Fallback>
        </mc:AlternateContent>
      </w:r>
      <w:r w:rsidR="00B43482" w:rsidRPr="003A689B">
        <w:rPr>
          <w:b/>
          <w:spacing w:val="-2"/>
          <w:szCs w:val="19"/>
          <w:lang w:val="en-GB"/>
        </w:rPr>
        <w:t xml:space="preserve">Table </w:t>
      </w:r>
      <w:r w:rsidR="00DE10D5">
        <w:rPr>
          <w:b/>
          <w:spacing w:val="-2"/>
          <w:szCs w:val="19"/>
          <w:lang w:val="en-GB"/>
        </w:rPr>
        <w:t>2</w:t>
      </w:r>
      <w:r w:rsidR="00B43482" w:rsidRPr="003A689B">
        <w:rPr>
          <w:b/>
          <w:spacing w:val="-2"/>
          <w:szCs w:val="19"/>
          <w:lang w:val="en-GB"/>
        </w:rPr>
        <w:t xml:space="preserve">. </w:t>
      </w:r>
      <w:r w:rsidR="00B43482" w:rsidRPr="003A689B">
        <w:rPr>
          <w:b/>
          <w:bCs/>
          <w:szCs w:val="19"/>
          <w:lang w:val="en-GB"/>
        </w:rPr>
        <w:t>Structure of energy consumption in households by directions of use</w:t>
      </w:r>
      <w:r w:rsidR="000B6CFF">
        <w:rPr>
          <w:b/>
          <w:bCs/>
          <w:szCs w:val="19"/>
          <w:lang w:val="en-GB"/>
        </w:rPr>
        <w:t xml:space="preserve"> </w:t>
      </w:r>
      <w:r w:rsidR="00DE10D5">
        <w:rPr>
          <w:b/>
          <w:bCs/>
          <w:szCs w:val="19"/>
          <w:lang w:val="en-GB"/>
        </w:rPr>
        <w:br/>
      </w:r>
      <w:r w:rsidR="000B6CFF">
        <w:rPr>
          <w:b/>
          <w:bCs/>
          <w:szCs w:val="19"/>
          <w:lang w:val="en-GB"/>
        </w:rPr>
        <w:t>in 2016-2021</w:t>
      </w:r>
      <w:r w:rsidR="00B43482" w:rsidRPr="003A689B">
        <w:rPr>
          <w:b/>
          <w:bCs/>
          <w:szCs w:val="19"/>
          <w:lang w:val="en-GB"/>
        </w:rPr>
        <w:t xml:space="preserve"> (%)</w:t>
      </w:r>
    </w:p>
    <w:tbl>
      <w:tblPr>
        <w:tblpPr w:leftFromText="141" w:rightFromText="141" w:vertAnchor="text" w:horzAnchor="margin" w:tblpY="35"/>
        <w:tblW w:w="8082" w:type="dxa"/>
        <w:tblBorders>
          <w:top w:val="single" w:sz="4" w:space="0" w:color="1F4E79"/>
          <w:insideH w:val="single" w:sz="4" w:space="0" w:color="1F4E79"/>
          <w:insideV w:val="single" w:sz="4" w:space="0" w:color="1F4E79"/>
        </w:tblBorders>
        <w:tblLayout w:type="fixed"/>
        <w:tblCellMar>
          <w:left w:w="70" w:type="dxa"/>
          <w:right w:w="70" w:type="dxa"/>
        </w:tblCellMar>
        <w:tblLook w:val="0000" w:firstRow="0" w:lastRow="0" w:firstColumn="0" w:lastColumn="0" w:noHBand="0" w:noVBand="0"/>
        <w:tblCaption w:val="Table 2. Structure of energy consumption in households by directions of use (in %)"/>
        <w:tblDescription w:val="The table shows the structure of household energy consumption by use between 2016 and 2021 (in %). Data for the table is provided in the attached excel file."/>
      </w:tblPr>
      <w:tblGrid>
        <w:gridCol w:w="2552"/>
        <w:gridCol w:w="922"/>
        <w:gridCol w:w="921"/>
        <w:gridCol w:w="921"/>
        <w:gridCol w:w="922"/>
        <w:gridCol w:w="922"/>
        <w:gridCol w:w="922"/>
      </w:tblGrid>
      <w:tr w:rsidR="007B41CA" w:rsidRPr="00600BCF" w14:paraId="1DA60F81" w14:textId="77777777" w:rsidTr="001F31CA">
        <w:tc>
          <w:tcPr>
            <w:tcW w:w="2552" w:type="dxa"/>
          </w:tcPr>
          <w:p w14:paraId="65580061" w14:textId="77777777" w:rsidR="007B41CA" w:rsidRPr="002837F4" w:rsidRDefault="00B43482" w:rsidP="00B43482">
            <w:pPr>
              <w:jc w:val="center"/>
            </w:pPr>
            <w:proofErr w:type="spellStart"/>
            <w:r>
              <w:t>Specification</w:t>
            </w:r>
            <w:proofErr w:type="spellEnd"/>
          </w:p>
        </w:tc>
        <w:tc>
          <w:tcPr>
            <w:tcW w:w="922" w:type="dxa"/>
            <w:shd w:val="clear" w:color="auto" w:fill="auto"/>
            <w:vAlign w:val="center"/>
          </w:tcPr>
          <w:p w14:paraId="7C137415" w14:textId="77777777" w:rsidR="007B41CA" w:rsidRPr="001E7A9E" w:rsidRDefault="007B41CA" w:rsidP="001F31CA">
            <w:pPr>
              <w:jc w:val="center"/>
            </w:pPr>
            <w:r>
              <w:rPr>
                <w:rFonts w:cs="Calibri"/>
                <w:color w:val="000000"/>
                <w:szCs w:val="19"/>
              </w:rPr>
              <w:t>2016</w:t>
            </w:r>
          </w:p>
        </w:tc>
        <w:tc>
          <w:tcPr>
            <w:tcW w:w="921" w:type="dxa"/>
            <w:shd w:val="clear" w:color="auto" w:fill="auto"/>
            <w:vAlign w:val="center"/>
          </w:tcPr>
          <w:p w14:paraId="11594A95" w14:textId="77777777" w:rsidR="007B41CA" w:rsidRPr="001E7A9E" w:rsidRDefault="007B41CA" w:rsidP="001F31CA">
            <w:pPr>
              <w:jc w:val="center"/>
            </w:pPr>
            <w:r>
              <w:rPr>
                <w:rFonts w:cs="Calibri"/>
                <w:color w:val="000000"/>
                <w:szCs w:val="19"/>
              </w:rPr>
              <w:t>2017</w:t>
            </w:r>
          </w:p>
        </w:tc>
        <w:tc>
          <w:tcPr>
            <w:tcW w:w="921" w:type="dxa"/>
            <w:shd w:val="clear" w:color="auto" w:fill="auto"/>
            <w:vAlign w:val="center"/>
          </w:tcPr>
          <w:p w14:paraId="298F00D6" w14:textId="77777777" w:rsidR="007B41CA" w:rsidRPr="001E7A9E" w:rsidRDefault="007B41CA" w:rsidP="001F31CA">
            <w:pPr>
              <w:jc w:val="center"/>
            </w:pPr>
            <w:r>
              <w:rPr>
                <w:rFonts w:cs="Calibri"/>
                <w:color w:val="000000"/>
                <w:szCs w:val="19"/>
              </w:rPr>
              <w:t>2018</w:t>
            </w:r>
          </w:p>
        </w:tc>
        <w:tc>
          <w:tcPr>
            <w:tcW w:w="922" w:type="dxa"/>
            <w:shd w:val="clear" w:color="auto" w:fill="auto"/>
            <w:vAlign w:val="center"/>
          </w:tcPr>
          <w:p w14:paraId="6E1FC8E3" w14:textId="77777777" w:rsidR="007B41CA" w:rsidRPr="001E7A9E" w:rsidRDefault="007B41CA" w:rsidP="001F31CA">
            <w:pPr>
              <w:jc w:val="center"/>
            </w:pPr>
            <w:r>
              <w:rPr>
                <w:rFonts w:cs="Calibri"/>
                <w:color w:val="000000"/>
                <w:szCs w:val="19"/>
              </w:rPr>
              <w:t>2019</w:t>
            </w:r>
          </w:p>
        </w:tc>
        <w:tc>
          <w:tcPr>
            <w:tcW w:w="922" w:type="dxa"/>
            <w:shd w:val="clear" w:color="auto" w:fill="auto"/>
            <w:vAlign w:val="center"/>
          </w:tcPr>
          <w:p w14:paraId="546AA0AD" w14:textId="77777777" w:rsidR="007B41CA" w:rsidRPr="001E7A9E" w:rsidRDefault="007B41CA" w:rsidP="001F31CA">
            <w:pPr>
              <w:jc w:val="center"/>
            </w:pPr>
            <w:r>
              <w:rPr>
                <w:rFonts w:cs="Calibri"/>
                <w:color w:val="000000"/>
                <w:szCs w:val="19"/>
              </w:rPr>
              <w:t>2020</w:t>
            </w:r>
          </w:p>
        </w:tc>
        <w:tc>
          <w:tcPr>
            <w:tcW w:w="922" w:type="dxa"/>
            <w:shd w:val="clear" w:color="auto" w:fill="auto"/>
            <w:vAlign w:val="center"/>
          </w:tcPr>
          <w:p w14:paraId="19A30290" w14:textId="77777777" w:rsidR="007B41CA" w:rsidRPr="008E715D" w:rsidRDefault="007B41CA" w:rsidP="001F31CA">
            <w:pPr>
              <w:jc w:val="center"/>
            </w:pPr>
            <w:r>
              <w:rPr>
                <w:rFonts w:cs="Calibri"/>
                <w:color w:val="000000"/>
                <w:szCs w:val="19"/>
              </w:rPr>
              <w:t>2021</w:t>
            </w:r>
          </w:p>
        </w:tc>
      </w:tr>
      <w:tr w:rsidR="007B41CA" w:rsidRPr="00600BCF" w14:paraId="12DFE33B" w14:textId="77777777" w:rsidTr="001F31CA">
        <w:tc>
          <w:tcPr>
            <w:tcW w:w="2552" w:type="dxa"/>
          </w:tcPr>
          <w:p w14:paraId="06AD7C64" w14:textId="77777777" w:rsidR="007B41CA" w:rsidRPr="00600BCF" w:rsidRDefault="00AD23D7" w:rsidP="001F31CA">
            <w:pPr>
              <w:jc w:val="both"/>
            </w:pPr>
            <w:r>
              <w:t>Total</w:t>
            </w:r>
          </w:p>
        </w:tc>
        <w:tc>
          <w:tcPr>
            <w:tcW w:w="922" w:type="dxa"/>
            <w:shd w:val="clear" w:color="auto" w:fill="auto"/>
            <w:vAlign w:val="center"/>
          </w:tcPr>
          <w:p w14:paraId="4889C877" w14:textId="11594F9B" w:rsidR="007B41CA" w:rsidRPr="001E7A9E" w:rsidRDefault="007B41CA" w:rsidP="001F31CA">
            <w:pPr>
              <w:jc w:val="right"/>
            </w:pPr>
            <w:r>
              <w:rPr>
                <w:rFonts w:cs="Calibri"/>
                <w:color w:val="000000"/>
                <w:szCs w:val="19"/>
              </w:rPr>
              <w:t>100</w:t>
            </w:r>
            <w:r w:rsidR="00CB0D0E">
              <w:rPr>
                <w:rFonts w:cs="Calibri"/>
                <w:color w:val="000000"/>
                <w:szCs w:val="19"/>
              </w:rPr>
              <w:t>.</w:t>
            </w:r>
            <w:r>
              <w:rPr>
                <w:rFonts w:cs="Calibri"/>
                <w:color w:val="000000"/>
                <w:szCs w:val="19"/>
              </w:rPr>
              <w:t>0</w:t>
            </w:r>
          </w:p>
        </w:tc>
        <w:tc>
          <w:tcPr>
            <w:tcW w:w="921" w:type="dxa"/>
            <w:shd w:val="clear" w:color="auto" w:fill="auto"/>
            <w:vAlign w:val="center"/>
          </w:tcPr>
          <w:p w14:paraId="68DC69A6" w14:textId="16387097" w:rsidR="007B41CA" w:rsidRPr="001E7A9E" w:rsidRDefault="007B41CA" w:rsidP="001F31CA">
            <w:pPr>
              <w:jc w:val="right"/>
            </w:pPr>
            <w:r>
              <w:rPr>
                <w:rFonts w:cs="Calibri"/>
                <w:color w:val="000000"/>
                <w:szCs w:val="19"/>
              </w:rPr>
              <w:t>100</w:t>
            </w:r>
            <w:r w:rsidR="00CB0D0E">
              <w:rPr>
                <w:rFonts w:cs="Calibri"/>
                <w:color w:val="000000"/>
                <w:szCs w:val="19"/>
              </w:rPr>
              <w:t>.</w:t>
            </w:r>
            <w:r>
              <w:rPr>
                <w:rFonts w:cs="Calibri"/>
                <w:color w:val="000000"/>
                <w:szCs w:val="19"/>
              </w:rPr>
              <w:t>0</w:t>
            </w:r>
          </w:p>
        </w:tc>
        <w:tc>
          <w:tcPr>
            <w:tcW w:w="921" w:type="dxa"/>
            <w:shd w:val="clear" w:color="auto" w:fill="auto"/>
            <w:vAlign w:val="center"/>
          </w:tcPr>
          <w:p w14:paraId="6ACDFF23" w14:textId="64C58743" w:rsidR="007B41CA" w:rsidRPr="001E7A9E" w:rsidRDefault="007B41CA" w:rsidP="001F31CA">
            <w:pPr>
              <w:jc w:val="right"/>
            </w:pPr>
            <w:r>
              <w:rPr>
                <w:rFonts w:cs="Calibri"/>
                <w:color w:val="000000"/>
                <w:szCs w:val="19"/>
              </w:rPr>
              <w:t>100</w:t>
            </w:r>
            <w:r w:rsidR="00CB0D0E">
              <w:rPr>
                <w:rFonts w:cs="Calibri"/>
                <w:color w:val="000000"/>
                <w:szCs w:val="19"/>
              </w:rPr>
              <w:t>.</w:t>
            </w:r>
            <w:r>
              <w:rPr>
                <w:rFonts w:cs="Calibri"/>
                <w:color w:val="000000"/>
                <w:szCs w:val="19"/>
              </w:rPr>
              <w:t>0</w:t>
            </w:r>
          </w:p>
        </w:tc>
        <w:tc>
          <w:tcPr>
            <w:tcW w:w="922" w:type="dxa"/>
            <w:shd w:val="clear" w:color="auto" w:fill="auto"/>
            <w:vAlign w:val="center"/>
          </w:tcPr>
          <w:p w14:paraId="7BC1C8E3" w14:textId="73B35F2F" w:rsidR="007B41CA" w:rsidRPr="001E7A9E" w:rsidRDefault="007B41CA" w:rsidP="001F31CA">
            <w:pPr>
              <w:jc w:val="right"/>
            </w:pPr>
            <w:r>
              <w:rPr>
                <w:rFonts w:cs="Calibri"/>
                <w:color w:val="000000"/>
                <w:szCs w:val="19"/>
              </w:rPr>
              <w:t>100</w:t>
            </w:r>
            <w:r w:rsidR="00CB0D0E">
              <w:rPr>
                <w:rFonts w:cs="Calibri"/>
                <w:color w:val="000000"/>
                <w:szCs w:val="19"/>
              </w:rPr>
              <w:t>.</w:t>
            </w:r>
            <w:r>
              <w:rPr>
                <w:rFonts w:cs="Calibri"/>
                <w:color w:val="000000"/>
                <w:szCs w:val="19"/>
              </w:rPr>
              <w:t>0</w:t>
            </w:r>
          </w:p>
        </w:tc>
        <w:tc>
          <w:tcPr>
            <w:tcW w:w="922" w:type="dxa"/>
            <w:shd w:val="clear" w:color="auto" w:fill="auto"/>
            <w:vAlign w:val="center"/>
          </w:tcPr>
          <w:p w14:paraId="5444B150" w14:textId="0EE6438B" w:rsidR="007B41CA" w:rsidRPr="001E7A9E" w:rsidRDefault="007B41CA" w:rsidP="001F31CA">
            <w:pPr>
              <w:jc w:val="right"/>
            </w:pPr>
            <w:r>
              <w:rPr>
                <w:rFonts w:cs="Calibri"/>
                <w:color w:val="000000"/>
                <w:szCs w:val="19"/>
              </w:rPr>
              <w:t>100</w:t>
            </w:r>
            <w:r w:rsidR="00CB0D0E">
              <w:rPr>
                <w:rFonts w:cs="Calibri"/>
                <w:color w:val="000000"/>
                <w:szCs w:val="19"/>
              </w:rPr>
              <w:t>.</w:t>
            </w:r>
            <w:r>
              <w:rPr>
                <w:rFonts w:cs="Calibri"/>
                <w:color w:val="000000"/>
                <w:szCs w:val="19"/>
              </w:rPr>
              <w:t>0</w:t>
            </w:r>
          </w:p>
        </w:tc>
        <w:tc>
          <w:tcPr>
            <w:tcW w:w="922" w:type="dxa"/>
            <w:shd w:val="clear" w:color="auto" w:fill="auto"/>
            <w:vAlign w:val="center"/>
          </w:tcPr>
          <w:p w14:paraId="6A5325D9" w14:textId="20F65942" w:rsidR="007B41CA" w:rsidRPr="008E715D" w:rsidRDefault="007B41CA" w:rsidP="001F31CA">
            <w:pPr>
              <w:jc w:val="right"/>
            </w:pPr>
            <w:r>
              <w:rPr>
                <w:rFonts w:cs="Calibri"/>
                <w:color w:val="000000"/>
                <w:szCs w:val="19"/>
              </w:rPr>
              <w:t>100</w:t>
            </w:r>
            <w:r w:rsidR="00CB0D0E">
              <w:rPr>
                <w:rFonts w:cs="Calibri"/>
                <w:color w:val="000000"/>
                <w:szCs w:val="19"/>
              </w:rPr>
              <w:t>.</w:t>
            </w:r>
            <w:r>
              <w:rPr>
                <w:rFonts w:cs="Calibri"/>
                <w:color w:val="000000"/>
                <w:szCs w:val="19"/>
              </w:rPr>
              <w:t>0</w:t>
            </w:r>
          </w:p>
        </w:tc>
      </w:tr>
      <w:tr w:rsidR="007B41CA" w:rsidRPr="00600BCF" w14:paraId="0187C8D5" w14:textId="77777777" w:rsidTr="001F31CA">
        <w:tc>
          <w:tcPr>
            <w:tcW w:w="2552" w:type="dxa"/>
          </w:tcPr>
          <w:p w14:paraId="321D0967" w14:textId="77777777" w:rsidR="007B41CA" w:rsidRPr="00600BCF" w:rsidRDefault="00AD23D7" w:rsidP="001F31CA">
            <w:pPr>
              <w:jc w:val="both"/>
            </w:pPr>
            <w:r>
              <w:t>Space heating</w:t>
            </w:r>
          </w:p>
        </w:tc>
        <w:tc>
          <w:tcPr>
            <w:tcW w:w="922" w:type="dxa"/>
            <w:shd w:val="clear" w:color="auto" w:fill="auto"/>
            <w:vAlign w:val="center"/>
          </w:tcPr>
          <w:p w14:paraId="1EFE8C63" w14:textId="4C53AB21" w:rsidR="007B41CA" w:rsidRPr="001E7A9E" w:rsidRDefault="007B41CA" w:rsidP="001F31CA">
            <w:pPr>
              <w:jc w:val="right"/>
            </w:pPr>
            <w:r>
              <w:rPr>
                <w:rFonts w:cs="Calibri"/>
                <w:color w:val="000000"/>
                <w:szCs w:val="19"/>
              </w:rPr>
              <w:t>66</w:t>
            </w:r>
            <w:r w:rsidR="00CB0D0E">
              <w:rPr>
                <w:rFonts w:cs="Calibri"/>
                <w:color w:val="000000"/>
                <w:szCs w:val="19"/>
              </w:rPr>
              <w:t>.</w:t>
            </w:r>
            <w:r>
              <w:rPr>
                <w:rFonts w:cs="Calibri"/>
                <w:color w:val="000000"/>
                <w:szCs w:val="19"/>
              </w:rPr>
              <w:t>5</w:t>
            </w:r>
          </w:p>
        </w:tc>
        <w:tc>
          <w:tcPr>
            <w:tcW w:w="921" w:type="dxa"/>
            <w:shd w:val="clear" w:color="auto" w:fill="auto"/>
            <w:vAlign w:val="center"/>
          </w:tcPr>
          <w:p w14:paraId="265C6EE2" w14:textId="389188F5" w:rsidR="007B41CA" w:rsidRPr="001E7A9E" w:rsidRDefault="007B41CA" w:rsidP="001F31CA">
            <w:pPr>
              <w:jc w:val="right"/>
            </w:pPr>
            <w:r>
              <w:rPr>
                <w:rFonts w:cs="Calibri"/>
                <w:color w:val="000000"/>
                <w:szCs w:val="19"/>
              </w:rPr>
              <w:t>66</w:t>
            </w:r>
            <w:r w:rsidR="00CB0D0E">
              <w:rPr>
                <w:rFonts w:cs="Calibri"/>
                <w:color w:val="000000"/>
                <w:szCs w:val="19"/>
              </w:rPr>
              <w:t>.</w:t>
            </w:r>
            <w:r>
              <w:rPr>
                <w:rFonts w:cs="Calibri"/>
                <w:color w:val="000000"/>
                <w:szCs w:val="19"/>
              </w:rPr>
              <w:t>1</w:t>
            </w:r>
          </w:p>
        </w:tc>
        <w:tc>
          <w:tcPr>
            <w:tcW w:w="921" w:type="dxa"/>
            <w:shd w:val="clear" w:color="auto" w:fill="auto"/>
            <w:vAlign w:val="center"/>
          </w:tcPr>
          <w:p w14:paraId="4316A16D" w14:textId="06D8D40C" w:rsidR="007B41CA" w:rsidRPr="001E7A9E" w:rsidRDefault="007B41CA" w:rsidP="001F31CA">
            <w:pPr>
              <w:jc w:val="right"/>
            </w:pPr>
            <w:r>
              <w:rPr>
                <w:rFonts w:cs="Calibri"/>
                <w:color w:val="000000"/>
                <w:szCs w:val="19"/>
              </w:rPr>
              <w:t>68</w:t>
            </w:r>
            <w:r w:rsidR="00CB0D0E">
              <w:rPr>
                <w:rFonts w:cs="Calibri"/>
                <w:color w:val="000000"/>
                <w:szCs w:val="19"/>
              </w:rPr>
              <w:t>.</w:t>
            </w:r>
            <w:r>
              <w:rPr>
                <w:rFonts w:cs="Calibri"/>
                <w:color w:val="000000"/>
                <w:szCs w:val="19"/>
              </w:rPr>
              <w:t>5</w:t>
            </w:r>
          </w:p>
        </w:tc>
        <w:tc>
          <w:tcPr>
            <w:tcW w:w="922" w:type="dxa"/>
            <w:shd w:val="clear" w:color="auto" w:fill="auto"/>
            <w:vAlign w:val="center"/>
          </w:tcPr>
          <w:p w14:paraId="563BBDD2" w14:textId="38A893F5" w:rsidR="007B41CA" w:rsidRPr="0079206D" w:rsidRDefault="007B41CA" w:rsidP="001F31CA">
            <w:pPr>
              <w:jc w:val="right"/>
            </w:pPr>
            <w:r>
              <w:rPr>
                <w:rFonts w:cs="Calibri"/>
                <w:color w:val="000000"/>
                <w:szCs w:val="19"/>
              </w:rPr>
              <w:t>66</w:t>
            </w:r>
            <w:r w:rsidR="00CB0D0E">
              <w:rPr>
                <w:rFonts w:cs="Calibri"/>
                <w:color w:val="000000"/>
                <w:szCs w:val="19"/>
              </w:rPr>
              <w:t>.</w:t>
            </w:r>
            <w:r>
              <w:rPr>
                <w:rFonts w:cs="Calibri"/>
                <w:color w:val="000000"/>
                <w:szCs w:val="19"/>
              </w:rPr>
              <w:t>4</w:t>
            </w:r>
          </w:p>
        </w:tc>
        <w:tc>
          <w:tcPr>
            <w:tcW w:w="922" w:type="dxa"/>
            <w:shd w:val="clear" w:color="auto" w:fill="auto"/>
            <w:vAlign w:val="center"/>
          </w:tcPr>
          <w:p w14:paraId="4CEDF85B" w14:textId="788425C7" w:rsidR="007B41CA" w:rsidRPr="0079206D" w:rsidRDefault="007B41CA" w:rsidP="001F31CA">
            <w:pPr>
              <w:jc w:val="right"/>
            </w:pPr>
            <w:r>
              <w:rPr>
                <w:rFonts w:cs="Calibri"/>
                <w:color w:val="000000"/>
                <w:szCs w:val="19"/>
              </w:rPr>
              <w:t>66</w:t>
            </w:r>
            <w:r w:rsidR="00CB0D0E">
              <w:rPr>
                <w:rFonts w:cs="Calibri"/>
                <w:color w:val="000000"/>
                <w:szCs w:val="19"/>
              </w:rPr>
              <w:t>.</w:t>
            </w:r>
            <w:r>
              <w:rPr>
                <w:rFonts w:cs="Calibri"/>
                <w:color w:val="000000"/>
                <w:szCs w:val="19"/>
              </w:rPr>
              <w:t>1</w:t>
            </w:r>
          </w:p>
        </w:tc>
        <w:tc>
          <w:tcPr>
            <w:tcW w:w="922" w:type="dxa"/>
            <w:shd w:val="clear" w:color="auto" w:fill="auto"/>
            <w:vAlign w:val="center"/>
          </w:tcPr>
          <w:p w14:paraId="605D9772" w14:textId="77777777" w:rsidR="007B41CA" w:rsidRPr="0079206D" w:rsidRDefault="007B41CA" w:rsidP="001F31CA">
            <w:pPr>
              <w:jc w:val="right"/>
            </w:pPr>
            <w:r>
              <w:rPr>
                <w:rFonts w:cs="Calibri"/>
                <w:color w:val="000000"/>
                <w:szCs w:val="19"/>
              </w:rPr>
              <w:t>65,4</w:t>
            </w:r>
          </w:p>
        </w:tc>
      </w:tr>
      <w:tr w:rsidR="007B41CA" w:rsidRPr="00600BCF" w14:paraId="2036250A" w14:textId="77777777" w:rsidTr="001F31CA">
        <w:tc>
          <w:tcPr>
            <w:tcW w:w="2552" w:type="dxa"/>
          </w:tcPr>
          <w:p w14:paraId="513053BE" w14:textId="77777777" w:rsidR="007B41CA" w:rsidRPr="00600BCF" w:rsidRDefault="00AD23D7" w:rsidP="001F31CA">
            <w:pPr>
              <w:jc w:val="both"/>
            </w:pPr>
            <w:proofErr w:type="spellStart"/>
            <w:r>
              <w:t>Water</w:t>
            </w:r>
            <w:proofErr w:type="spellEnd"/>
            <w:r>
              <w:t xml:space="preserve"> heating</w:t>
            </w:r>
          </w:p>
        </w:tc>
        <w:tc>
          <w:tcPr>
            <w:tcW w:w="922" w:type="dxa"/>
            <w:shd w:val="clear" w:color="auto" w:fill="auto"/>
            <w:vAlign w:val="center"/>
          </w:tcPr>
          <w:p w14:paraId="46097AFD" w14:textId="5ED4E03E" w:rsidR="007B41CA" w:rsidRPr="001E7A9E" w:rsidRDefault="007B41CA" w:rsidP="001F31CA">
            <w:pPr>
              <w:jc w:val="right"/>
            </w:pPr>
            <w:r>
              <w:rPr>
                <w:rFonts w:cs="Calibri"/>
                <w:color w:val="000000"/>
                <w:szCs w:val="19"/>
              </w:rPr>
              <w:t>15</w:t>
            </w:r>
            <w:r w:rsidR="00CB0D0E">
              <w:rPr>
                <w:rFonts w:cs="Calibri"/>
                <w:color w:val="000000"/>
                <w:szCs w:val="19"/>
              </w:rPr>
              <w:t>.</w:t>
            </w:r>
            <w:r>
              <w:rPr>
                <w:rFonts w:cs="Calibri"/>
                <w:color w:val="000000"/>
                <w:szCs w:val="19"/>
              </w:rPr>
              <w:t>9</w:t>
            </w:r>
          </w:p>
        </w:tc>
        <w:tc>
          <w:tcPr>
            <w:tcW w:w="921" w:type="dxa"/>
            <w:shd w:val="clear" w:color="auto" w:fill="auto"/>
            <w:vAlign w:val="center"/>
          </w:tcPr>
          <w:p w14:paraId="74C00E7A" w14:textId="28464A28" w:rsidR="007B41CA" w:rsidRPr="001E7A9E" w:rsidRDefault="007B41CA" w:rsidP="001F31CA">
            <w:pPr>
              <w:jc w:val="right"/>
            </w:pPr>
            <w:r>
              <w:rPr>
                <w:rFonts w:cs="Calibri"/>
                <w:color w:val="000000"/>
                <w:szCs w:val="19"/>
              </w:rPr>
              <w:t>16</w:t>
            </w:r>
            <w:r w:rsidR="00CB0D0E">
              <w:rPr>
                <w:rFonts w:cs="Calibri"/>
                <w:color w:val="000000"/>
                <w:szCs w:val="19"/>
              </w:rPr>
              <w:t>.</w:t>
            </w:r>
            <w:r>
              <w:rPr>
                <w:rFonts w:cs="Calibri"/>
                <w:color w:val="000000"/>
                <w:szCs w:val="19"/>
              </w:rPr>
              <w:t>2</w:t>
            </w:r>
          </w:p>
        </w:tc>
        <w:tc>
          <w:tcPr>
            <w:tcW w:w="921" w:type="dxa"/>
            <w:shd w:val="clear" w:color="auto" w:fill="auto"/>
            <w:vAlign w:val="center"/>
          </w:tcPr>
          <w:p w14:paraId="06F864F8" w14:textId="47153894" w:rsidR="007B41CA" w:rsidRPr="001E7A9E" w:rsidRDefault="007B41CA" w:rsidP="001F31CA">
            <w:pPr>
              <w:jc w:val="right"/>
            </w:pPr>
            <w:r>
              <w:rPr>
                <w:rFonts w:cs="Calibri"/>
                <w:color w:val="000000"/>
                <w:szCs w:val="19"/>
              </w:rPr>
              <w:t>15</w:t>
            </w:r>
            <w:r w:rsidR="00CB0D0E">
              <w:rPr>
                <w:rFonts w:cs="Calibri"/>
                <w:color w:val="000000"/>
                <w:szCs w:val="19"/>
              </w:rPr>
              <w:t>.</w:t>
            </w:r>
            <w:r>
              <w:rPr>
                <w:rFonts w:cs="Calibri"/>
                <w:color w:val="000000"/>
                <w:szCs w:val="19"/>
              </w:rPr>
              <w:t>5</w:t>
            </w:r>
          </w:p>
        </w:tc>
        <w:tc>
          <w:tcPr>
            <w:tcW w:w="922" w:type="dxa"/>
            <w:shd w:val="clear" w:color="auto" w:fill="auto"/>
            <w:vAlign w:val="center"/>
          </w:tcPr>
          <w:p w14:paraId="0246414F" w14:textId="37E0B4ED" w:rsidR="007B41CA" w:rsidRPr="0079206D" w:rsidRDefault="007B41CA" w:rsidP="001F31CA">
            <w:pPr>
              <w:jc w:val="right"/>
            </w:pPr>
            <w:r>
              <w:rPr>
                <w:rFonts w:cs="Calibri"/>
                <w:color w:val="000000"/>
                <w:szCs w:val="19"/>
              </w:rPr>
              <w:t>16</w:t>
            </w:r>
            <w:r w:rsidR="00CB0D0E">
              <w:rPr>
                <w:rFonts w:cs="Calibri"/>
                <w:color w:val="000000"/>
                <w:szCs w:val="19"/>
              </w:rPr>
              <w:t>.</w:t>
            </w:r>
            <w:r>
              <w:rPr>
                <w:rFonts w:cs="Calibri"/>
                <w:color w:val="000000"/>
                <w:szCs w:val="19"/>
              </w:rPr>
              <w:t>1</w:t>
            </w:r>
          </w:p>
        </w:tc>
        <w:tc>
          <w:tcPr>
            <w:tcW w:w="922" w:type="dxa"/>
            <w:shd w:val="clear" w:color="auto" w:fill="auto"/>
            <w:vAlign w:val="center"/>
          </w:tcPr>
          <w:p w14:paraId="5C44248D" w14:textId="1F5C4BEB" w:rsidR="007B41CA" w:rsidRPr="0079206D" w:rsidRDefault="007B41CA" w:rsidP="001F31CA">
            <w:pPr>
              <w:jc w:val="right"/>
            </w:pPr>
            <w:r>
              <w:rPr>
                <w:rFonts w:cs="Calibri"/>
                <w:color w:val="000000"/>
                <w:szCs w:val="19"/>
              </w:rPr>
              <w:t>16</w:t>
            </w:r>
            <w:r w:rsidR="00CB0D0E">
              <w:rPr>
                <w:rFonts w:cs="Calibri"/>
                <w:color w:val="000000"/>
                <w:szCs w:val="19"/>
              </w:rPr>
              <w:t>.</w:t>
            </w:r>
            <w:r>
              <w:rPr>
                <w:rFonts w:cs="Calibri"/>
                <w:color w:val="000000"/>
                <w:szCs w:val="19"/>
              </w:rPr>
              <w:t>3</w:t>
            </w:r>
          </w:p>
        </w:tc>
        <w:tc>
          <w:tcPr>
            <w:tcW w:w="922" w:type="dxa"/>
            <w:shd w:val="clear" w:color="auto" w:fill="auto"/>
            <w:vAlign w:val="center"/>
          </w:tcPr>
          <w:p w14:paraId="3D3B1F8C" w14:textId="57EE13D9" w:rsidR="007B41CA" w:rsidRPr="0079206D" w:rsidRDefault="007B41CA" w:rsidP="001F31CA">
            <w:pPr>
              <w:jc w:val="right"/>
            </w:pPr>
            <w:r>
              <w:rPr>
                <w:rFonts w:cs="Calibri"/>
                <w:color w:val="000000"/>
                <w:szCs w:val="19"/>
              </w:rPr>
              <w:t>17</w:t>
            </w:r>
            <w:r w:rsidR="00CB0D0E">
              <w:rPr>
                <w:rFonts w:cs="Calibri"/>
                <w:color w:val="000000"/>
                <w:szCs w:val="19"/>
              </w:rPr>
              <w:t>.</w:t>
            </w:r>
            <w:r>
              <w:rPr>
                <w:rFonts w:cs="Calibri"/>
                <w:color w:val="000000"/>
                <w:szCs w:val="19"/>
              </w:rPr>
              <w:t>1</w:t>
            </w:r>
          </w:p>
        </w:tc>
      </w:tr>
      <w:tr w:rsidR="007B41CA" w:rsidRPr="00600BCF" w14:paraId="322DCC37" w14:textId="77777777" w:rsidTr="001F31CA">
        <w:tc>
          <w:tcPr>
            <w:tcW w:w="2552" w:type="dxa"/>
          </w:tcPr>
          <w:p w14:paraId="5837A8AE" w14:textId="77777777" w:rsidR="007B41CA" w:rsidRPr="00600BCF" w:rsidRDefault="00AD23D7" w:rsidP="001F31CA">
            <w:pPr>
              <w:jc w:val="both"/>
            </w:pPr>
            <w:r>
              <w:t>Cooking</w:t>
            </w:r>
          </w:p>
        </w:tc>
        <w:tc>
          <w:tcPr>
            <w:tcW w:w="922" w:type="dxa"/>
            <w:shd w:val="clear" w:color="auto" w:fill="auto"/>
            <w:vAlign w:val="center"/>
          </w:tcPr>
          <w:p w14:paraId="6A4EEFF4" w14:textId="7DF2A80F" w:rsidR="007B41CA" w:rsidRPr="001E7A9E" w:rsidRDefault="007B41CA" w:rsidP="001F31CA">
            <w:pPr>
              <w:jc w:val="right"/>
            </w:pPr>
            <w:r>
              <w:rPr>
                <w:rFonts w:cs="Calibri"/>
                <w:color w:val="000000"/>
                <w:szCs w:val="19"/>
              </w:rPr>
              <w:t>8</w:t>
            </w:r>
            <w:r w:rsidR="00CB0D0E">
              <w:rPr>
                <w:rFonts w:cs="Calibri"/>
                <w:color w:val="000000"/>
                <w:szCs w:val="19"/>
              </w:rPr>
              <w:t>.</w:t>
            </w:r>
            <w:r>
              <w:rPr>
                <w:rFonts w:cs="Calibri"/>
                <w:color w:val="000000"/>
                <w:szCs w:val="19"/>
              </w:rPr>
              <w:t>0</w:t>
            </w:r>
          </w:p>
        </w:tc>
        <w:tc>
          <w:tcPr>
            <w:tcW w:w="921" w:type="dxa"/>
            <w:shd w:val="clear" w:color="auto" w:fill="auto"/>
            <w:vAlign w:val="center"/>
          </w:tcPr>
          <w:p w14:paraId="71584E30" w14:textId="7277727D" w:rsidR="007B41CA" w:rsidRPr="001E7A9E" w:rsidRDefault="007B41CA" w:rsidP="001F31CA">
            <w:pPr>
              <w:jc w:val="right"/>
            </w:pPr>
            <w:r>
              <w:rPr>
                <w:rFonts w:cs="Calibri"/>
                <w:color w:val="000000"/>
                <w:szCs w:val="19"/>
              </w:rPr>
              <w:t>8</w:t>
            </w:r>
            <w:r w:rsidR="00CB0D0E">
              <w:rPr>
                <w:rFonts w:cs="Calibri"/>
                <w:color w:val="000000"/>
                <w:szCs w:val="19"/>
              </w:rPr>
              <w:t>.</w:t>
            </w:r>
            <w:r>
              <w:rPr>
                <w:rFonts w:cs="Calibri"/>
                <w:color w:val="000000"/>
                <w:szCs w:val="19"/>
              </w:rPr>
              <w:t>0</w:t>
            </w:r>
          </w:p>
        </w:tc>
        <w:tc>
          <w:tcPr>
            <w:tcW w:w="921" w:type="dxa"/>
            <w:shd w:val="clear" w:color="auto" w:fill="auto"/>
            <w:vAlign w:val="center"/>
          </w:tcPr>
          <w:p w14:paraId="63BC6C84" w14:textId="6DE27837" w:rsidR="007B41CA" w:rsidRPr="001E7A9E" w:rsidRDefault="007B41CA" w:rsidP="001F31CA">
            <w:pPr>
              <w:jc w:val="right"/>
            </w:pPr>
            <w:r>
              <w:rPr>
                <w:rFonts w:cs="Calibri"/>
                <w:color w:val="000000"/>
                <w:szCs w:val="19"/>
              </w:rPr>
              <w:t>7</w:t>
            </w:r>
            <w:r w:rsidR="00CB0D0E">
              <w:rPr>
                <w:rFonts w:cs="Calibri"/>
                <w:color w:val="000000"/>
                <w:szCs w:val="19"/>
              </w:rPr>
              <w:t>.</w:t>
            </w:r>
            <w:r>
              <w:rPr>
                <w:rFonts w:cs="Calibri"/>
                <w:color w:val="000000"/>
                <w:szCs w:val="19"/>
              </w:rPr>
              <w:t>4</w:t>
            </w:r>
          </w:p>
        </w:tc>
        <w:tc>
          <w:tcPr>
            <w:tcW w:w="922" w:type="dxa"/>
            <w:shd w:val="clear" w:color="auto" w:fill="auto"/>
            <w:vAlign w:val="center"/>
          </w:tcPr>
          <w:p w14:paraId="4E9BDF24" w14:textId="1AE05564" w:rsidR="007B41CA" w:rsidRPr="0079206D" w:rsidRDefault="007B41CA" w:rsidP="001F31CA">
            <w:pPr>
              <w:jc w:val="right"/>
            </w:pPr>
            <w:r>
              <w:rPr>
                <w:rFonts w:cs="Calibri"/>
                <w:color w:val="000000"/>
                <w:szCs w:val="19"/>
              </w:rPr>
              <w:t>8</w:t>
            </w:r>
            <w:r w:rsidR="00CB0D0E">
              <w:rPr>
                <w:rFonts w:cs="Calibri"/>
                <w:color w:val="000000"/>
                <w:szCs w:val="19"/>
              </w:rPr>
              <w:t>.</w:t>
            </w:r>
            <w:r>
              <w:rPr>
                <w:rFonts w:cs="Calibri"/>
                <w:color w:val="000000"/>
                <w:szCs w:val="19"/>
              </w:rPr>
              <w:t>1</w:t>
            </w:r>
          </w:p>
        </w:tc>
        <w:tc>
          <w:tcPr>
            <w:tcW w:w="922" w:type="dxa"/>
            <w:shd w:val="clear" w:color="auto" w:fill="auto"/>
            <w:vAlign w:val="center"/>
          </w:tcPr>
          <w:p w14:paraId="4CCC4417" w14:textId="5115DC45" w:rsidR="007B41CA" w:rsidRPr="0079206D" w:rsidRDefault="007B41CA" w:rsidP="001F31CA">
            <w:pPr>
              <w:jc w:val="right"/>
            </w:pPr>
            <w:r>
              <w:rPr>
                <w:rFonts w:cs="Calibri"/>
                <w:color w:val="000000"/>
                <w:szCs w:val="19"/>
              </w:rPr>
              <w:t>8</w:t>
            </w:r>
            <w:r w:rsidR="00CB0D0E">
              <w:rPr>
                <w:rFonts w:cs="Calibri"/>
                <w:color w:val="000000"/>
                <w:szCs w:val="19"/>
              </w:rPr>
              <w:t>.</w:t>
            </w:r>
            <w:r>
              <w:rPr>
                <w:rFonts w:cs="Calibri"/>
                <w:color w:val="000000"/>
                <w:szCs w:val="19"/>
              </w:rPr>
              <w:t>1</w:t>
            </w:r>
          </w:p>
        </w:tc>
        <w:tc>
          <w:tcPr>
            <w:tcW w:w="922" w:type="dxa"/>
            <w:shd w:val="clear" w:color="auto" w:fill="auto"/>
            <w:vAlign w:val="center"/>
          </w:tcPr>
          <w:p w14:paraId="535D024B" w14:textId="3116AE55" w:rsidR="007B41CA" w:rsidRDefault="007B41CA" w:rsidP="001F31CA">
            <w:pPr>
              <w:jc w:val="right"/>
            </w:pPr>
            <w:r>
              <w:rPr>
                <w:rFonts w:cs="Calibri"/>
                <w:color w:val="000000"/>
                <w:szCs w:val="19"/>
              </w:rPr>
              <w:t>8</w:t>
            </w:r>
            <w:r w:rsidR="00CB0D0E">
              <w:rPr>
                <w:rFonts w:cs="Calibri"/>
                <w:color w:val="000000"/>
                <w:szCs w:val="19"/>
              </w:rPr>
              <w:t>.</w:t>
            </w:r>
            <w:r>
              <w:rPr>
                <w:rFonts w:cs="Calibri"/>
                <w:color w:val="000000"/>
                <w:szCs w:val="19"/>
              </w:rPr>
              <w:t>3</w:t>
            </w:r>
          </w:p>
        </w:tc>
      </w:tr>
      <w:tr w:rsidR="00CB0D0E" w:rsidRPr="00600BCF" w14:paraId="0CCE4D61" w14:textId="77777777" w:rsidTr="001F31CA">
        <w:tc>
          <w:tcPr>
            <w:tcW w:w="2552" w:type="dxa"/>
          </w:tcPr>
          <w:p w14:paraId="63663927" w14:textId="00DFA2F6" w:rsidR="00CB0D0E" w:rsidRDefault="00CB0D0E" w:rsidP="00CB0D0E">
            <w:proofErr w:type="spellStart"/>
            <w:r>
              <w:t>Lighting</w:t>
            </w:r>
            <w:proofErr w:type="spellEnd"/>
            <w:r>
              <w:t xml:space="preserve"> and  </w:t>
            </w:r>
            <w:proofErr w:type="spellStart"/>
            <w:r>
              <w:t>electrical</w:t>
            </w:r>
            <w:proofErr w:type="spellEnd"/>
            <w:r>
              <w:t xml:space="preserve"> </w:t>
            </w:r>
            <w:proofErr w:type="spellStart"/>
            <w:r>
              <w:t>appliances</w:t>
            </w:r>
            <w:proofErr w:type="spellEnd"/>
          </w:p>
        </w:tc>
        <w:tc>
          <w:tcPr>
            <w:tcW w:w="922" w:type="dxa"/>
            <w:shd w:val="clear" w:color="auto" w:fill="auto"/>
            <w:vAlign w:val="center"/>
          </w:tcPr>
          <w:p w14:paraId="63AB71A5" w14:textId="46BD3F48" w:rsidR="00CB0D0E" w:rsidRDefault="00CB0D0E" w:rsidP="00CB0D0E">
            <w:pPr>
              <w:jc w:val="right"/>
              <w:rPr>
                <w:rFonts w:cs="Calibri"/>
                <w:color w:val="000000"/>
                <w:szCs w:val="19"/>
              </w:rPr>
            </w:pPr>
            <w:r>
              <w:rPr>
                <w:rFonts w:cs="Calibri"/>
                <w:color w:val="000000"/>
                <w:szCs w:val="19"/>
              </w:rPr>
              <w:t>9.7</w:t>
            </w:r>
          </w:p>
        </w:tc>
        <w:tc>
          <w:tcPr>
            <w:tcW w:w="921" w:type="dxa"/>
            <w:shd w:val="clear" w:color="auto" w:fill="auto"/>
            <w:vAlign w:val="center"/>
          </w:tcPr>
          <w:p w14:paraId="4333B709" w14:textId="52F5F677" w:rsidR="00CB0D0E" w:rsidRDefault="00CB0D0E" w:rsidP="00CB0D0E">
            <w:pPr>
              <w:jc w:val="right"/>
              <w:rPr>
                <w:rFonts w:cs="Calibri"/>
                <w:color w:val="000000"/>
                <w:szCs w:val="19"/>
              </w:rPr>
            </w:pPr>
            <w:r>
              <w:rPr>
                <w:rFonts w:cs="Calibri"/>
                <w:color w:val="000000"/>
                <w:szCs w:val="19"/>
              </w:rPr>
              <w:t>9.7</w:t>
            </w:r>
          </w:p>
        </w:tc>
        <w:tc>
          <w:tcPr>
            <w:tcW w:w="921" w:type="dxa"/>
            <w:shd w:val="clear" w:color="auto" w:fill="auto"/>
            <w:vAlign w:val="center"/>
          </w:tcPr>
          <w:p w14:paraId="3201A3EB" w14:textId="4A85EB92" w:rsidR="00CB0D0E" w:rsidRDefault="00CB0D0E" w:rsidP="00CB0D0E">
            <w:pPr>
              <w:jc w:val="right"/>
              <w:rPr>
                <w:rFonts w:cs="Calibri"/>
                <w:color w:val="000000"/>
                <w:szCs w:val="19"/>
              </w:rPr>
            </w:pPr>
            <w:r>
              <w:rPr>
                <w:rFonts w:cs="Calibri"/>
                <w:color w:val="000000"/>
                <w:szCs w:val="19"/>
              </w:rPr>
              <w:t>8.6</w:t>
            </w:r>
          </w:p>
        </w:tc>
        <w:tc>
          <w:tcPr>
            <w:tcW w:w="922" w:type="dxa"/>
            <w:shd w:val="clear" w:color="auto" w:fill="auto"/>
            <w:vAlign w:val="center"/>
          </w:tcPr>
          <w:p w14:paraId="03FA4B70" w14:textId="779A3A6A" w:rsidR="00CB0D0E" w:rsidRDefault="00CB0D0E" w:rsidP="00CB0D0E">
            <w:pPr>
              <w:jc w:val="right"/>
              <w:rPr>
                <w:rFonts w:cs="Calibri"/>
                <w:color w:val="000000"/>
                <w:szCs w:val="19"/>
              </w:rPr>
            </w:pPr>
            <w:r>
              <w:rPr>
                <w:rFonts w:cs="Calibri"/>
                <w:color w:val="000000"/>
                <w:szCs w:val="19"/>
              </w:rPr>
              <w:t>8.7</w:t>
            </w:r>
          </w:p>
        </w:tc>
        <w:tc>
          <w:tcPr>
            <w:tcW w:w="922" w:type="dxa"/>
            <w:shd w:val="clear" w:color="auto" w:fill="auto"/>
            <w:vAlign w:val="center"/>
          </w:tcPr>
          <w:p w14:paraId="342CABBB" w14:textId="24CF717C" w:rsidR="00CB0D0E" w:rsidRDefault="00CB0D0E" w:rsidP="00CB0D0E">
            <w:pPr>
              <w:jc w:val="right"/>
              <w:rPr>
                <w:rFonts w:cs="Calibri"/>
                <w:color w:val="000000"/>
                <w:szCs w:val="19"/>
              </w:rPr>
            </w:pPr>
            <w:r>
              <w:rPr>
                <w:rFonts w:cs="Calibri"/>
                <w:color w:val="000000"/>
                <w:szCs w:val="19"/>
              </w:rPr>
              <w:t>9.3</w:t>
            </w:r>
          </w:p>
        </w:tc>
        <w:tc>
          <w:tcPr>
            <w:tcW w:w="922" w:type="dxa"/>
            <w:shd w:val="clear" w:color="auto" w:fill="auto"/>
            <w:vAlign w:val="center"/>
          </w:tcPr>
          <w:p w14:paraId="30C4E692" w14:textId="1F3CDA0A" w:rsidR="00CB0D0E" w:rsidRDefault="00CB0D0E" w:rsidP="00CB0D0E">
            <w:pPr>
              <w:jc w:val="right"/>
              <w:rPr>
                <w:rFonts w:cs="Calibri"/>
                <w:color w:val="000000"/>
                <w:szCs w:val="19"/>
              </w:rPr>
            </w:pPr>
            <w:r>
              <w:rPr>
                <w:rFonts w:cs="Calibri"/>
                <w:color w:val="000000"/>
                <w:szCs w:val="19"/>
              </w:rPr>
              <w:t>9.2</w:t>
            </w:r>
          </w:p>
        </w:tc>
      </w:tr>
    </w:tbl>
    <w:p w14:paraId="7C01AA87" w14:textId="77777777" w:rsidR="00AD23D7" w:rsidRPr="00AD23D7" w:rsidRDefault="00AD23D7" w:rsidP="00A71396">
      <w:pPr>
        <w:spacing w:line="288" w:lineRule="auto"/>
        <w:rPr>
          <w:rFonts w:eastAsia="Times New Roman" w:cs="Times New Roman"/>
          <w:szCs w:val="19"/>
          <w:lang w:val="en-GB" w:eastAsia="pl-PL"/>
        </w:rPr>
      </w:pPr>
    </w:p>
    <w:p w14:paraId="4FCA6C6D" w14:textId="1CD6BB63" w:rsidR="00DE10D5" w:rsidRPr="00AF07ED" w:rsidRDefault="000B6CFF" w:rsidP="00AF07ED">
      <w:pPr>
        <w:spacing w:line="312" w:lineRule="auto"/>
        <w:rPr>
          <w:rFonts w:eastAsia="Times New Roman" w:cs="Times New Roman"/>
          <w:szCs w:val="19"/>
          <w:lang w:val="en-GB" w:eastAsia="pl-PL"/>
        </w:rPr>
      </w:pPr>
      <w:r w:rsidRPr="000B6CFF">
        <w:rPr>
          <w:rFonts w:eastAsia="Times New Roman" w:cs="Times New Roman"/>
          <w:szCs w:val="19"/>
          <w:lang w:val="en-GB" w:eastAsia="pl-PL"/>
        </w:rPr>
        <w:t>The household energy consumption rate per m</w:t>
      </w:r>
      <w:r w:rsidRPr="000B6CFF">
        <w:rPr>
          <w:rFonts w:eastAsia="Times New Roman" w:cs="Times New Roman"/>
          <w:szCs w:val="19"/>
          <w:vertAlign w:val="superscript"/>
          <w:lang w:val="en-GB" w:eastAsia="pl-PL"/>
        </w:rPr>
        <w:t>2</w:t>
      </w:r>
      <w:r w:rsidRPr="000B6CFF">
        <w:rPr>
          <w:rFonts w:eastAsia="Times New Roman" w:cs="Times New Roman"/>
          <w:szCs w:val="19"/>
          <w:lang w:val="en-GB" w:eastAsia="pl-PL"/>
        </w:rPr>
        <w:t xml:space="preserve"> showed a decreasing trend. The volume of consumption in 2021 amounted to 21.8 </w:t>
      </w:r>
      <w:proofErr w:type="spellStart"/>
      <w:r w:rsidRPr="000B6CFF">
        <w:rPr>
          <w:rFonts w:eastAsia="Times New Roman" w:cs="Times New Roman"/>
          <w:szCs w:val="19"/>
          <w:lang w:val="en-GB" w:eastAsia="pl-PL"/>
        </w:rPr>
        <w:t>kgoe</w:t>
      </w:r>
      <w:proofErr w:type="spellEnd"/>
      <w:r w:rsidRPr="000B6CFF">
        <w:rPr>
          <w:rFonts w:eastAsia="Times New Roman" w:cs="Times New Roman"/>
          <w:szCs w:val="19"/>
          <w:lang w:val="en-GB" w:eastAsia="pl-PL"/>
        </w:rPr>
        <w:t>/m</w:t>
      </w:r>
      <w:r w:rsidRPr="000B6CFF">
        <w:rPr>
          <w:rFonts w:eastAsia="Times New Roman" w:cs="Times New Roman"/>
          <w:szCs w:val="19"/>
          <w:vertAlign w:val="superscript"/>
          <w:lang w:val="en-GB" w:eastAsia="pl-PL"/>
        </w:rPr>
        <w:t>2</w:t>
      </w:r>
      <w:r w:rsidRPr="000B6CFF">
        <w:rPr>
          <w:rFonts w:eastAsia="Times New Roman" w:cs="Times New Roman"/>
          <w:szCs w:val="19"/>
          <w:lang w:val="en-GB" w:eastAsia="pl-PL"/>
        </w:rPr>
        <w:t xml:space="preserve">, compared with 22.0 </w:t>
      </w:r>
      <w:proofErr w:type="spellStart"/>
      <w:r w:rsidRPr="000B6CFF">
        <w:rPr>
          <w:rFonts w:eastAsia="Times New Roman" w:cs="Times New Roman"/>
          <w:szCs w:val="19"/>
          <w:lang w:val="en-GB" w:eastAsia="pl-PL"/>
        </w:rPr>
        <w:t>kgoe</w:t>
      </w:r>
      <w:proofErr w:type="spellEnd"/>
      <w:r w:rsidRPr="000B6CFF">
        <w:rPr>
          <w:rFonts w:eastAsia="Times New Roman" w:cs="Times New Roman"/>
          <w:szCs w:val="19"/>
          <w:lang w:val="en-GB" w:eastAsia="pl-PL"/>
        </w:rPr>
        <w:t>/m</w:t>
      </w:r>
      <w:r w:rsidRPr="000B6CFF">
        <w:rPr>
          <w:rFonts w:eastAsia="Times New Roman" w:cs="Times New Roman"/>
          <w:szCs w:val="19"/>
          <w:vertAlign w:val="superscript"/>
          <w:lang w:val="en-GB" w:eastAsia="pl-PL"/>
        </w:rPr>
        <w:t>2</w:t>
      </w:r>
      <w:r w:rsidRPr="000B6CFF">
        <w:rPr>
          <w:rFonts w:eastAsia="Times New Roman" w:cs="Times New Roman"/>
          <w:szCs w:val="19"/>
          <w:lang w:val="en-GB" w:eastAsia="pl-PL"/>
        </w:rPr>
        <w:t xml:space="preserve"> in 2011 (cumulative annual decrease of 0.1%/year). </w:t>
      </w:r>
      <w:r w:rsidRPr="00F82D71">
        <w:rPr>
          <w:rFonts w:eastAsia="Times New Roman" w:cs="Times New Roman"/>
          <w:szCs w:val="19"/>
          <w:lang w:val="en-GB" w:eastAsia="pl-PL"/>
        </w:rPr>
        <w:t>Adjusted for climat</w:t>
      </w:r>
      <w:r>
        <w:rPr>
          <w:rFonts w:eastAsia="Times New Roman" w:cs="Times New Roman"/>
          <w:szCs w:val="19"/>
          <w:lang w:val="en-GB" w:eastAsia="pl-PL"/>
        </w:rPr>
        <w:t>ic corrections</w:t>
      </w:r>
      <w:r w:rsidRPr="00F82D71">
        <w:rPr>
          <w:rFonts w:eastAsia="Times New Roman" w:cs="Times New Roman"/>
          <w:szCs w:val="19"/>
          <w:lang w:val="en-GB" w:eastAsia="pl-PL"/>
        </w:rPr>
        <w:t>, consumption per m</w:t>
      </w:r>
      <w:r w:rsidRPr="000B6CFF">
        <w:rPr>
          <w:rFonts w:eastAsia="Times New Roman" w:cs="Times New Roman"/>
          <w:szCs w:val="19"/>
          <w:lang w:val="en-GB" w:eastAsia="pl-PL"/>
        </w:rPr>
        <w:t>2</w:t>
      </w:r>
      <w:r w:rsidRPr="00F82D71">
        <w:rPr>
          <w:rFonts w:eastAsia="Times New Roman" w:cs="Times New Roman"/>
          <w:szCs w:val="19"/>
          <w:lang w:val="en-GB" w:eastAsia="pl-PL"/>
        </w:rPr>
        <w:t xml:space="preserve"> decreased by 0.4%/year.</w:t>
      </w:r>
    </w:p>
    <w:p w14:paraId="1D5ED1E8" w14:textId="551810F6" w:rsidR="00DE10D5" w:rsidRPr="00FF3D74" w:rsidRDefault="00DE10D5" w:rsidP="00AF07ED">
      <w:pPr>
        <w:spacing w:before="2040" w:line="240" w:lineRule="auto"/>
        <w:rPr>
          <w:b/>
          <w:szCs w:val="19"/>
          <w:lang w:val="en-GB"/>
        </w:rPr>
      </w:pPr>
      <w:r w:rsidRPr="00FF3D74">
        <w:rPr>
          <w:b/>
          <w:szCs w:val="19"/>
          <w:lang w:val="en-GB"/>
        </w:rPr>
        <w:lastRenderedPageBreak/>
        <w:t>Chart  2. Energy consumption in households per</w:t>
      </w:r>
      <w:r w:rsidR="00FF3D74" w:rsidRPr="00FF3D74">
        <w:rPr>
          <w:b/>
          <w:szCs w:val="19"/>
          <w:lang w:val="en-GB"/>
        </w:rPr>
        <w:t xml:space="preserve"> </w:t>
      </w:r>
      <w:r w:rsidRPr="00FF3D74">
        <w:rPr>
          <w:b/>
          <w:szCs w:val="19"/>
          <w:lang w:val="en-GB"/>
        </w:rPr>
        <w:t>m</w:t>
      </w:r>
      <w:r w:rsidRPr="00FF3D74">
        <w:rPr>
          <w:b/>
          <w:szCs w:val="19"/>
          <w:vertAlign w:val="superscript"/>
          <w:lang w:val="en-GB"/>
        </w:rPr>
        <w:t>2</w:t>
      </w:r>
      <w:r w:rsidRPr="00FF3D74">
        <w:rPr>
          <w:b/>
          <w:szCs w:val="19"/>
          <w:lang w:val="en-GB"/>
        </w:rPr>
        <w:t xml:space="preserve"> </w:t>
      </w:r>
    </w:p>
    <w:p w14:paraId="038F0AFB" w14:textId="792862AF" w:rsidR="00A31AF7" w:rsidRDefault="00A31AF7" w:rsidP="00A71396">
      <w:pPr>
        <w:spacing w:line="288" w:lineRule="auto"/>
        <w:rPr>
          <w:rFonts w:eastAsia="Times New Roman" w:cs="Times New Roman"/>
          <w:szCs w:val="19"/>
          <w:lang w:val="en-GB" w:eastAsia="pl-PL"/>
        </w:rPr>
      </w:pPr>
      <w:r>
        <w:rPr>
          <w:rFonts w:eastAsia="Times New Roman" w:cs="Times New Roman"/>
          <w:noProof/>
          <w:szCs w:val="19"/>
          <w:lang w:val="en-GB" w:eastAsia="pl-PL"/>
        </w:rPr>
        <w:drawing>
          <wp:inline distT="0" distB="0" distL="0" distR="0" wp14:anchorId="1ACC4509" wp14:editId="158DB1ED">
            <wp:extent cx="4974590" cy="2627630"/>
            <wp:effectExtent l="0" t="0" r="0" b="1270"/>
            <wp:docPr id="25" name="Obraz 25" descr="Line graph showing household energy consumption from 2011 to 2021 broken down into total consumption and heating consumption expressed in kgoe per square metre. In addition, the graph provides information on total and heating consumption with climate correction. The data for the graph is provided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74590" cy="2627630"/>
                    </a:xfrm>
                    <a:prstGeom prst="rect">
                      <a:avLst/>
                    </a:prstGeom>
                    <a:noFill/>
                  </pic:spPr>
                </pic:pic>
              </a:graphicData>
            </a:graphic>
          </wp:inline>
        </w:drawing>
      </w:r>
    </w:p>
    <w:p w14:paraId="1F051891" w14:textId="77777777" w:rsidR="00A93AE8" w:rsidRPr="00AF07ED" w:rsidRDefault="00A93AE8" w:rsidP="00DE10D5">
      <w:pPr>
        <w:pStyle w:val="Nagwek1"/>
        <w:keepLines w:val="0"/>
        <w:spacing w:before="360" w:after="120" w:line="240" w:lineRule="auto"/>
        <w:rPr>
          <w:rFonts w:ascii="Fira Sans" w:eastAsia="Times New Roman" w:hAnsi="Fira Sans" w:cs="Times New Roman"/>
          <w:b/>
          <w:bCs/>
          <w:color w:val="001D77"/>
          <w:sz w:val="19"/>
          <w:szCs w:val="19"/>
          <w:lang w:val="en-GB" w:eastAsia="pl-PL"/>
        </w:rPr>
      </w:pPr>
      <w:r w:rsidRPr="00AF07ED">
        <w:rPr>
          <w:rFonts w:ascii="Fira Sans" w:eastAsia="Times New Roman" w:hAnsi="Fira Sans" w:cs="Times New Roman"/>
          <w:b/>
          <w:bCs/>
          <w:color w:val="001D77"/>
          <w:sz w:val="19"/>
          <w:szCs w:val="19"/>
          <w:lang w:val="en-GB" w:eastAsia="pl-PL"/>
        </w:rPr>
        <w:t>Industry</w:t>
      </w:r>
    </w:p>
    <w:p w14:paraId="218C44B9" w14:textId="6EB1475B" w:rsidR="00F83044" w:rsidRPr="00F83044" w:rsidRDefault="00F83044" w:rsidP="00DE10D5">
      <w:pPr>
        <w:spacing w:line="312" w:lineRule="auto"/>
        <w:rPr>
          <w:lang w:val="en-GB"/>
        </w:rPr>
      </w:pPr>
      <w:r w:rsidRPr="00F83044">
        <w:rPr>
          <w:lang w:val="en-GB"/>
        </w:rPr>
        <w:t xml:space="preserve">Final energy consumption in industry reached its lowest value in 2012 (14.8 </w:t>
      </w:r>
      <w:proofErr w:type="spellStart"/>
      <w:r w:rsidRPr="00F83044">
        <w:rPr>
          <w:lang w:val="en-GB"/>
        </w:rPr>
        <w:t>Mtoe</w:t>
      </w:r>
      <w:proofErr w:type="spellEnd"/>
      <w:r w:rsidRPr="00F83044">
        <w:rPr>
          <w:lang w:val="en-GB"/>
        </w:rPr>
        <w:t xml:space="preserve">). </w:t>
      </w:r>
      <w:r>
        <w:rPr>
          <w:lang w:val="en-GB"/>
        </w:rPr>
        <w:t>In the</w:t>
      </w:r>
      <w:r w:rsidRPr="00F83044">
        <w:rPr>
          <w:lang w:val="en-GB"/>
        </w:rPr>
        <w:t xml:space="preserve"> following years slight fluctuations in consumption</w:t>
      </w:r>
      <w:r>
        <w:rPr>
          <w:lang w:val="en-GB"/>
        </w:rPr>
        <w:t xml:space="preserve"> were observed</w:t>
      </w:r>
      <w:r w:rsidRPr="00F83044">
        <w:rPr>
          <w:lang w:val="en-GB"/>
        </w:rPr>
        <w:t>, with a significant increase from 2016 onwards,</w:t>
      </w:r>
      <w:r>
        <w:rPr>
          <w:lang w:val="en-GB"/>
        </w:rPr>
        <w:t xml:space="preserve"> up</w:t>
      </w:r>
      <w:r w:rsidRPr="00F83044">
        <w:rPr>
          <w:lang w:val="en-GB"/>
        </w:rPr>
        <w:t xml:space="preserve"> to 17.9 </w:t>
      </w:r>
      <w:proofErr w:type="spellStart"/>
      <w:r w:rsidRPr="00F83044">
        <w:rPr>
          <w:lang w:val="en-GB"/>
        </w:rPr>
        <w:t>Mtoe</w:t>
      </w:r>
      <w:proofErr w:type="spellEnd"/>
      <w:r w:rsidRPr="00F83044">
        <w:rPr>
          <w:lang w:val="en-GB"/>
        </w:rPr>
        <w:t xml:space="preserve"> in 2019. In 2021, energy consumption</w:t>
      </w:r>
      <w:r>
        <w:rPr>
          <w:lang w:val="en-GB"/>
        </w:rPr>
        <w:t xml:space="preserve"> in industry</w:t>
      </w:r>
      <w:r w:rsidRPr="00F83044">
        <w:rPr>
          <w:lang w:val="en-GB"/>
        </w:rPr>
        <w:t xml:space="preserve"> increased by 2.3% </w:t>
      </w:r>
      <w:r>
        <w:rPr>
          <w:lang w:val="en-GB"/>
        </w:rPr>
        <w:t>in comparison to</w:t>
      </w:r>
      <w:r w:rsidRPr="00F83044">
        <w:rPr>
          <w:lang w:val="en-GB"/>
        </w:rPr>
        <w:t xml:space="preserve"> the previous year</w:t>
      </w:r>
      <w:r>
        <w:rPr>
          <w:lang w:val="en-GB"/>
        </w:rPr>
        <w:t xml:space="preserve"> and amounted to </w:t>
      </w:r>
      <w:r w:rsidRPr="00F83044">
        <w:rPr>
          <w:lang w:val="en-GB"/>
        </w:rPr>
        <w:t xml:space="preserve">17.3 </w:t>
      </w:r>
      <w:proofErr w:type="spellStart"/>
      <w:r w:rsidRPr="00F83044">
        <w:rPr>
          <w:lang w:val="en-GB"/>
        </w:rPr>
        <w:t>Mtoe</w:t>
      </w:r>
      <w:proofErr w:type="spellEnd"/>
      <w:r w:rsidRPr="00F83044">
        <w:rPr>
          <w:lang w:val="en-GB"/>
        </w:rPr>
        <w:t>.</w:t>
      </w:r>
    </w:p>
    <w:p w14:paraId="1D354314" w14:textId="4366BD5F" w:rsidR="00F83044" w:rsidRPr="006859A7" w:rsidRDefault="00F83044" w:rsidP="00DE10D5">
      <w:pPr>
        <w:spacing w:line="312" w:lineRule="auto"/>
        <w:rPr>
          <w:rFonts w:eastAsia="Times New Roman" w:cs="Times New Roman"/>
          <w:szCs w:val="19"/>
          <w:lang w:val="en-GB" w:eastAsia="pl-PL"/>
        </w:rPr>
      </w:pPr>
      <w:r w:rsidRPr="006859A7">
        <w:rPr>
          <w:rFonts w:eastAsia="Times New Roman" w:cs="Times New Roman"/>
          <w:szCs w:val="19"/>
          <w:lang w:val="en-GB" w:eastAsia="pl-PL"/>
        </w:rPr>
        <w:t>In 2021, compared to 2011, consumption of electricity increased by 27.6%</w:t>
      </w:r>
      <w:r w:rsidR="00CB0D0E">
        <w:rPr>
          <w:rFonts w:eastAsia="Times New Roman" w:cs="Times New Roman"/>
          <w:szCs w:val="19"/>
          <w:lang w:val="en-GB" w:eastAsia="pl-PL"/>
        </w:rPr>
        <w:t xml:space="preserve">. </w:t>
      </w:r>
      <w:r w:rsidRPr="006859A7">
        <w:rPr>
          <w:rFonts w:eastAsia="Times New Roman" w:cs="Times New Roman"/>
          <w:szCs w:val="19"/>
          <w:lang w:val="en-GB" w:eastAsia="pl-PL"/>
        </w:rPr>
        <w:t xml:space="preserve"> </w:t>
      </w:r>
      <w:r w:rsidR="00CB0D0E" w:rsidRPr="00CB0D0E">
        <w:rPr>
          <w:rFonts w:eastAsia="Times New Roman" w:cs="Times New Roman"/>
          <w:szCs w:val="19"/>
          <w:lang w:val="en-GB" w:eastAsia="pl-PL"/>
        </w:rPr>
        <w:t>Increases were also recorded in the consumption of</w:t>
      </w:r>
      <w:r w:rsidR="00CB0D0E">
        <w:rPr>
          <w:rFonts w:eastAsia="Times New Roman" w:cs="Times New Roman"/>
          <w:szCs w:val="19"/>
          <w:lang w:val="en-GB" w:eastAsia="pl-PL"/>
        </w:rPr>
        <w:t xml:space="preserve"> </w:t>
      </w:r>
      <w:r w:rsidRPr="006859A7">
        <w:rPr>
          <w:rFonts w:eastAsia="Times New Roman" w:cs="Times New Roman"/>
          <w:szCs w:val="19"/>
          <w:lang w:val="en-GB" w:eastAsia="pl-PL"/>
        </w:rPr>
        <w:t xml:space="preserve">natural gas (by 33.6%), heat (by 53.6%) and other energy carriers (by </w:t>
      </w:r>
      <w:r w:rsidR="00CB0D0E">
        <w:rPr>
          <w:rFonts w:eastAsia="Times New Roman" w:cs="Times New Roman"/>
          <w:szCs w:val="19"/>
          <w:lang w:val="en-GB" w:eastAsia="pl-PL"/>
        </w:rPr>
        <w:t>40</w:t>
      </w:r>
      <w:r w:rsidRPr="006859A7">
        <w:rPr>
          <w:rFonts w:eastAsia="Times New Roman" w:cs="Times New Roman"/>
          <w:szCs w:val="19"/>
          <w:lang w:val="en-GB" w:eastAsia="pl-PL"/>
        </w:rPr>
        <w:t>.</w:t>
      </w:r>
      <w:r w:rsidR="00CB0D0E">
        <w:rPr>
          <w:rFonts w:eastAsia="Times New Roman" w:cs="Times New Roman"/>
          <w:szCs w:val="19"/>
          <w:lang w:val="en-GB" w:eastAsia="pl-PL"/>
        </w:rPr>
        <w:t>3</w:t>
      </w:r>
      <w:r w:rsidRPr="006859A7">
        <w:rPr>
          <w:rFonts w:eastAsia="Times New Roman" w:cs="Times New Roman"/>
          <w:szCs w:val="19"/>
          <w:lang w:val="en-GB" w:eastAsia="pl-PL"/>
        </w:rPr>
        <w:t>%). A decrease in consumption of liquid fuels (down 4.9%) and coal (down 18.4%) was also observed.</w:t>
      </w:r>
    </w:p>
    <w:p w14:paraId="1F5B0FE3" w14:textId="6C94D4E7" w:rsidR="00A93AE8" w:rsidRDefault="00F83044" w:rsidP="00DE10D5">
      <w:pPr>
        <w:spacing w:line="312" w:lineRule="auto"/>
        <w:rPr>
          <w:rFonts w:eastAsia="Times New Roman" w:cs="Times New Roman"/>
          <w:szCs w:val="19"/>
          <w:lang w:val="en-GB" w:eastAsia="pl-PL"/>
        </w:rPr>
      </w:pPr>
      <w:r w:rsidRPr="006859A7">
        <w:rPr>
          <w:rFonts w:eastAsia="Times New Roman" w:cs="Times New Roman"/>
          <w:szCs w:val="19"/>
          <w:lang w:val="en-GB" w:eastAsia="pl-PL"/>
        </w:rPr>
        <w:t xml:space="preserve">The highest rate of reduction in energy intensity of value added in 2021 compared to 2012 was recorded in the </w:t>
      </w:r>
      <w:r w:rsidR="006859A7" w:rsidRPr="006859A7">
        <w:rPr>
          <w:rFonts w:eastAsia="Times New Roman" w:cs="Times New Roman"/>
          <w:szCs w:val="19"/>
          <w:lang w:val="en-GB" w:eastAsia="pl-PL"/>
        </w:rPr>
        <w:t>machinery</w:t>
      </w:r>
      <w:r w:rsidRPr="006859A7">
        <w:rPr>
          <w:rFonts w:eastAsia="Times New Roman" w:cs="Times New Roman"/>
          <w:szCs w:val="19"/>
          <w:lang w:val="en-GB" w:eastAsia="pl-PL"/>
        </w:rPr>
        <w:t xml:space="preserve"> and mineral industry, slightly lower in the </w:t>
      </w:r>
      <w:r w:rsidR="009744E0">
        <w:rPr>
          <w:rFonts w:eastAsia="Times New Roman" w:cs="Times New Roman"/>
          <w:szCs w:val="19"/>
          <w:lang w:val="en-GB" w:eastAsia="pl-PL"/>
        </w:rPr>
        <w:t>primary metals</w:t>
      </w:r>
      <w:r w:rsidRPr="006859A7">
        <w:rPr>
          <w:rFonts w:eastAsia="Times New Roman" w:cs="Times New Roman"/>
          <w:szCs w:val="19"/>
          <w:lang w:val="en-GB" w:eastAsia="pl-PL"/>
        </w:rPr>
        <w:t>, and the lowest in the textile industry.</w:t>
      </w:r>
    </w:p>
    <w:p w14:paraId="0D7393A1" w14:textId="747D5564" w:rsidR="00DE10D5" w:rsidRPr="00AF07ED" w:rsidRDefault="00DE10D5" w:rsidP="00DE10D5">
      <w:pPr>
        <w:spacing w:line="288" w:lineRule="auto"/>
        <w:rPr>
          <w:szCs w:val="19"/>
          <w:lang w:val="en-GB"/>
        </w:rPr>
      </w:pPr>
    </w:p>
    <w:p w14:paraId="77D06416" w14:textId="086FC18E" w:rsidR="006859A7" w:rsidRPr="00036D95" w:rsidRDefault="006859A7" w:rsidP="00AF07ED">
      <w:pPr>
        <w:spacing w:before="6840" w:line="288" w:lineRule="auto"/>
        <w:ind w:left="709" w:hanging="709"/>
        <w:rPr>
          <w:b/>
          <w:szCs w:val="19"/>
          <w:lang w:val="en-GB"/>
        </w:rPr>
      </w:pPr>
      <w:r w:rsidRPr="006859A7">
        <w:rPr>
          <w:b/>
          <w:szCs w:val="19"/>
          <w:lang w:val="en-GB"/>
        </w:rPr>
        <w:lastRenderedPageBreak/>
        <w:t>Table 3. Average annual rate of changes of energy intensity</w:t>
      </w:r>
      <w:r w:rsidR="00036D95">
        <w:rPr>
          <w:b/>
          <w:szCs w:val="19"/>
          <w:lang w:val="en-GB"/>
        </w:rPr>
        <w:t xml:space="preserve"> of industry</w:t>
      </w:r>
      <w:r w:rsidRPr="006859A7">
        <w:rPr>
          <w:b/>
          <w:szCs w:val="19"/>
          <w:lang w:val="en-GB"/>
        </w:rPr>
        <w:t xml:space="preserve"> in the years</w:t>
      </w:r>
      <w:r>
        <w:rPr>
          <w:lang w:val="en-GB"/>
        </w:rPr>
        <w:t xml:space="preserve"> </w:t>
      </w:r>
      <w:r w:rsidR="00DE10D5">
        <w:rPr>
          <w:lang w:val="en-GB"/>
        </w:rPr>
        <w:br/>
      </w:r>
      <w:r w:rsidRPr="006859A7">
        <w:rPr>
          <w:b/>
          <w:szCs w:val="19"/>
          <w:lang w:val="en-GB"/>
        </w:rPr>
        <w:t>2012–2021</w:t>
      </w:r>
      <w:r w:rsidR="00CB0D0E">
        <w:rPr>
          <w:b/>
          <w:szCs w:val="19"/>
          <w:lang w:val="en-GB"/>
        </w:rPr>
        <w:t xml:space="preserve"> (in %)</w:t>
      </w:r>
      <w:r w:rsidR="00036D95" w:rsidRPr="00036D95">
        <w:rPr>
          <w:b/>
          <w:szCs w:val="19"/>
          <w:vertAlign w:val="superscript"/>
          <w:lang w:val="en-GB"/>
        </w:rPr>
        <w:t>a</w:t>
      </w:r>
    </w:p>
    <w:tbl>
      <w:tblPr>
        <w:tblStyle w:val="Tabela-Siatka"/>
        <w:tblW w:w="0" w:type="auto"/>
        <w:tblBorders>
          <w:top w:val="single" w:sz="4" w:space="0" w:color="001D77"/>
          <w:left w:val="none" w:sz="0" w:space="0" w:color="auto"/>
          <w:bottom w:val="none" w:sz="0" w:space="0" w:color="auto"/>
          <w:right w:val="none" w:sz="0" w:space="0" w:color="auto"/>
          <w:insideH w:val="single" w:sz="4" w:space="0" w:color="001D77"/>
          <w:insideV w:val="single" w:sz="4" w:space="0" w:color="001D77"/>
        </w:tblBorders>
        <w:tblLook w:val="04A0" w:firstRow="1" w:lastRow="0" w:firstColumn="1" w:lastColumn="0" w:noHBand="0" w:noVBand="1"/>
        <w:tblCaption w:val="Table 3. Average annual rate of changes of energy intensity of industry in the years "/>
        <w:tblDescription w:val="The table shows the average annual change in energy intensity of value added between 2012 and 2021. The data for the table is provided in the attached excel file."/>
      </w:tblPr>
      <w:tblGrid>
        <w:gridCol w:w="5734"/>
        <w:gridCol w:w="2152"/>
      </w:tblGrid>
      <w:tr w:rsidR="006859A7" w:rsidRPr="00AF07ED" w14:paraId="4DB6AFF9" w14:textId="77777777" w:rsidTr="00036D95">
        <w:trPr>
          <w:trHeight w:val="477"/>
        </w:trPr>
        <w:tc>
          <w:tcPr>
            <w:tcW w:w="5734" w:type="dxa"/>
            <w:tcBorders>
              <w:bottom w:val="single" w:sz="12" w:space="0" w:color="001D77"/>
            </w:tcBorders>
          </w:tcPr>
          <w:p w14:paraId="109C8CF1" w14:textId="4B4CE251" w:rsidR="006859A7" w:rsidRPr="00036D95" w:rsidRDefault="00036D95" w:rsidP="001F31CA">
            <w:pPr>
              <w:jc w:val="both"/>
              <w:rPr>
                <w:szCs w:val="19"/>
              </w:rPr>
            </w:pPr>
            <w:proofErr w:type="spellStart"/>
            <w:r w:rsidRPr="00036D95">
              <w:t>Specification</w:t>
            </w:r>
            <w:proofErr w:type="spellEnd"/>
          </w:p>
        </w:tc>
        <w:tc>
          <w:tcPr>
            <w:tcW w:w="2152" w:type="dxa"/>
            <w:tcBorders>
              <w:bottom w:val="single" w:sz="12" w:space="0" w:color="001D77"/>
            </w:tcBorders>
            <w:vAlign w:val="center"/>
          </w:tcPr>
          <w:p w14:paraId="60D7B139" w14:textId="4FD950EE" w:rsidR="006859A7" w:rsidRPr="00036D95" w:rsidRDefault="00036D95" w:rsidP="00036D95">
            <w:pPr>
              <w:jc w:val="center"/>
              <w:rPr>
                <w:szCs w:val="19"/>
                <w:lang w:val="en-US"/>
              </w:rPr>
            </w:pPr>
            <w:r w:rsidRPr="00AF07ED">
              <w:rPr>
                <w:lang w:val="en-GB"/>
              </w:rPr>
              <w:t>Average annual rate of changes</w:t>
            </w:r>
          </w:p>
        </w:tc>
      </w:tr>
      <w:tr w:rsidR="006859A7" w:rsidRPr="00C779DE" w14:paraId="36957F14" w14:textId="77777777" w:rsidTr="00036D95">
        <w:trPr>
          <w:trHeight w:val="462"/>
        </w:trPr>
        <w:tc>
          <w:tcPr>
            <w:tcW w:w="5734" w:type="dxa"/>
            <w:tcBorders>
              <w:top w:val="single" w:sz="12" w:space="0" w:color="001D77"/>
            </w:tcBorders>
          </w:tcPr>
          <w:p w14:paraId="7489BC3F" w14:textId="77777777" w:rsidR="006859A7" w:rsidRPr="00C779DE" w:rsidRDefault="009744E0" w:rsidP="001F31CA">
            <w:pPr>
              <w:jc w:val="both"/>
              <w:rPr>
                <w:szCs w:val="19"/>
              </w:rPr>
            </w:pPr>
            <w:r>
              <w:t>Food</w:t>
            </w:r>
          </w:p>
        </w:tc>
        <w:tc>
          <w:tcPr>
            <w:tcW w:w="2152" w:type="dxa"/>
            <w:tcBorders>
              <w:top w:val="single" w:sz="12" w:space="0" w:color="001D77"/>
            </w:tcBorders>
          </w:tcPr>
          <w:p w14:paraId="6307A017" w14:textId="5E763EB3" w:rsidR="006859A7" w:rsidRPr="00C779DE" w:rsidRDefault="006859A7" w:rsidP="001F31CA">
            <w:pPr>
              <w:jc w:val="right"/>
            </w:pPr>
            <w:r w:rsidRPr="00F32340">
              <w:t>-1,4</w:t>
            </w:r>
          </w:p>
        </w:tc>
      </w:tr>
      <w:tr w:rsidR="006859A7" w:rsidRPr="00C779DE" w14:paraId="67F45BAC" w14:textId="77777777" w:rsidTr="00CB0D0E">
        <w:trPr>
          <w:trHeight w:val="477"/>
        </w:trPr>
        <w:tc>
          <w:tcPr>
            <w:tcW w:w="5734" w:type="dxa"/>
          </w:tcPr>
          <w:p w14:paraId="2038EB40" w14:textId="77777777" w:rsidR="006859A7" w:rsidRPr="00C779DE" w:rsidRDefault="009744E0" w:rsidP="001F31CA">
            <w:pPr>
              <w:jc w:val="both"/>
              <w:rPr>
                <w:szCs w:val="19"/>
              </w:rPr>
            </w:pPr>
            <w:proofErr w:type="spellStart"/>
            <w:r>
              <w:t>Textile</w:t>
            </w:r>
            <w:proofErr w:type="spellEnd"/>
          </w:p>
        </w:tc>
        <w:tc>
          <w:tcPr>
            <w:tcW w:w="2152" w:type="dxa"/>
          </w:tcPr>
          <w:p w14:paraId="42A5A694" w14:textId="2FDE2556" w:rsidR="006859A7" w:rsidRPr="00C779DE" w:rsidRDefault="006859A7" w:rsidP="001F31CA">
            <w:pPr>
              <w:jc w:val="right"/>
            </w:pPr>
            <w:r w:rsidRPr="00C779DE">
              <w:t>-</w:t>
            </w:r>
            <w:r w:rsidRPr="00F32340">
              <w:t>0,2</w:t>
            </w:r>
          </w:p>
        </w:tc>
      </w:tr>
      <w:tr w:rsidR="006859A7" w:rsidRPr="00C779DE" w14:paraId="1EBA600E" w14:textId="77777777" w:rsidTr="00CB0D0E">
        <w:trPr>
          <w:trHeight w:val="477"/>
        </w:trPr>
        <w:tc>
          <w:tcPr>
            <w:tcW w:w="5734" w:type="dxa"/>
          </w:tcPr>
          <w:p w14:paraId="246DC282" w14:textId="77777777" w:rsidR="006859A7" w:rsidRPr="00C779DE" w:rsidRDefault="009744E0" w:rsidP="001F31CA">
            <w:pPr>
              <w:jc w:val="both"/>
              <w:rPr>
                <w:szCs w:val="19"/>
              </w:rPr>
            </w:pPr>
            <w:r>
              <w:t>Wood</w:t>
            </w:r>
          </w:p>
        </w:tc>
        <w:tc>
          <w:tcPr>
            <w:tcW w:w="2152" w:type="dxa"/>
          </w:tcPr>
          <w:p w14:paraId="21CBB3B8" w14:textId="784B1F18" w:rsidR="006859A7" w:rsidRPr="00C779DE" w:rsidRDefault="006859A7" w:rsidP="001F31CA">
            <w:pPr>
              <w:jc w:val="right"/>
            </w:pPr>
            <w:r w:rsidRPr="00C779DE">
              <w:t>-</w:t>
            </w:r>
            <w:r w:rsidRPr="00F32340">
              <w:t>1,4</w:t>
            </w:r>
          </w:p>
        </w:tc>
      </w:tr>
      <w:tr w:rsidR="006859A7" w:rsidRPr="00C779DE" w14:paraId="475520F8" w14:textId="77777777" w:rsidTr="00CB0D0E">
        <w:trPr>
          <w:trHeight w:val="462"/>
        </w:trPr>
        <w:tc>
          <w:tcPr>
            <w:tcW w:w="5734" w:type="dxa"/>
          </w:tcPr>
          <w:p w14:paraId="6F03B420" w14:textId="77777777" w:rsidR="006859A7" w:rsidRPr="00C779DE" w:rsidRDefault="009744E0" w:rsidP="001F31CA">
            <w:pPr>
              <w:jc w:val="both"/>
              <w:rPr>
                <w:szCs w:val="19"/>
              </w:rPr>
            </w:pPr>
            <w:r>
              <w:t>Paper</w:t>
            </w:r>
          </w:p>
        </w:tc>
        <w:tc>
          <w:tcPr>
            <w:tcW w:w="2152" w:type="dxa"/>
          </w:tcPr>
          <w:p w14:paraId="7C2234EB" w14:textId="74F4C72A" w:rsidR="006859A7" w:rsidRPr="00C779DE" w:rsidRDefault="006859A7" w:rsidP="001F31CA">
            <w:pPr>
              <w:jc w:val="right"/>
            </w:pPr>
            <w:r w:rsidRPr="00F32340">
              <w:t>-1,5</w:t>
            </w:r>
          </w:p>
        </w:tc>
      </w:tr>
      <w:tr w:rsidR="006859A7" w:rsidRPr="00C779DE" w14:paraId="324795F6" w14:textId="77777777" w:rsidTr="00CB0D0E">
        <w:trPr>
          <w:trHeight w:val="477"/>
        </w:trPr>
        <w:tc>
          <w:tcPr>
            <w:tcW w:w="5734" w:type="dxa"/>
          </w:tcPr>
          <w:p w14:paraId="27DE9ED7" w14:textId="77777777" w:rsidR="006859A7" w:rsidRPr="00C779DE" w:rsidRDefault="009744E0" w:rsidP="001F31CA">
            <w:pPr>
              <w:jc w:val="both"/>
              <w:rPr>
                <w:szCs w:val="19"/>
              </w:rPr>
            </w:pPr>
            <w:proofErr w:type="spellStart"/>
            <w:r>
              <w:t>Chemical</w:t>
            </w:r>
            <w:proofErr w:type="spellEnd"/>
          </w:p>
        </w:tc>
        <w:tc>
          <w:tcPr>
            <w:tcW w:w="2152" w:type="dxa"/>
          </w:tcPr>
          <w:p w14:paraId="2280624B" w14:textId="6D898260" w:rsidR="006859A7" w:rsidRPr="00C779DE" w:rsidRDefault="006859A7" w:rsidP="001F31CA">
            <w:pPr>
              <w:jc w:val="right"/>
            </w:pPr>
            <w:r w:rsidRPr="00C779DE">
              <w:t>-</w:t>
            </w:r>
            <w:r w:rsidRPr="00F32340">
              <w:t>1,4</w:t>
            </w:r>
          </w:p>
        </w:tc>
      </w:tr>
      <w:tr w:rsidR="006859A7" w:rsidRPr="00C779DE" w14:paraId="272577B5" w14:textId="77777777" w:rsidTr="00CB0D0E">
        <w:trPr>
          <w:trHeight w:val="477"/>
        </w:trPr>
        <w:tc>
          <w:tcPr>
            <w:tcW w:w="5734" w:type="dxa"/>
          </w:tcPr>
          <w:p w14:paraId="7F50D97A" w14:textId="77777777" w:rsidR="006859A7" w:rsidRPr="00C779DE" w:rsidRDefault="009744E0" w:rsidP="001F31CA">
            <w:pPr>
              <w:jc w:val="both"/>
              <w:rPr>
                <w:szCs w:val="19"/>
              </w:rPr>
            </w:pPr>
            <w:proofErr w:type="spellStart"/>
            <w:r>
              <w:t>Mineral</w:t>
            </w:r>
            <w:proofErr w:type="spellEnd"/>
          </w:p>
        </w:tc>
        <w:tc>
          <w:tcPr>
            <w:tcW w:w="2152" w:type="dxa"/>
          </w:tcPr>
          <w:p w14:paraId="5BB418BA" w14:textId="4F5BA146" w:rsidR="006859A7" w:rsidRPr="00C779DE" w:rsidRDefault="006859A7" w:rsidP="001F31CA">
            <w:pPr>
              <w:jc w:val="right"/>
            </w:pPr>
            <w:r w:rsidRPr="00C779DE">
              <w:t>-</w:t>
            </w:r>
            <w:r w:rsidRPr="00F32340">
              <w:t>3,7</w:t>
            </w:r>
          </w:p>
        </w:tc>
      </w:tr>
      <w:tr w:rsidR="006859A7" w:rsidRPr="00C779DE" w14:paraId="5517CBAF" w14:textId="77777777" w:rsidTr="00CB0D0E">
        <w:trPr>
          <w:trHeight w:val="462"/>
        </w:trPr>
        <w:tc>
          <w:tcPr>
            <w:tcW w:w="5734" w:type="dxa"/>
          </w:tcPr>
          <w:p w14:paraId="636E0FF3" w14:textId="77777777" w:rsidR="006859A7" w:rsidRPr="00C779DE" w:rsidRDefault="009744E0" w:rsidP="001F31CA">
            <w:pPr>
              <w:jc w:val="both"/>
              <w:rPr>
                <w:szCs w:val="19"/>
              </w:rPr>
            </w:pPr>
            <w:proofErr w:type="spellStart"/>
            <w:r>
              <w:t>Primary</w:t>
            </w:r>
            <w:proofErr w:type="spellEnd"/>
            <w:r>
              <w:t xml:space="preserve"> </w:t>
            </w:r>
            <w:proofErr w:type="spellStart"/>
            <w:r>
              <w:t>metals</w:t>
            </w:r>
            <w:proofErr w:type="spellEnd"/>
          </w:p>
        </w:tc>
        <w:tc>
          <w:tcPr>
            <w:tcW w:w="2152" w:type="dxa"/>
          </w:tcPr>
          <w:p w14:paraId="1066DC22" w14:textId="0946D2C6" w:rsidR="006859A7" w:rsidRPr="00C779DE" w:rsidRDefault="006859A7" w:rsidP="001F31CA">
            <w:pPr>
              <w:jc w:val="right"/>
            </w:pPr>
            <w:r w:rsidRPr="00F32340">
              <w:t>-3,1</w:t>
            </w:r>
          </w:p>
        </w:tc>
      </w:tr>
      <w:tr w:rsidR="006859A7" w:rsidRPr="00C779DE" w14:paraId="64FC7879" w14:textId="77777777" w:rsidTr="00CB0D0E">
        <w:trPr>
          <w:trHeight w:val="477"/>
        </w:trPr>
        <w:tc>
          <w:tcPr>
            <w:tcW w:w="5734" w:type="dxa"/>
          </w:tcPr>
          <w:p w14:paraId="0CEDCF6B" w14:textId="77777777" w:rsidR="006859A7" w:rsidRPr="00C779DE" w:rsidRDefault="009744E0" w:rsidP="001F31CA">
            <w:pPr>
              <w:jc w:val="both"/>
              <w:rPr>
                <w:szCs w:val="19"/>
              </w:rPr>
            </w:pPr>
            <w:proofErr w:type="spellStart"/>
            <w:r>
              <w:t>Machinery</w:t>
            </w:r>
            <w:proofErr w:type="spellEnd"/>
          </w:p>
        </w:tc>
        <w:tc>
          <w:tcPr>
            <w:tcW w:w="2152" w:type="dxa"/>
          </w:tcPr>
          <w:p w14:paraId="1A3B035B" w14:textId="7D10AF52" w:rsidR="006859A7" w:rsidRPr="00C779DE" w:rsidRDefault="006859A7" w:rsidP="001F31CA">
            <w:pPr>
              <w:jc w:val="right"/>
            </w:pPr>
            <w:r w:rsidRPr="00C779DE">
              <w:t>-</w:t>
            </w:r>
            <w:r w:rsidRPr="00F32340">
              <w:t>4,1</w:t>
            </w:r>
          </w:p>
        </w:tc>
      </w:tr>
      <w:tr w:rsidR="006859A7" w:rsidRPr="00C779DE" w14:paraId="1A1F24E2" w14:textId="77777777" w:rsidTr="00CB0D0E">
        <w:trPr>
          <w:trHeight w:val="477"/>
        </w:trPr>
        <w:tc>
          <w:tcPr>
            <w:tcW w:w="5734" w:type="dxa"/>
          </w:tcPr>
          <w:p w14:paraId="44A69F8F" w14:textId="68B0A9B5" w:rsidR="006859A7" w:rsidRPr="00C779DE" w:rsidRDefault="009744E0" w:rsidP="001F31CA">
            <w:pPr>
              <w:jc w:val="both"/>
              <w:rPr>
                <w:szCs w:val="19"/>
              </w:rPr>
            </w:pPr>
            <w:r>
              <w:t xml:space="preserve">Transport </w:t>
            </w:r>
            <w:proofErr w:type="spellStart"/>
            <w:r>
              <w:t>equipment</w:t>
            </w:r>
            <w:proofErr w:type="spellEnd"/>
          </w:p>
        </w:tc>
        <w:tc>
          <w:tcPr>
            <w:tcW w:w="2152" w:type="dxa"/>
          </w:tcPr>
          <w:p w14:paraId="4744167A" w14:textId="0422E23E" w:rsidR="006859A7" w:rsidRPr="00C779DE" w:rsidRDefault="006859A7" w:rsidP="001F31CA">
            <w:pPr>
              <w:jc w:val="right"/>
            </w:pPr>
            <w:r>
              <w:t>-</w:t>
            </w:r>
            <w:r w:rsidRPr="00F32340">
              <w:t>0,8</w:t>
            </w:r>
          </w:p>
        </w:tc>
      </w:tr>
      <w:tr w:rsidR="006859A7" w:rsidRPr="00086799" w14:paraId="677BA12C" w14:textId="77777777" w:rsidTr="00CB0D0E">
        <w:trPr>
          <w:trHeight w:val="462"/>
        </w:trPr>
        <w:tc>
          <w:tcPr>
            <w:tcW w:w="5734" w:type="dxa"/>
          </w:tcPr>
          <w:p w14:paraId="37D6AE6B" w14:textId="21C8B54B" w:rsidR="006859A7" w:rsidRPr="00C779DE" w:rsidRDefault="009744E0" w:rsidP="001F31CA">
            <w:pPr>
              <w:jc w:val="both"/>
              <w:rPr>
                <w:szCs w:val="19"/>
              </w:rPr>
            </w:pPr>
            <w:proofErr w:type="spellStart"/>
            <w:r>
              <w:t>Other</w:t>
            </w:r>
            <w:proofErr w:type="spellEnd"/>
          </w:p>
        </w:tc>
        <w:tc>
          <w:tcPr>
            <w:tcW w:w="2152" w:type="dxa"/>
          </w:tcPr>
          <w:p w14:paraId="41EE212D" w14:textId="494E04F8" w:rsidR="006859A7" w:rsidRPr="00C779DE" w:rsidRDefault="006859A7" w:rsidP="001F31CA">
            <w:pPr>
              <w:jc w:val="right"/>
            </w:pPr>
            <w:r w:rsidRPr="00C779DE">
              <w:t>-</w:t>
            </w:r>
            <w:r w:rsidRPr="00F32340">
              <w:t>2,1</w:t>
            </w:r>
          </w:p>
        </w:tc>
      </w:tr>
    </w:tbl>
    <w:p w14:paraId="0CE30F6C" w14:textId="50E64FBB" w:rsidR="00444C85" w:rsidRPr="003E1BC7" w:rsidRDefault="00036D95" w:rsidP="00A71396">
      <w:pPr>
        <w:spacing w:line="288" w:lineRule="auto"/>
        <w:rPr>
          <w:rFonts w:eastAsia="Times New Roman" w:cs="Times New Roman"/>
          <w:szCs w:val="19"/>
          <w:lang w:val="en-GB" w:eastAsia="pl-PL"/>
        </w:rPr>
      </w:pPr>
      <w:r w:rsidRPr="003E1BC7">
        <w:rPr>
          <w:rFonts w:eastAsia="Times New Roman" w:cs="Times New Roman"/>
          <w:szCs w:val="19"/>
          <w:vertAlign w:val="superscript"/>
          <w:lang w:val="en-GB" w:eastAsia="pl-PL"/>
        </w:rPr>
        <w:t>a</w:t>
      </w:r>
      <w:r w:rsidRPr="003E1BC7">
        <w:rPr>
          <w:rFonts w:eastAsia="Times New Roman" w:cs="Times New Roman"/>
          <w:szCs w:val="19"/>
          <w:lang w:val="en-GB" w:eastAsia="pl-PL"/>
        </w:rPr>
        <w:t xml:space="preserve"> Provisional data</w:t>
      </w:r>
    </w:p>
    <w:p w14:paraId="08D100E5" w14:textId="2E8D8A9B" w:rsidR="00DE10D5" w:rsidRDefault="00AF07ED" w:rsidP="00DE10D5">
      <w:pPr>
        <w:spacing w:line="312" w:lineRule="auto"/>
        <w:rPr>
          <w:rFonts w:eastAsia="Times New Roman" w:cs="Times New Roman"/>
          <w:szCs w:val="19"/>
          <w:lang w:val="en-GB" w:eastAsia="pl-PL"/>
        </w:rPr>
      </w:pPr>
      <w:r w:rsidRPr="00021B0E">
        <w:rPr>
          <w:b/>
          <w:noProof/>
          <w:spacing w:val="-2"/>
          <w:szCs w:val="19"/>
          <w:lang w:eastAsia="pl-PL"/>
        </w:rPr>
        <mc:AlternateContent>
          <mc:Choice Requires="wps">
            <w:drawing>
              <wp:anchor distT="45720" distB="45720" distL="114300" distR="114300" simplePos="0" relativeHeight="251673600" behindDoc="1" locked="0" layoutInCell="1" allowOverlap="1" wp14:anchorId="7DE28D46" wp14:editId="435191C7">
                <wp:simplePos x="0" y="0"/>
                <wp:positionH relativeFrom="column">
                  <wp:posOffset>5207280</wp:posOffset>
                </wp:positionH>
                <wp:positionV relativeFrom="paragraph">
                  <wp:posOffset>268732</wp:posOffset>
                </wp:positionV>
                <wp:extent cx="1796415" cy="904875"/>
                <wp:effectExtent l="0" t="0" r="0" b="0"/>
                <wp:wrapTight wrapText="bothSides">
                  <wp:wrapPolygon edited="0">
                    <wp:start x="687" y="0"/>
                    <wp:lineTo x="687" y="20918"/>
                    <wp:lineTo x="20844" y="20918"/>
                    <wp:lineTo x="20844" y="0"/>
                    <wp:lineTo x="687" y="0"/>
                  </wp:wrapPolygon>
                </wp:wrapTight>
                <wp:docPr id="18" name="Pole tekstowe 18" descr="Between 2017 and 2021, structural changes resulted in a reduction in the energy intensity of the manufacturing industry by 0.7%/ye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6415" cy="904875"/>
                        </a:xfrm>
                        <a:prstGeom prst="rect">
                          <a:avLst/>
                        </a:prstGeom>
                        <a:noFill/>
                        <a:ln w="9525">
                          <a:noFill/>
                          <a:miter lim="800000"/>
                          <a:headEnd/>
                          <a:tailEnd/>
                        </a:ln>
                      </wps:spPr>
                      <wps:txbx>
                        <w:txbxContent>
                          <w:p w14:paraId="17E9BBFE" w14:textId="0B9D7BEA" w:rsidR="00E7705B" w:rsidRPr="003E1BC7" w:rsidRDefault="003E1BC7" w:rsidP="003E1BC7">
                            <w:pPr>
                              <w:spacing w:before="0" w:after="0"/>
                              <w:rPr>
                                <w:rFonts w:eastAsia="Times New Roman" w:cs="Times New Roman"/>
                                <w:bCs/>
                                <w:color w:val="001D77"/>
                                <w:sz w:val="18"/>
                                <w:szCs w:val="18"/>
                                <w:lang w:val="en-GB" w:eastAsia="pl-PL"/>
                              </w:rPr>
                            </w:pPr>
                            <w:r w:rsidRPr="003E1BC7">
                              <w:rPr>
                                <w:rFonts w:eastAsia="Times New Roman" w:cs="Times New Roman"/>
                                <w:bCs/>
                                <w:color w:val="001D77"/>
                                <w:sz w:val="18"/>
                                <w:szCs w:val="18"/>
                                <w:lang w:val="en-GB" w:eastAsia="pl-PL"/>
                              </w:rPr>
                              <w:t>Between 2017 and 2021, structural changes resulted in a reduction in the energy intensity of the manufacturing industry by 0.7%/year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E28D46" id="_x0000_t202" coordsize="21600,21600" o:spt="202" path="m,l,21600r21600,l21600,xe">
                <v:stroke joinstyle="miter"/>
                <v:path gradientshapeok="t" o:connecttype="rect"/>
              </v:shapetype>
              <v:shape id="Pole tekstowe 18" o:spid="_x0000_s1029" type="#_x0000_t202" alt="Between 2017 and 2021, structural changes resulted in a reduction in the energy intensity of the manufacturing industry by 0.7%/year" style="position:absolute;margin-left:410pt;margin-top:21.15pt;width:141.45pt;height:71.25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" filled="f" stroked="f">
                <v:textbox>
                  <w:txbxContent>
                    <w:p w14:paraId="17E9BBFE" w14:textId="0B9D7BEA" w:rsidR="00E7705B" w:rsidRPr="003E1BC7" w:rsidRDefault="003E1BC7" w:rsidP="003E1BC7">
                      <w:pPr>
                        <w:spacing w:before="0" w:after="0"/>
                        <w:rPr>
                          <w:rFonts w:eastAsia="Times New Roman" w:cs="Times New Roman"/>
                          <w:bCs/>
                          <w:color w:val="001D77"/>
                          <w:sz w:val="18"/>
                          <w:szCs w:val="18"/>
                          <w:lang w:val="en-GB" w:eastAsia="pl-PL"/>
                        </w:rPr>
                      </w:pPr>
                      <w:r w:rsidRPr="003E1BC7">
                        <w:rPr>
                          <w:rFonts w:eastAsia="Times New Roman" w:cs="Times New Roman"/>
                          <w:bCs/>
                          <w:color w:val="001D77"/>
                          <w:sz w:val="18"/>
                          <w:szCs w:val="18"/>
                          <w:lang w:val="en-GB" w:eastAsia="pl-PL"/>
                        </w:rPr>
                        <w:t>Between 2017 and 2021, structural changes resulted in a reduction in the energy intensity of the manufacturing industry by 0.7%/year</w:t>
                      </w:r>
                    </w:p>
                  </w:txbxContent>
                </v:textbox>
                <w10:wrap type="tight"/>
              </v:shape>
            </w:pict>
          </mc:Fallback>
        </mc:AlternateContent>
      </w:r>
    </w:p>
    <w:p w14:paraId="2E66C5FB" w14:textId="37E289E6" w:rsidR="00444C85" w:rsidRDefault="00036D95" w:rsidP="00DE10D5">
      <w:pPr>
        <w:spacing w:line="312" w:lineRule="auto"/>
        <w:rPr>
          <w:rFonts w:eastAsia="Times New Roman" w:cs="Times New Roman"/>
          <w:szCs w:val="19"/>
          <w:lang w:val="en-GB" w:eastAsia="pl-PL"/>
        </w:rPr>
      </w:pPr>
      <w:r w:rsidRPr="00036D95">
        <w:rPr>
          <w:rFonts w:eastAsia="Times New Roman" w:cs="Times New Roman"/>
          <w:szCs w:val="19"/>
          <w:lang w:val="en-GB" w:eastAsia="pl-PL"/>
        </w:rPr>
        <w:t xml:space="preserve">Between 2017 and 2021, the cumulative growth rate of energy intensity of manufacturing industry </w:t>
      </w:r>
      <w:r>
        <w:rPr>
          <w:rFonts w:eastAsia="Times New Roman" w:cs="Times New Roman"/>
          <w:szCs w:val="19"/>
          <w:lang w:val="en-GB" w:eastAsia="pl-PL"/>
        </w:rPr>
        <w:t>amounted to</w:t>
      </w:r>
      <w:r w:rsidRPr="00036D95">
        <w:rPr>
          <w:rFonts w:eastAsia="Times New Roman" w:cs="Times New Roman"/>
          <w:szCs w:val="19"/>
          <w:lang w:val="en-GB" w:eastAsia="pl-PL"/>
        </w:rPr>
        <w:t xml:space="preserve"> 0.25%/year. Structural changes contributed to its decrease by 0.7%/year, while energy intensity in a fixed structure, i.e. after eliminating the impact of changing shares of individual industries in the total volume of manufacturing industry, decreased by 0.5%/year.</w:t>
      </w:r>
    </w:p>
    <w:p w14:paraId="74AF4369" w14:textId="05AF67DF" w:rsidR="00F55314" w:rsidRPr="00AF07ED" w:rsidRDefault="00F55314" w:rsidP="00036D95">
      <w:pPr>
        <w:spacing w:line="288" w:lineRule="auto"/>
        <w:rPr>
          <w:b/>
          <w:szCs w:val="19"/>
          <w:lang w:val="en-GB"/>
        </w:rPr>
      </w:pPr>
      <w:r>
        <w:rPr>
          <w:rFonts w:eastAsia="Times New Roman" w:cs="Times New Roman"/>
          <w:noProof/>
          <w:szCs w:val="19"/>
          <w:lang w:val="en-GB" w:eastAsia="pl-PL"/>
        </w:rPr>
        <w:drawing>
          <wp:anchor distT="0" distB="0" distL="114300" distR="114300" simplePos="0" relativeHeight="251676672" behindDoc="0" locked="0" layoutInCell="1" allowOverlap="1" wp14:anchorId="5F3183F0" wp14:editId="0B001A55">
            <wp:simplePos x="0" y="0"/>
            <wp:positionH relativeFrom="margin">
              <wp:align>left</wp:align>
            </wp:positionH>
            <wp:positionV relativeFrom="paragraph">
              <wp:posOffset>344805</wp:posOffset>
            </wp:positionV>
            <wp:extent cx="5151755" cy="2609215"/>
            <wp:effectExtent l="0" t="0" r="0" b="0"/>
            <wp:wrapSquare wrapText="bothSides"/>
            <wp:docPr id="39" name="Obraz 39" descr="Column chart showing the role of structural change in energy intensity of manufacturing  industry between 2012-2016 and 2017-2021 expressed in %/year. The data for the chart is provided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51755" cy="2609215"/>
                    </a:xfrm>
                    <a:prstGeom prst="rect">
                      <a:avLst/>
                    </a:prstGeom>
                    <a:noFill/>
                  </pic:spPr>
                </pic:pic>
              </a:graphicData>
            </a:graphic>
          </wp:anchor>
        </w:drawing>
      </w:r>
      <w:r w:rsidR="00DE10D5" w:rsidRPr="00DE10D5">
        <w:rPr>
          <w:rFonts w:eastAsia="Times New Roman" w:cs="Times New Roman"/>
          <w:b/>
          <w:szCs w:val="19"/>
          <w:lang w:val="en-GB" w:eastAsia="pl-PL"/>
        </w:rPr>
        <w:t>Ch</w:t>
      </w:r>
      <w:r w:rsidR="00DE10D5" w:rsidRPr="00AF07ED">
        <w:rPr>
          <w:b/>
          <w:szCs w:val="19"/>
          <w:lang w:val="en-GB"/>
        </w:rPr>
        <w:t>art 3. Energy intensity of manufacturing – role of structural changes (%/year)</w:t>
      </w:r>
    </w:p>
    <w:p w14:paraId="09C96126" w14:textId="479DB007" w:rsidR="00F55314" w:rsidRDefault="00F55314" w:rsidP="00036D95">
      <w:pPr>
        <w:spacing w:line="288" w:lineRule="auto"/>
        <w:rPr>
          <w:rFonts w:eastAsia="Times New Roman" w:cs="Times New Roman"/>
          <w:szCs w:val="19"/>
          <w:lang w:val="en-GB" w:eastAsia="pl-PL"/>
        </w:rPr>
      </w:pPr>
    </w:p>
    <w:p w14:paraId="37C605ED" w14:textId="0C29E144" w:rsidR="00E7705B" w:rsidRPr="00AF07ED" w:rsidRDefault="00E7705B" w:rsidP="00E7705B">
      <w:pPr>
        <w:pStyle w:val="Nagwek1"/>
        <w:spacing w:before="360" w:line="240" w:lineRule="auto"/>
        <w:rPr>
          <w:rFonts w:ascii="Fira Sans" w:eastAsia="Times New Roman" w:hAnsi="Fira Sans" w:cs="Times New Roman"/>
          <w:b/>
          <w:bCs/>
          <w:color w:val="001D77"/>
          <w:sz w:val="19"/>
          <w:szCs w:val="19"/>
          <w:lang w:val="en-GB" w:eastAsia="pl-PL"/>
        </w:rPr>
      </w:pPr>
      <w:r w:rsidRPr="00AF07ED">
        <w:rPr>
          <w:rFonts w:ascii="Fira Sans" w:eastAsia="Times New Roman" w:hAnsi="Fira Sans" w:cs="Times New Roman"/>
          <w:b/>
          <w:bCs/>
          <w:color w:val="001D77"/>
          <w:sz w:val="19"/>
          <w:szCs w:val="19"/>
          <w:lang w:val="en-GB" w:eastAsia="pl-PL"/>
        </w:rPr>
        <w:t>ODEX indicator</w:t>
      </w:r>
    </w:p>
    <w:p w14:paraId="4CA8B186" w14:textId="5E727CE2" w:rsidR="003E1BC7" w:rsidRPr="003E1BC7" w:rsidRDefault="003E1BC7" w:rsidP="00DE10D5">
      <w:pPr>
        <w:spacing w:line="312" w:lineRule="auto"/>
        <w:rPr>
          <w:szCs w:val="19"/>
          <w:lang w:val="en-GB"/>
        </w:rPr>
      </w:pPr>
      <w:r w:rsidRPr="00021B0E">
        <w:rPr>
          <w:b/>
          <w:noProof/>
          <w:spacing w:val="-2"/>
          <w:szCs w:val="19"/>
          <w:lang w:eastAsia="pl-PL"/>
        </w:rPr>
        <mc:AlternateContent>
          <mc:Choice Requires="wps">
            <w:drawing>
              <wp:anchor distT="45720" distB="45720" distL="114300" distR="114300" simplePos="0" relativeHeight="251675648" behindDoc="1" locked="0" layoutInCell="1" allowOverlap="1" wp14:anchorId="24ED14D6" wp14:editId="20915888">
                <wp:simplePos x="0" y="0"/>
                <wp:positionH relativeFrom="column">
                  <wp:posOffset>5229225</wp:posOffset>
                </wp:positionH>
                <wp:positionV relativeFrom="paragraph">
                  <wp:posOffset>93980</wp:posOffset>
                </wp:positionV>
                <wp:extent cx="1796415" cy="876300"/>
                <wp:effectExtent l="0" t="0" r="0" b="0"/>
                <wp:wrapTight wrapText="bothSides">
                  <wp:wrapPolygon edited="0">
                    <wp:start x="687" y="0"/>
                    <wp:lineTo x="687" y="21130"/>
                    <wp:lineTo x="20844" y="21130"/>
                    <wp:lineTo x="20844" y="0"/>
                    <wp:lineTo x="687" y="0"/>
                  </wp:wrapPolygon>
                </wp:wrapTight>
                <wp:docPr id="13" name="Pole tekstowe 13" descr="The fastest rate of improvement (1.3%/year) was recorded in in industry, the slowest - in transport (0.9%/ye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6415" cy="876300"/>
                        </a:xfrm>
                        <a:prstGeom prst="rect">
                          <a:avLst/>
                        </a:prstGeom>
                        <a:noFill/>
                        <a:ln w="9525">
                          <a:noFill/>
                          <a:miter lim="800000"/>
                          <a:headEnd/>
                          <a:tailEnd/>
                        </a:ln>
                      </wps:spPr>
                      <wps:txbx>
                        <w:txbxContent>
                          <w:p w14:paraId="32692A09" w14:textId="0215CE74" w:rsidR="003E1BC7" w:rsidRPr="001B7826" w:rsidRDefault="003E1BC7" w:rsidP="003E1BC7">
                            <w:pPr>
                              <w:spacing w:before="0" w:after="0"/>
                              <w:rPr>
                                <w:rFonts w:eastAsia="Times New Roman" w:cs="Times New Roman"/>
                                <w:bCs/>
                                <w:color w:val="001D77"/>
                                <w:sz w:val="18"/>
                                <w:szCs w:val="18"/>
                                <w:lang w:val="en-GB" w:eastAsia="pl-PL"/>
                              </w:rPr>
                            </w:pPr>
                            <w:r w:rsidRPr="003E1BC7">
                              <w:rPr>
                                <w:rFonts w:eastAsia="Times New Roman" w:cs="Times New Roman"/>
                                <w:bCs/>
                                <w:color w:val="001D77"/>
                                <w:sz w:val="18"/>
                                <w:szCs w:val="18"/>
                                <w:lang w:val="en-GB" w:eastAsia="pl-PL"/>
                              </w:rPr>
                              <w:t>The fastest rate of improvement (1.3%</w:t>
                            </w:r>
                            <w:r>
                              <w:rPr>
                                <w:rFonts w:eastAsia="Times New Roman" w:cs="Times New Roman"/>
                                <w:bCs/>
                                <w:color w:val="001D77"/>
                                <w:sz w:val="18"/>
                                <w:szCs w:val="18"/>
                                <w:lang w:val="en-GB" w:eastAsia="pl-PL"/>
                              </w:rPr>
                              <w:t>/year</w:t>
                            </w:r>
                            <w:r w:rsidRPr="003E1BC7">
                              <w:rPr>
                                <w:rFonts w:eastAsia="Times New Roman" w:cs="Times New Roman"/>
                                <w:bCs/>
                                <w:color w:val="001D77"/>
                                <w:sz w:val="18"/>
                                <w:szCs w:val="18"/>
                                <w:lang w:val="en-GB" w:eastAsia="pl-PL"/>
                              </w:rPr>
                              <w:t>) was recorded in in industry, the slowest - in transport (0.9%/year)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ED14D6" id="Pole tekstowe 13" o:spid="_x0000_s1030" type="#_x0000_t202" alt="The fastest rate of improvement (1.3%/year) was recorded in in industry, the slowest - in transport (0.9%/year)" style="position:absolute;margin-left:411.75pt;margin-top:7.4pt;width:141.45pt;height:69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" filled="f" stroked="f">
                <v:textbox>
                  <w:txbxContent>
                    <w:p w14:paraId="32692A09" w14:textId="0215CE74" w:rsidR="003E1BC7" w:rsidRPr="001B7826" w:rsidRDefault="003E1BC7" w:rsidP="003E1BC7">
                      <w:pPr>
                        <w:spacing w:before="0" w:after="0"/>
                        <w:rPr>
                          <w:rFonts w:eastAsia="Times New Roman" w:cs="Times New Roman"/>
                          <w:bCs/>
                          <w:color w:val="001D77"/>
                          <w:sz w:val="18"/>
                          <w:szCs w:val="18"/>
                          <w:lang w:val="en-GB" w:eastAsia="pl-PL"/>
                        </w:rPr>
                      </w:pPr>
                      <w:r w:rsidRPr="003E1BC7">
                        <w:rPr>
                          <w:rFonts w:eastAsia="Times New Roman" w:cs="Times New Roman"/>
                          <w:bCs/>
                          <w:color w:val="001D77"/>
                          <w:sz w:val="18"/>
                          <w:szCs w:val="18"/>
                          <w:lang w:val="en-GB" w:eastAsia="pl-PL"/>
                        </w:rPr>
                        <w:t>The fastest rate of improvement (1.3%</w:t>
                      </w:r>
                      <w:r>
                        <w:rPr>
                          <w:rFonts w:eastAsia="Times New Roman" w:cs="Times New Roman"/>
                          <w:bCs/>
                          <w:color w:val="001D77"/>
                          <w:sz w:val="18"/>
                          <w:szCs w:val="18"/>
                          <w:lang w:val="en-GB" w:eastAsia="pl-PL"/>
                        </w:rPr>
                        <w:t>/year</w:t>
                      </w:r>
                      <w:r w:rsidRPr="003E1BC7">
                        <w:rPr>
                          <w:rFonts w:eastAsia="Times New Roman" w:cs="Times New Roman"/>
                          <w:bCs/>
                          <w:color w:val="001D77"/>
                          <w:sz w:val="18"/>
                          <w:szCs w:val="18"/>
                          <w:lang w:val="en-GB" w:eastAsia="pl-PL"/>
                        </w:rPr>
                        <w:t>) was recorded in in industry, the slowest - in transport (0.9%/year)</w:t>
                      </w:r>
                    </w:p>
                  </w:txbxContent>
                </v:textbox>
                <w10:wrap type="tight"/>
              </v:shape>
            </w:pict>
          </mc:Fallback>
        </mc:AlternateContent>
      </w:r>
      <w:r w:rsidRPr="003E1BC7">
        <w:rPr>
          <w:szCs w:val="19"/>
          <w:lang w:val="en-GB"/>
        </w:rPr>
        <w:t xml:space="preserve">The ODEX </w:t>
      </w:r>
      <w:r>
        <w:rPr>
          <w:szCs w:val="19"/>
          <w:lang w:val="en-GB"/>
        </w:rPr>
        <w:t>indicator</w:t>
      </w:r>
      <w:r w:rsidRPr="003E1BC7">
        <w:rPr>
          <w:szCs w:val="19"/>
          <w:lang w:val="en-GB"/>
        </w:rPr>
        <w:t xml:space="preserve"> (base year 2000=100) decreased from 77.5 to 70.7 points between 2011 and 2021. The cumulative rate of improvement </w:t>
      </w:r>
      <w:r>
        <w:rPr>
          <w:szCs w:val="19"/>
          <w:lang w:val="en-GB"/>
        </w:rPr>
        <w:t>amounted to</w:t>
      </w:r>
      <w:r w:rsidRPr="003E1BC7">
        <w:rPr>
          <w:szCs w:val="19"/>
          <w:lang w:val="en-GB"/>
        </w:rPr>
        <w:t xml:space="preserve"> 0.9%/year. The fastest rate of improvement (by 1.3%/year) was in industry, for which the value </w:t>
      </w:r>
      <w:r>
        <w:rPr>
          <w:szCs w:val="19"/>
          <w:lang w:val="en-GB"/>
        </w:rPr>
        <w:t>of indicator</w:t>
      </w:r>
      <w:r w:rsidRPr="003E1BC7">
        <w:rPr>
          <w:szCs w:val="19"/>
          <w:lang w:val="en-GB"/>
        </w:rPr>
        <w:t xml:space="preserve"> was 45.7 points in 2021. The slowest rate of improvement was</w:t>
      </w:r>
      <w:r>
        <w:rPr>
          <w:szCs w:val="19"/>
          <w:lang w:val="en-GB"/>
        </w:rPr>
        <w:t xml:space="preserve"> observed</w:t>
      </w:r>
      <w:r w:rsidRPr="003E1BC7">
        <w:rPr>
          <w:szCs w:val="19"/>
          <w:lang w:val="en-GB"/>
        </w:rPr>
        <w:t xml:space="preserve"> in the transport sector, where the annual improvement between 2012 and 2021 </w:t>
      </w:r>
      <w:r>
        <w:rPr>
          <w:szCs w:val="19"/>
          <w:lang w:val="en-GB"/>
        </w:rPr>
        <w:t>amounted to</w:t>
      </w:r>
      <w:r w:rsidRPr="003E1BC7">
        <w:rPr>
          <w:szCs w:val="19"/>
          <w:lang w:val="en-GB"/>
        </w:rPr>
        <w:t xml:space="preserve"> 0.9%. In the household sector, the average rate of improvement was 1.2%, with the value </w:t>
      </w:r>
      <w:r>
        <w:rPr>
          <w:szCs w:val="19"/>
          <w:lang w:val="en-GB"/>
        </w:rPr>
        <w:t>of indicator</w:t>
      </w:r>
      <w:r w:rsidRPr="003E1BC7">
        <w:rPr>
          <w:szCs w:val="19"/>
          <w:lang w:val="en-GB"/>
        </w:rPr>
        <w:t xml:space="preserve"> of 75.9 points.</w:t>
      </w:r>
    </w:p>
    <w:p w14:paraId="7E2848DF" w14:textId="72733CCF" w:rsidR="003E1BC7" w:rsidRPr="00DE10D5" w:rsidRDefault="00DE10D5" w:rsidP="00DE10D5">
      <w:pPr>
        <w:spacing w:before="360" w:line="240" w:lineRule="auto"/>
        <w:jc w:val="both"/>
        <w:rPr>
          <w:b/>
          <w:szCs w:val="19"/>
        </w:rPr>
      </w:pPr>
      <w:r w:rsidRPr="00DE10D5">
        <w:rPr>
          <w:b/>
          <w:szCs w:val="19"/>
        </w:rPr>
        <w:t>Chart 4. ODEX indicator</w:t>
      </w:r>
    </w:p>
    <w:p w14:paraId="467396B9" w14:textId="1FE0B13B" w:rsidR="003E1BC7" w:rsidRDefault="00A3080F" w:rsidP="00A71396">
      <w:pPr>
        <w:spacing w:line="288" w:lineRule="auto"/>
        <w:rPr>
          <w:rFonts w:eastAsia="Times New Roman" w:cs="Times New Roman"/>
          <w:szCs w:val="19"/>
          <w:lang w:val="en-GB" w:eastAsia="pl-PL"/>
        </w:rPr>
      </w:pPr>
      <w:r>
        <w:rPr>
          <w:rFonts w:eastAsia="Times New Roman" w:cs="Times New Roman"/>
          <w:noProof/>
          <w:szCs w:val="19"/>
          <w:lang w:val="en-GB" w:eastAsia="pl-PL"/>
        </w:rPr>
        <w:drawing>
          <wp:inline distT="0" distB="0" distL="0" distR="0" wp14:anchorId="0C257122" wp14:editId="208DB6BB">
            <wp:extent cx="4968875" cy="2621280"/>
            <wp:effectExtent l="0" t="0" r="0" b="0"/>
            <wp:docPr id="41" name="Obraz 41" descr="Line chart showing the change in ODEX values for total and for industry, transport and households from 2011 to 2021 with a base of 2000=100. Data for the chart is provided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68875" cy="2621280"/>
                    </a:xfrm>
                    <a:prstGeom prst="rect">
                      <a:avLst/>
                    </a:prstGeom>
                    <a:noFill/>
                  </pic:spPr>
                </pic:pic>
              </a:graphicData>
            </a:graphic>
          </wp:inline>
        </w:drawing>
      </w:r>
    </w:p>
    <w:p w14:paraId="0EDAAE02" w14:textId="765247CF" w:rsidR="003E1BC7" w:rsidRPr="003E1BC7" w:rsidRDefault="003E1BC7" w:rsidP="00A71396">
      <w:pPr>
        <w:spacing w:line="288" w:lineRule="auto"/>
        <w:rPr>
          <w:rFonts w:eastAsia="Times New Roman" w:cs="Times New Roman"/>
          <w:szCs w:val="19"/>
          <w:lang w:eastAsia="pl-PL"/>
        </w:rPr>
      </w:pPr>
    </w:p>
    <w:p w14:paraId="4B2DD026" w14:textId="27A81154" w:rsidR="003E1BC7" w:rsidRPr="00AF07ED" w:rsidRDefault="00AF07ED" w:rsidP="003E1BC7">
      <w:pPr>
        <w:spacing w:line="288" w:lineRule="auto"/>
        <w:rPr>
          <w:rFonts w:eastAsia="Times New Roman" w:cs="Times New Roman"/>
          <w:b/>
          <w:bCs/>
          <w:color w:val="001D77"/>
          <w:szCs w:val="19"/>
          <w:lang w:val="en-GB" w:eastAsia="pl-PL"/>
        </w:rPr>
      </w:pPr>
      <w:r w:rsidRPr="00021B0E">
        <w:rPr>
          <w:b/>
          <w:noProof/>
          <w:spacing w:val="-2"/>
          <w:szCs w:val="19"/>
        </w:rPr>
        <mc:AlternateContent>
          <mc:Choice Requires="wps">
            <w:drawing>
              <wp:anchor distT="45720" distB="45720" distL="114300" distR="114300" simplePos="0" relativeHeight="251678720" behindDoc="1" locked="0" layoutInCell="1" allowOverlap="1" wp14:anchorId="2E40DB0F" wp14:editId="674A2B7A">
                <wp:simplePos x="0" y="0"/>
                <wp:positionH relativeFrom="page">
                  <wp:posOffset>5819242</wp:posOffset>
                </wp:positionH>
                <wp:positionV relativeFrom="paragraph">
                  <wp:posOffset>288265</wp:posOffset>
                </wp:positionV>
                <wp:extent cx="1666875" cy="1447800"/>
                <wp:effectExtent l="0" t="0" r="0" b="0"/>
                <wp:wrapTight wrapText="bothSides">
                  <wp:wrapPolygon edited="0">
                    <wp:start x="741" y="0"/>
                    <wp:lineTo x="741" y="21316"/>
                    <wp:lineTo x="20736" y="21316"/>
                    <wp:lineTo x="20736" y="0"/>
                    <wp:lineTo x="741" y="0"/>
                  </wp:wrapPolygon>
                </wp:wrapTight>
                <wp:docPr id="4" name="Pole tekstowe 4" descr="Aktywność gospodarcza miała największy wpływ na wzrost zapotrzebowania na energię"/>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447800"/>
                        </a:xfrm>
                        <a:prstGeom prst="rect">
                          <a:avLst/>
                        </a:prstGeom>
                        <a:noFill/>
                        <a:ln w="9525">
                          <a:noFill/>
                          <a:miter lim="800000"/>
                          <a:headEnd/>
                          <a:tailEnd/>
                        </a:ln>
                      </wps:spPr>
                      <wps:txbx>
                        <w:txbxContent>
                          <w:p w14:paraId="59653ABA" w14:textId="7839978A" w:rsidR="00AF07ED" w:rsidRPr="00AF07ED" w:rsidRDefault="00AF07ED" w:rsidP="00AF07ED">
                            <w:pPr>
                              <w:spacing w:before="0" w:after="0"/>
                              <w:rPr>
                                <w:rFonts w:eastAsia="Times New Roman" w:cs="Times New Roman"/>
                                <w:bCs/>
                                <w:color w:val="001D77"/>
                                <w:sz w:val="18"/>
                                <w:szCs w:val="18"/>
                                <w:lang w:val="en-GB" w:eastAsia="pl-PL"/>
                              </w:rPr>
                            </w:pPr>
                            <w:r w:rsidRPr="00AF07ED">
                              <w:rPr>
                                <w:rFonts w:eastAsia="Times New Roman" w:cs="Times New Roman"/>
                                <w:bCs/>
                                <w:color w:val="001D77"/>
                                <w:sz w:val="18"/>
                                <w:szCs w:val="18"/>
                                <w:lang w:val="en-GB" w:eastAsia="pl-PL"/>
                              </w:rPr>
                              <w:t>Economic activity had the greatest impact on the increase in energy demand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40DB0F" id="Pole tekstowe 4" o:spid="_x0000_s1031" type="#_x0000_t202" alt="Aktywność gospodarcza miała największy wpływ na wzrost zapotrzebowania na energię" style="position:absolute;margin-left:458.2pt;margin-top:22.7pt;width:131.25pt;height:114pt;z-index:-2516377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" filled="f" stroked="f">
                <v:textbox>
                  <w:txbxContent>
                    <w:p w14:paraId="59653ABA" w14:textId="7839978A" w:rsidR="00AF07ED" w:rsidRPr="00AF07ED" w:rsidRDefault="00AF07ED" w:rsidP="00AF07ED">
                      <w:pPr>
                        <w:spacing w:before="0" w:after="0"/>
                        <w:rPr>
                          <w:rFonts w:eastAsia="Times New Roman" w:cs="Times New Roman"/>
                          <w:bCs/>
                          <w:color w:val="001D77"/>
                          <w:sz w:val="18"/>
                          <w:szCs w:val="18"/>
                          <w:lang w:val="en-GB" w:eastAsia="pl-PL"/>
                        </w:rPr>
                      </w:pPr>
                      <w:r w:rsidRPr="00AF07ED">
                        <w:rPr>
                          <w:rFonts w:eastAsia="Times New Roman" w:cs="Times New Roman"/>
                          <w:bCs/>
                          <w:color w:val="001D77"/>
                          <w:sz w:val="18"/>
                          <w:szCs w:val="18"/>
                          <w:lang w:val="en-GB" w:eastAsia="pl-PL"/>
                        </w:rPr>
                        <w:t>Economic activity had the greatest impact on the increase in energy demand</w:t>
                      </w:r>
                    </w:p>
                  </w:txbxContent>
                </v:textbox>
                <w10:wrap type="tight" anchorx="page"/>
              </v:shape>
            </w:pict>
          </mc:Fallback>
        </mc:AlternateContent>
      </w:r>
      <w:r w:rsidR="003E1BC7" w:rsidRPr="00AF07ED">
        <w:rPr>
          <w:rFonts w:eastAsia="Times New Roman" w:cs="Times New Roman"/>
          <w:b/>
          <w:bCs/>
          <w:color w:val="001D77"/>
          <w:szCs w:val="19"/>
          <w:lang w:val="en-GB" w:eastAsia="pl-PL"/>
        </w:rPr>
        <w:t>Decomposition of energy consumption</w:t>
      </w:r>
    </w:p>
    <w:p w14:paraId="4D99BC2C" w14:textId="55B54F17" w:rsidR="003E1BC7" w:rsidRDefault="003E1BC7" w:rsidP="00DE10D5">
      <w:pPr>
        <w:spacing w:line="312" w:lineRule="auto"/>
        <w:rPr>
          <w:rFonts w:eastAsia="Times New Roman" w:cs="Times New Roman"/>
          <w:szCs w:val="19"/>
          <w:lang w:val="en-GB" w:eastAsia="pl-PL"/>
        </w:rPr>
      </w:pPr>
      <w:r w:rsidRPr="003E1BC7">
        <w:rPr>
          <w:rFonts w:eastAsia="Times New Roman" w:cs="Times New Roman"/>
          <w:szCs w:val="19"/>
          <w:lang w:val="en-GB" w:eastAsia="pl-PL"/>
        </w:rPr>
        <w:t>The largest impact on the change in consumption came from economic activity</w:t>
      </w:r>
      <w:r w:rsidR="00715C94">
        <w:rPr>
          <w:rFonts w:eastAsia="Times New Roman" w:cs="Times New Roman"/>
          <w:szCs w:val="19"/>
          <w:lang w:val="en-GB" w:eastAsia="pl-PL"/>
        </w:rPr>
        <w:t xml:space="preserve"> </w:t>
      </w:r>
      <w:r w:rsidRPr="003E1BC7">
        <w:rPr>
          <w:rFonts w:eastAsia="Times New Roman" w:cs="Times New Roman"/>
          <w:szCs w:val="19"/>
          <w:lang w:val="en-GB" w:eastAsia="pl-PL"/>
        </w:rPr>
        <w:t xml:space="preserve">contributing to an increase in energy demand </w:t>
      </w:r>
      <w:r w:rsidR="00715C94">
        <w:rPr>
          <w:rFonts w:eastAsia="Times New Roman" w:cs="Times New Roman"/>
          <w:szCs w:val="19"/>
          <w:lang w:val="en-GB" w:eastAsia="pl-PL"/>
        </w:rPr>
        <w:t xml:space="preserve">by </w:t>
      </w:r>
      <w:r w:rsidRPr="003E1BC7">
        <w:rPr>
          <w:rFonts w:eastAsia="Times New Roman" w:cs="Times New Roman"/>
          <w:szCs w:val="19"/>
          <w:lang w:val="en-GB" w:eastAsia="pl-PL"/>
        </w:rPr>
        <w:t xml:space="preserve">11.7 </w:t>
      </w:r>
      <w:proofErr w:type="spellStart"/>
      <w:r w:rsidRPr="003E1BC7">
        <w:rPr>
          <w:rFonts w:eastAsia="Times New Roman" w:cs="Times New Roman"/>
          <w:szCs w:val="19"/>
          <w:lang w:val="en-GB" w:eastAsia="pl-PL"/>
        </w:rPr>
        <w:t>Mtoe</w:t>
      </w:r>
      <w:proofErr w:type="spellEnd"/>
      <w:r w:rsidRPr="003E1BC7">
        <w:rPr>
          <w:rFonts w:eastAsia="Times New Roman" w:cs="Times New Roman"/>
          <w:szCs w:val="19"/>
          <w:lang w:val="en-GB" w:eastAsia="pl-PL"/>
        </w:rPr>
        <w:t xml:space="preserve"> in 2021 compared to 2011</w:t>
      </w:r>
      <w:r w:rsidR="00715C94">
        <w:rPr>
          <w:rFonts w:eastAsia="Times New Roman" w:cs="Times New Roman"/>
          <w:szCs w:val="19"/>
          <w:lang w:val="en-GB" w:eastAsia="pl-PL"/>
        </w:rPr>
        <w:t>.</w:t>
      </w:r>
      <w:r w:rsidRPr="003E1BC7">
        <w:rPr>
          <w:rFonts w:eastAsia="Times New Roman" w:cs="Times New Roman"/>
          <w:szCs w:val="19"/>
          <w:lang w:val="en-GB" w:eastAsia="pl-PL"/>
        </w:rPr>
        <w:t xml:space="preserve"> For households, the factors contributing to the increase in energy demand were an increase in the number of dwellings and a change in lifestyle (larger dwellings) </w:t>
      </w:r>
      <w:r w:rsidR="006728A0">
        <w:rPr>
          <w:rFonts w:eastAsia="Times New Roman" w:cs="Times New Roman"/>
          <w:szCs w:val="19"/>
          <w:lang w:val="en-GB" w:eastAsia="pl-PL"/>
        </w:rPr>
        <w:t>as well as</w:t>
      </w:r>
      <w:r w:rsidRPr="003E1BC7">
        <w:rPr>
          <w:rFonts w:eastAsia="Times New Roman" w:cs="Times New Roman"/>
          <w:szCs w:val="19"/>
          <w:lang w:val="en-GB" w:eastAsia="pl-PL"/>
        </w:rPr>
        <w:t xml:space="preserve"> weather conditions. Structural changes in industry reduced energy consumption by 0.4 </w:t>
      </w:r>
      <w:proofErr w:type="spellStart"/>
      <w:r w:rsidRPr="003E1BC7">
        <w:rPr>
          <w:rFonts w:eastAsia="Times New Roman" w:cs="Times New Roman"/>
          <w:szCs w:val="19"/>
          <w:lang w:val="en-GB" w:eastAsia="pl-PL"/>
        </w:rPr>
        <w:t>Mtoe</w:t>
      </w:r>
      <w:proofErr w:type="spellEnd"/>
      <w:r w:rsidRPr="003E1BC7">
        <w:rPr>
          <w:rFonts w:eastAsia="Times New Roman" w:cs="Times New Roman"/>
          <w:szCs w:val="19"/>
          <w:lang w:val="en-GB" w:eastAsia="pl-PL"/>
        </w:rPr>
        <w:t xml:space="preserve">, while transport increased by 1.6 </w:t>
      </w:r>
      <w:proofErr w:type="spellStart"/>
      <w:r w:rsidRPr="003E1BC7">
        <w:rPr>
          <w:rFonts w:eastAsia="Times New Roman" w:cs="Times New Roman"/>
          <w:szCs w:val="19"/>
          <w:lang w:val="en-GB" w:eastAsia="pl-PL"/>
        </w:rPr>
        <w:t>Mtoe</w:t>
      </w:r>
      <w:proofErr w:type="spellEnd"/>
      <w:r w:rsidRPr="003E1BC7">
        <w:rPr>
          <w:rFonts w:eastAsia="Times New Roman" w:cs="Times New Roman"/>
          <w:szCs w:val="19"/>
          <w:lang w:val="en-GB" w:eastAsia="pl-PL"/>
        </w:rPr>
        <w:t xml:space="preserve">. Energy savings </w:t>
      </w:r>
      <w:r w:rsidR="006728A0">
        <w:rPr>
          <w:rFonts w:eastAsia="Times New Roman" w:cs="Times New Roman"/>
          <w:szCs w:val="19"/>
          <w:lang w:val="en-GB" w:eastAsia="pl-PL"/>
        </w:rPr>
        <w:t>amounted to</w:t>
      </w:r>
      <w:r w:rsidRPr="003E1BC7">
        <w:rPr>
          <w:rFonts w:eastAsia="Times New Roman" w:cs="Times New Roman"/>
          <w:szCs w:val="19"/>
          <w:lang w:val="en-GB" w:eastAsia="pl-PL"/>
        </w:rPr>
        <w:t xml:space="preserve"> 5.8 </w:t>
      </w:r>
      <w:proofErr w:type="spellStart"/>
      <w:r w:rsidRPr="003E1BC7">
        <w:rPr>
          <w:rFonts w:eastAsia="Times New Roman" w:cs="Times New Roman"/>
          <w:szCs w:val="19"/>
          <w:lang w:val="en-GB" w:eastAsia="pl-PL"/>
        </w:rPr>
        <w:t>Mtoe</w:t>
      </w:r>
      <w:proofErr w:type="spellEnd"/>
      <w:r w:rsidRPr="003E1BC7">
        <w:rPr>
          <w:rFonts w:eastAsia="Times New Roman" w:cs="Times New Roman"/>
          <w:szCs w:val="19"/>
          <w:lang w:val="en-GB" w:eastAsia="pl-PL"/>
        </w:rPr>
        <w:t xml:space="preserve">, the largest </w:t>
      </w:r>
      <w:r w:rsidR="006728A0">
        <w:rPr>
          <w:rFonts w:eastAsia="Times New Roman" w:cs="Times New Roman"/>
          <w:szCs w:val="19"/>
          <w:lang w:val="en-GB" w:eastAsia="pl-PL"/>
        </w:rPr>
        <w:t>was</w:t>
      </w:r>
      <w:r w:rsidRPr="003E1BC7">
        <w:rPr>
          <w:rFonts w:eastAsia="Times New Roman" w:cs="Times New Roman"/>
          <w:szCs w:val="19"/>
          <w:lang w:val="en-GB" w:eastAsia="pl-PL"/>
        </w:rPr>
        <w:t xml:space="preserve"> achieved in households (2.4 </w:t>
      </w:r>
      <w:proofErr w:type="spellStart"/>
      <w:r w:rsidRPr="003E1BC7">
        <w:rPr>
          <w:rFonts w:eastAsia="Times New Roman" w:cs="Times New Roman"/>
          <w:szCs w:val="19"/>
          <w:lang w:val="en-GB" w:eastAsia="pl-PL"/>
        </w:rPr>
        <w:t>Mtoe</w:t>
      </w:r>
      <w:proofErr w:type="spellEnd"/>
      <w:r w:rsidRPr="003E1BC7">
        <w:rPr>
          <w:rFonts w:eastAsia="Times New Roman" w:cs="Times New Roman"/>
          <w:szCs w:val="19"/>
          <w:lang w:val="en-GB" w:eastAsia="pl-PL"/>
        </w:rPr>
        <w:t xml:space="preserve">). Weather conditions increased energy consumption by 1 </w:t>
      </w:r>
      <w:proofErr w:type="spellStart"/>
      <w:r w:rsidRPr="003E1BC7">
        <w:rPr>
          <w:rFonts w:eastAsia="Times New Roman" w:cs="Times New Roman"/>
          <w:szCs w:val="19"/>
          <w:lang w:val="en-GB" w:eastAsia="pl-PL"/>
        </w:rPr>
        <w:t>Mtoe</w:t>
      </w:r>
      <w:proofErr w:type="spellEnd"/>
      <w:r w:rsidRPr="003E1BC7">
        <w:rPr>
          <w:rFonts w:eastAsia="Times New Roman" w:cs="Times New Roman"/>
          <w:szCs w:val="19"/>
          <w:lang w:val="en-GB" w:eastAsia="pl-PL"/>
        </w:rPr>
        <w:t xml:space="preserve"> and other factors decreased energy consumption by 0.1 </w:t>
      </w:r>
      <w:proofErr w:type="spellStart"/>
      <w:r w:rsidRPr="003E1BC7">
        <w:rPr>
          <w:rFonts w:eastAsia="Times New Roman" w:cs="Times New Roman"/>
          <w:szCs w:val="19"/>
          <w:lang w:val="en-GB" w:eastAsia="pl-PL"/>
        </w:rPr>
        <w:t>Mtoe</w:t>
      </w:r>
      <w:proofErr w:type="spellEnd"/>
      <w:r w:rsidRPr="003E1BC7">
        <w:rPr>
          <w:rFonts w:eastAsia="Times New Roman" w:cs="Times New Roman"/>
          <w:szCs w:val="19"/>
          <w:lang w:val="en-GB" w:eastAsia="pl-PL"/>
        </w:rPr>
        <w:t>.</w:t>
      </w:r>
    </w:p>
    <w:p w14:paraId="68665056" w14:textId="2F640937" w:rsidR="006728A0" w:rsidRPr="006728A0" w:rsidRDefault="006728A0" w:rsidP="00AF07ED">
      <w:pPr>
        <w:spacing w:before="4440" w:line="288" w:lineRule="auto"/>
        <w:ind w:left="709" w:hanging="709"/>
        <w:rPr>
          <w:rFonts w:eastAsia="Times New Roman" w:cs="Times New Roman"/>
          <w:b/>
          <w:szCs w:val="19"/>
          <w:lang w:val="en-GB" w:eastAsia="pl-PL"/>
        </w:rPr>
      </w:pPr>
      <w:r w:rsidRPr="006728A0">
        <w:rPr>
          <w:rFonts w:eastAsia="Times New Roman" w:cs="Times New Roman"/>
          <w:b/>
          <w:szCs w:val="19"/>
          <w:lang w:val="en-GB" w:eastAsia="pl-PL"/>
        </w:rPr>
        <w:t>Table 4</w:t>
      </w:r>
      <w:r>
        <w:rPr>
          <w:rFonts w:eastAsia="Times New Roman" w:cs="Times New Roman"/>
          <w:b/>
          <w:szCs w:val="19"/>
          <w:lang w:val="en-GB" w:eastAsia="pl-PL"/>
        </w:rPr>
        <w:t>.</w:t>
      </w:r>
      <w:r w:rsidRPr="006728A0">
        <w:rPr>
          <w:rFonts w:eastAsia="Times New Roman" w:cs="Times New Roman"/>
          <w:b/>
          <w:szCs w:val="19"/>
          <w:lang w:val="en-GB" w:eastAsia="pl-PL"/>
        </w:rPr>
        <w:t xml:space="preserve"> Influence of factors on the change in final energy consumption from </w:t>
      </w:r>
      <w:r w:rsidRPr="006728A0">
        <w:rPr>
          <w:rFonts w:eastAsia="Times New Roman" w:cs="Times New Roman"/>
          <w:b/>
          <w:szCs w:val="19"/>
          <w:lang w:val="en-GB" w:eastAsia="pl-PL"/>
        </w:rPr>
        <w:br/>
        <w:t>2011 to 2021 (</w:t>
      </w:r>
      <w:proofErr w:type="spellStart"/>
      <w:r w:rsidRPr="006728A0">
        <w:rPr>
          <w:rFonts w:eastAsia="Times New Roman" w:cs="Times New Roman"/>
          <w:b/>
          <w:szCs w:val="19"/>
          <w:lang w:val="en-GB" w:eastAsia="pl-PL"/>
        </w:rPr>
        <w:t>Mtoe</w:t>
      </w:r>
      <w:proofErr w:type="spellEnd"/>
      <w:r w:rsidRPr="006728A0">
        <w:rPr>
          <w:rFonts w:eastAsia="Times New Roman" w:cs="Times New Roman"/>
          <w:b/>
          <w:szCs w:val="19"/>
          <w:lang w:val="en-GB" w:eastAsia="pl-PL"/>
        </w:rPr>
        <w:t>)</w:t>
      </w:r>
    </w:p>
    <w:tbl>
      <w:tblPr>
        <w:tblW w:w="7831" w:type="dxa"/>
        <w:tblInd w:w="-34" w:type="dxa"/>
        <w:tblBorders>
          <w:top w:val="single" w:sz="4" w:space="0" w:color="001D77"/>
          <w:insideH w:val="single" w:sz="4" w:space="0" w:color="001D77"/>
          <w:insideV w:val="single" w:sz="4" w:space="0" w:color="001D77"/>
        </w:tblBorders>
        <w:tblLayout w:type="fixed"/>
        <w:tblLook w:val="04A0" w:firstRow="1" w:lastRow="0" w:firstColumn="1" w:lastColumn="0" w:noHBand="0" w:noVBand="1"/>
        <w:tblCaption w:val="Table 4. Influence of factors on the change in final energy consumption from "/>
        <w:tblDescription w:val="The table shows the impact of factors on the change in final energy consumption between 2011 and 2021 (Mtoe). The data for the table is provided in the attached excel file."/>
      </w:tblPr>
      <w:tblGrid>
        <w:gridCol w:w="1452"/>
        <w:gridCol w:w="1134"/>
        <w:gridCol w:w="1276"/>
        <w:gridCol w:w="1048"/>
        <w:gridCol w:w="86"/>
        <w:gridCol w:w="850"/>
        <w:gridCol w:w="1276"/>
        <w:gridCol w:w="709"/>
      </w:tblGrid>
      <w:tr w:rsidR="006728A0" w:rsidRPr="00BB2561" w14:paraId="17A33119" w14:textId="77777777" w:rsidTr="006728A0">
        <w:tc>
          <w:tcPr>
            <w:tcW w:w="1452" w:type="dxa"/>
            <w:shd w:val="clear" w:color="auto" w:fill="auto"/>
          </w:tcPr>
          <w:p w14:paraId="289A1D97" w14:textId="11723425" w:rsidR="006728A0" w:rsidRPr="00BB2561" w:rsidRDefault="006728A0" w:rsidP="0095474C">
            <w:pPr>
              <w:jc w:val="both"/>
              <w:rPr>
                <w:szCs w:val="19"/>
              </w:rPr>
            </w:pPr>
            <w:proofErr w:type="spellStart"/>
            <w:r>
              <w:rPr>
                <w:szCs w:val="19"/>
              </w:rPr>
              <w:t>Specification</w:t>
            </w:r>
            <w:proofErr w:type="spellEnd"/>
          </w:p>
        </w:tc>
        <w:tc>
          <w:tcPr>
            <w:tcW w:w="1134" w:type="dxa"/>
            <w:shd w:val="clear" w:color="auto" w:fill="auto"/>
          </w:tcPr>
          <w:p w14:paraId="3B6DEC78" w14:textId="519610AE" w:rsidR="006728A0" w:rsidRPr="00BB2561" w:rsidRDefault="006728A0" w:rsidP="0095474C">
            <w:pPr>
              <w:jc w:val="center"/>
              <w:rPr>
                <w:szCs w:val="19"/>
              </w:rPr>
            </w:pPr>
            <w:proofErr w:type="spellStart"/>
            <w:r>
              <w:rPr>
                <w:szCs w:val="19"/>
              </w:rPr>
              <w:t>Industry</w:t>
            </w:r>
            <w:proofErr w:type="spellEnd"/>
          </w:p>
        </w:tc>
        <w:tc>
          <w:tcPr>
            <w:tcW w:w="1276" w:type="dxa"/>
            <w:shd w:val="clear" w:color="auto" w:fill="auto"/>
          </w:tcPr>
          <w:p w14:paraId="03157D6E" w14:textId="556151A9" w:rsidR="006728A0" w:rsidRPr="00BB2561" w:rsidRDefault="006728A0" w:rsidP="0095474C">
            <w:pPr>
              <w:jc w:val="center"/>
              <w:rPr>
                <w:szCs w:val="19"/>
              </w:rPr>
            </w:pPr>
            <w:proofErr w:type="spellStart"/>
            <w:r>
              <w:rPr>
                <w:szCs w:val="19"/>
              </w:rPr>
              <w:t>Households</w:t>
            </w:r>
            <w:proofErr w:type="spellEnd"/>
          </w:p>
        </w:tc>
        <w:tc>
          <w:tcPr>
            <w:tcW w:w="1048" w:type="dxa"/>
            <w:shd w:val="clear" w:color="auto" w:fill="auto"/>
          </w:tcPr>
          <w:p w14:paraId="6A79A386" w14:textId="77777777" w:rsidR="006728A0" w:rsidRPr="00BB2561" w:rsidRDefault="006728A0" w:rsidP="0095474C">
            <w:pPr>
              <w:jc w:val="center"/>
              <w:rPr>
                <w:szCs w:val="19"/>
              </w:rPr>
            </w:pPr>
            <w:r w:rsidRPr="00BB2561">
              <w:rPr>
                <w:szCs w:val="19"/>
              </w:rPr>
              <w:t>Transport</w:t>
            </w:r>
          </w:p>
        </w:tc>
        <w:tc>
          <w:tcPr>
            <w:tcW w:w="936" w:type="dxa"/>
            <w:gridSpan w:val="2"/>
            <w:shd w:val="clear" w:color="auto" w:fill="auto"/>
          </w:tcPr>
          <w:p w14:paraId="57833F38" w14:textId="45D9F659" w:rsidR="006728A0" w:rsidRPr="00BB2561" w:rsidRDefault="006728A0" w:rsidP="0095474C">
            <w:pPr>
              <w:jc w:val="center"/>
              <w:rPr>
                <w:szCs w:val="19"/>
              </w:rPr>
            </w:pPr>
            <w:r>
              <w:rPr>
                <w:szCs w:val="19"/>
              </w:rPr>
              <w:t>Services</w:t>
            </w:r>
          </w:p>
        </w:tc>
        <w:tc>
          <w:tcPr>
            <w:tcW w:w="1276" w:type="dxa"/>
            <w:shd w:val="clear" w:color="auto" w:fill="auto"/>
          </w:tcPr>
          <w:p w14:paraId="611D3BA1" w14:textId="78AC47FB" w:rsidR="006728A0" w:rsidRPr="00BB2561" w:rsidRDefault="006728A0" w:rsidP="0095474C">
            <w:pPr>
              <w:jc w:val="center"/>
              <w:rPr>
                <w:szCs w:val="19"/>
              </w:rPr>
            </w:pPr>
            <w:proofErr w:type="spellStart"/>
            <w:r>
              <w:rPr>
                <w:szCs w:val="19"/>
              </w:rPr>
              <w:t>Agriculture</w:t>
            </w:r>
            <w:proofErr w:type="spellEnd"/>
          </w:p>
          <w:p w14:paraId="39858C18" w14:textId="77777777" w:rsidR="006728A0" w:rsidRPr="00BB2561" w:rsidRDefault="006728A0" w:rsidP="0095474C">
            <w:pPr>
              <w:jc w:val="center"/>
              <w:rPr>
                <w:szCs w:val="19"/>
              </w:rPr>
            </w:pPr>
          </w:p>
        </w:tc>
        <w:tc>
          <w:tcPr>
            <w:tcW w:w="709" w:type="dxa"/>
            <w:shd w:val="clear" w:color="auto" w:fill="auto"/>
          </w:tcPr>
          <w:p w14:paraId="535C512E" w14:textId="4C18B000" w:rsidR="006728A0" w:rsidRPr="00BB2561" w:rsidRDefault="006728A0" w:rsidP="0095474C">
            <w:pPr>
              <w:jc w:val="center"/>
              <w:rPr>
                <w:szCs w:val="19"/>
              </w:rPr>
            </w:pPr>
            <w:r>
              <w:rPr>
                <w:szCs w:val="19"/>
              </w:rPr>
              <w:t>Total</w:t>
            </w:r>
          </w:p>
        </w:tc>
      </w:tr>
      <w:tr w:rsidR="006728A0" w:rsidRPr="00BB2561" w14:paraId="24160FD0" w14:textId="77777777" w:rsidTr="006728A0">
        <w:tc>
          <w:tcPr>
            <w:tcW w:w="1452" w:type="dxa"/>
            <w:shd w:val="clear" w:color="auto" w:fill="auto"/>
          </w:tcPr>
          <w:p w14:paraId="6A9F4852" w14:textId="5EA836B3" w:rsidR="006728A0" w:rsidRPr="00BB2561" w:rsidRDefault="00B0323E" w:rsidP="0095474C">
            <w:pPr>
              <w:jc w:val="both"/>
              <w:rPr>
                <w:szCs w:val="19"/>
              </w:rPr>
            </w:pPr>
            <w:proofErr w:type="spellStart"/>
            <w:r w:rsidRPr="00B0323E">
              <w:rPr>
                <w:szCs w:val="19"/>
              </w:rPr>
              <w:t>Consumption</w:t>
            </w:r>
            <w:proofErr w:type="spellEnd"/>
            <w:r w:rsidRPr="00B0323E">
              <w:rPr>
                <w:szCs w:val="19"/>
              </w:rPr>
              <w:t xml:space="preserve"> </w:t>
            </w:r>
            <w:proofErr w:type="spellStart"/>
            <w:r w:rsidRPr="00B0323E">
              <w:rPr>
                <w:szCs w:val="19"/>
              </w:rPr>
              <w:t>change</w:t>
            </w:r>
            <w:proofErr w:type="spellEnd"/>
          </w:p>
        </w:tc>
        <w:tc>
          <w:tcPr>
            <w:tcW w:w="1134" w:type="dxa"/>
            <w:shd w:val="clear" w:color="auto" w:fill="auto"/>
            <w:vAlign w:val="bottom"/>
          </w:tcPr>
          <w:p w14:paraId="7BA6737D" w14:textId="77777777" w:rsidR="006728A0" w:rsidRPr="00022624" w:rsidRDefault="006728A0" w:rsidP="0095474C">
            <w:pPr>
              <w:jc w:val="right"/>
              <w:rPr>
                <w:szCs w:val="19"/>
              </w:rPr>
            </w:pPr>
            <w:r w:rsidRPr="00B203A0">
              <w:rPr>
                <w:rFonts w:cs="Calibri"/>
                <w:color w:val="000000"/>
                <w:szCs w:val="19"/>
              </w:rPr>
              <w:t>2,4</w:t>
            </w:r>
          </w:p>
        </w:tc>
        <w:tc>
          <w:tcPr>
            <w:tcW w:w="1276" w:type="dxa"/>
            <w:shd w:val="clear" w:color="auto" w:fill="auto"/>
            <w:vAlign w:val="bottom"/>
          </w:tcPr>
          <w:p w14:paraId="3BA96C5C" w14:textId="77777777" w:rsidR="006728A0" w:rsidRPr="00022624" w:rsidRDefault="006728A0" w:rsidP="0095474C">
            <w:pPr>
              <w:jc w:val="right"/>
              <w:rPr>
                <w:szCs w:val="19"/>
              </w:rPr>
            </w:pPr>
            <w:r w:rsidRPr="00B203A0">
              <w:rPr>
                <w:rFonts w:cs="Calibri"/>
                <w:color w:val="000000"/>
                <w:szCs w:val="19"/>
              </w:rPr>
              <w:t>1,7</w:t>
            </w:r>
          </w:p>
        </w:tc>
        <w:tc>
          <w:tcPr>
            <w:tcW w:w="1048" w:type="dxa"/>
            <w:shd w:val="clear" w:color="auto" w:fill="auto"/>
            <w:vAlign w:val="bottom"/>
          </w:tcPr>
          <w:p w14:paraId="6DAED944" w14:textId="77777777" w:rsidR="006728A0" w:rsidRPr="00022624" w:rsidRDefault="006728A0" w:rsidP="0095474C">
            <w:pPr>
              <w:jc w:val="right"/>
              <w:rPr>
                <w:szCs w:val="19"/>
              </w:rPr>
            </w:pPr>
            <w:r w:rsidRPr="00B203A0">
              <w:rPr>
                <w:rFonts w:cs="Calibri"/>
                <w:color w:val="000000"/>
                <w:szCs w:val="19"/>
              </w:rPr>
              <w:t>6,1</w:t>
            </w:r>
          </w:p>
        </w:tc>
        <w:tc>
          <w:tcPr>
            <w:tcW w:w="936" w:type="dxa"/>
            <w:gridSpan w:val="2"/>
            <w:shd w:val="clear" w:color="auto" w:fill="auto"/>
            <w:vAlign w:val="bottom"/>
          </w:tcPr>
          <w:p w14:paraId="67D1E95B" w14:textId="77777777" w:rsidR="006728A0" w:rsidRPr="00022624" w:rsidRDefault="006728A0" w:rsidP="0095474C">
            <w:pPr>
              <w:jc w:val="right"/>
              <w:rPr>
                <w:szCs w:val="19"/>
              </w:rPr>
            </w:pPr>
            <w:r w:rsidRPr="00B203A0">
              <w:rPr>
                <w:rFonts w:cs="Calibri"/>
                <w:color w:val="000000"/>
                <w:szCs w:val="19"/>
              </w:rPr>
              <w:t>0,0</w:t>
            </w:r>
          </w:p>
        </w:tc>
        <w:tc>
          <w:tcPr>
            <w:tcW w:w="1276" w:type="dxa"/>
            <w:shd w:val="clear" w:color="auto" w:fill="auto"/>
            <w:vAlign w:val="bottom"/>
          </w:tcPr>
          <w:p w14:paraId="7AF2385F" w14:textId="77777777" w:rsidR="006728A0" w:rsidRPr="00022624" w:rsidRDefault="006728A0" w:rsidP="0095474C">
            <w:pPr>
              <w:jc w:val="right"/>
              <w:rPr>
                <w:szCs w:val="19"/>
              </w:rPr>
            </w:pPr>
            <w:r w:rsidRPr="00B203A0">
              <w:rPr>
                <w:rFonts w:cs="Calibri"/>
                <w:color w:val="000000"/>
                <w:szCs w:val="19"/>
              </w:rPr>
              <w:t>0,1</w:t>
            </w:r>
          </w:p>
        </w:tc>
        <w:tc>
          <w:tcPr>
            <w:tcW w:w="709" w:type="dxa"/>
            <w:shd w:val="clear" w:color="auto" w:fill="auto"/>
            <w:vAlign w:val="bottom"/>
          </w:tcPr>
          <w:p w14:paraId="39699F6E" w14:textId="77777777" w:rsidR="006728A0" w:rsidRPr="00022624" w:rsidRDefault="006728A0" w:rsidP="0095474C">
            <w:pPr>
              <w:jc w:val="right"/>
              <w:rPr>
                <w:szCs w:val="19"/>
              </w:rPr>
            </w:pPr>
            <w:r w:rsidRPr="00B203A0">
              <w:rPr>
                <w:rFonts w:cs="Calibri"/>
                <w:color w:val="000000"/>
                <w:szCs w:val="19"/>
              </w:rPr>
              <w:t>10,3</w:t>
            </w:r>
          </w:p>
        </w:tc>
      </w:tr>
      <w:tr w:rsidR="006728A0" w:rsidRPr="00BB2561" w14:paraId="4C6EBBF3" w14:textId="77777777" w:rsidTr="0095474C">
        <w:tc>
          <w:tcPr>
            <w:tcW w:w="7831" w:type="dxa"/>
            <w:gridSpan w:val="8"/>
            <w:shd w:val="clear" w:color="auto" w:fill="auto"/>
          </w:tcPr>
          <w:p w14:paraId="7D6951A9" w14:textId="6EA16419" w:rsidR="006728A0" w:rsidRPr="00BB2561" w:rsidRDefault="00B0323E" w:rsidP="0095474C">
            <w:pPr>
              <w:jc w:val="center"/>
              <w:rPr>
                <w:szCs w:val="19"/>
              </w:rPr>
            </w:pPr>
            <w:r>
              <w:rPr>
                <w:szCs w:val="19"/>
              </w:rPr>
              <w:t>FACTORS</w:t>
            </w:r>
          </w:p>
        </w:tc>
      </w:tr>
      <w:tr w:rsidR="006728A0" w:rsidRPr="00BB2561" w14:paraId="52F4021B" w14:textId="77777777" w:rsidTr="006728A0">
        <w:tc>
          <w:tcPr>
            <w:tcW w:w="1452" w:type="dxa"/>
            <w:shd w:val="clear" w:color="auto" w:fill="auto"/>
          </w:tcPr>
          <w:p w14:paraId="4F2D4759" w14:textId="79737DB3" w:rsidR="006728A0" w:rsidRPr="00BB2561" w:rsidRDefault="00B0323E" w:rsidP="0095474C">
            <w:pPr>
              <w:jc w:val="both"/>
              <w:rPr>
                <w:szCs w:val="19"/>
              </w:rPr>
            </w:pPr>
            <w:r w:rsidRPr="00B0323E">
              <w:rPr>
                <w:szCs w:val="19"/>
              </w:rPr>
              <w:t>Activity</w:t>
            </w:r>
          </w:p>
        </w:tc>
        <w:tc>
          <w:tcPr>
            <w:tcW w:w="1134" w:type="dxa"/>
            <w:shd w:val="clear" w:color="auto" w:fill="auto"/>
            <w:vAlign w:val="bottom"/>
          </w:tcPr>
          <w:p w14:paraId="1716F4A8" w14:textId="77777777" w:rsidR="006728A0" w:rsidRPr="00022624" w:rsidRDefault="006728A0" w:rsidP="0095474C">
            <w:pPr>
              <w:jc w:val="right"/>
              <w:rPr>
                <w:szCs w:val="19"/>
              </w:rPr>
            </w:pPr>
            <w:r w:rsidRPr="00B203A0">
              <w:rPr>
                <w:rFonts w:cs="Calibri"/>
                <w:color w:val="000000"/>
                <w:szCs w:val="19"/>
              </w:rPr>
              <w:t>5,2</w:t>
            </w:r>
          </w:p>
        </w:tc>
        <w:tc>
          <w:tcPr>
            <w:tcW w:w="1276" w:type="dxa"/>
            <w:shd w:val="clear" w:color="auto" w:fill="auto"/>
            <w:vAlign w:val="bottom"/>
          </w:tcPr>
          <w:p w14:paraId="66B483E8" w14:textId="77777777" w:rsidR="006728A0" w:rsidRPr="00022624" w:rsidRDefault="006728A0" w:rsidP="0095474C">
            <w:pPr>
              <w:jc w:val="right"/>
              <w:rPr>
                <w:szCs w:val="19"/>
              </w:rPr>
            </w:pPr>
            <w:r w:rsidRPr="00B203A0">
              <w:rPr>
                <w:rFonts w:cs="Calibri"/>
                <w:color w:val="000000"/>
                <w:szCs w:val="19"/>
              </w:rPr>
              <w:t>-</w:t>
            </w:r>
          </w:p>
        </w:tc>
        <w:tc>
          <w:tcPr>
            <w:tcW w:w="1134" w:type="dxa"/>
            <w:gridSpan w:val="2"/>
            <w:shd w:val="clear" w:color="auto" w:fill="auto"/>
            <w:vAlign w:val="bottom"/>
          </w:tcPr>
          <w:p w14:paraId="363541EF" w14:textId="77777777" w:rsidR="006728A0" w:rsidRPr="00022624" w:rsidRDefault="006728A0" w:rsidP="0095474C">
            <w:pPr>
              <w:jc w:val="right"/>
              <w:rPr>
                <w:szCs w:val="19"/>
              </w:rPr>
            </w:pPr>
            <w:r w:rsidRPr="00B203A0">
              <w:rPr>
                <w:rFonts w:cs="Calibri"/>
                <w:color w:val="000000"/>
                <w:szCs w:val="19"/>
              </w:rPr>
              <w:t>3,8</w:t>
            </w:r>
          </w:p>
        </w:tc>
        <w:tc>
          <w:tcPr>
            <w:tcW w:w="850" w:type="dxa"/>
            <w:shd w:val="clear" w:color="auto" w:fill="auto"/>
            <w:vAlign w:val="bottom"/>
          </w:tcPr>
          <w:p w14:paraId="342F41D2" w14:textId="77777777" w:rsidR="006728A0" w:rsidRPr="00022624" w:rsidRDefault="006728A0" w:rsidP="0095474C">
            <w:pPr>
              <w:jc w:val="right"/>
              <w:rPr>
                <w:szCs w:val="19"/>
              </w:rPr>
            </w:pPr>
            <w:r w:rsidRPr="00B203A0">
              <w:rPr>
                <w:rFonts w:cs="Calibri"/>
                <w:color w:val="000000"/>
                <w:szCs w:val="19"/>
              </w:rPr>
              <w:t>3,2</w:t>
            </w:r>
          </w:p>
        </w:tc>
        <w:tc>
          <w:tcPr>
            <w:tcW w:w="1276" w:type="dxa"/>
            <w:shd w:val="clear" w:color="auto" w:fill="auto"/>
            <w:vAlign w:val="bottom"/>
          </w:tcPr>
          <w:p w14:paraId="13FCE085" w14:textId="77777777" w:rsidR="006728A0" w:rsidRPr="00022624" w:rsidRDefault="006728A0" w:rsidP="0095474C">
            <w:pPr>
              <w:jc w:val="right"/>
              <w:rPr>
                <w:szCs w:val="19"/>
              </w:rPr>
            </w:pPr>
            <w:r w:rsidRPr="00B203A0">
              <w:rPr>
                <w:rFonts w:cs="Calibri"/>
                <w:color w:val="000000"/>
                <w:szCs w:val="19"/>
              </w:rPr>
              <w:t>-0,5</w:t>
            </w:r>
          </w:p>
        </w:tc>
        <w:tc>
          <w:tcPr>
            <w:tcW w:w="709" w:type="dxa"/>
            <w:shd w:val="clear" w:color="auto" w:fill="auto"/>
            <w:vAlign w:val="bottom"/>
          </w:tcPr>
          <w:p w14:paraId="673E0FE0" w14:textId="77777777" w:rsidR="006728A0" w:rsidRPr="00022624" w:rsidRDefault="006728A0" w:rsidP="0095474C">
            <w:pPr>
              <w:jc w:val="right"/>
              <w:rPr>
                <w:szCs w:val="19"/>
              </w:rPr>
            </w:pPr>
            <w:r w:rsidRPr="00B203A0">
              <w:rPr>
                <w:rFonts w:cs="Calibri"/>
                <w:color w:val="000000"/>
                <w:szCs w:val="19"/>
              </w:rPr>
              <w:t>11,7</w:t>
            </w:r>
          </w:p>
        </w:tc>
      </w:tr>
      <w:tr w:rsidR="006728A0" w:rsidRPr="00BB2561" w14:paraId="5CD8E63F" w14:textId="77777777" w:rsidTr="006728A0">
        <w:tc>
          <w:tcPr>
            <w:tcW w:w="1452" w:type="dxa"/>
            <w:shd w:val="clear" w:color="auto" w:fill="auto"/>
          </w:tcPr>
          <w:p w14:paraId="760197B4" w14:textId="11371842" w:rsidR="006728A0" w:rsidRPr="00BB2561" w:rsidRDefault="00B0323E" w:rsidP="00B0323E">
            <w:pPr>
              <w:rPr>
                <w:szCs w:val="19"/>
                <w:lang w:val="en-US"/>
              </w:rPr>
            </w:pPr>
            <w:r w:rsidRPr="00B0323E">
              <w:rPr>
                <w:szCs w:val="19"/>
                <w:lang w:val="en-US"/>
              </w:rPr>
              <w:t>Stock of dwellings</w:t>
            </w:r>
          </w:p>
        </w:tc>
        <w:tc>
          <w:tcPr>
            <w:tcW w:w="1134" w:type="dxa"/>
            <w:shd w:val="clear" w:color="auto" w:fill="auto"/>
            <w:vAlign w:val="bottom"/>
          </w:tcPr>
          <w:p w14:paraId="3625C2B0" w14:textId="77777777" w:rsidR="006728A0" w:rsidRPr="00022624" w:rsidRDefault="006728A0" w:rsidP="0095474C">
            <w:pPr>
              <w:jc w:val="right"/>
              <w:rPr>
                <w:szCs w:val="19"/>
              </w:rPr>
            </w:pPr>
            <w:r w:rsidRPr="00B203A0">
              <w:rPr>
                <w:rFonts w:cs="Calibri"/>
                <w:color w:val="000000"/>
                <w:szCs w:val="19"/>
              </w:rPr>
              <w:t>-</w:t>
            </w:r>
          </w:p>
        </w:tc>
        <w:tc>
          <w:tcPr>
            <w:tcW w:w="1276" w:type="dxa"/>
            <w:shd w:val="clear" w:color="auto" w:fill="auto"/>
            <w:vAlign w:val="bottom"/>
          </w:tcPr>
          <w:p w14:paraId="61AA9BCC" w14:textId="77777777" w:rsidR="006728A0" w:rsidRPr="00022624" w:rsidRDefault="006728A0" w:rsidP="0095474C">
            <w:pPr>
              <w:jc w:val="right"/>
              <w:rPr>
                <w:szCs w:val="19"/>
              </w:rPr>
            </w:pPr>
            <w:r w:rsidRPr="00B203A0">
              <w:rPr>
                <w:rFonts w:cs="Calibri"/>
                <w:color w:val="000000"/>
                <w:szCs w:val="19"/>
              </w:rPr>
              <w:t>1,3</w:t>
            </w:r>
          </w:p>
        </w:tc>
        <w:tc>
          <w:tcPr>
            <w:tcW w:w="1134" w:type="dxa"/>
            <w:gridSpan w:val="2"/>
            <w:shd w:val="clear" w:color="auto" w:fill="auto"/>
            <w:vAlign w:val="bottom"/>
          </w:tcPr>
          <w:p w14:paraId="6927D459" w14:textId="77777777" w:rsidR="006728A0" w:rsidRPr="00022624" w:rsidRDefault="006728A0" w:rsidP="0095474C">
            <w:pPr>
              <w:jc w:val="right"/>
              <w:rPr>
                <w:szCs w:val="19"/>
              </w:rPr>
            </w:pPr>
            <w:r w:rsidRPr="00B203A0">
              <w:rPr>
                <w:rFonts w:cs="Calibri"/>
                <w:color w:val="000000"/>
                <w:szCs w:val="19"/>
              </w:rPr>
              <w:t>-</w:t>
            </w:r>
          </w:p>
        </w:tc>
        <w:tc>
          <w:tcPr>
            <w:tcW w:w="850" w:type="dxa"/>
            <w:shd w:val="clear" w:color="auto" w:fill="auto"/>
            <w:vAlign w:val="bottom"/>
          </w:tcPr>
          <w:p w14:paraId="380A421C" w14:textId="77777777" w:rsidR="006728A0" w:rsidRPr="00022624" w:rsidRDefault="006728A0" w:rsidP="0095474C">
            <w:pPr>
              <w:jc w:val="right"/>
              <w:rPr>
                <w:szCs w:val="19"/>
              </w:rPr>
            </w:pPr>
            <w:r w:rsidRPr="00B203A0">
              <w:rPr>
                <w:rFonts w:cs="Calibri"/>
                <w:color w:val="000000"/>
                <w:szCs w:val="19"/>
              </w:rPr>
              <w:t>-</w:t>
            </w:r>
          </w:p>
        </w:tc>
        <w:tc>
          <w:tcPr>
            <w:tcW w:w="1276" w:type="dxa"/>
            <w:shd w:val="clear" w:color="auto" w:fill="auto"/>
            <w:vAlign w:val="bottom"/>
          </w:tcPr>
          <w:p w14:paraId="7C96F599" w14:textId="77777777" w:rsidR="006728A0" w:rsidRPr="00022624" w:rsidRDefault="006728A0" w:rsidP="0095474C">
            <w:pPr>
              <w:jc w:val="right"/>
              <w:rPr>
                <w:szCs w:val="19"/>
              </w:rPr>
            </w:pPr>
            <w:r w:rsidRPr="00B203A0">
              <w:rPr>
                <w:rFonts w:cs="Calibri"/>
                <w:color w:val="000000"/>
                <w:szCs w:val="19"/>
              </w:rPr>
              <w:t>-</w:t>
            </w:r>
          </w:p>
        </w:tc>
        <w:tc>
          <w:tcPr>
            <w:tcW w:w="709" w:type="dxa"/>
            <w:shd w:val="clear" w:color="auto" w:fill="auto"/>
            <w:vAlign w:val="bottom"/>
          </w:tcPr>
          <w:p w14:paraId="4658EF16" w14:textId="77777777" w:rsidR="006728A0" w:rsidRPr="00022624" w:rsidRDefault="006728A0" w:rsidP="0095474C">
            <w:pPr>
              <w:jc w:val="right"/>
              <w:rPr>
                <w:szCs w:val="19"/>
              </w:rPr>
            </w:pPr>
            <w:r w:rsidRPr="00B203A0">
              <w:rPr>
                <w:rFonts w:cs="Calibri"/>
                <w:color w:val="000000"/>
                <w:szCs w:val="19"/>
              </w:rPr>
              <w:t>1,3</w:t>
            </w:r>
          </w:p>
        </w:tc>
      </w:tr>
      <w:tr w:rsidR="006728A0" w:rsidRPr="00BB2561" w14:paraId="17815C86" w14:textId="77777777" w:rsidTr="006728A0">
        <w:tc>
          <w:tcPr>
            <w:tcW w:w="1452" w:type="dxa"/>
            <w:shd w:val="clear" w:color="auto" w:fill="auto"/>
          </w:tcPr>
          <w:p w14:paraId="0805F521" w14:textId="10415167" w:rsidR="006728A0" w:rsidRPr="00BB2561" w:rsidRDefault="00B0323E" w:rsidP="0095474C">
            <w:pPr>
              <w:jc w:val="both"/>
              <w:rPr>
                <w:szCs w:val="19"/>
              </w:rPr>
            </w:pPr>
            <w:proofErr w:type="spellStart"/>
            <w:r w:rsidRPr="00B0323E">
              <w:rPr>
                <w:szCs w:val="19"/>
              </w:rPr>
              <w:t>Lifestyle</w:t>
            </w:r>
            <w:proofErr w:type="spellEnd"/>
          </w:p>
        </w:tc>
        <w:tc>
          <w:tcPr>
            <w:tcW w:w="1134" w:type="dxa"/>
            <w:shd w:val="clear" w:color="auto" w:fill="auto"/>
            <w:vAlign w:val="bottom"/>
          </w:tcPr>
          <w:p w14:paraId="6799983A" w14:textId="77777777" w:rsidR="006728A0" w:rsidRPr="00022624" w:rsidRDefault="006728A0" w:rsidP="0095474C">
            <w:pPr>
              <w:jc w:val="right"/>
              <w:rPr>
                <w:szCs w:val="19"/>
              </w:rPr>
            </w:pPr>
            <w:r w:rsidRPr="00B203A0">
              <w:rPr>
                <w:rFonts w:cs="Calibri"/>
                <w:color w:val="000000"/>
                <w:szCs w:val="19"/>
              </w:rPr>
              <w:t>-</w:t>
            </w:r>
          </w:p>
        </w:tc>
        <w:tc>
          <w:tcPr>
            <w:tcW w:w="1276" w:type="dxa"/>
            <w:shd w:val="clear" w:color="auto" w:fill="auto"/>
            <w:vAlign w:val="bottom"/>
          </w:tcPr>
          <w:p w14:paraId="0A71CD7A" w14:textId="77777777" w:rsidR="006728A0" w:rsidRPr="00022624" w:rsidRDefault="006728A0" w:rsidP="0095474C">
            <w:pPr>
              <w:jc w:val="right"/>
              <w:rPr>
                <w:szCs w:val="19"/>
              </w:rPr>
            </w:pPr>
            <w:r w:rsidRPr="00B203A0">
              <w:rPr>
                <w:rFonts w:cs="Calibri"/>
                <w:color w:val="000000"/>
                <w:szCs w:val="19"/>
              </w:rPr>
              <w:t>1,1</w:t>
            </w:r>
          </w:p>
        </w:tc>
        <w:tc>
          <w:tcPr>
            <w:tcW w:w="1134" w:type="dxa"/>
            <w:gridSpan w:val="2"/>
            <w:shd w:val="clear" w:color="auto" w:fill="auto"/>
            <w:vAlign w:val="bottom"/>
          </w:tcPr>
          <w:p w14:paraId="4AE48415" w14:textId="77777777" w:rsidR="006728A0" w:rsidRPr="00022624" w:rsidRDefault="006728A0" w:rsidP="0095474C">
            <w:pPr>
              <w:jc w:val="right"/>
              <w:rPr>
                <w:szCs w:val="19"/>
              </w:rPr>
            </w:pPr>
            <w:r w:rsidRPr="00B203A0">
              <w:rPr>
                <w:rFonts w:cs="Calibri"/>
                <w:color w:val="000000"/>
                <w:szCs w:val="19"/>
              </w:rPr>
              <w:t>-</w:t>
            </w:r>
          </w:p>
        </w:tc>
        <w:tc>
          <w:tcPr>
            <w:tcW w:w="850" w:type="dxa"/>
            <w:shd w:val="clear" w:color="auto" w:fill="auto"/>
            <w:vAlign w:val="bottom"/>
          </w:tcPr>
          <w:p w14:paraId="3BABED66" w14:textId="77777777" w:rsidR="006728A0" w:rsidRPr="00022624" w:rsidRDefault="006728A0" w:rsidP="0095474C">
            <w:pPr>
              <w:jc w:val="right"/>
              <w:rPr>
                <w:szCs w:val="19"/>
              </w:rPr>
            </w:pPr>
            <w:r w:rsidRPr="00B203A0">
              <w:rPr>
                <w:rFonts w:cs="Calibri"/>
                <w:color w:val="000000"/>
                <w:szCs w:val="19"/>
              </w:rPr>
              <w:t>-</w:t>
            </w:r>
          </w:p>
        </w:tc>
        <w:tc>
          <w:tcPr>
            <w:tcW w:w="1276" w:type="dxa"/>
            <w:shd w:val="clear" w:color="auto" w:fill="auto"/>
            <w:vAlign w:val="bottom"/>
          </w:tcPr>
          <w:p w14:paraId="4DBF3EBE" w14:textId="77777777" w:rsidR="006728A0" w:rsidRPr="00022624" w:rsidRDefault="006728A0" w:rsidP="0095474C">
            <w:pPr>
              <w:jc w:val="right"/>
              <w:rPr>
                <w:szCs w:val="19"/>
              </w:rPr>
            </w:pPr>
            <w:r w:rsidRPr="00B203A0">
              <w:rPr>
                <w:rFonts w:cs="Calibri"/>
                <w:color w:val="000000"/>
                <w:szCs w:val="19"/>
              </w:rPr>
              <w:t>-</w:t>
            </w:r>
          </w:p>
        </w:tc>
        <w:tc>
          <w:tcPr>
            <w:tcW w:w="709" w:type="dxa"/>
            <w:shd w:val="clear" w:color="auto" w:fill="auto"/>
            <w:vAlign w:val="bottom"/>
          </w:tcPr>
          <w:p w14:paraId="3CD6CCF3" w14:textId="77777777" w:rsidR="006728A0" w:rsidRPr="00022624" w:rsidRDefault="006728A0" w:rsidP="0095474C">
            <w:pPr>
              <w:jc w:val="right"/>
              <w:rPr>
                <w:szCs w:val="19"/>
              </w:rPr>
            </w:pPr>
            <w:r w:rsidRPr="00B203A0">
              <w:rPr>
                <w:rFonts w:cs="Calibri"/>
                <w:color w:val="000000"/>
                <w:szCs w:val="19"/>
              </w:rPr>
              <w:t>1,1</w:t>
            </w:r>
          </w:p>
        </w:tc>
      </w:tr>
      <w:tr w:rsidR="006728A0" w:rsidRPr="00BB2561" w14:paraId="5DF6BB49" w14:textId="77777777" w:rsidTr="006728A0">
        <w:tc>
          <w:tcPr>
            <w:tcW w:w="1452" w:type="dxa"/>
            <w:shd w:val="clear" w:color="auto" w:fill="auto"/>
          </w:tcPr>
          <w:p w14:paraId="58C736C7" w14:textId="7BD6399D" w:rsidR="006728A0" w:rsidRPr="00BB2561" w:rsidRDefault="00B0323E" w:rsidP="0095474C">
            <w:pPr>
              <w:jc w:val="both"/>
              <w:rPr>
                <w:szCs w:val="19"/>
              </w:rPr>
            </w:pPr>
            <w:proofErr w:type="spellStart"/>
            <w:r w:rsidRPr="00B0323E">
              <w:rPr>
                <w:szCs w:val="19"/>
              </w:rPr>
              <w:t>Structural</w:t>
            </w:r>
            <w:proofErr w:type="spellEnd"/>
            <w:r w:rsidRPr="00B0323E">
              <w:rPr>
                <w:szCs w:val="19"/>
              </w:rPr>
              <w:t xml:space="preserve"> </w:t>
            </w:r>
            <w:proofErr w:type="spellStart"/>
            <w:r w:rsidRPr="00B0323E">
              <w:rPr>
                <w:szCs w:val="19"/>
              </w:rPr>
              <w:t>changes</w:t>
            </w:r>
            <w:proofErr w:type="spellEnd"/>
          </w:p>
        </w:tc>
        <w:tc>
          <w:tcPr>
            <w:tcW w:w="1134" w:type="dxa"/>
            <w:shd w:val="clear" w:color="auto" w:fill="auto"/>
            <w:vAlign w:val="bottom"/>
          </w:tcPr>
          <w:p w14:paraId="6D8D4FAD" w14:textId="77777777" w:rsidR="006728A0" w:rsidRPr="00022624" w:rsidRDefault="006728A0" w:rsidP="0095474C">
            <w:pPr>
              <w:jc w:val="right"/>
              <w:rPr>
                <w:szCs w:val="19"/>
              </w:rPr>
            </w:pPr>
            <w:r w:rsidRPr="00B203A0">
              <w:rPr>
                <w:rFonts w:cs="Calibri"/>
                <w:color w:val="000000"/>
                <w:szCs w:val="19"/>
              </w:rPr>
              <w:t>-0,4</w:t>
            </w:r>
          </w:p>
        </w:tc>
        <w:tc>
          <w:tcPr>
            <w:tcW w:w="1276" w:type="dxa"/>
            <w:shd w:val="clear" w:color="auto" w:fill="auto"/>
            <w:vAlign w:val="bottom"/>
          </w:tcPr>
          <w:p w14:paraId="61368274" w14:textId="77777777" w:rsidR="006728A0" w:rsidRPr="00022624" w:rsidRDefault="006728A0" w:rsidP="0095474C">
            <w:pPr>
              <w:jc w:val="right"/>
              <w:rPr>
                <w:szCs w:val="19"/>
              </w:rPr>
            </w:pPr>
            <w:r w:rsidRPr="00B203A0">
              <w:rPr>
                <w:rFonts w:cs="Calibri"/>
                <w:color w:val="000000"/>
                <w:szCs w:val="19"/>
              </w:rPr>
              <w:t>-</w:t>
            </w:r>
          </w:p>
        </w:tc>
        <w:tc>
          <w:tcPr>
            <w:tcW w:w="1134" w:type="dxa"/>
            <w:gridSpan w:val="2"/>
            <w:shd w:val="clear" w:color="auto" w:fill="auto"/>
            <w:vAlign w:val="bottom"/>
          </w:tcPr>
          <w:p w14:paraId="0337777B" w14:textId="77777777" w:rsidR="006728A0" w:rsidRPr="00022624" w:rsidRDefault="006728A0" w:rsidP="0095474C">
            <w:pPr>
              <w:jc w:val="right"/>
              <w:rPr>
                <w:szCs w:val="19"/>
              </w:rPr>
            </w:pPr>
            <w:r w:rsidRPr="00B203A0">
              <w:rPr>
                <w:rFonts w:cs="Calibri"/>
                <w:color w:val="000000"/>
                <w:szCs w:val="19"/>
              </w:rPr>
              <w:t>1,6</w:t>
            </w:r>
          </w:p>
        </w:tc>
        <w:tc>
          <w:tcPr>
            <w:tcW w:w="850" w:type="dxa"/>
            <w:shd w:val="clear" w:color="auto" w:fill="auto"/>
            <w:vAlign w:val="bottom"/>
          </w:tcPr>
          <w:p w14:paraId="01EF6D46" w14:textId="77777777" w:rsidR="006728A0" w:rsidRPr="00022624" w:rsidRDefault="006728A0" w:rsidP="0095474C">
            <w:pPr>
              <w:jc w:val="right"/>
              <w:rPr>
                <w:szCs w:val="19"/>
              </w:rPr>
            </w:pPr>
            <w:r w:rsidRPr="00B203A0">
              <w:rPr>
                <w:rFonts w:cs="Calibri"/>
                <w:color w:val="000000"/>
                <w:szCs w:val="19"/>
              </w:rPr>
              <w:t>-</w:t>
            </w:r>
          </w:p>
        </w:tc>
        <w:tc>
          <w:tcPr>
            <w:tcW w:w="1276" w:type="dxa"/>
            <w:shd w:val="clear" w:color="auto" w:fill="auto"/>
            <w:vAlign w:val="bottom"/>
          </w:tcPr>
          <w:p w14:paraId="593FC3C3" w14:textId="77777777" w:rsidR="006728A0" w:rsidRPr="00022624" w:rsidRDefault="006728A0" w:rsidP="0095474C">
            <w:pPr>
              <w:jc w:val="right"/>
              <w:rPr>
                <w:szCs w:val="19"/>
              </w:rPr>
            </w:pPr>
            <w:r w:rsidRPr="00B203A0">
              <w:rPr>
                <w:rFonts w:cs="Calibri"/>
                <w:color w:val="000000"/>
                <w:szCs w:val="19"/>
              </w:rPr>
              <w:t>-</w:t>
            </w:r>
          </w:p>
        </w:tc>
        <w:tc>
          <w:tcPr>
            <w:tcW w:w="709" w:type="dxa"/>
            <w:shd w:val="clear" w:color="auto" w:fill="auto"/>
            <w:vAlign w:val="bottom"/>
          </w:tcPr>
          <w:p w14:paraId="7E45FC8D" w14:textId="77777777" w:rsidR="006728A0" w:rsidRPr="00022624" w:rsidRDefault="006728A0" w:rsidP="0095474C">
            <w:pPr>
              <w:jc w:val="right"/>
              <w:rPr>
                <w:szCs w:val="19"/>
              </w:rPr>
            </w:pPr>
            <w:r w:rsidRPr="00B203A0">
              <w:rPr>
                <w:rFonts w:cs="Calibri"/>
                <w:color w:val="000000"/>
                <w:szCs w:val="19"/>
              </w:rPr>
              <w:t>1,2</w:t>
            </w:r>
          </w:p>
        </w:tc>
      </w:tr>
      <w:tr w:rsidR="006728A0" w:rsidRPr="00BB2561" w14:paraId="4829B5F1" w14:textId="77777777" w:rsidTr="006728A0">
        <w:tc>
          <w:tcPr>
            <w:tcW w:w="1452" w:type="dxa"/>
            <w:shd w:val="clear" w:color="auto" w:fill="auto"/>
          </w:tcPr>
          <w:p w14:paraId="5D7BC858" w14:textId="3F685A82" w:rsidR="006728A0" w:rsidRPr="00BB2561" w:rsidRDefault="00B0323E" w:rsidP="0095474C">
            <w:pPr>
              <w:jc w:val="both"/>
              <w:rPr>
                <w:szCs w:val="19"/>
              </w:rPr>
            </w:pPr>
            <w:r w:rsidRPr="00B0323E">
              <w:rPr>
                <w:szCs w:val="19"/>
              </w:rPr>
              <w:t xml:space="preserve">Energy </w:t>
            </w:r>
            <w:proofErr w:type="spellStart"/>
            <w:r w:rsidRPr="00B0323E">
              <w:rPr>
                <w:szCs w:val="19"/>
              </w:rPr>
              <w:t>savings</w:t>
            </w:r>
            <w:proofErr w:type="spellEnd"/>
          </w:p>
        </w:tc>
        <w:tc>
          <w:tcPr>
            <w:tcW w:w="1134" w:type="dxa"/>
            <w:shd w:val="clear" w:color="auto" w:fill="auto"/>
            <w:vAlign w:val="bottom"/>
          </w:tcPr>
          <w:p w14:paraId="70C1B63A" w14:textId="77777777" w:rsidR="006728A0" w:rsidRPr="00022624" w:rsidRDefault="006728A0" w:rsidP="0095474C">
            <w:pPr>
              <w:jc w:val="right"/>
              <w:rPr>
                <w:szCs w:val="19"/>
              </w:rPr>
            </w:pPr>
            <w:r w:rsidRPr="00B203A0">
              <w:rPr>
                <w:rFonts w:cs="Calibri"/>
                <w:color w:val="000000"/>
                <w:szCs w:val="19"/>
              </w:rPr>
              <w:t>-2,0</w:t>
            </w:r>
          </w:p>
        </w:tc>
        <w:tc>
          <w:tcPr>
            <w:tcW w:w="1276" w:type="dxa"/>
            <w:shd w:val="clear" w:color="auto" w:fill="auto"/>
            <w:vAlign w:val="bottom"/>
          </w:tcPr>
          <w:p w14:paraId="5278BC3D" w14:textId="77777777" w:rsidR="006728A0" w:rsidRPr="00022624" w:rsidRDefault="006728A0" w:rsidP="0095474C">
            <w:pPr>
              <w:jc w:val="right"/>
              <w:rPr>
                <w:szCs w:val="19"/>
              </w:rPr>
            </w:pPr>
            <w:r w:rsidRPr="00B203A0">
              <w:rPr>
                <w:rFonts w:cs="Calibri"/>
                <w:color w:val="000000"/>
                <w:szCs w:val="19"/>
              </w:rPr>
              <w:t>-2,4</w:t>
            </w:r>
          </w:p>
        </w:tc>
        <w:tc>
          <w:tcPr>
            <w:tcW w:w="1134" w:type="dxa"/>
            <w:gridSpan w:val="2"/>
            <w:shd w:val="clear" w:color="auto" w:fill="auto"/>
            <w:vAlign w:val="bottom"/>
          </w:tcPr>
          <w:p w14:paraId="7CDA6306" w14:textId="77777777" w:rsidR="006728A0" w:rsidRPr="00022624" w:rsidRDefault="006728A0" w:rsidP="0095474C">
            <w:pPr>
              <w:jc w:val="right"/>
              <w:rPr>
                <w:szCs w:val="19"/>
              </w:rPr>
            </w:pPr>
            <w:r w:rsidRPr="00B203A0">
              <w:rPr>
                <w:rFonts w:cs="Calibri"/>
                <w:color w:val="000000"/>
                <w:szCs w:val="19"/>
              </w:rPr>
              <w:t>-1,4</w:t>
            </w:r>
          </w:p>
        </w:tc>
        <w:tc>
          <w:tcPr>
            <w:tcW w:w="850" w:type="dxa"/>
            <w:shd w:val="clear" w:color="auto" w:fill="auto"/>
            <w:vAlign w:val="bottom"/>
          </w:tcPr>
          <w:p w14:paraId="6115C87A" w14:textId="77777777" w:rsidR="006728A0" w:rsidRPr="00022624" w:rsidRDefault="006728A0" w:rsidP="0095474C">
            <w:pPr>
              <w:jc w:val="right"/>
              <w:rPr>
                <w:szCs w:val="19"/>
              </w:rPr>
            </w:pPr>
            <w:r w:rsidRPr="00B203A0">
              <w:rPr>
                <w:rFonts w:cs="Calibri"/>
                <w:color w:val="000000"/>
                <w:szCs w:val="19"/>
              </w:rPr>
              <w:t>0,0</w:t>
            </w:r>
          </w:p>
        </w:tc>
        <w:tc>
          <w:tcPr>
            <w:tcW w:w="1276" w:type="dxa"/>
            <w:shd w:val="clear" w:color="auto" w:fill="auto"/>
            <w:vAlign w:val="bottom"/>
          </w:tcPr>
          <w:p w14:paraId="1BB8CE5C" w14:textId="77777777" w:rsidR="006728A0" w:rsidRPr="00022624" w:rsidRDefault="006728A0" w:rsidP="0095474C">
            <w:pPr>
              <w:jc w:val="right"/>
              <w:rPr>
                <w:szCs w:val="19"/>
              </w:rPr>
            </w:pPr>
            <w:r w:rsidRPr="00B203A0">
              <w:rPr>
                <w:rFonts w:cs="Calibri"/>
                <w:color w:val="000000"/>
                <w:szCs w:val="19"/>
              </w:rPr>
              <w:t>-</w:t>
            </w:r>
          </w:p>
        </w:tc>
        <w:tc>
          <w:tcPr>
            <w:tcW w:w="709" w:type="dxa"/>
            <w:shd w:val="clear" w:color="auto" w:fill="auto"/>
            <w:vAlign w:val="bottom"/>
          </w:tcPr>
          <w:p w14:paraId="1BD15154" w14:textId="77777777" w:rsidR="006728A0" w:rsidRPr="00022624" w:rsidRDefault="006728A0" w:rsidP="0095474C">
            <w:pPr>
              <w:jc w:val="right"/>
              <w:rPr>
                <w:szCs w:val="19"/>
              </w:rPr>
            </w:pPr>
            <w:r w:rsidRPr="00B203A0">
              <w:rPr>
                <w:rFonts w:cs="Calibri"/>
                <w:color w:val="000000"/>
                <w:szCs w:val="19"/>
              </w:rPr>
              <w:t>-5,8</w:t>
            </w:r>
          </w:p>
        </w:tc>
      </w:tr>
      <w:tr w:rsidR="006728A0" w:rsidRPr="00BB2561" w14:paraId="00C8DF48" w14:textId="77777777" w:rsidTr="006728A0">
        <w:tc>
          <w:tcPr>
            <w:tcW w:w="1452" w:type="dxa"/>
            <w:shd w:val="clear" w:color="auto" w:fill="auto"/>
          </w:tcPr>
          <w:p w14:paraId="0335C1C3" w14:textId="5A7E014B" w:rsidR="006728A0" w:rsidRPr="00BB2561" w:rsidRDefault="00B0323E" w:rsidP="0095474C">
            <w:pPr>
              <w:jc w:val="both"/>
              <w:rPr>
                <w:szCs w:val="19"/>
              </w:rPr>
            </w:pPr>
            <w:proofErr w:type="spellStart"/>
            <w:r>
              <w:rPr>
                <w:szCs w:val="19"/>
              </w:rPr>
              <w:t>Weather</w:t>
            </w:r>
            <w:proofErr w:type="spellEnd"/>
            <w:r>
              <w:rPr>
                <w:szCs w:val="19"/>
              </w:rPr>
              <w:t xml:space="preserve"> </w:t>
            </w:r>
            <w:proofErr w:type="spellStart"/>
            <w:r>
              <w:rPr>
                <w:szCs w:val="19"/>
              </w:rPr>
              <w:t>conditions</w:t>
            </w:r>
            <w:proofErr w:type="spellEnd"/>
          </w:p>
        </w:tc>
        <w:tc>
          <w:tcPr>
            <w:tcW w:w="1134" w:type="dxa"/>
            <w:shd w:val="clear" w:color="auto" w:fill="auto"/>
            <w:vAlign w:val="bottom"/>
          </w:tcPr>
          <w:p w14:paraId="4056F5D6" w14:textId="77777777" w:rsidR="006728A0" w:rsidRPr="00022624" w:rsidRDefault="006728A0" w:rsidP="0095474C">
            <w:pPr>
              <w:jc w:val="right"/>
              <w:rPr>
                <w:szCs w:val="19"/>
              </w:rPr>
            </w:pPr>
            <w:r w:rsidRPr="00B203A0">
              <w:rPr>
                <w:rFonts w:cs="Calibri"/>
                <w:color w:val="000000"/>
                <w:szCs w:val="19"/>
              </w:rPr>
              <w:t>-</w:t>
            </w:r>
          </w:p>
        </w:tc>
        <w:tc>
          <w:tcPr>
            <w:tcW w:w="1276" w:type="dxa"/>
            <w:shd w:val="clear" w:color="auto" w:fill="auto"/>
            <w:vAlign w:val="bottom"/>
          </w:tcPr>
          <w:p w14:paraId="6321DBB9" w14:textId="77777777" w:rsidR="006728A0" w:rsidRPr="00022624" w:rsidRDefault="006728A0" w:rsidP="0095474C">
            <w:pPr>
              <w:jc w:val="right"/>
              <w:rPr>
                <w:szCs w:val="19"/>
              </w:rPr>
            </w:pPr>
            <w:r w:rsidRPr="00B203A0">
              <w:rPr>
                <w:rFonts w:cs="Calibri"/>
                <w:color w:val="000000"/>
                <w:szCs w:val="19"/>
              </w:rPr>
              <w:t>0,7</w:t>
            </w:r>
          </w:p>
        </w:tc>
        <w:tc>
          <w:tcPr>
            <w:tcW w:w="1134" w:type="dxa"/>
            <w:gridSpan w:val="2"/>
            <w:shd w:val="clear" w:color="auto" w:fill="auto"/>
            <w:vAlign w:val="bottom"/>
          </w:tcPr>
          <w:p w14:paraId="24F735E7" w14:textId="77777777" w:rsidR="006728A0" w:rsidRPr="00022624" w:rsidRDefault="006728A0" w:rsidP="0095474C">
            <w:pPr>
              <w:jc w:val="right"/>
              <w:rPr>
                <w:szCs w:val="19"/>
              </w:rPr>
            </w:pPr>
            <w:r w:rsidRPr="00B203A0">
              <w:rPr>
                <w:rFonts w:cs="Calibri"/>
                <w:color w:val="000000"/>
                <w:szCs w:val="19"/>
              </w:rPr>
              <w:t>-</w:t>
            </w:r>
          </w:p>
        </w:tc>
        <w:tc>
          <w:tcPr>
            <w:tcW w:w="850" w:type="dxa"/>
            <w:shd w:val="clear" w:color="auto" w:fill="auto"/>
            <w:vAlign w:val="bottom"/>
          </w:tcPr>
          <w:p w14:paraId="3ADBB5C3" w14:textId="77777777" w:rsidR="006728A0" w:rsidRPr="00022624" w:rsidRDefault="006728A0" w:rsidP="0095474C">
            <w:pPr>
              <w:jc w:val="right"/>
              <w:rPr>
                <w:szCs w:val="19"/>
              </w:rPr>
            </w:pPr>
            <w:r w:rsidRPr="00B203A0">
              <w:rPr>
                <w:rFonts w:cs="Calibri"/>
                <w:color w:val="000000"/>
                <w:szCs w:val="19"/>
              </w:rPr>
              <w:t>0,3</w:t>
            </w:r>
          </w:p>
        </w:tc>
        <w:tc>
          <w:tcPr>
            <w:tcW w:w="1276" w:type="dxa"/>
            <w:shd w:val="clear" w:color="auto" w:fill="auto"/>
            <w:vAlign w:val="bottom"/>
          </w:tcPr>
          <w:p w14:paraId="19D8C153" w14:textId="77777777" w:rsidR="006728A0" w:rsidRPr="00022624" w:rsidRDefault="006728A0" w:rsidP="0095474C">
            <w:pPr>
              <w:jc w:val="right"/>
              <w:rPr>
                <w:szCs w:val="19"/>
              </w:rPr>
            </w:pPr>
            <w:r w:rsidRPr="00B203A0">
              <w:rPr>
                <w:rFonts w:cs="Calibri"/>
                <w:color w:val="000000"/>
                <w:szCs w:val="19"/>
              </w:rPr>
              <w:t>-</w:t>
            </w:r>
          </w:p>
        </w:tc>
        <w:tc>
          <w:tcPr>
            <w:tcW w:w="709" w:type="dxa"/>
            <w:shd w:val="clear" w:color="auto" w:fill="auto"/>
            <w:vAlign w:val="bottom"/>
          </w:tcPr>
          <w:p w14:paraId="2B7D4B92" w14:textId="77777777" w:rsidR="006728A0" w:rsidRPr="00022624" w:rsidRDefault="006728A0" w:rsidP="0095474C">
            <w:pPr>
              <w:jc w:val="right"/>
              <w:rPr>
                <w:szCs w:val="19"/>
              </w:rPr>
            </w:pPr>
            <w:r w:rsidRPr="00B203A0">
              <w:rPr>
                <w:rFonts w:cs="Calibri"/>
                <w:color w:val="000000"/>
                <w:szCs w:val="19"/>
              </w:rPr>
              <w:t>1,0</w:t>
            </w:r>
          </w:p>
        </w:tc>
      </w:tr>
      <w:tr w:rsidR="006728A0" w:rsidRPr="00BB2561" w14:paraId="414DA299" w14:textId="77777777" w:rsidTr="006728A0">
        <w:tc>
          <w:tcPr>
            <w:tcW w:w="1452" w:type="dxa"/>
            <w:shd w:val="clear" w:color="auto" w:fill="auto"/>
          </w:tcPr>
          <w:p w14:paraId="352A8C52" w14:textId="7F6E3DD3" w:rsidR="006728A0" w:rsidRPr="00BB2561" w:rsidRDefault="00B0323E" w:rsidP="0095474C">
            <w:pPr>
              <w:jc w:val="both"/>
              <w:rPr>
                <w:szCs w:val="19"/>
              </w:rPr>
            </w:pPr>
            <w:proofErr w:type="spellStart"/>
            <w:r w:rsidRPr="00B0323E">
              <w:rPr>
                <w:szCs w:val="19"/>
              </w:rPr>
              <w:t>Others</w:t>
            </w:r>
            <w:proofErr w:type="spellEnd"/>
          </w:p>
        </w:tc>
        <w:tc>
          <w:tcPr>
            <w:tcW w:w="1134" w:type="dxa"/>
            <w:shd w:val="clear" w:color="auto" w:fill="auto"/>
            <w:vAlign w:val="bottom"/>
          </w:tcPr>
          <w:p w14:paraId="3C56045A" w14:textId="77777777" w:rsidR="006728A0" w:rsidRPr="00022624" w:rsidRDefault="006728A0" w:rsidP="0095474C">
            <w:pPr>
              <w:jc w:val="right"/>
              <w:rPr>
                <w:szCs w:val="19"/>
              </w:rPr>
            </w:pPr>
            <w:r w:rsidRPr="00B203A0">
              <w:rPr>
                <w:rFonts w:cs="Calibri"/>
                <w:color w:val="000000"/>
                <w:szCs w:val="19"/>
              </w:rPr>
              <w:t>-0,5</w:t>
            </w:r>
          </w:p>
        </w:tc>
        <w:tc>
          <w:tcPr>
            <w:tcW w:w="1276" w:type="dxa"/>
            <w:shd w:val="clear" w:color="auto" w:fill="auto"/>
            <w:vAlign w:val="bottom"/>
          </w:tcPr>
          <w:p w14:paraId="4AF1B884" w14:textId="77777777" w:rsidR="006728A0" w:rsidRPr="00022624" w:rsidRDefault="006728A0" w:rsidP="0095474C">
            <w:pPr>
              <w:jc w:val="right"/>
              <w:rPr>
                <w:szCs w:val="19"/>
              </w:rPr>
            </w:pPr>
            <w:r w:rsidRPr="00B203A0">
              <w:rPr>
                <w:rFonts w:cs="Calibri"/>
                <w:color w:val="000000"/>
                <w:szCs w:val="19"/>
              </w:rPr>
              <w:t>1,1</w:t>
            </w:r>
          </w:p>
        </w:tc>
        <w:tc>
          <w:tcPr>
            <w:tcW w:w="1134" w:type="dxa"/>
            <w:gridSpan w:val="2"/>
            <w:shd w:val="clear" w:color="auto" w:fill="auto"/>
            <w:vAlign w:val="bottom"/>
          </w:tcPr>
          <w:p w14:paraId="36406A95" w14:textId="77777777" w:rsidR="006728A0" w:rsidRPr="00022624" w:rsidRDefault="006728A0" w:rsidP="0095474C">
            <w:pPr>
              <w:jc w:val="right"/>
              <w:rPr>
                <w:szCs w:val="19"/>
              </w:rPr>
            </w:pPr>
            <w:r w:rsidRPr="00B203A0">
              <w:rPr>
                <w:rFonts w:cs="Calibri"/>
                <w:color w:val="000000"/>
                <w:szCs w:val="19"/>
              </w:rPr>
              <w:t>2,1</w:t>
            </w:r>
          </w:p>
        </w:tc>
        <w:tc>
          <w:tcPr>
            <w:tcW w:w="850" w:type="dxa"/>
            <w:shd w:val="clear" w:color="auto" w:fill="auto"/>
            <w:vAlign w:val="bottom"/>
          </w:tcPr>
          <w:p w14:paraId="6045ACAB" w14:textId="77777777" w:rsidR="006728A0" w:rsidRPr="00B203A0" w:rsidRDefault="006728A0" w:rsidP="0095474C">
            <w:pPr>
              <w:jc w:val="right"/>
              <w:rPr>
                <w:szCs w:val="19"/>
              </w:rPr>
            </w:pPr>
            <w:r w:rsidRPr="00B203A0">
              <w:rPr>
                <w:rFonts w:cs="Calibri"/>
                <w:color w:val="000000"/>
                <w:szCs w:val="19"/>
              </w:rPr>
              <w:t>-3,4</w:t>
            </w:r>
          </w:p>
        </w:tc>
        <w:tc>
          <w:tcPr>
            <w:tcW w:w="1276" w:type="dxa"/>
            <w:shd w:val="clear" w:color="auto" w:fill="auto"/>
            <w:vAlign w:val="bottom"/>
          </w:tcPr>
          <w:p w14:paraId="6BFE1474" w14:textId="77777777" w:rsidR="006728A0" w:rsidRPr="00022624" w:rsidRDefault="006728A0" w:rsidP="0095474C">
            <w:pPr>
              <w:jc w:val="right"/>
              <w:rPr>
                <w:szCs w:val="19"/>
              </w:rPr>
            </w:pPr>
            <w:r w:rsidRPr="00B203A0">
              <w:rPr>
                <w:rFonts w:cs="Calibri"/>
                <w:color w:val="000000"/>
                <w:szCs w:val="19"/>
              </w:rPr>
              <w:t>0,5</w:t>
            </w:r>
          </w:p>
        </w:tc>
        <w:tc>
          <w:tcPr>
            <w:tcW w:w="709" w:type="dxa"/>
            <w:shd w:val="clear" w:color="auto" w:fill="auto"/>
            <w:vAlign w:val="bottom"/>
          </w:tcPr>
          <w:p w14:paraId="0D639B68" w14:textId="77777777" w:rsidR="006728A0" w:rsidRPr="00022624" w:rsidRDefault="006728A0" w:rsidP="0095474C">
            <w:pPr>
              <w:jc w:val="right"/>
              <w:rPr>
                <w:szCs w:val="19"/>
              </w:rPr>
            </w:pPr>
            <w:r w:rsidRPr="00B203A0">
              <w:rPr>
                <w:rFonts w:cs="Calibri"/>
                <w:color w:val="000000"/>
                <w:szCs w:val="19"/>
              </w:rPr>
              <w:t>-0,</w:t>
            </w:r>
            <w:r>
              <w:rPr>
                <w:rFonts w:cs="Calibri"/>
                <w:color w:val="000000"/>
                <w:szCs w:val="19"/>
              </w:rPr>
              <w:t>2</w:t>
            </w:r>
          </w:p>
        </w:tc>
      </w:tr>
    </w:tbl>
    <w:p w14:paraId="1B8E1799" w14:textId="66E27DF8" w:rsidR="00B0162C" w:rsidRPr="0046203D" w:rsidRDefault="00AF07ED" w:rsidP="00AF07ED">
      <w:pPr>
        <w:spacing w:before="6240" w:line="288" w:lineRule="auto"/>
        <w:rPr>
          <w:lang w:val="en-GB"/>
        </w:rPr>
      </w:pPr>
      <w:r>
        <w:rPr>
          <w:lang w:val="en-GB"/>
        </w:rPr>
        <w:t>W</w:t>
      </w:r>
      <w:r w:rsidR="00B0162C">
        <w:rPr>
          <w:lang w:val="en-GB"/>
        </w:rPr>
        <w:t>hen quoting Statistics Poland data, please provide information: “Source of data: Statistics Poland”, and when publishing calculations made on data published by Statistics Poland, please provide information: “Own study based on Statistics Poland data”.</w:t>
      </w:r>
    </w:p>
    <w:p w14:paraId="352C148F" w14:textId="77777777" w:rsidR="00B0162C" w:rsidRDefault="00B0162C" w:rsidP="00B0162C">
      <w:pPr>
        <w:spacing w:before="360"/>
        <w:rPr>
          <w:sz w:val="18"/>
          <w:lang w:val="en-GB"/>
        </w:rPr>
      </w:pPr>
    </w:p>
    <w:p w14:paraId="771D92D4" w14:textId="77777777" w:rsidR="00B0162C" w:rsidRPr="00230C83" w:rsidRDefault="00B0162C" w:rsidP="00B0162C">
      <w:pPr>
        <w:spacing w:before="360"/>
        <w:rPr>
          <w:sz w:val="18"/>
          <w:lang w:val="en-GB"/>
        </w:rPr>
        <w:sectPr w:rsidR="00B0162C" w:rsidRPr="00230C83" w:rsidSect="003B18B6">
          <w:headerReference w:type="default" r:id="rId13"/>
          <w:footerReference w:type="default" r:id="rId14"/>
          <w:headerReference w:type="first" r:id="rId15"/>
          <w:footerReference w:type="first" r:id="rId16"/>
          <w:pgSz w:w="11906" w:h="16838"/>
          <w:pgMar w:top="720" w:right="3119" w:bottom="720" w:left="720" w:header="284" w:footer="283"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B0162C" w:rsidRPr="00230C83" w14:paraId="230AB6E2" w14:textId="77777777" w:rsidTr="00595A4B">
        <w:trPr>
          <w:trHeight w:val="1626"/>
        </w:trPr>
        <w:tc>
          <w:tcPr>
            <w:tcW w:w="4926" w:type="dxa"/>
          </w:tcPr>
          <w:p w14:paraId="4496C9E6" w14:textId="77777777" w:rsidR="00B0162C" w:rsidRPr="00960C40" w:rsidRDefault="00B0162C" w:rsidP="00595A4B">
            <w:pPr>
              <w:spacing w:before="0" w:after="0" w:line="276" w:lineRule="auto"/>
              <w:rPr>
                <w:rFonts w:cs="Arial"/>
                <w:sz w:val="20"/>
                <w:lang w:val="en-GB"/>
              </w:rPr>
            </w:pPr>
            <w:bookmarkStart w:id="0" w:name="_GoBack" w:colFirst="1" w:colLast="1"/>
            <w:r w:rsidRPr="00960C40">
              <w:rPr>
                <w:rFonts w:cs="Arial"/>
                <w:sz w:val="20"/>
                <w:lang w:val="en-GB"/>
              </w:rPr>
              <w:lastRenderedPageBreak/>
              <w:t>Prepared by:</w:t>
            </w:r>
          </w:p>
          <w:p w14:paraId="67CC5232" w14:textId="77777777" w:rsidR="00B0162C" w:rsidRPr="00C84F38" w:rsidRDefault="00B0162C" w:rsidP="00595A4B">
            <w:pPr>
              <w:spacing w:before="0" w:line="276" w:lineRule="auto"/>
              <w:rPr>
                <w:rFonts w:cs="Arial"/>
                <w:b/>
                <w:color w:val="000000" w:themeColor="text1"/>
                <w:sz w:val="20"/>
                <w:lang w:val="en-GB"/>
              </w:rPr>
            </w:pPr>
            <w:r w:rsidRPr="00C84F38">
              <w:rPr>
                <w:rFonts w:cs="Arial"/>
                <w:b/>
                <w:color w:val="000000" w:themeColor="text1"/>
                <w:sz w:val="20"/>
                <w:lang w:val="en-GB"/>
              </w:rPr>
              <w:t>Statistical Office in Rzeszó</w:t>
            </w:r>
            <w:r>
              <w:rPr>
                <w:rFonts w:cs="Arial"/>
                <w:b/>
                <w:color w:val="000000" w:themeColor="text1"/>
                <w:sz w:val="20"/>
                <w:lang w:val="en-GB"/>
              </w:rPr>
              <w:t>w</w:t>
            </w:r>
          </w:p>
          <w:p w14:paraId="247A399C" w14:textId="77777777" w:rsidR="00B0162C" w:rsidRPr="00C84F38" w:rsidRDefault="00B0162C" w:rsidP="00595A4B">
            <w:pPr>
              <w:pStyle w:val="Nagwek3"/>
              <w:spacing w:before="0" w:after="120" w:line="276" w:lineRule="auto"/>
              <w:outlineLvl w:val="2"/>
              <w:rPr>
                <w:rFonts w:ascii="Fira Sans" w:eastAsiaTheme="minorHAnsi" w:hAnsi="Fira Sans" w:cstheme="minorBidi"/>
                <w:b/>
                <w:color w:val="auto"/>
                <w:sz w:val="20"/>
                <w:szCs w:val="20"/>
                <w:lang w:val="en-GB"/>
              </w:rPr>
            </w:pPr>
            <w:r w:rsidRPr="00C84F38">
              <w:rPr>
                <w:rFonts w:ascii="Fira Sans" w:eastAsiaTheme="minorHAnsi" w:hAnsi="Fira Sans" w:cstheme="minorBidi"/>
                <w:b/>
                <w:color w:val="auto"/>
                <w:sz w:val="20"/>
                <w:szCs w:val="20"/>
                <w:lang w:val="en-GB"/>
              </w:rPr>
              <w:t>Director Marek Cierpiał-Wolan</w:t>
            </w:r>
          </w:p>
          <w:p w14:paraId="0000C94D" w14:textId="77777777" w:rsidR="00B0162C" w:rsidRPr="00230C83" w:rsidRDefault="00B0162C" w:rsidP="00595A4B">
            <w:pPr>
              <w:pStyle w:val="Nagwek3"/>
              <w:spacing w:before="0" w:after="120" w:line="276" w:lineRule="auto"/>
              <w:outlineLvl w:val="2"/>
              <w:rPr>
                <w:rFonts w:ascii="Fira Sans" w:hAnsi="Fira Sans" w:cs="Arial"/>
                <w:color w:val="000000" w:themeColor="text1"/>
                <w:sz w:val="20"/>
                <w:lang w:val="en-GB"/>
              </w:rPr>
            </w:pPr>
            <w:r w:rsidRPr="00230C83">
              <w:rPr>
                <w:rFonts w:ascii="Fira Sans" w:hAnsi="Fira Sans" w:cs="Arial"/>
                <w:color w:val="000000" w:themeColor="text1"/>
                <w:sz w:val="20"/>
                <w:lang w:val="en-GB"/>
              </w:rPr>
              <w:t xml:space="preserve">Phone: (+48 </w:t>
            </w:r>
            <w:r>
              <w:rPr>
                <w:rFonts w:ascii="Fira Sans" w:hAnsi="Fira Sans" w:cs="Arial"/>
                <w:color w:val="000000" w:themeColor="text1"/>
                <w:sz w:val="20"/>
                <w:lang w:val="en-GB"/>
              </w:rPr>
              <w:t>48</w:t>
            </w:r>
            <w:r w:rsidRPr="00230C83">
              <w:rPr>
                <w:rFonts w:ascii="Fira Sans" w:hAnsi="Fira Sans" w:cs="Arial"/>
                <w:color w:val="000000" w:themeColor="text1"/>
                <w:sz w:val="20"/>
                <w:lang w:val="en-GB"/>
              </w:rPr>
              <w:t>) </w:t>
            </w:r>
            <w:r w:rsidRPr="00C84F38">
              <w:rPr>
                <w:rFonts w:ascii="Fira Sans" w:hAnsi="Fira Sans" w:cs="Arial"/>
                <w:color w:val="000000" w:themeColor="text1"/>
                <w:sz w:val="20"/>
                <w:lang w:val="en-GB"/>
              </w:rPr>
              <w:t>17 853 52 10</w:t>
            </w:r>
          </w:p>
        </w:tc>
        <w:tc>
          <w:tcPr>
            <w:tcW w:w="4927" w:type="dxa"/>
          </w:tcPr>
          <w:p w14:paraId="39374838" w14:textId="77777777" w:rsidR="00B0162C" w:rsidRPr="00230C83" w:rsidRDefault="00B0162C" w:rsidP="00595A4B">
            <w:pPr>
              <w:spacing w:before="0" w:line="276" w:lineRule="auto"/>
              <w:rPr>
                <w:rFonts w:cs="Arial"/>
                <w:b/>
                <w:sz w:val="20"/>
                <w:lang w:val="en-GB"/>
              </w:rPr>
            </w:pPr>
            <w:r w:rsidRPr="00230C83">
              <w:rPr>
                <w:rFonts w:cs="Arial"/>
                <w:sz w:val="20"/>
                <w:lang w:val="en-GB"/>
              </w:rPr>
              <w:t>Issued by:</w:t>
            </w:r>
            <w:r w:rsidRPr="00230C83">
              <w:rPr>
                <w:rFonts w:cs="Arial"/>
                <w:sz w:val="20"/>
                <w:lang w:val="en-GB"/>
              </w:rPr>
              <w:br/>
            </w:r>
            <w:r w:rsidRPr="00230C83">
              <w:rPr>
                <w:rFonts w:cs="Arial"/>
                <w:b/>
                <w:sz w:val="20"/>
                <w:lang w:val="en-GB"/>
              </w:rPr>
              <w:t>The Spokesperson for the President</w:t>
            </w:r>
            <w:r w:rsidRPr="00230C83">
              <w:rPr>
                <w:rFonts w:cs="Arial"/>
                <w:b/>
                <w:sz w:val="20"/>
                <w:lang w:val="en-GB"/>
              </w:rPr>
              <w:br/>
              <w:t>of Statistics Poland</w:t>
            </w:r>
          </w:p>
          <w:p w14:paraId="18DA5D7F" w14:textId="77777777" w:rsidR="00B0162C" w:rsidRPr="00230C83" w:rsidRDefault="00B0162C" w:rsidP="00595A4B">
            <w:pPr>
              <w:pStyle w:val="Nagwek3"/>
              <w:spacing w:before="0" w:line="276" w:lineRule="auto"/>
              <w:outlineLvl w:val="2"/>
              <w:rPr>
                <w:rFonts w:ascii="Fira Sans" w:hAnsi="Fira Sans" w:cs="Arial"/>
                <w:b/>
                <w:color w:val="auto"/>
                <w:sz w:val="20"/>
                <w:szCs w:val="28"/>
                <w:lang w:val="en-GB"/>
              </w:rPr>
            </w:pPr>
            <w:r w:rsidRPr="00230C83">
              <w:rPr>
                <w:rFonts w:ascii="Fira Sans" w:hAnsi="Fira Sans" w:cs="Arial"/>
                <w:b/>
                <w:color w:val="auto"/>
                <w:sz w:val="20"/>
                <w:szCs w:val="28"/>
                <w:lang w:val="en-GB"/>
              </w:rPr>
              <w:t>Karolina Banaszek</w:t>
            </w:r>
          </w:p>
          <w:p w14:paraId="0C41878A" w14:textId="77777777" w:rsidR="00B0162C" w:rsidRPr="00230C83" w:rsidRDefault="00B0162C" w:rsidP="00595A4B">
            <w:pPr>
              <w:pStyle w:val="Nagwek3"/>
              <w:spacing w:before="0" w:after="120" w:line="276" w:lineRule="auto"/>
              <w:outlineLvl w:val="2"/>
              <w:rPr>
                <w:rFonts w:ascii="Fira Sans" w:hAnsi="Fira Sans" w:cs="Arial"/>
                <w:color w:val="000000" w:themeColor="text1"/>
                <w:sz w:val="20"/>
                <w:lang w:val="en-GB"/>
              </w:rPr>
            </w:pPr>
            <w:r w:rsidRPr="00230C83">
              <w:rPr>
                <w:rFonts w:ascii="Fira Sans" w:hAnsi="Fira Sans" w:cs="Arial"/>
                <w:color w:val="000000" w:themeColor="text1"/>
                <w:sz w:val="20"/>
                <w:lang w:val="en-GB"/>
              </w:rPr>
              <w:t>Phone: (+48) 695 255 011</w:t>
            </w:r>
          </w:p>
          <w:p w14:paraId="48F967AA" w14:textId="77777777" w:rsidR="00B0162C" w:rsidRPr="00230C83" w:rsidRDefault="00B0162C" w:rsidP="00595A4B">
            <w:pPr>
              <w:rPr>
                <w:sz w:val="18"/>
                <w:lang w:val="en-GB"/>
              </w:rPr>
            </w:pPr>
          </w:p>
        </w:tc>
      </w:tr>
      <w:tr w:rsidR="00B0162C" w:rsidRPr="00230C83" w14:paraId="52ACAD11" w14:textId="77777777" w:rsidTr="00595A4B">
        <w:trPr>
          <w:trHeight w:val="418"/>
        </w:trPr>
        <w:tc>
          <w:tcPr>
            <w:tcW w:w="4926" w:type="dxa"/>
            <w:vMerge w:val="restart"/>
          </w:tcPr>
          <w:p w14:paraId="6D16B292" w14:textId="77777777" w:rsidR="00B0162C" w:rsidRPr="00230C83" w:rsidRDefault="00B0162C" w:rsidP="00595A4B">
            <w:pPr>
              <w:rPr>
                <w:b/>
                <w:sz w:val="20"/>
                <w:lang w:val="en-GB"/>
              </w:rPr>
            </w:pPr>
            <w:r w:rsidRPr="00230C83">
              <w:rPr>
                <w:b/>
                <w:sz w:val="20"/>
                <w:lang w:val="en-GB"/>
              </w:rPr>
              <w:t xml:space="preserve">Press Office </w:t>
            </w:r>
          </w:p>
          <w:p w14:paraId="1ACD8D44" w14:textId="77777777" w:rsidR="00B0162C" w:rsidRPr="00230C83" w:rsidRDefault="00B0162C" w:rsidP="00595A4B">
            <w:pPr>
              <w:rPr>
                <w:sz w:val="20"/>
                <w:lang w:val="en-GB"/>
              </w:rPr>
            </w:pPr>
            <w:r w:rsidRPr="00230C83">
              <w:rPr>
                <w:sz w:val="20"/>
                <w:lang w:val="en-GB"/>
              </w:rPr>
              <w:t xml:space="preserve">Phone: (+48 22) 608 38 04 </w:t>
            </w:r>
          </w:p>
          <w:p w14:paraId="5AB137DA" w14:textId="77777777" w:rsidR="00B0162C" w:rsidRPr="00230C83" w:rsidRDefault="00B0162C" w:rsidP="00595A4B">
            <w:pPr>
              <w:rPr>
                <w:sz w:val="18"/>
                <w:lang w:val="en-GB"/>
              </w:rPr>
            </w:pPr>
            <w:r w:rsidRPr="00230C83">
              <w:rPr>
                <w:b/>
                <w:sz w:val="20"/>
                <w:lang w:val="en-GB"/>
              </w:rPr>
              <w:t>e-mail:</w:t>
            </w:r>
            <w:r w:rsidRPr="00230C83">
              <w:rPr>
                <w:sz w:val="20"/>
                <w:lang w:val="en-GB"/>
              </w:rPr>
              <w:t xml:space="preserve"> </w:t>
            </w:r>
            <w:hyperlink r:id="rId17" w:history="1">
              <w:r w:rsidRPr="00230C83">
                <w:rPr>
                  <w:rStyle w:val="Hipercze"/>
                  <w:rFonts w:eastAsiaTheme="majorEastAsia" w:cs="Arial"/>
                  <w:b/>
                  <w:lang w:val="en-GB"/>
                </w:rPr>
                <w:t>obslugaprasowa@stat.gov.pl</w:t>
              </w:r>
            </w:hyperlink>
          </w:p>
        </w:tc>
        <w:tc>
          <w:tcPr>
            <w:tcW w:w="4927" w:type="dxa"/>
            <w:vAlign w:val="center"/>
          </w:tcPr>
          <w:p w14:paraId="5BB89157" w14:textId="77777777" w:rsidR="00B0162C" w:rsidRPr="00230C83" w:rsidRDefault="00B0162C" w:rsidP="00595A4B">
            <w:pPr>
              <w:ind w:firstLine="680"/>
              <w:rPr>
                <w:sz w:val="18"/>
                <w:lang w:val="en-GB"/>
              </w:rPr>
            </w:pPr>
            <w:r w:rsidRPr="00230C83">
              <w:rPr>
                <w:noProof/>
                <w:sz w:val="20"/>
                <w:lang w:val="en-GB" w:eastAsia="pl-PL"/>
              </w:rPr>
              <w:drawing>
                <wp:anchor distT="0" distB="0" distL="114300" distR="114300" simplePos="0" relativeHeight="251660288" behindDoc="0" locked="0" layoutInCell="1" allowOverlap="1" wp14:anchorId="5FBDD435" wp14:editId="1082D850">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30C83">
              <w:rPr>
                <w:sz w:val="20"/>
                <w:lang w:val="en-GB"/>
              </w:rPr>
              <w:t>stat.gov.pl/</w:t>
            </w:r>
            <w:proofErr w:type="spellStart"/>
            <w:r w:rsidRPr="00230C83">
              <w:rPr>
                <w:sz w:val="20"/>
                <w:lang w:val="en-GB"/>
              </w:rPr>
              <w:t>en</w:t>
            </w:r>
            <w:proofErr w:type="spellEnd"/>
            <w:r w:rsidRPr="00230C83">
              <w:rPr>
                <w:sz w:val="20"/>
                <w:lang w:val="en-GB"/>
              </w:rPr>
              <w:t>/</w:t>
            </w:r>
            <w:r w:rsidRPr="00230C83">
              <w:rPr>
                <w:sz w:val="18"/>
                <w:lang w:val="en-GB"/>
              </w:rPr>
              <w:t xml:space="preserve">     </w:t>
            </w:r>
          </w:p>
        </w:tc>
      </w:tr>
      <w:tr w:rsidR="00B0162C" w:rsidRPr="00230C83" w14:paraId="163ACB49" w14:textId="77777777" w:rsidTr="00595A4B">
        <w:trPr>
          <w:trHeight w:val="418"/>
        </w:trPr>
        <w:tc>
          <w:tcPr>
            <w:tcW w:w="4926" w:type="dxa"/>
            <w:vMerge/>
          </w:tcPr>
          <w:p w14:paraId="457845AF" w14:textId="77777777" w:rsidR="00B0162C" w:rsidRPr="00230C83" w:rsidRDefault="00B0162C" w:rsidP="00595A4B">
            <w:pPr>
              <w:rPr>
                <w:b/>
                <w:sz w:val="20"/>
                <w:lang w:val="en-GB"/>
              </w:rPr>
            </w:pPr>
          </w:p>
        </w:tc>
        <w:tc>
          <w:tcPr>
            <w:tcW w:w="4927" w:type="dxa"/>
            <w:vAlign w:val="center"/>
          </w:tcPr>
          <w:p w14:paraId="3216229E" w14:textId="77777777" w:rsidR="00B0162C" w:rsidRPr="00230C83" w:rsidRDefault="00B0162C" w:rsidP="00595A4B">
            <w:pPr>
              <w:ind w:firstLine="680"/>
              <w:rPr>
                <w:sz w:val="18"/>
                <w:lang w:val="en-GB"/>
              </w:rPr>
            </w:pPr>
            <w:r w:rsidRPr="00230C83">
              <w:rPr>
                <w:noProof/>
                <w:sz w:val="20"/>
                <w:lang w:val="en-GB" w:eastAsia="pl-PL"/>
              </w:rPr>
              <w:drawing>
                <wp:anchor distT="0" distB="0" distL="114300" distR="114300" simplePos="0" relativeHeight="251661312" behindDoc="0" locked="0" layoutInCell="1" allowOverlap="1" wp14:anchorId="06B12D7D" wp14:editId="562ABF45">
                  <wp:simplePos x="0" y="0"/>
                  <wp:positionH relativeFrom="column">
                    <wp:posOffset>78740</wp:posOffset>
                  </wp:positionH>
                  <wp:positionV relativeFrom="paragraph">
                    <wp:posOffset>21590</wp:posOffset>
                  </wp:positionV>
                  <wp:extent cx="251460" cy="251460"/>
                  <wp:effectExtent l="0" t="0" r="0" b="0"/>
                  <wp:wrapNone/>
                  <wp:docPr id="22" name="Obraz 22"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30C83">
              <w:rPr>
                <w:sz w:val="20"/>
                <w:lang w:val="en-GB"/>
              </w:rPr>
              <w:t>@</w:t>
            </w:r>
            <w:proofErr w:type="spellStart"/>
            <w:r w:rsidRPr="00230C83">
              <w:rPr>
                <w:noProof/>
                <w:sz w:val="20"/>
                <w:lang w:val="en-GB" w:eastAsia="pl-PL"/>
              </w:rPr>
              <w:t>StatPoland</w:t>
            </w:r>
            <w:proofErr w:type="spellEnd"/>
          </w:p>
        </w:tc>
      </w:tr>
      <w:tr w:rsidR="00B0162C" w:rsidRPr="00230C83" w14:paraId="003A7E63" w14:textId="77777777" w:rsidTr="00595A4B">
        <w:trPr>
          <w:trHeight w:val="480"/>
        </w:trPr>
        <w:tc>
          <w:tcPr>
            <w:tcW w:w="4926" w:type="dxa"/>
            <w:vMerge/>
          </w:tcPr>
          <w:p w14:paraId="689578B9" w14:textId="77777777" w:rsidR="00B0162C" w:rsidRPr="00230C83" w:rsidRDefault="00B0162C" w:rsidP="00595A4B">
            <w:pPr>
              <w:rPr>
                <w:b/>
                <w:sz w:val="20"/>
                <w:lang w:val="en-GB"/>
              </w:rPr>
            </w:pPr>
          </w:p>
        </w:tc>
        <w:tc>
          <w:tcPr>
            <w:tcW w:w="4927" w:type="dxa"/>
          </w:tcPr>
          <w:p w14:paraId="49453CCE" w14:textId="77777777" w:rsidR="00B0162C" w:rsidRPr="00230C83" w:rsidRDefault="00B0162C" w:rsidP="00595A4B">
            <w:pPr>
              <w:ind w:firstLine="680"/>
              <w:rPr>
                <w:sz w:val="18"/>
                <w:lang w:val="en-GB"/>
              </w:rPr>
            </w:pPr>
            <w:r w:rsidRPr="00230C83">
              <w:rPr>
                <w:noProof/>
                <w:sz w:val="20"/>
                <w:lang w:val="en-GB" w:eastAsia="pl-PL"/>
              </w:rPr>
              <w:drawing>
                <wp:anchor distT="0" distB="0" distL="114300" distR="114300" simplePos="0" relativeHeight="251662336" behindDoc="0" locked="0" layoutInCell="1" allowOverlap="1" wp14:anchorId="40F89002" wp14:editId="1AB983AE">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30C83">
              <w:rPr>
                <w:sz w:val="20"/>
                <w:lang w:val="en-GB"/>
              </w:rPr>
              <w:t>@</w:t>
            </w:r>
            <w:proofErr w:type="spellStart"/>
            <w:r w:rsidRPr="00230C83">
              <w:rPr>
                <w:sz w:val="20"/>
                <w:lang w:val="en-GB"/>
              </w:rPr>
              <w:t>GlownyUrzadStatystyczny</w:t>
            </w:r>
            <w:proofErr w:type="spellEnd"/>
            <w:r w:rsidRPr="00230C83">
              <w:rPr>
                <w:noProof/>
                <w:sz w:val="20"/>
                <w:lang w:val="en-GB" w:eastAsia="pl-PL"/>
              </w:rPr>
              <w:t xml:space="preserve"> </w:t>
            </w:r>
          </w:p>
        </w:tc>
      </w:tr>
      <w:tr w:rsidR="00B0162C" w:rsidRPr="00230C83" w14:paraId="7085B855" w14:textId="77777777" w:rsidTr="00595A4B">
        <w:trPr>
          <w:trHeight w:val="480"/>
        </w:trPr>
        <w:tc>
          <w:tcPr>
            <w:tcW w:w="4926" w:type="dxa"/>
          </w:tcPr>
          <w:p w14:paraId="5F0F3D62" w14:textId="77777777" w:rsidR="00B0162C" w:rsidRPr="00230C83" w:rsidRDefault="00B0162C" w:rsidP="00595A4B">
            <w:pPr>
              <w:rPr>
                <w:b/>
                <w:sz w:val="20"/>
                <w:lang w:val="en-GB"/>
              </w:rPr>
            </w:pPr>
          </w:p>
        </w:tc>
        <w:tc>
          <w:tcPr>
            <w:tcW w:w="4927" w:type="dxa"/>
          </w:tcPr>
          <w:p w14:paraId="66B2B2E4" w14:textId="77777777" w:rsidR="00B0162C" w:rsidRPr="00230C83" w:rsidRDefault="00B0162C" w:rsidP="00595A4B">
            <w:pPr>
              <w:ind w:firstLine="680"/>
              <w:rPr>
                <w:sz w:val="20"/>
                <w:lang w:val="en-GB"/>
              </w:rPr>
            </w:pPr>
            <w:r w:rsidRPr="00230C83">
              <w:rPr>
                <w:noProof/>
                <w:sz w:val="20"/>
                <w:lang w:val="en-GB" w:eastAsia="pl-PL"/>
              </w:rPr>
              <w:drawing>
                <wp:anchor distT="0" distB="0" distL="114300" distR="114300" simplePos="0" relativeHeight="251663360" behindDoc="0" locked="0" layoutInCell="1" allowOverlap="1" wp14:anchorId="59FD73B7" wp14:editId="6B4D1496">
                  <wp:simplePos x="0" y="0"/>
                  <wp:positionH relativeFrom="column">
                    <wp:posOffset>82550</wp:posOffset>
                  </wp:positionH>
                  <wp:positionV relativeFrom="paragraph">
                    <wp:posOffset>12700</wp:posOffset>
                  </wp:positionV>
                  <wp:extent cx="251460" cy="251460"/>
                  <wp:effectExtent l="0" t="0" r="0" b="0"/>
                  <wp:wrapNone/>
                  <wp:docPr id="5" name="Obraz 5"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30C83">
              <w:rPr>
                <w:sz w:val="20"/>
                <w:lang w:val="en-GB"/>
              </w:rPr>
              <w:t>gus_stat</w:t>
            </w:r>
            <w:proofErr w:type="spellEnd"/>
          </w:p>
        </w:tc>
      </w:tr>
      <w:tr w:rsidR="00B0162C" w:rsidRPr="00230C83" w14:paraId="1DA786F8" w14:textId="77777777" w:rsidTr="00595A4B">
        <w:trPr>
          <w:trHeight w:val="480"/>
        </w:trPr>
        <w:tc>
          <w:tcPr>
            <w:tcW w:w="4926" w:type="dxa"/>
          </w:tcPr>
          <w:p w14:paraId="54FD771C" w14:textId="77777777" w:rsidR="00B0162C" w:rsidRPr="00230C83" w:rsidRDefault="00B0162C" w:rsidP="00595A4B">
            <w:pPr>
              <w:rPr>
                <w:b/>
                <w:sz w:val="20"/>
                <w:lang w:val="en-GB"/>
              </w:rPr>
            </w:pPr>
          </w:p>
        </w:tc>
        <w:tc>
          <w:tcPr>
            <w:tcW w:w="4927" w:type="dxa"/>
          </w:tcPr>
          <w:p w14:paraId="1ACF4C1C" w14:textId="77777777" w:rsidR="00B0162C" w:rsidRPr="00230C83" w:rsidRDefault="00B0162C" w:rsidP="00595A4B">
            <w:pPr>
              <w:ind w:firstLine="680"/>
              <w:rPr>
                <w:sz w:val="20"/>
                <w:lang w:val="en-GB"/>
              </w:rPr>
            </w:pPr>
            <w:r w:rsidRPr="00230C83">
              <w:rPr>
                <w:noProof/>
                <w:sz w:val="20"/>
                <w:lang w:val="en-GB" w:eastAsia="pl-PL"/>
              </w:rPr>
              <w:drawing>
                <wp:anchor distT="0" distB="0" distL="114300" distR="114300" simplePos="0" relativeHeight="251664384" behindDoc="0" locked="0" layoutInCell="1" allowOverlap="1" wp14:anchorId="071BA7EC" wp14:editId="4B05ABBA">
                  <wp:simplePos x="0" y="0"/>
                  <wp:positionH relativeFrom="column">
                    <wp:posOffset>82550</wp:posOffset>
                  </wp:positionH>
                  <wp:positionV relativeFrom="paragraph">
                    <wp:posOffset>13970</wp:posOffset>
                  </wp:positionV>
                  <wp:extent cx="251460" cy="251460"/>
                  <wp:effectExtent l="0" t="0" r="0" b="0"/>
                  <wp:wrapNone/>
                  <wp:docPr id="11" name="Obraz 11"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30C83">
              <w:rPr>
                <w:sz w:val="20"/>
                <w:lang w:val="en-GB"/>
              </w:rPr>
              <w:t>glownyurzadstatystycznygus</w:t>
            </w:r>
            <w:proofErr w:type="spellEnd"/>
          </w:p>
        </w:tc>
      </w:tr>
      <w:tr w:rsidR="00B0162C" w:rsidRPr="00230C83" w14:paraId="55B8B23D" w14:textId="77777777" w:rsidTr="00595A4B">
        <w:trPr>
          <w:trHeight w:val="953"/>
        </w:trPr>
        <w:tc>
          <w:tcPr>
            <w:tcW w:w="4926" w:type="dxa"/>
          </w:tcPr>
          <w:p w14:paraId="3EF1A5CB" w14:textId="77777777" w:rsidR="00B0162C" w:rsidRPr="00230C83" w:rsidRDefault="00B0162C" w:rsidP="00595A4B">
            <w:pPr>
              <w:rPr>
                <w:b/>
                <w:sz w:val="20"/>
                <w:lang w:val="en-GB"/>
              </w:rPr>
            </w:pPr>
          </w:p>
        </w:tc>
        <w:tc>
          <w:tcPr>
            <w:tcW w:w="4927" w:type="dxa"/>
          </w:tcPr>
          <w:p w14:paraId="57724472" w14:textId="77777777" w:rsidR="00B0162C" w:rsidRPr="00230C83" w:rsidRDefault="00B0162C" w:rsidP="00595A4B">
            <w:pPr>
              <w:ind w:firstLine="680"/>
              <w:rPr>
                <w:sz w:val="20"/>
                <w:lang w:val="en-GB"/>
              </w:rPr>
            </w:pPr>
            <w:r w:rsidRPr="00230C83">
              <w:rPr>
                <w:noProof/>
                <w:sz w:val="20"/>
                <w:lang w:val="en-GB" w:eastAsia="pl-PL"/>
              </w:rPr>
              <w:t>glownyurzadstatystyczny</w:t>
            </w:r>
            <w:r w:rsidRPr="00230C83">
              <w:rPr>
                <w:noProof/>
                <w:sz w:val="20"/>
                <w:lang w:val="en-GB" w:eastAsia="pl-PL"/>
              </w:rPr>
              <w:drawing>
                <wp:anchor distT="0" distB="0" distL="114300" distR="114300" simplePos="0" relativeHeight="251665408" behindDoc="0" locked="0" layoutInCell="1" allowOverlap="1" wp14:anchorId="3399D1BE" wp14:editId="2F103154">
                  <wp:simplePos x="0" y="0"/>
                  <wp:positionH relativeFrom="column">
                    <wp:posOffset>82550</wp:posOffset>
                  </wp:positionH>
                  <wp:positionV relativeFrom="paragraph">
                    <wp:posOffset>15240</wp:posOffset>
                  </wp:positionV>
                  <wp:extent cx="251460" cy="251460"/>
                  <wp:effectExtent l="0" t="0" r="0" b="0"/>
                  <wp:wrapNone/>
                  <wp:docPr id="14" name="Obraz 14"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B0162C" w:rsidRPr="00FD7650" w14:paraId="612951F7" w14:textId="77777777" w:rsidTr="00595A4B">
        <w:trPr>
          <w:trHeight w:val="4114"/>
        </w:trPr>
        <w:tc>
          <w:tcPr>
            <w:tcW w:w="9853" w:type="dxa"/>
            <w:gridSpan w:val="2"/>
            <w:shd w:val="clear" w:color="auto" w:fill="D9D9D9" w:themeFill="background1" w:themeFillShade="D9"/>
          </w:tcPr>
          <w:p w14:paraId="299AAC6C" w14:textId="77777777" w:rsidR="00B0162C" w:rsidRPr="00230C83" w:rsidRDefault="00B0162C" w:rsidP="00595A4B">
            <w:pPr>
              <w:shd w:val="clear" w:color="auto" w:fill="D9D9D9" w:themeFill="background1" w:themeFillShade="D9"/>
              <w:rPr>
                <w:b/>
                <w:lang w:val="en-GB"/>
              </w:rPr>
            </w:pPr>
            <w:r w:rsidRPr="00230C83">
              <w:rPr>
                <w:b/>
                <w:lang w:val="en-GB"/>
              </w:rPr>
              <w:t>Related information</w:t>
            </w:r>
          </w:p>
          <w:p w14:paraId="2DD5720B" w14:textId="77777777" w:rsidR="00B0162C" w:rsidRPr="00960C40" w:rsidRDefault="00B0162C" w:rsidP="00595A4B">
            <w:pPr>
              <w:rPr>
                <w:rStyle w:val="Hipercze"/>
                <w:lang w:val="en-GB"/>
              </w:rPr>
            </w:pPr>
            <w:r w:rsidRPr="00230C83">
              <w:rPr>
                <w:rFonts w:cs="Times New Roman"/>
                <w:lang w:val="en-GB"/>
              </w:rPr>
              <w:fldChar w:fldCharType="begin"/>
            </w:r>
            <w:r>
              <w:rPr>
                <w:rFonts w:cs="Times New Roman"/>
                <w:lang w:val="en-GB"/>
              </w:rPr>
              <w:instrText>HYPERLINK "https://stat.gov.pl/en/topics/environment-energy/energy/energy-statistics-in-2020-and-2021,4,17.html" \o "description hyperlink "</w:instrText>
            </w:r>
            <w:r w:rsidRPr="00230C83">
              <w:rPr>
                <w:rFonts w:cs="Times New Roman"/>
                <w:lang w:val="en-GB"/>
              </w:rPr>
              <w:fldChar w:fldCharType="separate"/>
            </w:r>
            <w:r w:rsidRPr="00960C40">
              <w:rPr>
                <w:rStyle w:val="Hipercze"/>
                <w:lang w:val="en-GB"/>
              </w:rPr>
              <w:t xml:space="preserve">Energy statistics </w:t>
            </w:r>
          </w:p>
          <w:p w14:paraId="74E3419A" w14:textId="5B1056DE" w:rsidR="00DE10D5" w:rsidRPr="00AF07ED" w:rsidRDefault="00B0162C" w:rsidP="00595A4B">
            <w:pPr>
              <w:rPr>
                <w:rFonts w:cs="Times New Roman"/>
                <w:lang w:val="en-GB"/>
              </w:rPr>
            </w:pPr>
            <w:r w:rsidRPr="00230C83">
              <w:rPr>
                <w:rFonts w:cs="Times New Roman"/>
                <w:lang w:val="en-GB"/>
              </w:rPr>
              <w:fldChar w:fldCharType="end"/>
            </w:r>
          </w:p>
          <w:p w14:paraId="5841198B" w14:textId="0DB672DD" w:rsidR="00B0162C" w:rsidRPr="00230C83" w:rsidRDefault="00B0162C" w:rsidP="00595A4B">
            <w:pPr>
              <w:shd w:val="clear" w:color="auto" w:fill="D9D9D9" w:themeFill="background1" w:themeFillShade="D9"/>
              <w:spacing w:before="360"/>
              <w:rPr>
                <w:b/>
                <w:color w:val="000000" w:themeColor="text1"/>
                <w:szCs w:val="24"/>
                <w:lang w:val="en-GB"/>
              </w:rPr>
            </w:pPr>
            <w:r w:rsidRPr="00230C83">
              <w:rPr>
                <w:b/>
                <w:color w:val="000000" w:themeColor="text1"/>
                <w:szCs w:val="24"/>
                <w:lang w:val="en-GB"/>
              </w:rPr>
              <w:t>Data available in databases</w:t>
            </w:r>
          </w:p>
          <w:p w14:paraId="547DC85B" w14:textId="77777777" w:rsidR="00B0162C" w:rsidRPr="005868B6" w:rsidRDefault="00B0162C" w:rsidP="00595A4B">
            <w:pPr>
              <w:rPr>
                <w:color w:val="001D77"/>
                <w:lang w:val="en-US"/>
              </w:rPr>
            </w:pPr>
            <w:r w:rsidRPr="00230C83">
              <w:rPr>
                <w:rFonts w:cs="Times New Roman"/>
                <w:lang w:val="en-GB"/>
              </w:rPr>
              <w:fldChar w:fldCharType="begin"/>
            </w:r>
            <w:r w:rsidRPr="00230C83">
              <w:rPr>
                <w:rFonts w:cs="Times New Roman"/>
                <w:lang w:val="en-GB"/>
              </w:rPr>
              <w:instrText>HYPERLINK "https://stat.gov.pl/" \o "description hyperlink "</w:instrText>
            </w:r>
            <w:r w:rsidRPr="00230C83">
              <w:rPr>
                <w:rFonts w:cs="Times New Roman"/>
                <w:lang w:val="en-GB"/>
              </w:rPr>
              <w:fldChar w:fldCharType="separate"/>
            </w:r>
            <w:hyperlink r:id="rId24" w:history="1">
              <w:r w:rsidRPr="005868B6">
                <w:rPr>
                  <w:rStyle w:val="Hipercze"/>
                  <w:color w:val="001D77"/>
                  <w:lang w:val="en-US"/>
                </w:rPr>
                <w:t>Knowledge Database – Energy statistcs</w:t>
              </w:r>
            </w:hyperlink>
          </w:p>
          <w:p w14:paraId="787C233F" w14:textId="77777777" w:rsidR="00B0162C" w:rsidRPr="005868B6" w:rsidRDefault="00B0162C" w:rsidP="00595A4B">
            <w:pPr>
              <w:rPr>
                <w:rStyle w:val="Hipercze"/>
                <w:lang w:val="en-US"/>
              </w:rPr>
            </w:pPr>
            <w:r>
              <w:fldChar w:fldCharType="begin"/>
            </w:r>
            <w:r w:rsidRPr="005868B6">
              <w:rPr>
                <w:lang w:val="en-US"/>
              </w:rPr>
              <w:instrText>HYPERLINK "https://stat.gov.pl/en/poland-macroeconomic-indicators/"</w:instrText>
            </w:r>
            <w:r>
              <w:fldChar w:fldCharType="separate"/>
            </w:r>
            <w:r w:rsidRPr="005868B6">
              <w:rPr>
                <w:rStyle w:val="Hipercze"/>
                <w:lang w:val="en-US"/>
              </w:rPr>
              <w:t>Poland macroeconomic indicators</w:t>
            </w:r>
          </w:p>
          <w:p w14:paraId="4D612012" w14:textId="77777777" w:rsidR="00B0162C" w:rsidRPr="005868B6" w:rsidRDefault="00B0162C" w:rsidP="00595A4B">
            <w:pPr>
              <w:rPr>
                <w:color w:val="001D77"/>
                <w:lang w:val="en-US"/>
              </w:rPr>
            </w:pPr>
            <w:r>
              <w:fldChar w:fldCharType="end"/>
            </w:r>
            <w:hyperlink r:id="rId25" w:history="1">
              <w:r w:rsidRPr="005868B6">
                <w:rPr>
                  <w:rStyle w:val="Hipercze"/>
                  <w:color w:val="001D77"/>
                  <w:lang w:val="en-US"/>
                </w:rPr>
                <w:t>Macroeconomi</w:t>
              </w:r>
              <w:r>
                <w:rPr>
                  <w:rStyle w:val="Hipercze"/>
                  <w:color w:val="001D77"/>
                  <w:lang w:val="en-US"/>
                </w:rPr>
                <w:t>c</w:t>
              </w:r>
              <w:r w:rsidRPr="005868B6">
                <w:rPr>
                  <w:rStyle w:val="Hipercze"/>
                  <w:color w:val="001D77"/>
                  <w:lang w:val="en-US"/>
                </w:rPr>
                <w:t xml:space="preserve"> Data Bank</w:t>
              </w:r>
            </w:hyperlink>
          </w:p>
          <w:p w14:paraId="221839DE" w14:textId="77777777" w:rsidR="00B0162C" w:rsidRPr="00230C83" w:rsidRDefault="00B0162C" w:rsidP="00595A4B">
            <w:pPr>
              <w:shd w:val="clear" w:color="auto" w:fill="D9D9D9" w:themeFill="background1" w:themeFillShade="D9"/>
              <w:spacing w:before="360"/>
              <w:rPr>
                <w:b/>
                <w:color w:val="000000" w:themeColor="text1"/>
                <w:szCs w:val="24"/>
                <w:lang w:val="en-GB"/>
              </w:rPr>
            </w:pPr>
            <w:r w:rsidRPr="00230C83">
              <w:rPr>
                <w:rFonts w:cs="Times New Roman"/>
                <w:lang w:val="en-GB"/>
              </w:rPr>
              <w:fldChar w:fldCharType="end"/>
            </w:r>
            <w:r w:rsidRPr="00230C83">
              <w:rPr>
                <w:b/>
                <w:color w:val="000000" w:themeColor="text1"/>
                <w:szCs w:val="24"/>
                <w:lang w:val="en-GB"/>
              </w:rPr>
              <w:t>Terms used inn official statistics</w:t>
            </w:r>
          </w:p>
          <w:p w14:paraId="1670BFA2" w14:textId="77777777" w:rsidR="00B0162C" w:rsidRPr="005868B6" w:rsidRDefault="00AF07ED" w:rsidP="00595A4B">
            <w:pPr>
              <w:rPr>
                <w:color w:val="001D77"/>
                <w:szCs w:val="19"/>
                <w:lang w:val="en-US"/>
              </w:rPr>
            </w:pPr>
            <w:hyperlink r:id="rId26" w:history="1">
              <w:r w:rsidR="00B0162C" w:rsidRPr="005868B6">
                <w:rPr>
                  <w:rStyle w:val="Hipercze"/>
                  <w:color w:val="001D77"/>
                  <w:szCs w:val="19"/>
                  <w:lang w:val="en-US"/>
                </w:rPr>
                <w:t>Primary energy</w:t>
              </w:r>
            </w:hyperlink>
          </w:p>
          <w:p w14:paraId="7E74765A" w14:textId="77777777" w:rsidR="00B0162C" w:rsidRPr="00577BA5" w:rsidRDefault="00AF07ED" w:rsidP="00595A4B">
            <w:pPr>
              <w:rPr>
                <w:color w:val="001D77"/>
                <w:szCs w:val="19"/>
                <w:lang w:val="en-US"/>
              </w:rPr>
            </w:pPr>
            <w:hyperlink r:id="rId27" w:history="1">
              <w:r w:rsidR="00B0162C" w:rsidRPr="00577BA5">
                <w:rPr>
                  <w:rStyle w:val="Hipercze"/>
                  <w:color w:val="001D77"/>
                  <w:szCs w:val="19"/>
                  <w:lang w:val="en-US"/>
                </w:rPr>
                <w:t>Derived energy</w:t>
              </w:r>
            </w:hyperlink>
          </w:p>
          <w:p w14:paraId="54ED45FE" w14:textId="77777777" w:rsidR="00B0162C" w:rsidRPr="00577BA5" w:rsidRDefault="00AF07ED" w:rsidP="00595A4B">
            <w:pPr>
              <w:rPr>
                <w:color w:val="001D77"/>
                <w:szCs w:val="19"/>
                <w:lang w:val="en-US"/>
              </w:rPr>
            </w:pPr>
            <w:hyperlink r:id="rId28" w:history="1">
              <w:r w:rsidR="00B0162C" w:rsidRPr="00577BA5">
                <w:rPr>
                  <w:rStyle w:val="Hipercze"/>
                  <w:color w:val="001D77"/>
                  <w:szCs w:val="19"/>
                  <w:lang w:val="en-US"/>
                </w:rPr>
                <w:t>Energy consumption</w:t>
              </w:r>
            </w:hyperlink>
          </w:p>
          <w:p w14:paraId="2DA2FF4F" w14:textId="77777777" w:rsidR="00B0162C" w:rsidRPr="00230C83" w:rsidRDefault="00B0162C" w:rsidP="00595A4B">
            <w:pPr>
              <w:rPr>
                <w:b/>
                <w:color w:val="000000" w:themeColor="text1"/>
                <w:szCs w:val="24"/>
                <w:lang w:val="en-GB"/>
              </w:rPr>
            </w:pPr>
          </w:p>
        </w:tc>
      </w:tr>
      <w:bookmarkEnd w:id="0"/>
    </w:tbl>
    <w:p w14:paraId="093A4986" w14:textId="77777777" w:rsidR="00B0162C" w:rsidRPr="00230C83" w:rsidRDefault="00B0162C" w:rsidP="00B0162C">
      <w:pPr>
        <w:rPr>
          <w:sz w:val="18"/>
          <w:lang w:val="en-GB"/>
        </w:rPr>
      </w:pPr>
    </w:p>
    <w:tbl>
      <w:tblPr>
        <w:tblpPr w:leftFromText="141" w:rightFromText="141" w:vertAnchor="text" w:horzAnchor="margin" w:tblpXSpec="center" w:tblpY="-47"/>
        <w:tblW w:w="0" w:type="auto"/>
        <w:tblLook w:val="04A0" w:firstRow="1" w:lastRow="0" w:firstColumn="1" w:lastColumn="0" w:noHBand="0" w:noVBand="1"/>
      </w:tblPr>
      <w:tblGrid>
        <w:gridCol w:w="4245"/>
        <w:gridCol w:w="3822"/>
      </w:tblGrid>
      <w:tr w:rsidR="00B0162C" w:rsidRPr="00FD7650" w14:paraId="2EBC5D9D" w14:textId="77777777" w:rsidTr="00595A4B">
        <w:trPr>
          <w:trHeight w:val="1912"/>
        </w:trPr>
        <w:tc>
          <w:tcPr>
            <w:tcW w:w="4379" w:type="dxa"/>
          </w:tcPr>
          <w:p w14:paraId="1C235686" w14:textId="77777777" w:rsidR="00B0162C" w:rsidRPr="00230C83" w:rsidRDefault="00B0162C" w:rsidP="00595A4B">
            <w:pPr>
              <w:pStyle w:val="Nagwek3"/>
              <w:spacing w:before="0" w:line="240" w:lineRule="auto"/>
              <w:rPr>
                <w:rFonts w:ascii="Fira Sans" w:hAnsi="Fira Sans"/>
                <w:color w:val="auto"/>
                <w:lang w:val="en-GB"/>
              </w:rPr>
            </w:pPr>
          </w:p>
        </w:tc>
        <w:tc>
          <w:tcPr>
            <w:tcW w:w="3942" w:type="dxa"/>
          </w:tcPr>
          <w:p w14:paraId="12BB190A" w14:textId="77777777" w:rsidR="00B0162C" w:rsidRPr="00230C83" w:rsidRDefault="00B0162C" w:rsidP="00595A4B">
            <w:pPr>
              <w:pStyle w:val="Nagwek3"/>
              <w:spacing w:before="0" w:line="240" w:lineRule="auto"/>
              <w:rPr>
                <w:rFonts w:ascii="Fira Sans" w:hAnsi="Fira Sans" w:cs="Arial"/>
                <w:color w:val="auto"/>
                <w:sz w:val="20"/>
                <w:szCs w:val="20"/>
                <w:lang w:val="en-GB"/>
              </w:rPr>
            </w:pPr>
          </w:p>
        </w:tc>
      </w:tr>
    </w:tbl>
    <w:p w14:paraId="0B6026BB" w14:textId="77777777" w:rsidR="00B0162C" w:rsidRPr="00230C83" w:rsidRDefault="00B0162C" w:rsidP="00B0162C">
      <w:pPr>
        <w:rPr>
          <w:sz w:val="20"/>
          <w:lang w:val="en-GB"/>
        </w:rPr>
      </w:pPr>
    </w:p>
    <w:p w14:paraId="02BA8D7C" w14:textId="77777777" w:rsidR="00B0162C" w:rsidRPr="00230C83" w:rsidRDefault="00B0162C" w:rsidP="00B0162C">
      <w:pPr>
        <w:rPr>
          <w:sz w:val="18"/>
          <w:lang w:val="en-GB"/>
        </w:rPr>
      </w:pPr>
    </w:p>
    <w:p w14:paraId="49D26E57" w14:textId="77777777" w:rsidR="00B0162C" w:rsidRPr="00230C83" w:rsidRDefault="00B0162C" w:rsidP="00B0162C">
      <w:pPr>
        <w:rPr>
          <w:sz w:val="18"/>
          <w:lang w:val="en-GB"/>
        </w:rPr>
      </w:pPr>
    </w:p>
    <w:p w14:paraId="28DFE477" w14:textId="77777777" w:rsidR="00403E76" w:rsidRPr="00B0162C" w:rsidRDefault="00403E76" w:rsidP="00B0162C"/>
    <w:sectPr w:rsidR="00403E76" w:rsidRPr="00B0162C" w:rsidSect="003B18B6">
      <w:headerReference w:type="default" r:id="rId29"/>
      <w:footerReference w:type="default" r:id="rId30"/>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091E9" w14:textId="77777777" w:rsidR="00B0162C" w:rsidRDefault="00B0162C" w:rsidP="00B0162C">
      <w:pPr>
        <w:spacing w:before="0" w:after="0" w:line="240" w:lineRule="auto"/>
      </w:pPr>
      <w:r>
        <w:separator/>
      </w:r>
    </w:p>
  </w:endnote>
  <w:endnote w:type="continuationSeparator" w:id="0">
    <w:p w14:paraId="7EE77D15" w14:textId="77777777" w:rsidR="00B0162C" w:rsidRDefault="00B0162C" w:rsidP="00B0162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ira Sans">
    <w:altName w:val="Cambria Math"/>
    <w:panose1 w:val="020B0503050000020004"/>
    <w:charset w:val="EE"/>
    <w:family w:val="swiss"/>
    <w:pitch w:val="variable"/>
    <w:sig w:usb0="600002FF" w:usb1="02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Fira Sans Extra Condensed SemiB">
    <w:altName w:val="Calibri"/>
    <w:panose1 w:val="020B0603050000020004"/>
    <w:charset w:val="EE"/>
    <w:family w:val="swiss"/>
    <w:pitch w:val="variable"/>
    <w:sig w:usb0="600002FF" w:usb1="00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Condensed SemiBold">
    <w:panose1 w:val="020B0603050000020004"/>
    <w:charset w:val="00"/>
    <w:family w:val="swiss"/>
    <w:notTrueType/>
    <w:pitch w:val="variable"/>
    <w:sig w:usb0="00000007" w:usb1="00000001" w:usb2="00000000" w:usb3="00000000" w:csb0="00000093"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0575277"/>
      <w:docPartObj>
        <w:docPartGallery w:val="Page Numbers (Bottom of Page)"/>
        <w:docPartUnique/>
      </w:docPartObj>
    </w:sdtPr>
    <w:sdtEndPr/>
    <w:sdtContent>
      <w:p w14:paraId="41B8B6D6" w14:textId="77777777" w:rsidR="00B0162C" w:rsidRDefault="00B0162C" w:rsidP="003B18B6">
        <w:pPr>
          <w:pStyle w:val="Stopka"/>
          <w:jc w:val="center"/>
        </w:pPr>
        <w:r>
          <w:fldChar w:fldCharType="begin"/>
        </w:r>
        <w:r>
          <w:instrText>PAGE   \* MERGEFORMAT</w:instrText>
        </w:r>
        <w:r>
          <w:fldChar w:fldCharType="separate"/>
        </w:r>
        <w:r>
          <w:rPr>
            <w:noProof/>
          </w:rPr>
          <w:t>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1836088"/>
      <w:docPartObj>
        <w:docPartGallery w:val="Page Numbers (Bottom of Page)"/>
        <w:docPartUnique/>
      </w:docPartObj>
    </w:sdtPr>
    <w:sdtEndPr/>
    <w:sdtContent>
      <w:p w14:paraId="3A5F1CCE" w14:textId="77777777" w:rsidR="00B0162C" w:rsidRDefault="00B0162C" w:rsidP="003B18B6">
        <w:pPr>
          <w:pStyle w:val="Stopka"/>
          <w:jc w:val="center"/>
        </w:pPr>
        <w:r>
          <w:fldChar w:fldCharType="begin"/>
        </w:r>
        <w:r>
          <w:instrText>PAGE   \* MERGEFORMAT</w:instrText>
        </w:r>
        <w:r>
          <w:fldChar w:fldCharType="separate"/>
        </w:r>
        <w:r>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0D5FFF8E" w14:textId="77777777" w:rsidR="003B18B6" w:rsidRDefault="00B0162C" w:rsidP="003B18B6">
        <w:pPr>
          <w:pStyle w:val="Stopka"/>
          <w:jc w:val="center"/>
        </w:pPr>
        <w:r>
          <w:fldChar w:fldCharType="begin"/>
        </w:r>
        <w:r>
          <w:instrText>PAGE   \* MERGEFORMAT</w:instrText>
        </w:r>
        <w:r>
          <w:fldChar w:fldCharType="separate"/>
        </w:r>
        <w:r>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7278A" w14:textId="77777777" w:rsidR="00B0162C" w:rsidRDefault="00B0162C" w:rsidP="00B0162C">
      <w:pPr>
        <w:spacing w:before="0" w:after="0" w:line="240" w:lineRule="auto"/>
      </w:pPr>
      <w:r>
        <w:separator/>
      </w:r>
    </w:p>
  </w:footnote>
  <w:footnote w:type="continuationSeparator" w:id="0">
    <w:p w14:paraId="7C6716BB" w14:textId="77777777" w:rsidR="00B0162C" w:rsidRDefault="00B0162C" w:rsidP="00B0162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93D96" w14:textId="77777777" w:rsidR="00B0162C" w:rsidRDefault="00B0162C">
    <w:pPr>
      <w:pStyle w:val="Nagwek"/>
    </w:pPr>
    <w:r>
      <w:rPr>
        <w:noProof/>
        <w:lang w:eastAsia="pl-PL"/>
      </w:rPr>
      <mc:AlternateContent>
        <mc:Choice Requires="wps">
          <w:drawing>
            <wp:anchor distT="0" distB="0" distL="114300" distR="114300" simplePos="0" relativeHeight="251663360" behindDoc="1" locked="0" layoutInCell="1" allowOverlap="1" wp14:anchorId="7A89C2FE" wp14:editId="120A81CA">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2" name="Prostokąt 12"/>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E3448D" id="Prostokąt 12" o:spid="_x0000_s1026" style="position:absolute;margin-left:411.2pt;margin-top:-322.85pt;width:147.4pt;height:1803.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US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Kh+lRKdAgAAig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0BAC6AAD" w14:textId="77777777" w:rsidR="00B0162C" w:rsidRDefault="00B0162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25936" w14:textId="77777777" w:rsidR="00B0162C" w:rsidRDefault="00B0162C">
    <w:pPr>
      <w:pStyle w:val="Nagwek"/>
      <w:rPr>
        <w:noProof/>
        <w:lang w:eastAsia="pl-PL"/>
      </w:rPr>
    </w:pPr>
    <w:r>
      <w:rPr>
        <w:noProof/>
        <w:shd w:val="clear" w:color="auto" w:fill="FFFFFF"/>
        <w:lang w:eastAsia="pl-PL"/>
      </w:rPr>
      <w:drawing>
        <wp:anchor distT="0" distB="0" distL="114300" distR="114300" simplePos="0" relativeHeight="251662336" behindDoc="0" locked="0" layoutInCell="1" allowOverlap="1" wp14:anchorId="3821CB12" wp14:editId="03783D38">
          <wp:simplePos x="0" y="0"/>
          <wp:positionH relativeFrom="column">
            <wp:posOffset>8890</wp:posOffset>
          </wp:positionH>
          <wp:positionV relativeFrom="paragraph">
            <wp:posOffset>42545</wp:posOffset>
          </wp:positionV>
          <wp:extent cx="1838325" cy="696595"/>
          <wp:effectExtent l="0" t="0" r="9525" b="0"/>
          <wp:wrapSquare wrapText="bothSides"/>
          <wp:docPr id="7" name="Obraz 7"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6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37172">
      <w:rPr>
        <w:noProof/>
        <w:lang w:eastAsia="pl-PL"/>
      </w:rPr>
      <mc:AlternateContent>
        <mc:Choice Requires="wps">
          <w:drawing>
            <wp:anchor distT="0" distB="0" distL="114300" distR="114300" simplePos="0" relativeHeight="251660288" behindDoc="0" locked="0" layoutInCell="1" allowOverlap="1" wp14:anchorId="36D1525B" wp14:editId="17512BB4">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5EF1E2" w14:textId="77777777" w:rsidR="00B0162C" w:rsidRPr="003C6C8D" w:rsidRDefault="00B0162C" w:rsidP="00156F04">
                          <w:pPr>
                            <w:spacing w:before="0" w:after="0" w:line="240" w:lineRule="auto"/>
                            <w:ind w:left="227"/>
                            <w:jc w:val="center"/>
                            <w:rPr>
                              <w:rFonts w:ascii="Fira Sans SemiBold" w:hAnsi="Fira Sans SemiBold"/>
                            </w:rPr>
                          </w:pPr>
                          <w:r w:rsidRPr="00962B00">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1525B" id="Schemat blokowy: opóźnienie 6" o:spid="_x0000_s1032" alt="News releases" style="position:absolute;margin-left:396.6pt;margin-top:15.65pt;width:162.25pt;height:28.1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3F5EF1E2" w14:textId="77777777" w:rsidR="00B0162C" w:rsidRPr="003C6C8D" w:rsidRDefault="00B0162C" w:rsidP="00156F04">
                    <w:pPr>
                      <w:spacing w:before="0" w:after="0" w:line="240" w:lineRule="auto"/>
                      <w:ind w:left="227"/>
                      <w:jc w:val="center"/>
                      <w:rPr>
                        <w:rFonts w:ascii="Fira Sans SemiBold" w:hAnsi="Fira Sans SemiBold"/>
                      </w:rPr>
                    </w:pPr>
                    <w:r w:rsidRPr="00962B00">
                      <w:rPr>
                        <w:rFonts w:ascii="Fira Sans SemiBold" w:hAnsi="Fira Sans SemiBold"/>
                      </w:rPr>
                      <w:t>NEWS RELEASES</w:t>
                    </w:r>
                  </w:p>
                </w:txbxContent>
              </v:textbox>
            </v:shape>
          </w:pict>
        </mc:Fallback>
      </mc:AlternateContent>
    </w:r>
    <w:r>
      <w:rPr>
        <w:noProof/>
        <w:lang w:eastAsia="pl-PL"/>
      </w:rPr>
      <mc:AlternateContent>
        <mc:Choice Requires="wps">
          <w:drawing>
            <wp:anchor distT="0" distB="0" distL="114300" distR="114300" simplePos="0" relativeHeight="251659264" behindDoc="1" locked="0" layoutInCell="1" allowOverlap="1" wp14:anchorId="2006462D" wp14:editId="2BBEDF27">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5BF02A" id="Prostokąt 10" o:spid="_x0000_s1026" style="position:absolute;margin-left:410.95pt;margin-top:40.3pt;width:147.4pt;height:180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r>
      <w:rPr>
        <w:noProof/>
        <w:lang w:eastAsia="pl-PL"/>
      </w:rPr>
      <w:t xml:space="preserve"> </w:t>
    </w:r>
    <w:r w:rsidRPr="00540C5C">
      <w:rPr>
        <w:noProof/>
      </w:rPr>
      <w:t xml:space="preserve"> </w:t>
    </w:r>
  </w:p>
  <w:p w14:paraId="316554FE" w14:textId="77777777" w:rsidR="00B0162C" w:rsidRDefault="00B0162C">
    <w:pPr>
      <w:pStyle w:val="Nagwek"/>
      <w:rPr>
        <w:noProof/>
        <w:lang w:eastAsia="pl-PL"/>
      </w:rPr>
    </w:pPr>
  </w:p>
  <w:p w14:paraId="177A6F17" w14:textId="77777777" w:rsidR="00B0162C" w:rsidRDefault="00B0162C">
    <w:pPr>
      <w:pStyle w:val="Nagwek"/>
      <w:rPr>
        <w:noProof/>
        <w:lang w:eastAsia="pl-PL"/>
      </w:rPr>
    </w:pPr>
  </w:p>
  <w:p w14:paraId="4F047E86" w14:textId="77777777" w:rsidR="00B0162C" w:rsidRDefault="00B0162C">
    <w:pPr>
      <w:pStyle w:val="Nagwek"/>
      <w:rPr>
        <w:noProof/>
        <w:lang w:eastAsia="pl-PL"/>
      </w:rPr>
    </w:pPr>
    <w:r w:rsidRPr="00F37172">
      <w:rPr>
        <w:noProof/>
        <w:lang w:eastAsia="pl-PL"/>
      </w:rPr>
      <mc:AlternateContent>
        <mc:Choice Requires="wps">
          <w:drawing>
            <wp:anchor distT="45720" distB="45720" distL="114300" distR="114300" simplePos="0" relativeHeight="251661312" behindDoc="0" locked="0" layoutInCell="1" allowOverlap="1" wp14:anchorId="5483947D" wp14:editId="1E1921BB">
              <wp:simplePos x="0" y="0"/>
              <wp:positionH relativeFrom="column">
                <wp:posOffset>5287976</wp:posOffset>
              </wp:positionH>
              <wp:positionV relativeFrom="paragraph">
                <wp:posOffset>266065</wp:posOffset>
              </wp:positionV>
              <wp:extent cx="1432293" cy="336589"/>
              <wp:effectExtent l="0" t="0" r="0" b="6350"/>
              <wp:wrapNone/>
              <wp:docPr id="8" name="Pole tekstowe 2" descr="Publication Data 15.06.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10C91A60" w14:textId="77777777" w:rsidR="00B0162C" w:rsidRPr="00A01B40" w:rsidRDefault="00B0162C" w:rsidP="00F049AB">
                          <w:pPr>
                            <w:pStyle w:val="Datainformacjisygnalnej"/>
                          </w:pPr>
                          <w:r>
                            <w:t>1</w:t>
                          </w:r>
                          <w:r w:rsidR="006214F0">
                            <w:t>5</w:t>
                          </w:r>
                          <w:r>
                            <w:t>.0</w:t>
                          </w:r>
                          <w:r w:rsidR="006214F0">
                            <w:t>6</w:t>
                          </w:r>
                          <w: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83947D" id="_x0000_t202" coordsize="21600,21600" o:spt="202" path="m,l,21600r21600,l21600,xe">
              <v:stroke joinstyle="miter"/>
              <v:path gradientshapeok="t" o:connecttype="rect"/>
            </v:shapetype>
            <v:shape id="_x0000_s1033" type="#_x0000_t202" alt="Publication Data 15.06.2023" style="position:absolute;margin-left:416.4pt;margin-top:20.95pt;width:112.8pt;height:2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" filled="f" stroked="f">
              <v:textbox>
                <w:txbxContent>
                  <w:p w14:paraId="10C91A60" w14:textId="77777777" w:rsidR="00B0162C" w:rsidRPr="00A01B40" w:rsidRDefault="00B0162C" w:rsidP="00F049AB">
                    <w:pPr>
                      <w:pStyle w:val="Datainformacjisygnalnej"/>
                    </w:pPr>
                    <w:r>
                      <w:t>1</w:t>
                    </w:r>
                    <w:r w:rsidR="006214F0">
                      <w:t>5</w:t>
                    </w:r>
                    <w:r>
                      <w:t>.0</w:t>
                    </w:r>
                    <w:r w:rsidR="006214F0">
                      <w:t>6</w:t>
                    </w:r>
                    <w:r>
                      <w:t>.2023</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B7781" w14:textId="77777777" w:rsidR="00607CC5" w:rsidRDefault="00AF07ED">
    <w:pPr>
      <w:pStyle w:val="Nagwek"/>
    </w:pPr>
  </w:p>
  <w:p w14:paraId="6FA484F9" w14:textId="77777777" w:rsidR="00607CC5" w:rsidRDefault="00AF07ED">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C6F"/>
    <w:rsid w:val="000149E2"/>
    <w:rsid w:val="00036D95"/>
    <w:rsid w:val="000719B5"/>
    <w:rsid w:val="000B6CFF"/>
    <w:rsid w:val="0012690B"/>
    <w:rsid w:val="001B7826"/>
    <w:rsid w:val="00281B1B"/>
    <w:rsid w:val="00334712"/>
    <w:rsid w:val="003A689B"/>
    <w:rsid w:val="003E1BC7"/>
    <w:rsid w:val="00403E76"/>
    <w:rsid w:val="00444C85"/>
    <w:rsid w:val="004C2CF0"/>
    <w:rsid w:val="00526E86"/>
    <w:rsid w:val="005314E7"/>
    <w:rsid w:val="00532D1B"/>
    <w:rsid w:val="0060390C"/>
    <w:rsid w:val="006214F0"/>
    <w:rsid w:val="006728A0"/>
    <w:rsid w:val="006859A7"/>
    <w:rsid w:val="006A0C6F"/>
    <w:rsid w:val="006B1D65"/>
    <w:rsid w:val="00715C94"/>
    <w:rsid w:val="00725275"/>
    <w:rsid w:val="007B41CA"/>
    <w:rsid w:val="008F5E44"/>
    <w:rsid w:val="009744E0"/>
    <w:rsid w:val="009869DB"/>
    <w:rsid w:val="00A3080F"/>
    <w:rsid w:val="00A31AF7"/>
    <w:rsid w:val="00A71396"/>
    <w:rsid w:val="00A93AE8"/>
    <w:rsid w:val="00AD23D7"/>
    <w:rsid w:val="00AF07ED"/>
    <w:rsid w:val="00B0162C"/>
    <w:rsid w:val="00B0323E"/>
    <w:rsid w:val="00B43482"/>
    <w:rsid w:val="00B56009"/>
    <w:rsid w:val="00BF3E84"/>
    <w:rsid w:val="00BF77FE"/>
    <w:rsid w:val="00C004A1"/>
    <w:rsid w:val="00C33570"/>
    <w:rsid w:val="00CB0D0E"/>
    <w:rsid w:val="00D309AF"/>
    <w:rsid w:val="00DE10D5"/>
    <w:rsid w:val="00E137B3"/>
    <w:rsid w:val="00E7705B"/>
    <w:rsid w:val="00E83DFB"/>
    <w:rsid w:val="00F013CC"/>
    <w:rsid w:val="00F55314"/>
    <w:rsid w:val="00F82D71"/>
    <w:rsid w:val="00F83044"/>
    <w:rsid w:val="00FF3D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13FBDD"/>
  <w15:chartTrackingRefBased/>
  <w15:docId w15:val="{93399356-A1D4-4B90-80FD-5608A6330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6A0C6F"/>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B016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unhideWhenUsed/>
    <w:rsid w:val="006A0C6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6A0C6F"/>
    <w:rPr>
      <w:rFonts w:asciiTheme="majorHAnsi" w:eastAsiaTheme="majorEastAsia" w:hAnsiTheme="majorHAnsi" w:cstheme="majorBidi"/>
      <w:color w:val="1F3763" w:themeColor="accent1" w:themeShade="7F"/>
      <w:sz w:val="24"/>
      <w:szCs w:val="24"/>
    </w:rPr>
  </w:style>
  <w:style w:type="character" w:styleId="Hipercze">
    <w:name w:val="Hyperlink"/>
    <w:semiHidden/>
    <w:rsid w:val="006A0C6F"/>
    <w:rPr>
      <w:rFonts w:cs="Times New Roman"/>
      <w:color w:val="0000FF"/>
      <w:u w:val="single"/>
    </w:rPr>
  </w:style>
  <w:style w:type="table" w:styleId="Tabela-Siatka">
    <w:name w:val="Table Grid"/>
    <w:basedOn w:val="Standardowy"/>
    <w:uiPriority w:val="39"/>
    <w:rsid w:val="006A0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aliases w:val="tytuł podrozdziału Znak"/>
    <w:basedOn w:val="Domylnaczcionkaakapitu"/>
    <w:link w:val="Nagwek1"/>
    <w:rsid w:val="00B0162C"/>
    <w:rPr>
      <w:rFonts w:asciiTheme="majorHAnsi" w:eastAsiaTheme="majorEastAsia" w:hAnsiTheme="majorHAnsi" w:cstheme="majorBidi"/>
      <w:color w:val="2F5496" w:themeColor="accent1" w:themeShade="BF"/>
      <w:sz w:val="32"/>
      <w:szCs w:val="32"/>
    </w:rPr>
  </w:style>
  <w:style w:type="paragraph" w:styleId="Nagwek">
    <w:name w:val="header"/>
    <w:basedOn w:val="Normalny"/>
    <w:link w:val="NagwekZnak"/>
    <w:uiPriority w:val="99"/>
    <w:unhideWhenUsed/>
    <w:rsid w:val="00B0162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0162C"/>
    <w:rPr>
      <w:rFonts w:ascii="Fira Sans" w:hAnsi="Fira Sans"/>
      <w:sz w:val="19"/>
    </w:rPr>
  </w:style>
  <w:style w:type="paragraph" w:styleId="Stopka">
    <w:name w:val="footer"/>
    <w:basedOn w:val="Normalny"/>
    <w:link w:val="StopkaZnak"/>
    <w:uiPriority w:val="99"/>
    <w:unhideWhenUsed/>
    <w:rsid w:val="00B0162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0162C"/>
    <w:rPr>
      <w:rFonts w:ascii="Fira Sans" w:hAnsi="Fira Sans"/>
      <w:sz w:val="19"/>
    </w:rPr>
  </w:style>
  <w:style w:type="paragraph" w:styleId="Tekstprzypisudolnego">
    <w:name w:val="footnote text"/>
    <w:basedOn w:val="Normalny"/>
    <w:link w:val="TekstprzypisudolnegoZnak"/>
    <w:uiPriority w:val="99"/>
    <w:semiHidden/>
    <w:unhideWhenUsed/>
    <w:rsid w:val="00B0162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0162C"/>
    <w:rPr>
      <w:rFonts w:ascii="Fira Sans" w:hAnsi="Fira Sans"/>
      <w:sz w:val="20"/>
      <w:szCs w:val="20"/>
    </w:rPr>
  </w:style>
  <w:style w:type="character" w:styleId="Odwoanieprzypisudolnego">
    <w:name w:val="footnote reference"/>
    <w:basedOn w:val="Domylnaczcionkaakapitu"/>
    <w:uiPriority w:val="99"/>
    <w:semiHidden/>
    <w:unhideWhenUsed/>
    <w:rsid w:val="00B0162C"/>
    <w:rPr>
      <w:vertAlign w:val="superscript"/>
    </w:rPr>
  </w:style>
  <w:style w:type="paragraph" w:customStyle="1" w:styleId="tekstzboku">
    <w:name w:val="tekst z boku"/>
    <w:basedOn w:val="Normalny"/>
    <w:qFormat/>
    <w:rsid w:val="00B0162C"/>
    <w:pPr>
      <w:spacing w:after="0"/>
    </w:pPr>
    <w:rPr>
      <w:rFonts w:eastAsia="Times New Roman" w:cs="Times New Roman"/>
      <w:bCs/>
      <w:color w:val="001D77"/>
      <w:sz w:val="18"/>
      <w:szCs w:val="18"/>
      <w:lang w:eastAsia="pl-PL"/>
    </w:rPr>
  </w:style>
  <w:style w:type="paragraph" w:customStyle="1" w:styleId="tekstnaniebieskimtle">
    <w:name w:val="tekst na niebieskim tle"/>
    <w:basedOn w:val="Normalny"/>
    <w:link w:val="tekstnaniebieskimtleZnak"/>
    <w:qFormat/>
    <w:rsid w:val="00B0162C"/>
    <w:pPr>
      <w:spacing w:before="0" w:after="0" w:line="240" w:lineRule="auto"/>
    </w:pPr>
    <w:rPr>
      <w:sz w:val="20"/>
    </w:rPr>
  </w:style>
  <w:style w:type="paragraph" w:customStyle="1" w:styleId="Tytuinfomacjisygnalnej">
    <w:name w:val="Tytuł infomacji sygnalnej"/>
    <w:basedOn w:val="Normalny"/>
    <w:link w:val="TytuinfomacjisygnalnejZnak"/>
    <w:qFormat/>
    <w:rsid w:val="00B0162C"/>
    <w:pPr>
      <w:suppressAutoHyphens/>
      <w:spacing w:after="600" w:line="240" w:lineRule="auto"/>
    </w:pPr>
    <w:rPr>
      <w:rFonts w:ascii="Fira Sans Extra Condensed SemiB" w:hAnsi="Fira Sans Extra Condensed SemiB"/>
      <w:color w:val="000000" w:themeColor="text1"/>
      <w:sz w:val="40"/>
      <w:szCs w:val="26"/>
      <w:shd w:val="clear" w:color="auto" w:fill="FFFFFF"/>
    </w:rPr>
  </w:style>
  <w:style w:type="character" w:customStyle="1" w:styleId="TytuinfomacjisygnalnejZnak">
    <w:name w:val="Tytuł infomacji sygnalnej Znak"/>
    <w:basedOn w:val="Domylnaczcionkaakapitu"/>
    <w:link w:val="Tytuinfomacjisygnalnej"/>
    <w:rsid w:val="00B0162C"/>
    <w:rPr>
      <w:rFonts w:ascii="Fira Sans Extra Condensed SemiB" w:hAnsi="Fira Sans Extra Condensed SemiB"/>
      <w:color w:val="000000" w:themeColor="text1"/>
      <w:sz w:val="40"/>
      <w:szCs w:val="26"/>
    </w:rPr>
  </w:style>
  <w:style w:type="paragraph" w:customStyle="1" w:styleId="Lead">
    <w:name w:val="Lead"/>
    <w:basedOn w:val="Normalny"/>
    <w:link w:val="LeadZnak"/>
    <w:qFormat/>
    <w:rsid w:val="00B0162C"/>
    <w:pPr>
      <w:spacing w:before="360"/>
    </w:pPr>
    <w:rPr>
      <w:b/>
      <w:noProof/>
      <w:szCs w:val="19"/>
      <w:lang w:eastAsia="pl-PL"/>
    </w:rPr>
  </w:style>
  <w:style w:type="character" w:customStyle="1" w:styleId="tekstnaniebieskimtleZnak">
    <w:name w:val="tekst na niebieskim tle Znak"/>
    <w:basedOn w:val="Domylnaczcionkaakapitu"/>
    <w:link w:val="tekstnaniebieskimtle"/>
    <w:rsid w:val="00B0162C"/>
    <w:rPr>
      <w:rFonts w:ascii="Fira Sans" w:hAnsi="Fira Sans"/>
      <w:sz w:val="20"/>
    </w:rPr>
  </w:style>
  <w:style w:type="paragraph" w:customStyle="1" w:styleId="Datainformacjisygnalnej">
    <w:name w:val="Data informacji sygnalnej"/>
    <w:basedOn w:val="Normalny"/>
    <w:link w:val="DatainformacjisygnalnejZnak"/>
    <w:qFormat/>
    <w:rsid w:val="00B0162C"/>
    <w:pPr>
      <w:jc w:val="both"/>
    </w:pPr>
    <w:rPr>
      <w:rFonts w:ascii="Fira Sans SemiBold" w:hAnsi="Fira Sans SemiBold"/>
      <w:color w:val="001D77"/>
      <w:sz w:val="20"/>
      <w:szCs w:val="20"/>
    </w:rPr>
  </w:style>
  <w:style w:type="character" w:customStyle="1" w:styleId="LeadZnak">
    <w:name w:val="Lead Znak"/>
    <w:basedOn w:val="Domylnaczcionkaakapitu"/>
    <w:link w:val="Lead"/>
    <w:rsid w:val="00B0162C"/>
    <w:rPr>
      <w:rFonts w:ascii="Fira Sans" w:hAnsi="Fira Sans"/>
      <w:b/>
      <w:noProof/>
      <w:sz w:val="19"/>
      <w:szCs w:val="19"/>
      <w:lang w:eastAsia="pl-PL"/>
    </w:rPr>
  </w:style>
  <w:style w:type="character" w:customStyle="1" w:styleId="DatainformacjisygnalnejZnak">
    <w:name w:val="Data informacji sygnalnej Znak"/>
    <w:basedOn w:val="Domylnaczcionkaakapitu"/>
    <w:link w:val="Datainformacjisygnalnej"/>
    <w:rsid w:val="00B0162C"/>
    <w:rPr>
      <w:rFonts w:ascii="Fira Sans SemiBold" w:hAnsi="Fira Sans SemiBold"/>
      <w:color w:val="001D77"/>
      <w:sz w:val="20"/>
      <w:szCs w:val="20"/>
    </w:rPr>
  </w:style>
  <w:style w:type="paragraph" w:customStyle="1" w:styleId="Tablicanotka">
    <w:name w:val="Tablica notka"/>
    <w:basedOn w:val="Normalny"/>
    <w:link w:val="TablicanotkaZnak"/>
    <w:qFormat/>
    <w:rsid w:val="00B0162C"/>
    <w:rPr>
      <w:noProof/>
      <w:spacing w:val="-2"/>
      <w:sz w:val="16"/>
      <w:szCs w:val="16"/>
    </w:rPr>
  </w:style>
  <w:style w:type="character" w:customStyle="1" w:styleId="TablicanotkaZnak">
    <w:name w:val="Tablica notka Znak"/>
    <w:basedOn w:val="Domylnaczcionkaakapitu"/>
    <w:link w:val="Tablicanotka"/>
    <w:rsid w:val="00B0162C"/>
    <w:rPr>
      <w:rFonts w:ascii="Fira Sans" w:hAnsi="Fira Sans"/>
      <w:noProof/>
      <w:spacing w:val="-2"/>
      <w:sz w:val="16"/>
      <w:szCs w:val="16"/>
    </w:rPr>
  </w:style>
  <w:style w:type="paragraph" w:styleId="Tekstpodstawowy">
    <w:name w:val="Body Text"/>
    <w:basedOn w:val="Normalny"/>
    <w:link w:val="TekstpodstawowyZnak"/>
    <w:rsid w:val="00B0162C"/>
    <w:pPr>
      <w:spacing w:line="276" w:lineRule="auto"/>
    </w:pPr>
    <w:rPr>
      <w:rFonts w:ascii="Times New Roman" w:eastAsia="Times New Roman" w:hAnsi="Times New Roman" w:cs="Times New Roman"/>
      <w:noProof/>
      <w:sz w:val="24"/>
      <w:szCs w:val="24"/>
      <w:lang w:eastAsia="pl-PL"/>
    </w:rPr>
  </w:style>
  <w:style w:type="character" w:customStyle="1" w:styleId="TekstpodstawowyZnak">
    <w:name w:val="Tekst podstawowy Znak"/>
    <w:basedOn w:val="Domylnaczcionkaakapitu"/>
    <w:link w:val="Tekstpodstawowy"/>
    <w:rsid w:val="00B0162C"/>
    <w:rPr>
      <w:rFonts w:ascii="Times New Roman" w:eastAsia="Times New Roman" w:hAnsi="Times New Roman" w:cs="Times New Roman"/>
      <w:noProof/>
      <w:sz w:val="24"/>
      <w:szCs w:val="24"/>
      <w:lang w:eastAsia="pl-PL"/>
    </w:rPr>
  </w:style>
  <w:style w:type="table" w:customStyle="1" w:styleId="Siatkatabelijasna1">
    <w:name w:val="Siatka tabeli — jasna1"/>
    <w:basedOn w:val="Standardowy"/>
    <w:uiPriority w:val="40"/>
    <w:rsid w:val="00B016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D">
    <w:name w:val="LID"/>
    <w:basedOn w:val="Normalny"/>
    <w:qFormat/>
    <w:rsid w:val="006214F0"/>
    <w:rPr>
      <w:b/>
      <w:noProof/>
      <w:szCs w:val="19"/>
      <w:lang w:eastAsia="pl-PL"/>
    </w:rPr>
  </w:style>
  <w:style w:type="paragraph" w:styleId="Tekstdymka">
    <w:name w:val="Balloon Text"/>
    <w:basedOn w:val="Normalny"/>
    <w:link w:val="TekstdymkaZnak"/>
    <w:uiPriority w:val="99"/>
    <w:semiHidden/>
    <w:unhideWhenUsed/>
    <w:rsid w:val="0012690B"/>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690B"/>
    <w:rPr>
      <w:rFonts w:ascii="Segoe UI" w:hAnsi="Segoe UI" w:cs="Segoe UI"/>
      <w:sz w:val="18"/>
      <w:szCs w:val="18"/>
    </w:rPr>
  </w:style>
  <w:style w:type="paragraph" w:customStyle="1" w:styleId="tytuwykresu">
    <w:name w:val="tytuł wykresu"/>
    <w:basedOn w:val="Normalny"/>
    <w:qFormat/>
    <w:rsid w:val="00A71396"/>
    <w:rPr>
      <w:b/>
      <w:spacing w:val="-2"/>
      <w:sz w:val="18"/>
    </w:rPr>
  </w:style>
  <w:style w:type="paragraph" w:styleId="Tekstpodstawowywcity">
    <w:name w:val="Body Text Indent"/>
    <w:basedOn w:val="Normalny"/>
    <w:link w:val="TekstpodstawowywcityZnak"/>
    <w:uiPriority w:val="99"/>
    <w:semiHidden/>
    <w:unhideWhenUsed/>
    <w:rsid w:val="00444C85"/>
    <w:pPr>
      <w:ind w:left="283"/>
    </w:pPr>
  </w:style>
  <w:style w:type="character" w:customStyle="1" w:styleId="TekstpodstawowywcityZnak">
    <w:name w:val="Tekst podstawowy wcięty Znak"/>
    <w:basedOn w:val="Domylnaczcionkaakapitu"/>
    <w:link w:val="Tekstpodstawowywcity"/>
    <w:uiPriority w:val="99"/>
    <w:semiHidden/>
    <w:rsid w:val="00444C85"/>
    <w:rPr>
      <w:rFonts w:ascii="Fira Sans" w:hAnsi="Fira Sans"/>
      <w:sz w:val="19"/>
    </w:rPr>
  </w:style>
  <w:style w:type="character" w:styleId="Odwoaniedokomentarza">
    <w:name w:val="annotation reference"/>
    <w:basedOn w:val="Domylnaczcionkaakapitu"/>
    <w:uiPriority w:val="99"/>
    <w:semiHidden/>
    <w:unhideWhenUsed/>
    <w:rsid w:val="006859A7"/>
    <w:rPr>
      <w:sz w:val="16"/>
      <w:szCs w:val="16"/>
    </w:rPr>
  </w:style>
  <w:style w:type="paragraph" w:styleId="Tekstkomentarza">
    <w:name w:val="annotation text"/>
    <w:basedOn w:val="Normalny"/>
    <w:link w:val="TekstkomentarzaZnak"/>
    <w:uiPriority w:val="99"/>
    <w:semiHidden/>
    <w:unhideWhenUsed/>
    <w:rsid w:val="006859A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859A7"/>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3A689B"/>
    <w:rPr>
      <w:b/>
      <w:bCs/>
    </w:rPr>
  </w:style>
  <w:style w:type="character" w:customStyle="1" w:styleId="TematkomentarzaZnak">
    <w:name w:val="Temat komentarza Znak"/>
    <w:basedOn w:val="TekstkomentarzaZnak"/>
    <w:link w:val="Tematkomentarza"/>
    <w:uiPriority w:val="99"/>
    <w:semiHidden/>
    <w:rsid w:val="003A689B"/>
    <w:rPr>
      <w:rFonts w:ascii="Fira Sans" w:hAnsi="Fira Sans"/>
      <w:b/>
      <w:bCs/>
      <w:sz w:val="20"/>
      <w:szCs w:val="20"/>
    </w:rPr>
  </w:style>
  <w:style w:type="character" w:styleId="UyteHipercze">
    <w:name w:val="FollowedHyperlink"/>
    <w:basedOn w:val="Domylnaczcionkaakapitu"/>
    <w:uiPriority w:val="99"/>
    <w:semiHidden/>
    <w:unhideWhenUsed/>
    <w:rsid w:val="001B78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7.png"/><Relationship Id="rId26" Type="http://schemas.openxmlformats.org/officeDocument/2006/relationships/hyperlink" Target="https://stat.gov.pl/en/metainformation/glossary/terms-used-in-official-statistics/93,term.html" TargetMode="External"/><Relationship Id="rId3" Type="http://schemas.openxmlformats.org/officeDocument/2006/relationships/settings" Target="settings.xml"/><Relationship Id="rId21" Type="http://schemas.openxmlformats.org/officeDocument/2006/relationships/image" Target="media/image10.png"/><Relationship Id="rId34" Type="http://schemas.openxmlformats.org/officeDocument/2006/relationships/customXml" Target="../customXml/item3.xml"/><Relationship Id="rId7" Type="http://schemas.openxmlformats.org/officeDocument/2006/relationships/image" Target="media/image1.emf"/><Relationship Id="rId12" Type="http://schemas.openxmlformats.org/officeDocument/2006/relationships/image" Target="media/image5.png"/><Relationship Id="rId17" Type="http://schemas.openxmlformats.org/officeDocument/2006/relationships/hyperlink" Target="mailto:obslugaprasowa@stat.gov.pl" TargetMode="External"/><Relationship Id="rId25" Type="http://schemas.openxmlformats.org/officeDocument/2006/relationships/hyperlink" Target="http://bdm.stat.gov.pl/" TargetMode="External"/><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image" Target="media/image9.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waid.stat.gov.pl/en/SitePagesDBW/GospodarkaPaliwowoEn.asp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image" Target="media/image12.png"/><Relationship Id="rId28" Type="http://schemas.openxmlformats.org/officeDocument/2006/relationships/hyperlink" Target="https://stat.gov.pl/en/metainformation/glossary/terms-used-in-official-statistics/672,term.html" TargetMode="External"/><Relationship Id="rId10" Type="http://schemas.openxmlformats.org/officeDocument/2006/relationships/image" Target="media/image3.png"/><Relationship Id="rId19" Type="http://schemas.openxmlformats.org/officeDocument/2006/relationships/image" Target="media/image8.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image" Target="media/image11.png"/><Relationship Id="rId27" Type="http://schemas.openxmlformats.org/officeDocument/2006/relationships/hyperlink" Target="https://stat.gov.pl/en/metainformation/glossary/terms-used-in-official-statistics/94,term.html" TargetMode="External"/><Relationship Id="rId30" Type="http://schemas.openxmlformats.org/officeDocument/2006/relationships/footer" Target="footer3.xml"/><Relationship Id="rId8" Type="http://schemas.openxmlformats.org/officeDocument/2006/relationships/image" Target="media/image10.emf"/></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NazwaPliku xmlns="AD3641B4-23D9-4536-AF9E-7D0EADDEB824">Energy efficiency in 2011-2021. News release in DOCX format.docx.docx</NazwaPliku>
    <Osoba xmlns="AD3641B4-23D9-4536-AF9E-7D0EADDEB824">STAT\SIPAK</Osoba>
    <_SourceUrl xmlns="http://schemas.microsoft.com/sharepoint/v3" xsi:nil="true"/>
    <Odbiorcy2 xmlns="AD3641B4-23D9-4536-AF9E-7D0EADDEB824"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Props1.xml><?xml version="1.0" encoding="utf-8"?>
<ds:datastoreItem xmlns:ds="http://schemas.openxmlformats.org/officeDocument/2006/customXml" ds:itemID="{85B41DA2-C5F0-43E4-A67F-0F4F62187C70}"/>
</file>

<file path=customXml/itemProps2.xml><?xml version="1.0" encoding="utf-8"?>
<ds:datastoreItem xmlns:ds="http://schemas.openxmlformats.org/officeDocument/2006/customXml" ds:itemID="{B3120405-B6DB-40C0-B4E5-F0D8CEC9F398}"/>
</file>

<file path=customXml/itemProps3.xml><?xml version="1.0" encoding="utf-8"?>
<ds:datastoreItem xmlns:ds="http://schemas.openxmlformats.org/officeDocument/2006/customXml" ds:itemID="{50F400DE-66F9-45D1-9060-BCDF28056185}"/>
</file>

<file path=docProps/app.xml><?xml version="1.0" encoding="utf-8"?>
<Properties xmlns="http://schemas.openxmlformats.org/officeDocument/2006/extended-properties" xmlns:vt="http://schemas.openxmlformats.org/officeDocument/2006/docPropsVTypes">
  <Template>Normal</Template>
  <TotalTime>285</TotalTime>
  <Pages>7</Pages>
  <Words>1171</Words>
  <Characters>7028</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2023-05-17T07:07:00Z</dcterms:created>
  <dcterms:modified xsi:type="dcterms:W3CDTF">2023-06-12T12:15:00Z</dcterms:modified>
</cp:coreProperties>
</file>