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3761" w:rsidRPr="00982A1A" w:rsidRDefault="00982A1A" w:rsidP="00F049AB">
      <w:pPr>
        <w:pStyle w:val="Tytuinfomacjisygnalnej"/>
        <w:rPr>
          <w:lang w:val="en-US"/>
        </w:rPr>
      </w:pPr>
      <w:bookmarkStart w:id="0" w:name="_GoBack"/>
      <w:bookmarkEnd w:id="0"/>
      <w:r w:rsidRPr="00982A1A">
        <w:rPr>
          <w:lang w:val="en-US"/>
        </w:rPr>
        <w:t>Price indices of sold production of industry in</w:t>
      </w:r>
      <w:r w:rsidR="00C0617C">
        <w:rPr>
          <w:lang w:val="en-US"/>
        </w:rPr>
        <w:t> </w:t>
      </w:r>
      <w:r w:rsidR="007C112E">
        <w:rPr>
          <w:lang w:val="en-US"/>
        </w:rPr>
        <w:t>June</w:t>
      </w:r>
      <w:r w:rsidR="0008245F">
        <w:rPr>
          <w:lang w:val="en-US"/>
        </w:rPr>
        <w:t xml:space="preserve"> 2024</w:t>
      </w:r>
    </w:p>
    <w:p w:rsidR="00982A1A" w:rsidRPr="00982A1A" w:rsidRDefault="00D82FEA" w:rsidP="00982A1A">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59616" behindDoc="0" locked="0" layoutInCell="1" allowOverlap="1" wp14:anchorId="15C529A5" wp14:editId="468AB43D">
                <wp:simplePos x="0" y="0"/>
                <wp:positionH relativeFrom="margin">
                  <wp:align>left</wp:align>
                </wp:positionH>
                <wp:positionV relativeFrom="paragraph">
                  <wp:posOffset>8255</wp:posOffset>
                </wp:positionV>
                <wp:extent cx="2204085" cy="1267460"/>
                <wp:effectExtent l="0" t="0" r="5715" b="8890"/>
                <wp:wrapSquare wrapText="bothSides"/>
                <wp:docPr id="6" name="Pole tekstowe 2" descr="6.1% the decrease of producer prices in industry compared to June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67460"/>
                        </a:xfrm>
                        <a:prstGeom prst="roundRect">
                          <a:avLst/>
                        </a:prstGeom>
                        <a:solidFill>
                          <a:srgbClr val="001D77"/>
                        </a:solidFill>
                        <a:ln w="9525">
                          <a:noFill/>
                          <a:miter lim="800000"/>
                          <a:headEnd/>
                          <a:tailEnd/>
                        </a:ln>
                      </wps:spPr>
                      <wps:txbx>
                        <w:txbxContent>
                          <w:p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7C112E">
                              <w:rPr>
                                <w:rStyle w:val="WartowskanikaZnak"/>
                                <w:sz w:val="72"/>
                                <w:szCs w:val="72"/>
                                <w:lang w:val="en-US"/>
                              </w:rPr>
                              <w:t>6.1</w:t>
                            </w:r>
                            <w:r w:rsidR="00F84069" w:rsidRPr="00982A1A">
                              <w:rPr>
                                <w:rStyle w:val="WartowskanikaZnak"/>
                                <w:sz w:val="72"/>
                                <w:szCs w:val="72"/>
                                <w:lang w:val="en-US"/>
                              </w:rPr>
                              <w:t>%</w:t>
                            </w:r>
                          </w:p>
                          <w:p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7C112E">
                              <w:rPr>
                                <w:lang w:val="en-US"/>
                              </w:rPr>
                              <w:t>June</w:t>
                            </w:r>
                            <w:r w:rsidR="002A7500">
                              <w:rPr>
                                <w:lang w:val="en-US"/>
                              </w:rPr>
                              <w:t xml:space="preserve"> </w:t>
                            </w:r>
                            <w:r w:rsidR="00436653">
                              <w:rPr>
                                <w:lang w:val="en-US"/>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6.1% the decrease of producer prices in industry compared to June 2023&#10;" style="position:absolute;margin-left:0;margin-top:.65pt;width:173.55pt;height:99.8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" fillcolor="#001d77" stroked="f">
                <v:stroke joinstyle="miter"/>
                <v:textbox>
                  <w:txbxContent>
                    <w:p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7C112E">
                        <w:rPr>
                          <w:rStyle w:val="WartowskanikaZnak"/>
                          <w:sz w:val="72"/>
                          <w:szCs w:val="72"/>
                          <w:lang w:val="en-US"/>
                        </w:rPr>
                        <w:t>6.1</w:t>
                      </w:r>
                      <w:r w:rsidR="00F84069" w:rsidRPr="00982A1A">
                        <w:rPr>
                          <w:rStyle w:val="WartowskanikaZnak"/>
                          <w:sz w:val="72"/>
                          <w:szCs w:val="72"/>
                          <w:lang w:val="en-US"/>
                        </w:rPr>
                        <w:t>%</w:t>
                      </w:r>
                    </w:p>
                    <w:p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7C112E">
                        <w:rPr>
                          <w:lang w:val="en-US"/>
                        </w:rPr>
                        <w:t>June</w:t>
                      </w:r>
                      <w:r w:rsidR="002A7500">
                        <w:rPr>
                          <w:lang w:val="en-US"/>
                        </w:rPr>
                        <w:t xml:space="preserve"> </w:t>
                      </w:r>
                      <w:r w:rsidR="00436653">
                        <w:rPr>
                          <w:lang w:val="en-US"/>
                        </w:rPr>
                        <w:t>2023</w:t>
                      </w:r>
                    </w:p>
                  </w:txbxContent>
                </v:textbox>
                <w10:wrap type="square" anchorx="margin"/>
              </v:roundrect>
            </w:pict>
          </mc:Fallback>
        </mc:AlternateContent>
      </w:r>
      <w:r w:rsidR="00982A1A" w:rsidRPr="00982A1A">
        <w:rPr>
          <w:lang w:val="en-US"/>
        </w:rPr>
        <w:t xml:space="preserve"> </w:t>
      </w:r>
      <w:r w:rsidR="00982A1A" w:rsidRPr="00982A1A">
        <w:rPr>
          <w:lang w:val="en-US"/>
        </w:rPr>
        <w:br/>
      </w:r>
      <w:r w:rsidR="00982A1A" w:rsidRPr="00982A1A">
        <w:rPr>
          <w:rFonts w:eastAsia="Times New Roman" w:cs="Times New Roman"/>
          <w:bCs/>
          <w:noProof w:val="0"/>
          <w:lang w:val="en-US" w:eastAsia="en-US"/>
        </w:rPr>
        <w:t xml:space="preserve">According to preliminary data, the prices of sold production of industry in </w:t>
      </w:r>
      <w:r w:rsidR="007C112E">
        <w:rPr>
          <w:rFonts w:eastAsia="Times New Roman" w:cs="Times New Roman"/>
          <w:bCs/>
          <w:noProof w:val="0"/>
          <w:lang w:val="en-US" w:eastAsia="en-US"/>
        </w:rPr>
        <w:t>June</w:t>
      </w:r>
      <w:r w:rsidR="00436653">
        <w:rPr>
          <w:rFonts w:eastAsia="Times New Roman" w:cs="Times New Roman"/>
          <w:bCs/>
          <w:noProof w:val="0"/>
          <w:lang w:val="en-US" w:eastAsia="en-US"/>
        </w:rPr>
        <w:t xml:space="preserve"> 2024</w:t>
      </w:r>
      <w:r w:rsidR="00982A1A" w:rsidRPr="00982A1A">
        <w:rPr>
          <w:rFonts w:eastAsia="Times New Roman" w:cs="Times New Roman"/>
          <w:bCs/>
          <w:noProof w:val="0"/>
          <w:lang w:val="en-US" w:eastAsia="en-US"/>
        </w:rPr>
        <w:t xml:space="preserve"> </w:t>
      </w:r>
      <w:r w:rsidR="007C112E">
        <w:rPr>
          <w:rFonts w:eastAsia="Times New Roman" w:cs="Times New Roman"/>
          <w:bCs/>
          <w:lang w:val="en-US"/>
        </w:rPr>
        <w:t>in</w:t>
      </w:r>
      <w:r w:rsidR="00EF1100">
        <w:rPr>
          <w:rFonts w:eastAsia="Times New Roman" w:cs="Times New Roman"/>
          <w:bCs/>
          <w:lang w:val="en-US"/>
        </w:rPr>
        <w:t>creas</w:t>
      </w:r>
      <w:r w:rsidR="00982A1A" w:rsidRPr="00982A1A">
        <w:rPr>
          <w:rFonts w:eastAsia="Times New Roman" w:cs="Times New Roman"/>
          <w:bCs/>
          <w:lang w:val="en-US"/>
        </w:rPr>
        <w:t xml:space="preserve">ed </w:t>
      </w:r>
      <w:r w:rsidR="00982A1A" w:rsidRPr="00982A1A">
        <w:rPr>
          <w:rFonts w:eastAsia="Times New Roman" w:cs="Times New Roman"/>
          <w:bCs/>
          <w:noProof w:val="0"/>
          <w:lang w:val="en-US" w:eastAsia="en-US"/>
        </w:rPr>
        <w:t xml:space="preserve">compared to </w:t>
      </w:r>
      <w:r w:rsidR="007C112E">
        <w:rPr>
          <w:rFonts w:eastAsia="Times New Roman" w:cs="Times New Roman"/>
          <w:bCs/>
          <w:noProof w:val="0"/>
          <w:lang w:val="en-US" w:eastAsia="en-US"/>
        </w:rPr>
        <w:t>May</w:t>
      </w:r>
      <w:r w:rsidR="00BE2461">
        <w:rPr>
          <w:rFonts w:eastAsia="Times New Roman" w:cs="Times New Roman"/>
          <w:bCs/>
          <w:noProof w:val="0"/>
          <w:lang w:val="en-US" w:eastAsia="en-US"/>
        </w:rPr>
        <w:t xml:space="preserve"> 2024</w:t>
      </w:r>
      <w:r w:rsidR="00982A1A" w:rsidRPr="00982A1A">
        <w:rPr>
          <w:rFonts w:eastAsia="Times New Roman" w:cs="Times New Roman"/>
          <w:bCs/>
          <w:noProof w:val="0"/>
          <w:lang w:val="en-US" w:eastAsia="en-US"/>
        </w:rPr>
        <w:t xml:space="preserve"> by </w:t>
      </w:r>
      <w:r w:rsidR="00382EA4">
        <w:rPr>
          <w:rFonts w:eastAsia="Times New Roman" w:cs="Times New Roman"/>
          <w:bCs/>
          <w:noProof w:val="0"/>
          <w:lang w:val="en-US" w:eastAsia="en-US"/>
        </w:rPr>
        <w:t>–</w:t>
      </w:r>
      <w:r w:rsidR="00E722D3">
        <w:rPr>
          <w:rFonts w:eastAsia="Times New Roman" w:cs="Times New Roman"/>
          <w:bCs/>
          <w:noProof w:val="0"/>
          <w:lang w:val="en-US" w:eastAsia="en-US"/>
        </w:rPr>
        <w:t xml:space="preserve"> </w:t>
      </w:r>
      <w:r w:rsidR="00982A1A" w:rsidRPr="00982A1A">
        <w:rPr>
          <w:rFonts w:eastAsia="Times New Roman" w:cs="Times New Roman"/>
          <w:bCs/>
          <w:noProof w:val="0"/>
          <w:lang w:val="en-US" w:eastAsia="en-US"/>
        </w:rPr>
        <w:t>0.</w:t>
      </w:r>
      <w:r w:rsidR="007C112E">
        <w:rPr>
          <w:rFonts w:eastAsia="Times New Roman" w:cs="Times New Roman"/>
          <w:bCs/>
          <w:noProof w:val="0"/>
          <w:lang w:val="en-US" w:eastAsia="en-US"/>
        </w:rPr>
        <w:t>1</w:t>
      </w:r>
      <w:r w:rsidR="00982A1A" w:rsidRPr="00982A1A">
        <w:rPr>
          <w:rFonts w:eastAsia="Times New Roman" w:cs="Times New Roman"/>
          <w:bCs/>
          <w:noProof w:val="0"/>
          <w:lang w:val="en-US" w:eastAsia="en-US"/>
        </w:rPr>
        <w:t>%</w:t>
      </w:r>
      <w:r w:rsidR="009B2073">
        <w:rPr>
          <w:rFonts w:eastAsia="Times New Roman" w:cs="Times New Roman"/>
          <w:bCs/>
          <w:noProof w:val="0"/>
          <w:lang w:val="en-US" w:eastAsia="en-US"/>
        </w:rPr>
        <w:t xml:space="preserve">, </w:t>
      </w:r>
      <w:r w:rsidR="007C112E">
        <w:rPr>
          <w:rFonts w:eastAsia="Times New Roman" w:cs="Times New Roman"/>
          <w:bCs/>
          <w:noProof w:val="0"/>
          <w:lang w:val="en-US" w:eastAsia="en-US"/>
        </w:rPr>
        <w:t>and dropped</w:t>
      </w:r>
      <w:r w:rsidR="00754C6C">
        <w:rPr>
          <w:rFonts w:eastAsia="Times New Roman" w:cs="Times New Roman"/>
          <w:bCs/>
          <w:noProof w:val="0"/>
          <w:lang w:val="en-US" w:eastAsia="en-US"/>
        </w:rPr>
        <w:t xml:space="preserve"> </w:t>
      </w:r>
      <w:r w:rsidR="00982A1A" w:rsidRPr="00982A1A">
        <w:rPr>
          <w:rFonts w:eastAsia="Times New Roman" w:cs="Times New Roman"/>
          <w:bCs/>
          <w:noProof w:val="0"/>
          <w:lang w:val="en-US" w:eastAsia="en-US"/>
        </w:rPr>
        <w:t xml:space="preserve">compared to the corresponding month of the previous year </w:t>
      </w:r>
      <w:r w:rsidR="00BE2461">
        <w:rPr>
          <w:rFonts w:eastAsia="Times New Roman" w:cs="Times New Roman"/>
          <w:bCs/>
          <w:noProof w:val="0"/>
          <w:lang w:val="en-US" w:eastAsia="en-US"/>
        </w:rPr>
        <w:t>–</w:t>
      </w:r>
      <w:r w:rsidR="00982A1A" w:rsidRPr="00982A1A">
        <w:rPr>
          <w:rFonts w:eastAsia="Times New Roman" w:cs="Times New Roman"/>
          <w:bCs/>
          <w:noProof w:val="0"/>
          <w:lang w:val="en-US" w:eastAsia="en-US"/>
        </w:rPr>
        <w:t xml:space="preserve"> by </w:t>
      </w:r>
      <w:r w:rsidR="007C112E">
        <w:rPr>
          <w:rFonts w:eastAsia="Times New Roman" w:cs="Times New Roman"/>
          <w:bCs/>
          <w:noProof w:val="0"/>
          <w:lang w:val="en-US" w:eastAsia="en-US"/>
        </w:rPr>
        <w:t>6.1</w:t>
      </w:r>
      <w:r w:rsidR="00982A1A" w:rsidRPr="00982A1A">
        <w:rPr>
          <w:rFonts w:eastAsia="Times New Roman" w:cs="Times New Roman"/>
          <w:bCs/>
          <w:noProof w:val="0"/>
          <w:lang w:val="en-US" w:eastAsia="en-US"/>
        </w:rPr>
        <w:t>%.</w:t>
      </w:r>
    </w:p>
    <w:p w:rsidR="00E95B8E" w:rsidRPr="00982A1A" w:rsidRDefault="00CB6AD4" w:rsidP="00982A1A">
      <w:pPr>
        <w:pStyle w:val="Lead"/>
        <w:rPr>
          <w:b w:val="0"/>
          <w:lang w:val="en-US"/>
        </w:rPr>
      </w:pPr>
      <w:r w:rsidRPr="00982A1A">
        <w:rPr>
          <w:shd w:val="clear" w:color="auto" w:fill="FFFFFF"/>
          <w:lang w:val="en-US"/>
        </w:rPr>
        <w:br/>
      </w:r>
    </w:p>
    <w:p w:rsidR="00982A1A" w:rsidRDefault="00982A1A" w:rsidP="00982A1A">
      <w:pPr>
        <w:pStyle w:val="Tytutablicy"/>
        <w:rPr>
          <w:lang w:val="en-US"/>
        </w:rPr>
      </w:pPr>
      <w:r w:rsidRPr="00C6582D">
        <w:rPr>
          <w:noProof/>
        </w:rPr>
        <mc:AlternateContent>
          <mc:Choice Requires="wps">
            <w:drawing>
              <wp:anchor distT="45720" distB="45720" distL="114300" distR="114300" simplePos="0" relativeHeight="251761664" behindDoc="1" locked="0" layoutInCell="1" allowOverlap="1" wp14:anchorId="6057FF05" wp14:editId="2ADF3C5B">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rsidR="00982A1A" w:rsidRPr="003314AC" w:rsidRDefault="00982A1A" w:rsidP="00982A1A">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7FF05"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rsidR="00982A1A" w:rsidRPr="003314AC" w:rsidRDefault="00982A1A" w:rsidP="00982A1A">
                      <w:pPr>
                        <w:pStyle w:val="tekstzboku"/>
                        <w:rPr>
                          <w:lang w:val="en-US"/>
                        </w:rPr>
                      </w:pPr>
                    </w:p>
                  </w:txbxContent>
                </v:textbox>
                <w10:wrap type="tight"/>
              </v:shape>
            </w:pict>
          </mc:Fallback>
        </mc:AlternateContent>
      </w:r>
      <w:r w:rsidRPr="007444CA">
        <w:rPr>
          <w:lang w:val="en-US"/>
        </w:rPr>
        <w:t xml:space="preserve">Table 1. Price indices of sold production of industry </w:t>
      </w:r>
      <w:r w:rsidR="007C112E">
        <w:rPr>
          <w:lang w:val="en-US"/>
        </w:rPr>
        <w:t>in</w:t>
      </w:r>
      <w:r w:rsidR="00754C6C">
        <w:rPr>
          <w:lang w:val="en-US"/>
        </w:rPr>
        <w:t xml:space="preserve"> May</w:t>
      </w:r>
      <w:r w:rsidR="007C112E">
        <w:rPr>
          <w:lang w:val="en-US"/>
        </w:rPr>
        <w:t xml:space="preserve"> and June</w:t>
      </w:r>
      <w:r w:rsidR="00754C6C">
        <w:rPr>
          <w:lang w:val="en-US"/>
        </w:rPr>
        <w:t xml:space="preserve"> </w:t>
      </w:r>
      <w:r w:rsidR="00436653">
        <w:rPr>
          <w:lang w:val="en-US"/>
        </w:rPr>
        <w:t>2024</w:t>
      </w:r>
    </w:p>
    <w:tbl>
      <w:tblPr>
        <w:tblStyle w:val="Tabela-Siatka2"/>
        <w:tblpPr w:leftFromText="141" w:rightFromText="141" w:vertAnchor="text" w:horzAnchor="margin" w:tblpY="182"/>
        <w:tblW w:w="7977"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May and June 2024"/>
        <w:tblDescription w:val="Price indices of sold production of industry in various reference periods: May 2024 to April 2024, May 2024 to the corresponding period of the previous year, i.e. May 2023, June 2024 to the corresponding period of the previous year, i.e. June 2023, June 2024 to May 2024, June 2024 to December 2023, cumulatively January - June 2024 to January - June 2023.&#10;"/>
      </w:tblPr>
      <w:tblGrid>
        <w:gridCol w:w="2193"/>
        <w:gridCol w:w="964"/>
        <w:gridCol w:w="964"/>
        <w:gridCol w:w="964"/>
        <w:gridCol w:w="964"/>
        <w:gridCol w:w="964"/>
        <w:gridCol w:w="964"/>
      </w:tblGrid>
      <w:tr w:rsidR="00EF1100" w:rsidRPr="00A56D4D" w:rsidTr="00EF1100">
        <w:trPr>
          <w:trHeight w:val="557"/>
        </w:trPr>
        <w:tc>
          <w:tcPr>
            <w:tcW w:w="2193" w:type="dxa"/>
            <w:vMerge w:val="restart"/>
            <w:tcBorders>
              <w:top w:val="single" w:sz="4" w:space="0" w:color="auto"/>
              <w:right w:val="single" w:sz="4" w:space="0" w:color="auto"/>
            </w:tcBorders>
            <w:vAlign w:val="center"/>
          </w:tcPr>
          <w:p w:rsidR="00EF1100" w:rsidRPr="007974A5" w:rsidRDefault="00EF1100" w:rsidP="00EF1100">
            <w:pPr>
              <w:jc w:val="center"/>
              <w:rPr>
                <w:shd w:val="clear" w:color="auto" w:fill="FFFFFF"/>
                <w:lang w:val="en-US"/>
              </w:rPr>
            </w:pPr>
            <w:r w:rsidRPr="00A56D4D">
              <w:rPr>
                <w:rFonts w:cs="Arial"/>
                <w:color w:val="000000" w:themeColor="text1"/>
                <w:sz w:val="16"/>
                <w:szCs w:val="16"/>
              </w:rPr>
              <w:t>SPECIFICATION</w:t>
            </w:r>
          </w:p>
        </w:tc>
        <w:tc>
          <w:tcPr>
            <w:tcW w:w="1928" w:type="dxa"/>
            <w:gridSpan w:val="2"/>
            <w:tcBorders>
              <w:top w:val="single" w:sz="4" w:space="0" w:color="auto"/>
              <w:right w:val="single" w:sz="4" w:space="0" w:color="auto"/>
            </w:tcBorders>
            <w:vAlign w:val="center"/>
          </w:tcPr>
          <w:p w:rsidR="00EF1100" w:rsidRPr="00A56D4D" w:rsidRDefault="00EF1100" w:rsidP="00EF1100">
            <w:pPr>
              <w:jc w:val="center"/>
              <w:rPr>
                <w:rFonts w:cs="Arial"/>
                <w:color w:val="000000" w:themeColor="text1"/>
                <w:sz w:val="16"/>
                <w:szCs w:val="16"/>
              </w:rPr>
            </w:pPr>
            <w:r>
              <w:rPr>
                <w:color w:val="000000" w:themeColor="text1"/>
                <w:sz w:val="16"/>
                <w:szCs w:val="16"/>
              </w:rPr>
              <w:t>0</w:t>
            </w:r>
            <w:r w:rsidR="007C112E">
              <w:rPr>
                <w:color w:val="000000" w:themeColor="text1"/>
                <w:sz w:val="16"/>
                <w:szCs w:val="16"/>
              </w:rPr>
              <w:t>5</w:t>
            </w:r>
            <w:r>
              <w:rPr>
                <w:color w:val="000000" w:themeColor="text1"/>
                <w:sz w:val="16"/>
                <w:szCs w:val="16"/>
              </w:rPr>
              <w:t xml:space="preserve"> 2024</w:t>
            </w:r>
          </w:p>
        </w:tc>
        <w:tc>
          <w:tcPr>
            <w:tcW w:w="2892" w:type="dxa"/>
            <w:gridSpan w:val="3"/>
            <w:tcBorders>
              <w:top w:val="single" w:sz="4" w:space="0" w:color="auto"/>
              <w:right w:val="nil"/>
            </w:tcBorders>
            <w:vAlign w:val="center"/>
          </w:tcPr>
          <w:p w:rsidR="00EF1100" w:rsidRPr="00A56D4D" w:rsidRDefault="00EF1100" w:rsidP="00EF1100">
            <w:pPr>
              <w:jc w:val="center"/>
              <w:rPr>
                <w:rFonts w:cs="Arial"/>
                <w:color w:val="000000" w:themeColor="text1"/>
                <w:sz w:val="16"/>
                <w:szCs w:val="16"/>
              </w:rPr>
            </w:pPr>
            <w:r>
              <w:rPr>
                <w:color w:val="000000" w:themeColor="text1"/>
                <w:sz w:val="16"/>
                <w:szCs w:val="16"/>
              </w:rPr>
              <w:t>0</w:t>
            </w:r>
            <w:r w:rsidR="007C112E">
              <w:rPr>
                <w:color w:val="000000" w:themeColor="text1"/>
                <w:sz w:val="16"/>
                <w:szCs w:val="16"/>
              </w:rPr>
              <w:t>6</w:t>
            </w:r>
            <w:r>
              <w:rPr>
                <w:color w:val="000000" w:themeColor="text1"/>
                <w:sz w:val="16"/>
                <w:szCs w:val="16"/>
              </w:rPr>
              <w:t xml:space="preserve"> 2024</w:t>
            </w:r>
          </w:p>
        </w:tc>
        <w:tc>
          <w:tcPr>
            <w:tcW w:w="964" w:type="dxa"/>
            <w:tcBorders>
              <w:top w:val="single" w:sz="4" w:space="0" w:color="auto"/>
              <w:right w:val="nil"/>
            </w:tcBorders>
            <w:vAlign w:val="center"/>
          </w:tcPr>
          <w:p w:rsidR="00EF1100" w:rsidRDefault="00EF1100" w:rsidP="00EF1100">
            <w:pPr>
              <w:jc w:val="center"/>
              <w:rPr>
                <w:color w:val="000000" w:themeColor="text1"/>
                <w:sz w:val="16"/>
                <w:szCs w:val="16"/>
              </w:rPr>
            </w:pPr>
            <w:r>
              <w:rPr>
                <w:color w:val="000000" w:themeColor="text1"/>
                <w:sz w:val="16"/>
                <w:szCs w:val="16"/>
              </w:rPr>
              <w:t>01-</w:t>
            </w:r>
            <w:r w:rsidR="007C112E">
              <w:rPr>
                <w:color w:val="000000" w:themeColor="text1"/>
                <w:sz w:val="16"/>
                <w:szCs w:val="16"/>
              </w:rPr>
              <w:t>06</w:t>
            </w:r>
            <w:r>
              <w:rPr>
                <w:color w:val="000000" w:themeColor="text1"/>
                <w:sz w:val="16"/>
                <w:szCs w:val="16"/>
              </w:rPr>
              <w:t xml:space="preserve"> 2024</w:t>
            </w:r>
          </w:p>
        </w:tc>
      </w:tr>
      <w:tr w:rsidR="00EF1100" w:rsidRPr="00A56D4D" w:rsidTr="00EF1100">
        <w:trPr>
          <w:trHeight w:val="852"/>
        </w:trPr>
        <w:tc>
          <w:tcPr>
            <w:tcW w:w="2193" w:type="dxa"/>
            <w:vMerge/>
            <w:tcBorders>
              <w:bottom w:val="single" w:sz="12" w:space="0" w:color="001D77"/>
              <w:right w:val="single" w:sz="4" w:space="0" w:color="auto"/>
            </w:tcBorders>
          </w:tcPr>
          <w:p w:rsidR="00EF1100" w:rsidRPr="00A56D4D" w:rsidRDefault="00EF1100" w:rsidP="00EF1100">
            <w:pPr>
              <w:rPr>
                <w:shd w:val="clear" w:color="auto" w:fill="FFFFFF"/>
              </w:rPr>
            </w:pPr>
          </w:p>
        </w:tc>
        <w:tc>
          <w:tcPr>
            <w:tcW w:w="964" w:type="dxa"/>
            <w:tcBorders>
              <w:bottom w:val="single" w:sz="12" w:space="0" w:color="001D77"/>
              <w:right w:val="single" w:sz="4" w:space="0" w:color="auto"/>
            </w:tcBorders>
            <w:vAlign w:val="center"/>
          </w:tcPr>
          <w:p w:rsidR="00EF1100" w:rsidRPr="00A56D4D" w:rsidRDefault="00EF1100" w:rsidP="00EF1100">
            <w:pPr>
              <w:jc w:val="center"/>
              <w:rPr>
                <w:shd w:val="clear" w:color="auto" w:fill="FFFFFF"/>
              </w:rPr>
            </w:pPr>
            <w:r w:rsidRPr="00BF6C1D">
              <w:rPr>
                <w:color w:val="000000" w:themeColor="text1"/>
                <w:spacing w:val="-12"/>
                <w:sz w:val="16"/>
                <w:szCs w:val="16"/>
              </w:rPr>
              <w:t>0</w:t>
            </w:r>
            <w:r w:rsidR="007C112E">
              <w:rPr>
                <w:color w:val="000000" w:themeColor="text1"/>
                <w:spacing w:val="-12"/>
                <w:sz w:val="16"/>
                <w:szCs w:val="16"/>
              </w:rPr>
              <w:t>4</w:t>
            </w:r>
            <w:r w:rsidRPr="00BF6C1D">
              <w:rPr>
                <w:color w:val="000000" w:themeColor="text1"/>
                <w:spacing w:val="-12"/>
                <w:sz w:val="16"/>
                <w:szCs w:val="16"/>
              </w:rPr>
              <w:t xml:space="preserve"> 2024=100</w:t>
            </w:r>
          </w:p>
        </w:tc>
        <w:tc>
          <w:tcPr>
            <w:tcW w:w="1928" w:type="dxa"/>
            <w:gridSpan w:val="2"/>
            <w:tcBorders>
              <w:bottom w:val="single" w:sz="12" w:space="0" w:color="001D77"/>
            </w:tcBorders>
            <w:vAlign w:val="center"/>
          </w:tcPr>
          <w:p w:rsidR="00EF1100" w:rsidRDefault="00EF1100" w:rsidP="00EF1100">
            <w:pPr>
              <w:jc w:val="center"/>
              <w:rPr>
                <w:color w:val="000000" w:themeColor="text1"/>
                <w:sz w:val="16"/>
                <w:szCs w:val="16"/>
              </w:rPr>
            </w:pPr>
            <w:r>
              <w:rPr>
                <w:color w:val="000000" w:themeColor="text1"/>
                <w:sz w:val="16"/>
                <w:szCs w:val="16"/>
              </w:rPr>
              <w:t>c</w:t>
            </w:r>
            <w:r w:rsidRPr="00436653">
              <w:rPr>
                <w:color w:val="000000" w:themeColor="text1"/>
                <w:sz w:val="16"/>
                <w:szCs w:val="16"/>
              </w:rPr>
              <w:t>orresponding period</w:t>
            </w:r>
            <w:r>
              <w:rPr>
                <w:color w:val="000000" w:themeColor="text1"/>
                <w:sz w:val="16"/>
                <w:szCs w:val="16"/>
              </w:rPr>
              <w:t xml:space="preserve"> </w:t>
            </w:r>
            <w:r w:rsidRPr="00436653">
              <w:rPr>
                <w:color w:val="000000" w:themeColor="text1"/>
                <w:sz w:val="16"/>
                <w:szCs w:val="16"/>
              </w:rPr>
              <w:t>202</w:t>
            </w:r>
            <w:r>
              <w:rPr>
                <w:color w:val="000000" w:themeColor="text1"/>
                <w:sz w:val="16"/>
                <w:szCs w:val="16"/>
              </w:rPr>
              <w:t>3</w:t>
            </w:r>
            <w:r w:rsidRPr="00436653">
              <w:rPr>
                <w:color w:val="000000" w:themeColor="text1"/>
                <w:sz w:val="16"/>
                <w:szCs w:val="16"/>
              </w:rPr>
              <w:t>=100</w:t>
            </w:r>
          </w:p>
        </w:tc>
        <w:tc>
          <w:tcPr>
            <w:tcW w:w="964" w:type="dxa"/>
            <w:tcBorders>
              <w:top w:val="single" w:sz="4" w:space="0" w:color="001D77"/>
              <w:bottom w:val="single" w:sz="12" w:space="0" w:color="001D77"/>
              <w:right w:val="single" w:sz="4" w:space="0" w:color="auto"/>
            </w:tcBorders>
            <w:vAlign w:val="center"/>
          </w:tcPr>
          <w:p w:rsidR="00EF1100" w:rsidRPr="00EF1100" w:rsidRDefault="00EF1100" w:rsidP="00EF1100">
            <w:pPr>
              <w:jc w:val="right"/>
              <w:rPr>
                <w:color w:val="000000" w:themeColor="text1"/>
                <w:sz w:val="16"/>
                <w:szCs w:val="16"/>
                <w:lang w:val="en-US"/>
              </w:rPr>
            </w:pPr>
            <w:r w:rsidRPr="00EF1100">
              <w:rPr>
                <w:color w:val="000000" w:themeColor="text1"/>
                <w:spacing w:val="-12"/>
                <w:sz w:val="16"/>
                <w:szCs w:val="16"/>
              </w:rPr>
              <w:t>0</w:t>
            </w:r>
            <w:r w:rsidR="007C112E">
              <w:rPr>
                <w:color w:val="000000" w:themeColor="text1"/>
                <w:spacing w:val="-12"/>
                <w:sz w:val="16"/>
                <w:szCs w:val="16"/>
              </w:rPr>
              <w:t>5</w:t>
            </w:r>
            <w:r w:rsidRPr="00EF1100">
              <w:rPr>
                <w:color w:val="000000" w:themeColor="text1"/>
                <w:spacing w:val="-12"/>
                <w:sz w:val="16"/>
                <w:szCs w:val="16"/>
              </w:rPr>
              <w:t xml:space="preserve"> 2024=100</w:t>
            </w:r>
          </w:p>
        </w:tc>
        <w:tc>
          <w:tcPr>
            <w:tcW w:w="964" w:type="dxa"/>
            <w:tcBorders>
              <w:top w:val="single" w:sz="4" w:space="0" w:color="001D77"/>
              <w:bottom w:val="single" w:sz="12" w:space="0" w:color="001D77"/>
              <w:right w:val="single" w:sz="4" w:space="0" w:color="auto"/>
            </w:tcBorders>
            <w:vAlign w:val="center"/>
          </w:tcPr>
          <w:p w:rsidR="00EF1100" w:rsidRPr="00EF1100" w:rsidRDefault="00EF1100" w:rsidP="00EF1100">
            <w:pPr>
              <w:jc w:val="right"/>
              <w:rPr>
                <w:sz w:val="16"/>
                <w:szCs w:val="16"/>
                <w:shd w:val="clear" w:color="auto" w:fill="FFFFFF"/>
              </w:rPr>
            </w:pPr>
            <w:r w:rsidRPr="00EF1100">
              <w:rPr>
                <w:color w:val="000000" w:themeColor="text1"/>
                <w:spacing w:val="-12"/>
                <w:sz w:val="16"/>
                <w:szCs w:val="16"/>
              </w:rPr>
              <w:t>12  2023=100</w:t>
            </w:r>
          </w:p>
        </w:tc>
        <w:tc>
          <w:tcPr>
            <w:tcW w:w="964" w:type="dxa"/>
            <w:tcBorders>
              <w:top w:val="single" w:sz="4" w:space="0" w:color="001D77"/>
              <w:bottom w:val="single" w:sz="12" w:space="0" w:color="001D77"/>
              <w:right w:val="nil"/>
            </w:tcBorders>
            <w:vAlign w:val="center"/>
          </w:tcPr>
          <w:p w:rsidR="00EF1100" w:rsidRPr="00EF1100" w:rsidRDefault="00EF1100" w:rsidP="00EF1100">
            <w:pPr>
              <w:jc w:val="center"/>
              <w:rPr>
                <w:sz w:val="16"/>
                <w:szCs w:val="16"/>
                <w:shd w:val="clear" w:color="auto" w:fill="FFFFFF"/>
              </w:rPr>
            </w:pPr>
            <w:r w:rsidRPr="00EF1100">
              <w:rPr>
                <w:color w:val="000000" w:themeColor="text1"/>
                <w:sz w:val="16"/>
                <w:szCs w:val="16"/>
              </w:rPr>
              <w:t>01-0</w:t>
            </w:r>
            <w:r w:rsidR="007C112E">
              <w:rPr>
                <w:color w:val="000000" w:themeColor="text1"/>
                <w:sz w:val="16"/>
                <w:szCs w:val="16"/>
              </w:rPr>
              <w:t>6</w:t>
            </w:r>
            <w:r w:rsidRPr="00EF1100">
              <w:rPr>
                <w:color w:val="000000" w:themeColor="text1"/>
                <w:sz w:val="16"/>
                <w:szCs w:val="16"/>
              </w:rPr>
              <w:t xml:space="preserve"> 2023=100</w:t>
            </w:r>
          </w:p>
        </w:tc>
      </w:tr>
      <w:tr w:rsidR="007C112E" w:rsidRPr="009701FA" w:rsidTr="00CB12F1">
        <w:tc>
          <w:tcPr>
            <w:tcW w:w="2193" w:type="dxa"/>
          </w:tcPr>
          <w:p w:rsidR="007C112E" w:rsidRPr="00322716" w:rsidRDefault="007C112E" w:rsidP="007C112E">
            <w:pPr>
              <w:rPr>
                <w:shd w:val="clear" w:color="auto" w:fill="FFFFFF"/>
              </w:rPr>
            </w:pPr>
            <w:r>
              <w:rPr>
                <w:b/>
                <w:color w:val="000000" w:themeColor="text1"/>
                <w:sz w:val="16"/>
                <w:szCs w:val="16"/>
              </w:rPr>
              <w:t>TOTAL</w:t>
            </w:r>
          </w:p>
        </w:tc>
        <w:tc>
          <w:tcPr>
            <w:tcW w:w="964" w:type="dxa"/>
            <w:tcBorders>
              <w:top w:val="single" w:sz="4" w:space="0" w:color="001D77"/>
              <w:left w:val="single" w:sz="4" w:space="0" w:color="001D77"/>
              <w:bottom w:val="single" w:sz="4" w:space="0" w:color="001D77"/>
              <w:right w:val="single" w:sz="4" w:space="0" w:color="001D77"/>
            </w:tcBorders>
            <w:vAlign w:val="center"/>
          </w:tcPr>
          <w:p w:rsidR="007C112E" w:rsidRPr="00754C6C" w:rsidRDefault="007C112E" w:rsidP="007C112E">
            <w:pPr>
              <w:jc w:val="right"/>
              <w:rPr>
                <w:b/>
                <w:color w:val="000000" w:themeColor="text1"/>
                <w:sz w:val="16"/>
                <w:szCs w:val="16"/>
              </w:rPr>
            </w:pPr>
            <w:r>
              <w:rPr>
                <w:rFonts w:cs="Arial"/>
                <w:color w:val="000000" w:themeColor="text1"/>
                <w:sz w:val="16"/>
                <w:szCs w:val="16"/>
              </w:rPr>
              <w:t>99.7</w:t>
            </w:r>
          </w:p>
        </w:tc>
        <w:tc>
          <w:tcPr>
            <w:tcW w:w="964" w:type="dxa"/>
            <w:tcBorders>
              <w:top w:val="single" w:sz="4" w:space="0" w:color="001D77"/>
              <w:left w:val="single" w:sz="4" w:space="0" w:color="001D77"/>
              <w:bottom w:val="single" w:sz="4" w:space="0" w:color="001D77"/>
              <w:right w:val="single" w:sz="4" w:space="0" w:color="001D77"/>
            </w:tcBorders>
            <w:vAlign w:val="center"/>
          </w:tcPr>
          <w:p w:rsidR="007C112E" w:rsidRPr="00754C6C" w:rsidRDefault="007C112E" w:rsidP="007C112E">
            <w:pPr>
              <w:jc w:val="right"/>
              <w:rPr>
                <w:b/>
                <w:color w:val="000000" w:themeColor="text1"/>
                <w:sz w:val="16"/>
                <w:szCs w:val="16"/>
              </w:rPr>
            </w:pPr>
            <w:r>
              <w:rPr>
                <w:rFonts w:cs="Arial"/>
                <w:color w:val="000000" w:themeColor="text1"/>
                <w:sz w:val="16"/>
                <w:szCs w:val="16"/>
              </w:rPr>
              <w:t>93.0</w:t>
            </w:r>
          </w:p>
        </w:tc>
        <w:tc>
          <w:tcPr>
            <w:tcW w:w="964" w:type="dxa"/>
            <w:tcBorders>
              <w:top w:val="single" w:sz="4" w:space="0" w:color="001D77"/>
              <w:left w:val="single" w:sz="4" w:space="0" w:color="001D77"/>
              <w:bottom w:val="single" w:sz="4" w:space="0" w:color="001D77"/>
              <w:right w:val="single" w:sz="4" w:space="0" w:color="001D77"/>
            </w:tcBorders>
            <w:vAlign w:val="center"/>
          </w:tcPr>
          <w:p w:rsidR="007C112E" w:rsidRPr="00754C6C" w:rsidRDefault="007C112E" w:rsidP="007C112E">
            <w:pPr>
              <w:jc w:val="right"/>
              <w:rPr>
                <w:rFonts w:cs="Arial"/>
                <w:color w:val="000000" w:themeColor="text1"/>
                <w:sz w:val="16"/>
                <w:szCs w:val="16"/>
              </w:rPr>
            </w:pPr>
            <w:r>
              <w:rPr>
                <w:rFonts w:cs="Arial"/>
                <w:color w:val="000000" w:themeColor="text1"/>
                <w:sz w:val="16"/>
                <w:szCs w:val="16"/>
              </w:rPr>
              <w:t>93.9</w:t>
            </w:r>
          </w:p>
        </w:tc>
        <w:tc>
          <w:tcPr>
            <w:tcW w:w="964" w:type="dxa"/>
            <w:tcBorders>
              <w:top w:val="single" w:sz="4" w:space="0" w:color="001D77"/>
              <w:left w:val="single" w:sz="4" w:space="0" w:color="001D77"/>
              <w:bottom w:val="single" w:sz="4" w:space="0" w:color="001D77"/>
              <w:right w:val="single" w:sz="4" w:space="0" w:color="001D77"/>
            </w:tcBorders>
            <w:vAlign w:val="center"/>
          </w:tcPr>
          <w:p w:rsidR="007C112E" w:rsidRPr="00754C6C" w:rsidRDefault="007C112E" w:rsidP="007C112E">
            <w:pPr>
              <w:jc w:val="right"/>
              <w:rPr>
                <w:b/>
                <w:color w:val="000000" w:themeColor="text1"/>
                <w:sz w:val="16"/>
                <w:szCs w:val="16"/>
              </w:rPr>
            </w:pPr>
            <w:r>
              <w:rPr>
                <w:rFonts w:cs="Arial"/>
                <w:color w:val="000000" w:themeColor="text1"/>
                <w:sz w:val="16"/>
                <w:szCs w:val="16"/>
              </w:rPr>
              <w:t>100.1</w:t>
            </w:r>
          </w:p>
        </w:tc>
        <w:tc>
          <w:tcPr>
            <w:tcW w:w="964" w:type="dxa"/>
            <w:tcBorders>
              <w:top w:val="single" w:sz="4" w:space="0" w:color="001D77"/>
              <w:left w:val="single" w:sz="4" w:space="0" w:color="001D77"/>
              <w:bottom w:val="single" w:sz="4" w:space="0" w:color="001D77"/>
              <w:right w:val="single" w:sz="4" w:space="0" w:color="001D77"/>
            </w:tcBorders>
            <w:vAlign w:val="center"/>
          </w:tcPr>
          <w:p w:rsidR="007C112E" w:rsidRPr="00754C6C" w:rsidRDefault="007C112E" w:rsidP="007C112E">
            <w:pPr>
              <w:jc w:val="right"/>
              <w:rPr>
                <w:b/>
                <w:color w:val="000000" w:themeColor="text1"/>
                <w:sz w:val="16"/>
                <w:szCs w:val="16"/>
              </w:rPr>
            </w:pPr>
            <w:r>
              <w:rPr>
                <w:rFonts w:cs="Arial"/>
                <w:color w:val="000000" w:themeColor="text1"/>
                <w:sz w:val="16"/>
                <w:szCs w:val="16"/>
              </w:rPr>
              <w:t>97.8</w:t>
            </w:r>
          </w:p>
        </w:tc>
        <w:tc>
          <w:tcPr>
            <w:tcW w:w="964" w:type="dxa"/>
            <w:tcBorders>
              <w:top w:val="single" w:sz="4" w:space="0" w:color="001D77"/>
              <w:left w:val="single" w:sz="4" w:space="0" w:color="001D77"/>
              <w:bottom w:val="single" w:sz="4" w:space="0" w:color="001D77"/>
              <w:right w:val="nil"/>
            </w:tcBorders>
            <w:vAlign w:val="center"/>
          </w:tcPr>
          <w:p w:rsidR="007C112E" w:rsidRPr="00754C6C" w:rsidRDefault="007C112E" w:rsidP="007C112E">
            <w:pPr>
              <w:jc w:val="right"/>
              <w:rPr>
                <w:b/>
                <w:color w:val="000000" w:themeColor="text1"/>
                <w:sz w:val="16"/>
                <w:szCs w:val="16"/>
              </w:rPr>
            </w:pPr>
            <w:r>
              <w:rPr>
                <w:rFonts w:cs="Arial"/>
                <w:color w:val="000000" w:themeColor="text1"/>
                <w:sz w:val="16"/>
                <w:szCs w:val="16"/>
              </w:rPr>
              <w:t>91.3</w:t>
            </w:r>
          </w:p>
        </w:tc>
      </w:tr>
      <w:tr w:rsidR="007C112E" w:rsidRPr="009701FA" w:rsidTr="00CB12F1">
        <w:tc>
          <w:tcPr>
            <w:tcW w:w="2193" w:type="dxa"/>
          </w:tcPr>
          <w:p w:rsidR="007C112E" w:rsidRPr="00322716" w:rsidRDefault="007C112E" w:rsidP="007C112E">
            <w:pPr>
              <w:rPr>
                <w:shd w:val="clear" w:color="auto" w:fill="FFFFFF"/>
              </w:rPr>
            </w:pPr>
            <w:r>
              <w:rPr>
                <w:color w:val="000000" w:themeColor="text1"/>
                <w:sz w:val="16"/>
                <w:szCs w:val="16"/>
                <w:lang w:val="en-US"/>
              </w:rPr>
              <w:t>Mining and quarrying</w:t>
            </w:r>
          </w:p>
        </w:tc>
        <w:tc>
          <w:tcPr>
            <w:tcW w:w="964" w:type="dxa"/>
            <w:tcBorders>
              <w:top w:val="single" w:sz="4" w:space="0" w:color="001D77"/>
              <w:left w:val="single" w:sz="4" w:space="0" w:color="001D77"/>
              <w:bottom w:val="single" w:sz="4" w:space="0" w:color="001D77"/>
              <w:right w:val="single" w:sz="4" w:space="0" w:color="001D77"/>
            </w:tcBorders>
            <w:vAlign w:val="center"/>
          </w:tcPr>
          <w:p w:rsidR="007C112E" w:rsidRPr="00754C6C" w:rsidRDefault="007C112E" w:rsidP="007C112E">
            <w:pPr>
              <w:jc w:val="right"/>
              <w:rPr>
                <w:color w:val="000000" w:themeColor="text1"/>
                <w:sz w:val="16"/>
                <w:szCs w:val="16"/>
                <w:lang w:val="en-US"/>
              </w:rPr>
            </w:pPr>
            <w:r>
              <w:rPr>
                <w:rFonts w:cs="Arial"/>
                <w:color w:val="000000" w:themeColor="text1"/>
                <w:sz w:val="16"/>
                <w:szCs w:val="16"/>
              </w:rPr>
              <w:t>102.0*</w:t>
            </w:r>
          </w:p>
        </w:tc>
        <w:tc>
          <w:tcPr>
            <w:tcW w:w="964" w:type="dxa"/>
            <w:tcBorders>
              <w:top w:val="single" w:sz="4" w:space="0" w:color="001D77"/>
              <w:left w:val="single" w:sz="4" w:space="0" w:color="001D77"/>
              <w:bottom w:val="single" w:sz="4" w:space="0" w:color="001D77"/>
              <w:right w:val="single" w:sz="4" w:space="0" w:color="001D77"/>
            </w:tcBorders>
            <w:vAlign w:val="center"/>
          </w:tcPr>
          <w:p w:rsidR="007C112E" w:rsidRPr="00754C6C" w:rsidRDefault="007C112E" w:rsidP="007C112E">
            <w:pPr>
              <w:jc w:val="right"/>
              <w:rPr>
                <w:color w:val="000000" w:themeColor="text1"/>
                <w:sz w:val="16"/>
                <w:szCs w:val="16"/>
                <w:lang w:val="en-US"/>
              </w:rPr>
            </w:pPr>
            <w:r>
              <w:rPr>
                <w:rFonts w:cs="Arial"/>
                <w:color w:val="000000" w:themeColor="text1"/>
                <w:sz w:val="16"/>
                <w:szCs w:val="16"/>
              </w:rPr>
              <w:t>94.8*</w:t>
            </w:r>
          </w:p>
        </w:tc>
        <w:tc>
          <w:tcPr>
            <w:tcW w:w="964" w:type="dxa"/>
            <w:tcBorders>
              <w:top w:val="single" w:sz="4" w:space="0" w:color="001D77"/>
              <w:left w:val="single" w:sz="4" w:space="0" w:color="001D77"/>
              <w:bottom w:val="single" w:sz="4" w:space="0" w:color="001D77"/>
              <w:right w:val="single" w:sz="4" w:space="0" w:color="001D77"/>
            </w:tcBorders>
            <w:vAlign w:val="center"/>
          </w:tcPr>
          <w:p w:rsidR="007C112E" w:rsidRPr="00754C6C" w:rsidRDefault="007C112E" w:rsidP="007C112E">
            <w:pPr>
              <w:jc w:val="right"/>
              <w:rPr>
                <w:rFonts w:cs="Arial"/>
                <w:color w:val="000000" w:themeColor="text1"/>
                <w:sz w:val="16"/>
                <w:szCs w:val="16"/>
              </w:rPr>
            </w:pPr>
            <w:r>
              <w:rPr>
                <w:rFonts w:cs="Arial"/>
                <w:color w:val="000000" w:themeColor="text1"/>
                <w:sz w:val="16"/>
                <w:szCs w:val="16"/>
              </w:rPr>
              <w:t>94.5</w:t>
            </w:r>
          </w:p>
        </w:tc>
        <w:tc>
          <w:tcPr>
            <w:tcW w:w="964" w:type="dxa"/>
            <w:tcBorders>
              <w:top w:val="single" w:sz="4" w:space="0" w:color="001D77"/>
              <w:left w:val="single" w:sz="4" w:space="0" w:color="001D77"/>
              <w:bottom w:val="single" w:sz="4" w:space="0" w:color="001D77"/>
              <w:right w:val="single" w:sz="4" w:space="0" w:color="001D77"/>
            </w:tcBorders>
            <w:vAlign w:val="center"/>
          </w:tcPr>
          <w:p w:rsidR="007C112E" w:rsidRPr="00754C6C" w:rsidRDefault="007C112E" w:rsidP="007C112E">
            <w:pPr>
              <w:jc w:val="right"/>
              <w:rPr>
                <w:color w:val="000000" w:themeColor="text1"/>
                <w:sz w:val="16"/>
                <w:szCs w:val="16"/>
                <w:lang w:val="en-US"/>
              </w:rPr>
            </w:pPr>
            <w:r>
              <w:rPr>
                <w:rFonts w:cs="Arial"/>
                <w:color w:val="000000" w:themeColor="text1"/>
                <w:sz w:val="16"/>
                <w:szCs w:val="16"/>
              </w:rPr>
              <w:t>98.2</w:t>
            </w:r>
          </w:p>
        </w:tc>
        <w:tc>
          <w:tcPr>
            <w:tcW w:w="964" w:type="dxa"/>
            <w:tcBorders>
              <w:top w:val="single" w:sz="4" w:space="0" w:color="001D77"/>
              <w:left w:val="single" w:sz="4" w:space="0" w:color="001D77"/>
              <w:bottom w:val="single" w:sz="4" w:space="0" w:color="001D77"/>
              <w:right w:val="single" w:sz="4" w:space="0" w:color="001D77"/>
            </w:tcBorders>
            <w:vAlign w:val="center"/>
          </w:tcPr>
          <w:p w:rsidR="007C112E" w:rsidRPr="00754C6C" w:rsidRDefault="007C112E" w:rsidP="007C112E">
            <w:pPr>
              <w:jc w:val="right"/>
              <w:rPr>
                <w:color w:val="000000" w:themeColor="text1"/>
                <w:sz w:val="16"/>
                <w:szCs w:val="16"/>
                <w:lang w:val="en-US"/>
              </w:rPr>
            </w:pPr>
            <w:r>
              <w:rPr>
                <w:rFonts w:cs="Arial"/>
                <w:color w:val="000000" w:themeColor="text1"/>
                <w:sz w:val="16"/>
                <w:szCs w:val="16"/>
              </w:rPr>
              <w:t>99.2</w:t>
            </w:r>
          </w:p>
        </w:tc>
        <w:tc>
          <w:tcPr>
            <w:tcW w:w="964" w:type="dxa"/>
            <w:tcBorders>
              <w:top w:val="single" w:sz="4" w:space="0" w:color="001D77"/>
              <w:left w:val="single" w:sz="4" w:space="0" w:color="001D77"/>
              <w:bottom w:val="single" w:sz="4" w:space="0" w:color="001D77"/>
              <w:right w:val="nil"/>
            </w:tcBorders>
            <w:vAlign w:val="center"/>
          </w:tcPr>
          <w:p w:rsidR="007C112E" w:rsidRPr="00754C6C" w:rsidRDefault="007C112E" w:rsidP="007C112E">
            <w:pPr>
              <w:jc w:val="right"/>
              <w:rPr>
                <w:color w:val="000000" w:themeColor="text1"/>
                <w:sz w:val="16"/>
                <w:szCs w:val="16"/>
                <w:lang w:val="en-US"/>
              </w:rPr>
            </w:pPr>
            <w:r>
              <w:rPr>
                <w:rFonts w:cs="Arial"/>
                <w:color w:val="000000" w:themeColor="text1"/>
                <w:sz w:val="16"/>
                <w:szCs w:val="16"/>
              </w:rPr>
              <w:t>90.5</w:t>
            </w:r>
          </w:p>
        </w:tc>
      </w:tr>
      <w:tr w:rsidR="007C112E" w:rsidRPr="009701FA" w:rsidTr="00CB12F1">
        <w:tc>
          <w:tcPr>
            <w:tcW w:w="2193" w:type="dxa"/>
          </w:tcPr>
          <w:p w:rsidR="007C112E" w:rsidRPr="00322716" w:rsidRDefault="007C112E" w:rsidP="007C112E">
            <w:pPr>
              <w:rPr>
                <w:shd w:val="clear" w:color="auto" w:fill="FFFFFF"/>
              </w:rPr>
            </w:pPr>
            <w:r w:rsidRPr="007D298F">
              <w:rPr>
                <w:color w:val="000000" w:themeColor="text1"/>
                <w:sz w:val="16"/>
                <w:szCs w:val="16"/>
                <w:lang w:val="en-US"/>
              </w:rPr>
              <w:t>Manufacturing</w:t>
            </w:r>
          </w:p>
        </w:tc>
        <w:tc>
          <w:tcPr>
            <w:tcW w:w="964" w:type="dxa"/>
            <w:tcBorders>
              <w:top w:val="single" w:sz="4" w:space="0" w:color="001D77"/>
              <w:left w:val="single" w:sz="4" w:space="0" w:color="001D77"/>
              <w:bottom w:val="single" w:sz="4" w:space="0" w:color="001D77"/>
              <w:right w:val="single" w:sz="4" w:space="0" w:color="001D77"/>
            </w:tcBorders>
            <w:vAlign w:val="center"/>
          </w:tcPr>
          <w:p w:rsidR="007C112E" w:rsidRPr="00754C6C" w:rsidRDefault="007C112E" w:rsidP="007C112E">
            <w:pPr>
              <w:jc w:val="right"/>
              <w:rPr>
                <w:color w:val="000000" w:themeColor="text1"/>
                <w:sz w:val="16"/>
                <w:szCs w:val="16"/>
                <w:lang w:val="en-US"/>
              </w:rPr>
            </w:pPr>
            <w:r>
              <w:rPr>
                <w:rFonts w:cs="Arial"/>
                <w:color w:val="000000" w:themeColor="text1"/>
                <w:sz w:val="16"/>
                <w:szCs w:val="16"/>
              </w:rPr>
              <w:t>99.4*</w:t>
            </w:r>
          </w:p>
        </w:tc>
        <w:tc>
          <w:tcPr>
            <w:tcW w:w="964" w:type="dxa"/>
            <w:tcBorders>
              <w:top w:val="single" w:sz="4" w:space="0" w:color="001D77"/>
              <w:left w:val="single" w:sz="4" w:space="0" w:color="001D77"/>
              <w:bottom w:val="single" w:sz="4" w:space="0" w:color="001D77"/>
              <w:right w:val="single" w:sz="4" w:space="0" w:color="001D77"/>
            </w:tcBorders>
            <w:vAlign w:val="center"/>
          </w:tcPr>
          <w:p w:rsidR="007C112E" w:rsidRPr="00754C6C" w:rsidRDefault="007C112E" w:rsidP="007C112E">
            <w:pPr>
              <w:jc w:val="right"/>
              <w:rPr>
                <w:color w:val="000000" w:themeColor="text1"/>
                <w:sz w:val="16"/>
                <w:szCs w:val="16"/>
                <w:lang w:val="en-US"/>
              </w:rPr>
            </w:pPr>
            <w:r>
              <w:rPr>
                <w:rFonts w:cs="Arial"/>
                <w:color w:val="000000" w:themeColor="text1"/>
                <w:sz w:val="16"/>
                <w:szCs w:val="16"/>
              </w:rPr>
              <w:t>93.7*</w:t>
            </w:r>
          </w:p>
        </w:tc>
        <w:tc>
          <w:tcPr>
            <w:tcW w:w="964" w:type="dxa"/>
            <w:tcBorders>
              <w:top w:val="single" w:sz="4" w:space="0" w:color="001D77"/>
              <w:left w:val="single" w:sz="4" w:space="0" w:color="001D77"/>
              <w:bottom w:val="single" w:sz="4" w:space="0" w:color="001D77"/>
              <w:right w:val="single" w:sz="4" w:space="0" w:color="001D77"/>
            </w:tcBorders>
            <w:vAlign w:val="center"/>
          </w:tcPr>
          <w:p w:rsidR="007C112E" w:rsidRPr="00754C6C" w:rsidRDefault="007C112E" w:rsidP="007C112E">
            <w:pPr>
              <w:jc w:val="right"/>
              <w:rPr>
                <w:rFonts w:cs="Arial"/>
                <w:color w:val="000000" w:themeColor="text1"/>
                <w:sz w:val="16"/>
                <w:szCs w:val="16"/>
              </w:rPr>
            </w:pPr>
            <w:r>
              <w:rPr>
                <w:rFonts w:cs="Arial"/>
                <w:color w:val="000000" w:themeColor="text1"/>
                <w:sz w:val="16"/>
                <w:szCs w:val="16"/>
              </w:rPr>
              <w:t>94.8</w:t>
            </w:r>
          </w:p>
        </w:tc>
        <w:tc>
          <w:tcPr>
            <w:tcW w:w="964" w:type="dxa"/>
            <w:tcBorders>
              <w:top w:val="single" w:sz="4" w:space="0" w:color="001D77"/>
              <w:left w:val="single" w:sz="4" w:space="0" w:color="001D77"/>
              <w:bottom w:val="single" w:sz="4" w:space="0" w:color="001D77"/>
              <w:right w:val="single" w:sz="4" w:space="0" w:color="001D77"/>
            </w:tcBorders>
            <w:vAlign w:val="center"/>
          </w:tcPr>
          <w:p w:rsidR="007C112E" w:rsidRPr="00754C6C" w:rsidRDefault="007C112E" w:rsidP="007C112E">
            <w:pPr>
              <w:jc w:val="right"/>
              <w:rPr>
                <w:color w:val="000000" w:themeColor="text1"/>
                <w:sz w:val="16"/>
                <w:szCs w:val="16"/>
                <w:lang w:val="en-US"/>
              </w:rPr>
            </w:pPr>
            <w:r>
              <w:rPr>
                <w:rFonts w:cs="Arial"/>
                <w:color w:val="000000" w:themeColor="text1"/>
                <w:sz w:val="16"/>
                <w:szCs w:val="16"/>
              </w:rPr>
              <w:t>100.2</w:t>
            </w:r>
          </w:p>
        </w:tc>
        <w:tc>
          <w:tcPr>
            <w:tcW w:w="964" w:type="dxa"/>
            <w:tcBorders>
              <w:top w:val="single" w:sz="4" w:space="0" w:color="001D77"/>
              <w:left w:val="single" w:sz="4" w:space="0" w:color="001D77"/>
              <w:bottom w:val="single" w:sz="4" w:space="0" w:color="001D77"/>
              <w:right w:val="single" w:sz="4" w:space="0" w:color="001D77"/>
            </w:tcBorders>
            <w:vAlign w:val="center"/>
          </w:tcPr>
          <w:p w:rsidR="007C112E" w:rsidRPr="00754C6C" w:rsidRDefault="007C112E" w:rsidP="007C112E">
            <w:pPr>
              <w:jc w:val="right"/>
              <w:rPr>
                <w:color w:val="000000" w:themeColor="text1"/>
                <w:sz w:val="16"/>
                <w:szCs w:val="16"/>
                <w:lang w:val="en-US"/>
              </w:rPr>
            </w:pPr>
            <w:r>
              <w:rPr>
                <w:rFonts w:cs="Arial"/>
                <w:color w:val="000000" w:themeColor="text1"/>
                <w:sz w:val="16"/>
                <w:szCs w:val="16"/>
              </w:rPr>
              <w:t>98.7</w:t>
            </w:r>
          </w:p>
        </w:tc>
        <w:tc>
          <w:tcPr>
            <w:tcW w:w="964" w:type="dxa"/>
            <w:tcBorders>
              <w:top w:val="single" w:sz="4" w:space="0" w:color="001D77"/>
              <w:left w:val="single" w:sz="4" w:space="0" w:color="001D77"/>
              <w:bottom w:val="single" w:sz="4" w:space="0" w:color="001D77"/>
              <w:right w:val="nil"/>
            </w:tcBorders>
            <w:vAlign w:val="center"/>
          </w:tcPr>
          <w:p w:rsidR="007C112E" w:rsidRPr="00754C6C" w:rsidRDefault="007C112E" w:rsidP="007C112E">
            <w:pPr>
              <w:jc w:val="right"/>
              <w:rPr>
                <w:color w:val="000000" w:themeColor="text1"/>
                <w:sz w:val="16"/>
                <w:szCs w:val="16"/>
                <w:lang w:val="en-US"/>
              </w:rPr>
            </w:pPr>
            <w:r>
              <w:rPr>
                <w:rFonts w:cs="Arial"/>
                <w:color w:val="000000" w:themeColor="text1"/>
                <w:sz w:val="16"/>
                <w:szCs w:val="16"/>
              </w:rPr>
              <w:t>92.1</w:t>
            </w:r>
          </w:p>
        </w:tc>
      </w:tr>
      <w:tr w:rsidR="007C112E" w:rsidRPr="00436653" w:rsidTr="00CB12F1">
        <w:tc>
          <w:tcPr>
            <w:tcW w:w="2193" w:type="dxa"/>
          </w:tcPr>
          <w:p w:rsidR="007C112E" w:rsidRPr="007974A5" w:rsidRDefault="007C112E" w:rsidP="007C112E">
            <w:pPr>
              <w:rPr>
                <w:shd w:val="clear" w:color="auto" w:fill="FFFFFF"/>
                <w:lang w:val="en-US"/>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964" w:type="dxa"/>
            <w:tcBorders>
              <w:top w:val="single" w:sz="4" w:space="0" w:color="001D77"/>
              <w:left w:val="single" w:sz="4" w:space="0" w:color="001D77"/>
              <w:bottom w:val="single" w:sz="4" w:space="0" w:color="001D77"/>
              <w:right w:val="single" w:sz="4" w:space="0" w:color="001D77"/>
            </w:tcBorders>
            <w:vAlign w:val="center"/>
          </w:tcPr>
          <w:p w:rsidR="007C112E" w:rsidRPr="00754C6C" w:rsidRDefault="007C112E" w:rsidP="007C112E">
            <w:pPr>
              <w:jc w:val="right"/>
              <w:rPr>
                <w:color w:val="000000" w:themeColor="text1"/>
                <w:sz w:val="16"/>
                <w:szCs w:val="16"/>
                <w:lang w:val="en-US"/>
              </w:rPr>
            </w:pPr>
            <w:r>
              <w:rPr>
                <w:rFonts w:cs="Arial"/>
                <w:color w:val="000000" w:themeColor="text1"/>
                <w:sz w:val="16"/>
                <w:szCs w:val="16"/>
              </w:rPr>
              <w:t>101.3*</w:t>
            </w:r>
          </w:p>
        </w:tc>
        <w:tc>
          <w:tcPr>
            <w:tcW w:w="964" w:type="dxa"/>
            <w:tcBorders>
              <w:top w:val="single" w:sz="4" w:space="0" w:color="001D77"/>
              <w:left w:val="single" w:sz="4" w:space="0" w:color="001D77"/>
              <w:bottom w:val="single" w:sz="4" w:space="0" w:color="001D77"/>
              <w:right w:val="single" w:sz="4" w:space="0" w:color="001D77"/>
            </w:tcBorders>
            <w:vAlign w:val="center"/>
          </w:tcPr>
          <w:p w:rsidR="007C112E" w:rsidRPr="00754C6C" w:rsidRDefault="007C112E" w:rsidP="007C112E">
            <w:pPr>
              <w:jc w:val="right"/>
              <w:rPr>
                <w:color w:val="000000" w:themeColor="text1"/>
                <w:sz w:val="16"/>
                <w:szCs w:val="16"/>
                <w:lang w:val="en-US"/>
              </w:rPr>
            </w:pPr>
            <w:r>
              <w:rPr>
                <w:rFonts w:cs="Arial"/>
                <w:color w:val="000000" w:themeColor="text1"/>
                <w:sz w:val="16"/>
                <w:szCs w:val="16"/>
              </w:rPr>
              <w:t>85.3*</w:t>
            </w:r>
          </w:p>
        </w:tc>
        <w:tc>
          <w:tcPr>
            <w:tcW w:w="964" w:type="dxa"/>
            <w:tcBorders>
              <w:top w:val="single" w:sz="4" w:space="0" w:color="001D77"/>
              <w:left w:val="single" w:sz="4" w:space="0" w:color="001D77"/>
              <w:bottom w:val="single" w:sz="4" w:space="0" w:color="001D77"/>
              <w:right w:val="single" w:sz="4" w:space="0" w:color="001D77"/>
            </w:tcBorders>
            <w:vAlign w:val="center"/>
          </w:tcPr>
          <w:p w:rsidR="007C112E" w:rsidRPr="00754C6C" w:rsidRDefault="007C112E" w:rsidP="007C112E">
            <w:pPr>
              <w:jc w:val="right"/>
              <w:rPr>
                <w:rFonts w:cs="Arial"/>
                <w:color w:val="000000" w:themeColor="text1"/>
                <w:sz w:val="16"/>
                <w:szCs w:val="16"/>
              </w:rPr>
            </w:pPr>
            <w:r>
              <w:rPr>
                <w:rFonts w:cs="Arial"/>
                <w:color w:val="000000" w:themeColor="text1"/>
                <w:sz w:val="16"/>
                <w:szCs w:val="16"/>
              </w:rPr>
              <w:t>84.7</w:t>
            </w:r>
          </w:p>
        </w:tc>
        <w:tc>
          <w:tcPr>
            <w:tcW w:w="964" w:type="dxa"/>
            <w:tcBorders>
              <w:top w:val="single" w:sz="4" w:space="0" w:color="001D77"/>
              <w:left w:val="single" w:sz="4" w:space="0" w:color="001D77"/>
              <w:bottom w:val="single" w:sz="4" w:space="0" w:color="001D77"/>
              <w:right w:val="single" w:sz="4" w:space="0" w:color="001D77"/>
            </w:tcBorders>
            <w:vAlign w:val="center"/>
          </w:tcPr>
          <w:p w:rsidR="007C112E" w:rsidRPr="00754C6C" w:rsidRDefault="007C112E" w:rsidP="007C112E">
            <w:pPr>
              <w:jc w:val="right"/>
              <w:rPr>
                <w:color w:val="000000" w:themeColor="text1"/>
                <w:sz w:val="16"/>
                <w:szCs w:val="16"/>
                <w:lang w:val="en-US"/>
              </w:rPr>
            </w:pPr>
            <w:r>
              <w:rPr>
                <w:rFonts w:cs="Arial"/>
                <w:color w:val="000000" w:themeColor="text1"/>
                <w:sz w:val="16"/>
                <w:szCs w:val="16"/>
              </w:rPr>
              <w:t>99.8</w:t>
            </w:r>
          </w:p>
        </w:tc>
        <w:tc>
          <w:tcPr>
            <w:tcW w:w="964" w:type="dxa"/>
            <w:tcBorders>
              <w:top w:val="single" w:sz="4" w:space="0" w:color="001D77"/>
              <w:left w:val="single" w:sz="4" w:space="0" w:color="001D77"/>
              <w:bottom w:val="single" w:sz="4" w:space="0" w:color="001D77"/>
              <w:right w:val="single" w:sz="4" w:space="0" w:color="001D77"/>
            </w:tcBorders>
            <w:vAlign w:val="center"/>
          </w:tcPr>
          <w:p w:rsidR="007C112E" w:rsidRPr="00754C6C" w:rsidRDefault="007C112E" w:rsidP="007C112E">
            <w:pPr>
              <w:jc w:val="right"/>
              <w:rPr>
                <w:color w:val="000000" w:themeColor="text1"/>
                <w:sz w:val="16"/>
                <w:szCs w:val="16"/>
                <w:lang w:val="en-US"/>
              </w:rPr>
            </w:pPr>
            <w:r>
              <w:rPr>
                <w:rFonts w:cs="Arial"/>
                <w:color w:val="000000" w:themeColor="text1"/>
                <w:sz w:val="16"/>
                <w:szCs w:val="16"/>
              </w:rPr>
              <w:t>89.5</w:t>
            </w:r>
          </w:p>
        </w:tc>
        <w:tc>
          <w:tcPr>
            <w:tcW w:w="964" w:type="dxa"/>
            <w:tcBorders>
              <w:top w:val="single" w:sz="4" w:space="0" w:color="001D77"/>
              <w:left w:val="single" w:sz="4" w:space="0" w:color="001D77"/>
              <w:bottom w:val="single" w:sz="4" w:space="0" w:color="001D77"/>
              <w:right w:val="nil"/>
            </w:tcBorders>
            <w:vAlign w:val="center"/>
          </w:tcPr>
          <w:p w:rsidR="007C112E" w:rsidRPr="00754C6C" w:rsidRDefault="007C112E" w:rsidP="007C112E">
            <w:pPr>
              <w:jc w:val="right"/>
              <w:rPr>
                <w:color w:val="000000" w:themeColor="text1"/>
                <w:sz w:val="16"/>
                <w:szCs w:val="16"/>
                <w:lang w:val="en-US"/>
              </w:rPr>
            </w:pPr>
            <w:r>
              <w:rPr>
                <w:rFonts w:cs="Arial"/>
                <w:color w:val="000000" w:themeColor="text1"/>
                <w:sz w:val="16"/>
                <w:szCs w:val="16"/>
              </w:rPr>
              <w:t>83.4</w:t>
            </w:r>
          </w:p>
        </w:tc>
      </w:tr>
      <w:tr w:rsidR="007C112E" w:rsidRPr="00436653" w:rsidTr="00CB12F1">
        <w:tc>
          <w:tcPr>
            <w:tcW w:w="2193" w:type="dxa"/>
          </w:tcPr>
          <w:p w:rsidR="007C112E" w:rsidRPr="00322716" w:rsidRDefault="007C112E" w:rsidP="007C112E">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964" w:type="dxa"/>
            <w:tcBorders>
              <w:top w:val="single" w:sz="4" w:space="0" w:color="001D77"/>
              <w:left w:val="single" w:sz="4" w:space="0" w:color="001D77"/>
              <w:bottom w:val="nil"/>
              <w:right w:val="single" w:sz="4" w:space="0" w:color="001D77"/>
            </w:tcBorders>
            <w:vAlign w:val="center"/>
          </w:tcPr>
          <w:p w:rsidR="007C112E" w:rsidRPr="00754C6C" w:rsidRDefault="007C112E" w:rsidP="007C112E">
            <w:pPr>
              <w:jc w:val="right"/>
              <w:rPr>
                <w:color w:val="000000" w:themeColor="text1"/>
                <w:sz w:val="16"/>
                <w:szCs w:val="16"/>
                <w:lang w:val="en-US"/>
              </w:rPr>
            </w:pPr>
            <w:r>
              <w:rPr>
                <w:rFonts w:cs="Arial"/>
                <w:color w:val="000000" w:themeColor="text1"/>
                <w:sz w:val="16"/>
                <w:szCs w:val="16"/>
              </w:rPr>
              <w:t>100.8*</w:t>
            </w:r>
          </w:p>
        </w:tc>
        <w:tc>
          <w:tcPr>
            <w:tcW w:w="964" w:type="dxa"/>
            <w:tcBorders>
              <w:top w:val="single" w:sz="4" w:space="0" w:color="001D77"/>
              <w:left w:val="single" w:sz="4" w:space="0" w:color="001D77"/>
              <w:bottom w:val="nil"/>
              <w:right w:val="single" w:sz="4" w:space="0" w:color="001D77"/>
            </w:tcBorders>
            <w:vAlign w:val="center"/>
          </w:tcPr>
          <w:p w:rsidR="007C112E" w:rsidRPr="00754C6C" w:rsidRDefault="007C112E" w:rsidP="007C112E">
            <w:pPr>
              <w:jc w:val="right"/>
              <w:rPr>
                <w:color w:val="000000" w:themeColor="text1"/>
                <w:sz w:val="16"/>
                <w:szCs w:val="16"/>
                <w:lang w:val="en-US"/>
              </w:rPr>
            </w:pPr>
            <w:r>
              <w:rPr>
                <w:rFonts w:cs="Arial"/>
                <w:color w:val="000000" w:themeColor="text1"/>
                <w:sz w:val="16"/>
                <w:szCs w:val="16"/>
              </w:rPr>
              <w:t>102.5*</w:t>
            </w:r>
          </w:p>
        </w:tc>
        <w:tc>
          <w:tcPr>
            <w:tcW w:w="964" w:type="dxa"/>
            <w:tcBorders>
              <w:top w:val="single" w:sz="4" w:space="0" w:color="001D77"/>
              <w:left w:val="single" w:sz="4" w:space="0" w:color="001D77"/>
              <w:bottom w:val="nil"/>
              <w:right w:val="single" w:sz="4" w:space="0" w:color="001D77"/>
            </w:tcBorders>
            <w:vAlign w:val="center"/>
          </w:tcPr>
          <w:p w:rsidR="007C112E" w:rsidRPr="00754C6C" w:rsidRDefault="007C112E" w:rsidP="007C112E">
            <w:pPr>
              <w:jc w:val="right"/>
              <w:rPr>
                <w:rFonts w:cs="Arial"/>
                <w:color w:val="000000" w:themeColor="text1"/>
                <w:sz w:val="16"/>
                <w:szCs w:val="16"/>
              </w:rPr>
            </w:pPr>
            <w:r>
              <w:rPr>
                <w:rFonts w:cs="Arial"/>
                <w:color w:val="000000" w:themeColor="text1"/>
                <w:sz w:val="16"/>
                <w:szCs w:val="16"/>
              </w:rPr>
              <w:t>102.5</w:t>
            </w:r>
          </w:p>
        </w:tc>
        <w:tc>
          <w:tcPr>
            <w:tcW w:w="964" w:type="dxa"/>
            <w:tcBorders>
              <w:top w:val="single" w:sz="4" w:space="0" w:color="001D77"/>
              <w:left w:val="single" w:sz="4" w:space="0" w:color="001D77"/>
              <w:bottom w:val="nil"/>
              <w:right w:val="single" w:sz="4" w:space="0" w:color="001D77"/>
            </w:tcBorders>
            <w:vAlign w:val="center"/>
          </w:tcPr>
          <w:p w:rsidR="007C112E" w:rsidRPr="00754C6C" w:rsidRDefault="007C112E" w:rsidP="007C112E">
            <w:pPr>
              <w:jc w:val="right"/>
              <w:rPr>
                <w:color w:val="000000" w:themeColor="text1"/>
                <w:sz w:val="16"/>
                <w:szCs w:val="16"/>
                <w:lang w:val="en-US"/>
              </w:rPr>
            </w:pPr>
            <w:r>
              <w:rPr>
                <w:rFonts w:cs="Arial"/>
                <w:color w:val="000000" w:themeColor="text1"/>
                <w:sz w:val="16"/>
                <w:szCs w:val="16"/>
              </w:rPr>
              <w:t>100.1</w:t>
            </w:r>
          </w:p>
        </w:tc>
        <w:tc>
          <w:tcPr>
            <w:tcW w:w="964" w:type="dxa"/>
            <w:tcBorders>
              <w:top w:val="single" w:sz="4" w:space="0" w:color="001D77"/>
              <w:left w:val="single" w:sz="4" w:space="0" w:color="001D77"/>
              <w:bottom w:val="nil"/>
              <w:right w:val="single" w:sz="4" w:space="0" w:color="001D77"/>
            </w:tcBorders>
            <w:vAlign w:val="center"/>
          </w:tcPr>
          <w:p w:rsidR="007C112E" w:rsidRPr="00754C6C" w:rsidRDefault="007C112E" w:rsidP="007C112E">
            <w:pPr>
              <w:jc w:val="right"/>
              <w:rPr>
                <w:color w:val="000000" w:themeColor="text1"/>
                <w:sz w:val="16"/>
                <w:szCs w:val="16"/>
                <w:lang w:val="en-US"/>
              </w:rPr>
            </w:pPr>
            <w:r>
              <w:rPr>
                <w:rFonts w:cs="Arial"/>
                <w:color w:val="000000" w:themeColor="text1"/>
                <w:sz w:val="16"/>
                <w:szCs w:val="16"/>
              </w:rPr>
              <w:t>102.5</w:t>
            </w:r>
          </w:p>
        </w:tc>
        <w:tc>
          <w:tcPr>
            <w:tcW w:w="964" w:type="dxa"/>
            <w:tcBorders>
              <w:top w:val="single" w:sz="4" w:space="0" w:color="001D77"/>
              <w:left w:val="single" w:sz="4" w:space="0" w:color="001D77"/>
              <w:bottom w:val="nil"/>
              <w:right w:val="nil"/>
            </w:tcBorders>
            <w:vAlign w:val="center"/>
          </w:tcPr>
          <w:p w:rsidR="007C112E" w:rsidRPr="00754C6C" w:rsidRDefault="007C112E" w:rsidP="007C112E">
            <w:pPr>
              <w:jc w:val="right"/>
              <w:rPr>
                <w:color w:val="000000" w:themeColor="text1"/>
                <w:sz w:val="16"/>
                <w:szCs w:val="16"/>
                <w:lang w:val="en-US"/>
              </w:rPr>
            </w:pPr>
            <w:r>
              <w:rPr>
                <w:rFonts w:cs="Arial"/>
                <w:color w:val="000000" w:themeColor="text1"/>
                <w:sz w:val="16"/>
                <w:szCs w:val="16"/>
              </w:rPr>
              <w:t>102.1</w:t>
            </w:r>
          </w:p>
        </w:tc>
      </w:tr>
    </w:tbl>
    <w:p w:rsidR="00982A1A" w:rsidRPr="00982A1A" w:rsidRDefault="00982A1A" w:rsidP="00A83563">
      <w:pPr>
        <w:rPr>
          <w:lang w:val="en-US" w:eastAsia="pl-PL"/>
        </w:rPr>
      </w:pPr>
    </w:p>
    <w:p w:rsidR="00982A1A" w:rsidRPr="00982A1A" w:rsidRDefault="00982A1A" w:rsidP="00A83563">
      <w:pPr>
        <w:rPr>
          <w:lang w:val="en-US" w:eastAsia="pl-PL"/>
        </w:rPr>
      </w:pPr>
    </w:p>
    <w:p w:rsidR="00982A1A" w:rsidRPr="00982A1A" w:rsidRDefault="00982A1A" w:rsidP="00A83563">
      <w:pPr>
        <w:rPr>
          <w:lang w:val="en-US" w:eastAsia="pl-PL"/>
        </w:rPr>
      </w:pPr>
    </w:p>
    <w:p w:rsidR="00982A1A" w:rsidRPr="00982A1A" w:rsidRDefault="00982A1A" w:rsidP="00982A1A">
      <w:pPr>
        <w:tabs>
          <w:tab w:val="left" w:pos="708"/>
          <w:tab w:val="center" w:pos="4536"/>
          <w:tab w:val="right" w:pos="9072"/>
        </w:tabs>
        <w:spacing w:after="0" w:line="240" w:lineRule="auto"/>
        <w:ind w:left="170" w:hanging="170"/>
        <w:jc w:val="both"/>
        <w:rPr>
          <w:rFonts w:ascii="Arial" w:hAnsi="Arial" w:cs="Arial"/>
          <w:sz w:val="18"/>
          <w:szCs w:val="18"/>
          <w:lang w:val="en-US"/>
        </w:rPr>
      </w:pPr>
      <w:r w:rsidRPr="00982A1A">
        <w:rPr>
          <w:rFonts w:ascii="Arial" w:hAnsi="Arial" w:cs="Arial"/>
          <w:sz w:val="18"/>
          <w:szCs w:val="18"/>
          <w:lang w:val="en-US"/>
        </w:rPr>
        <w:t xml:space="preserve">* </w:t>
      </w:r>
      <w:r w:rsidRPr="00982A1A">
        <w:rPr>
          <w:rFonts w:cs="Arial"/>
          <w:sz w:val="16"/>
          <w:szCs w:val="16"/>
          <w:lang w:val="en-US"/>
        </w:rPr>
        <w:t>Data revised.</w:t>
      </w: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656307" w:rsidRPr="00984DBF" w:rsidRDefault="00656307" w:rsidP="00180E0E">
      <w:pPr>
        <w:spacing w:line="288" w:lineRule="auto"/>
        <w:rPr>
          <w:rFonts w:eastAsia="Times New Roman" w:cs="Times New Roman"/>
          <w:szCs w:val="19"/>
          <w:lang w:val="en-US" w:eastAsia="pl-PL"/>
        </w:rPr>
      </w:pPr>
    </w:p>
    <w:p w:rsidR="00656307" w:rsidRPr="00984DBF" w:rsidRDefault="00656307" w:rsidP="00180E0E">
      <w:pPr>
        <w:spacing w:line="288" w:lineRule="auto"/>
        <w:rPr>
          <w:rFonts w:eastAsia="Times New Roman" w:cs="Times New Roman"/>
          <w:szCs w:val="19"/>
          <w:lang w:val="en-US" w:eastAsia="pl-PL"/>
        </w:rPr>
      </w:pPr>
    </w:p>
    <w:p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7C112E">
        <w:rPr>
          <w:rFonts w:ascii="Fira Sans" w:hAnsi="Fira Sans"/>
          <w:b/>
          <w:szCs w:val="19"/>
          <w:lang w:val="en-US"/>
        </w:rPr>
        <w:t>June</w:t>
      </w:r>
      <w:r>
        <w:rPr>
          <w:rFonts w:ascii="Fira Sans" w:hAnsi="Fira Sans"/>
          <w:b/>
          <w:szCs w:val="19"/>
          <w:lang w:val="en-US"/>
        </w:rPr>
        <w:t xml:space="preserve"> </w:t>
      </w:r>
      <w:r w:rsidRPr="007444CA">
        <w:rPr>
          <w:rFonts w:ascii="Fira Sans" w:hAnsi="Fira Sans"/>
          <w:b/>
          <w:szCs w:val="19"/>
          <w:lang w:val="en-US"/>
        </w:rPr>
        <w:t>202</w:t>
      </w:r>
      <w:r w:rsidR="003D2ADF">
        <w:rPr>
          <w:rFonts w:ascii="Fira Sans" w:hAnsi="Fira Sans"/>
          <w:b/>
          <w:szCs w:val="19"/>
          <w:lang w:val="en-US"/>
        </w:rPr>
        <w:t>4</w:t>
      </w:r>
      <w:r w:rsidRPr="007444CA">
        <w:rPr>
          <w:rFonts w:ascii="Fira Sans" w:hAnsi="Fira Sans"/>
          <w:b/>
          <w:szCs w:val="19"/>
          <w:lang w:val="en-US"/>
        </w:rPr>
        <w:t xml:space="preserve"> compared to </w:t>
      </w:r>
      <w:r w:rsidR="007C112E">
        <w:rPr>
          <w:rFonts w:ascii="Fira Sans" w:hAnsi="Fira Sans"/>
          <w:b/>
          <w:szCs w:val="19"/>
          <w:lang w:val="en-US"/>
        </w:rPr>
        <w:t>May</w:t>
      </w:r>
      <w:r w:rsidR="00BE2461">
        <w:rPr>
          <w:rFonts w:ascii="Fira Sans" w:hAnsi="Fira Sans"/>
          <w:b/>
          <w:szCs w:val="19"/>
          <w:lang w:val="en-US"/>
        </w:rPr>
        <w:t xml:space="preserve"> 2024</w:t>
      </w:r>
    </w:p>
    <w:p w:rsidR="00A4181D" w:rsidRPr="00EC1E80" w:rsidRDefault="00656307" w:rsidP="00EC1E80">
      <w:pPr>
        <w:rPr>
          <w:shd w:val="clear" w:color="auto" w:fill="FFFFFF"/>
          <w:lang w:val="en-US"/>
        </w:rPr>
      </w:pPr>
      <w:r w:rsidRPr="00EC1E80">
        <w:rPr>
          <w:shd w:val="clear" w:color="auto" w:fill="FFFFFF"/>
          <w:lang w:val="en-US"/>
        </w:rPr>
        <w:t xml:space="preserve">According to preliminary data, </w:t>
      </w:r>
      <w:r w:rsidRPr="00EC1E80">
        <w:rPr>
          <w:b/>
          <w:shd w:val="clear" w:color="auto" w:fill="FFFFFF"/>
          <w:lang w:val="en-US"/>
        </w:rPr>
        <w:t>the prices of sold production of industry</w:t>
      </w:r>
      <w:r w:rsidRPr="00EC1E80">
        <w:rPr>
          <w:shd w:val="clear" w:color="auto" w:fill="FFFFFF"/>
          <w:lang w:val="en-US"/>
        </w:rPr>
        <w:t xml:space="preserve"> in </w:t>
      </w:r>
      <w:r w:rsidR="007C112E">
        <w:rPr>
          <w:shd w:val="clear" w:color="auto" w:fill="FFFFFF"/>
          <w:lang w:val="en-US"/>
        </w:rPr>
        <w:t>June</w:t>
      </w:r>
      <w:r w:rsidRPr="00EC1E80">
        <w:rPr>
          <w:shd w:val="clear" w:color="auto" w:fill="FFFFFF"/>
          <w:lang w:val="en-US"/>
        </w:rPr>
        <w:t xml:space="preserve"> 202</w:t>
      </w:r>
      <w:r w:rsidR="00436653">
        <w:rPr>
          <w:shd w:val="clear" w:color="auto" w:fill="FFFFFF"/>
          <w:lang w:val="en-US"/>
        </w:rPr>
        <w:t>4</w:t>
      </w:r>
      <w:r w:rsidRPr="00EC1E80">
        <w:rPr>
          <w:shd w:val="clear" w:color="auto" w:fill="FFFFFF"/>
          <w:lang w:val="en-US"/>
        </w:rPr>
        <w:t xml:space="preserve"> were 0.</w:t>
      </w:r>
      <w:r w:rsidR="007C112E">
        <w:rPr>
          <w:shd w:val="clear" w:color="auto" w:fill="FFFFFF"/>
          <w:lang w:val="en-US"/>
        </w:rPr>
        <w:t>1</w:t>
      </w:r>
      <w:r w:rsidRPr="00EC1E80">
        <w:rPr>
          <w:shd w:val="clear" w:color="auto" w:fill="FFFFFF"/>
          <w:lang w:val="en-US"/>
        </w:rPr>
        <w:t xml:space="preserve">% </w:t>
      </w:r>
      <w:r w:rsidR="007C112E">
        <w:rPr>
          <w:shd w:val="clear" w:color="auto" w:fill="FFFFFF"/>
          <w:lang w:val="en-US"/>
        </w:rPr>
        <w:t>higher</w:t>
      </w:r>
      <w:r w:rsidRPr="00EC1E80">
        <w:rPr>
          <w:shd w:val="clear" w:color="auto" w:fill="FFFFFF"/>
          <w:lang w:val="en-US"/>
        </w:rPr>
        <w:t xml:space="preserve"> than in </w:t>
      </w:r>
      <w:r w:rsidR="007C112E">
        <w:rPr>
          <w:shd w:val="clear" w:color="auto" w:fill="FFFFFF"/>
          <w:lang w:val="en-US"/>
        </w:rPr>
        <w:t>May</w:t>
      </w:r>
      <w:r w:rsidR="00BE2461">
        <w:rPr>
          <w:shd w:val="clear" w:color="auto" w:fill="FFFFFF"/>
          <w:lang w:val="en-US"/>
        </w:rPr>
        <w:t xml:space="preserve"> 2024</w:t>
      </w:r>
      <w:r w:rsidRPr="00EC1E80">
        <w:rPr>
          <w:shd w:val="clear" w:color="auto" w:fill="FFFFFF"/>
          <w:lang w:val="en-US"/>
        </w:rPr>
        <w:t xml:space="preserve">. </w:t>
      </w:r>
      <w:r w:rsidR="003030A5">
        <w:rPr>
          <w:shd w:val="clear" w:color="auto" w:fill="FFFFFF"/>
          <w:lang w:val="en-US"/>
        </w:rPr>
        <w:t>P</w:t>
      </w:r>
      <w:r w:rsidR="003030A5" w:rsidRPr="003030A5">
        <w:rPr>
          <w:shd w:val="clear" w:color="auto" w:fill="FFFFFF"/>
          <w:lang w:val="en-US"/>
        </w:rPr>
        <w:t xml:space="preserve">rice increases were recorded </w:t>
      </w:r>
      <w:r w:rsidR="007C112E">
        <w:rPr>
          <w:shd w:val="clear" w:color="auto" w:fill="FFFFFF"/>
          <w:lang w:val="en-US"/>
        </w:rPr>
        <w:t xml:space="preserve">in </w:t>
      </w:r>
      <w:r w:rsidR="007C112E" w:rsidRPr="00EC1E80">
        <w:rPr>
          <w:b/>
          <w:shd w:val="clear" w:color="auto" w:fill="FFFFFF"/>
          <w:lang w:val="en-US"/>
        </w:rPr>
        <w:t>water supply; sewerage, waste management and remediation activities</w:t>
      </w:r>
      <w:r w:rsidR="007C112E" w:rsidRPr="003030A5">
        <w:rPr>
          <w:shd w:val="clear" w:color="auto" w:fill="FFFFFF"/>
          <w:lang w:val="en-US"/>
        </w:rPr>
        <w:t xml:space="preserve"> </w:t>
      </w:r>
      <w:r w:rsidR="007C112E">
        <w:rPr>
          <w:shd w:val="clear" w:color="auto" w:fill="FFFFFF"/>
          <w:lang w:val="en-US"/>
        </w:rPr>
        <w:t>– by 0.1%.</w:t>
      </w:r>
      <w:r w:rsidR="003030A5">
        <w:rPr>
          <w:shd w:val="clear" w:color="auto" w:fill="FFFFFF"/>
          <w:lang w:val="en-US"/>
        </w:rPr>
        <w:t xml:space="preserve"> </w:t>
      </w:r>
      <w:r w:rsidR="00754C6C" w:rsidRPr="00754C6C">
        <w:rPr>
          <w:shd w:val="clear" w:color="auto" w:fill="FFFFFF"/>
          <w:lang w:val="en-US"/>
        </w:rPr>
        <w:t xml:space="preserve">The prices in the </w:t>
      </w:r>
      <w:r w:rsidR="00754C6C" w:rsidRPr="00EC1E80">
        <w:rPr>
          <w:b/>
          <w:shd w:val="clear" w:color="auto" w:fill="FFFFFF"/>
          <w:lang w:val="en-US"/>
        </w:rPr>
        <w:t>manufacturing</w:t>
      </w:r>
      <w:r w:rsidR="00754C6C" w:rsidRPr="002A7500">
        <w:rPr>
          <w:shd w:val="clear" w:color="auto" w:fill="FFFFFF"/>
          <w:lang w:val="en-US"/>
        </w:rPr>
        <w:t xml:space="preserve"> section</w:t>
      </w:r>
      <w:r w:rsidR="00754C6C" w:rsidRPr="00AC17C1">
        <w:rPr>
          <w:shd w:val="clear" w:color="auto" w:fill="FFFFFF"/>
          <w:lang w:val="en-US"/>
        </w:rPr>
        <w:t xml:space="preserve"> </w:t>
      </w:r>
      <w:r w:rsidR="007C112E">
        <w:rPr>
          <w:shd w:val="clear" w:color="auto" w:fill="FFFFFF"/>
          <w:lang w:val="en-US"/>
        </w:rPr>
        <w:t>were also increased by</w:t>
      </w:r>
      <w:r w:rsidR="00754C6C" w:rsidRPr="00754C6C">
        <w:rPr>
          <w:shd w:val="clear" w:color="auto" w:fill="FFFFFF"/>
          <w:lang w:val="en-US"/>
        </w:rPr>
        <w:t xml:space="preserve"> 0.</w:t>
      </w:r>
      <w:r w:rsidR="007C112E">
        <w:rPr>
          <w:shd w:val="clear" w:color="auto" w:fill="FFFFFF"/>
          <w:lang w:val="en-US"/>
        </w:rPr>
        <w:t>2</w:t>
      </w:r>
      <w:r w:rsidR="00754C6C" w:rsidRPr="00754C6C">
        <w:rPr>
          <w:shd w:val="clear" w:color="auto" w:fill="FFFFFF"/>
          <w:lang w:val="en-US"/>
        </w:rPr>
        <w:t>%</w:t>
      </w:r>
      <w:r w:rsidR="003030A5">
        <w:rPr>
          <w:shd w:val="clear" w:color="auto" w:fill="FFFFFF"/>
          <w:lang w:val="en-US"/>
        </w:rPr>
        <w:t>.</w:t>
      </w:r>
    </w:p>
    <w:p w:rsidR="00A25A5F" w:rsidRDefault="00A25A5F" w:rsidP="009822D4">
      <w:pPr>
        <w:pStyle w:val="Tytuwykresu0"/>
        <w:ind w:left="709" w:hanging="709"/>
        <w:rPr>
          <w:shd w:val="clear" w:color="auto" w:fill="FFFFFF"/>
          <w:lang w:val="en-US"/>
        </w:rPr>
      </w:pPr>
      <w:r>
        <w:rPr>
          <w:shd w:val="clear" w:color="auto" w:fill="FFFFFF"/>
          <w:lang w:val="en-US"/>
        </w:rPr>
        <w:t xml:space="preserve">Chart 1. </w:t>
      </w:r>
      <w:r w:rsidRPr="00A25A5F">
        <w:rPr>
          <w:shd w:val="clear" w:color="auto" w:fill="FFFFFF"/>
          <w:lang w:val="en-US"/>
        </w:rPr>
        <w:t xml:space="preserve">Prices changes of sold production of industry </w:t>
      </w:r>
      <w:r>
        <w:rPr>
          <w:shd w:val="clear" w:color="auto" w:fill="FFFFFF"/>
          <w:lang w:val="en-US"/>
        </w:rPr>
        <w:t xml:space="preserve">by sections </w:t>
      </w:r>
      <w:r w:rsidRPr="00A25A5F">
        <w:rPr>
          <w:shd w:val="clear" w:color="auto" w:fill="FFFFFF"/>
          <w:lang w:val="en-US"/>
        </w:rPr>
        <w:t xml:space="preserve">in </w:t>
      </w:r>
      <w:r w:rsidR="003030A5">
        <w:rPr>
          <w:shd w:val="clear" w:color="auto" w:fill="FFFFFF"/>
          <w:lang w:val="en-US"/>
        </w:rPr>
        <w:t>June</w:t>
      </w:r>
      <w:r w:rsidR="00202E6E">
        <w:rPr>
          <w:shd w:val="clear" w:color="auto" w:fill="FFFFFF"/>
          <w:lang w:val="en-US"/>
        </w:rPr>
        <w:t xml:space="preserve"> </w:t>
      </w:r>
      <w:r w:rsidR="00D62D37">
        <w:rPr>
          <w:shd w:val="clear" w:color="auto" w:fill="FFFFFF"/>
          <w:lang w:val="en-US"/>
        </w:rPr>
        <w:t>2024</w:t>
      </w:r>
      <w:r w:rsidR="009822D4">
        <w:rPr>
          <w:shd w:val="clear" w:color="auto" w:fill="FFFFFF"/>
          <w:lang w:val="en-US"/>
        </w:rPr>
        <w:t xml:space="preserve"> compared </w:t>
      </w:r>
      <w:r w:rsidRPr="00A25A5F">
        <w:rPr>
          <w:shd w:val="clear" w:color="auto" w:fill="FFFFFF"/>
          <w:lang w:val="en-US"/>
        </w:rPr>
        <w:t>to</w:t>
      </w:r>
      <w:r w:rsidR="003D2ADF">
        <w:rPr>
          <w:shd w:val="clear" w:color="auto" w:fill="FFFFFF"/>
          <w:lang w:val="en-US"/>
        </w:rPr>
        <w:t> </w:t>
      </w:r>
      <w:r w:rsidR="00380B5D" w:rsidRPr="00380B5D">
        <w:rPr>
          <w:shd w:val="clear" w:color="auto" w:fill="FFFFFF"/>
          <w:lang w:val="en-US"/>
        </w:rPr>
        <w:t>the previous month</w:t>
      </w:r>
    </w:p>
    <w:p w:rsidR="00963C2D" w:rsidRDefault="003030A5" w:rsidP="00A2313A">
      <w:pPr>
        <w:pStyle w:val="tytuwykresu"/>
        <w:rPr>
          <w:shd w:val="clear" w:color="auto" w:fill="FFFFFF"/>
          <w:lang w:val="en-US"/>
        </w:rPr>
      </w:pPr>
      <w:r>
        <w:rPr>
          <w:noProof/>
        </w:rPr>
        <w:drawing>
          <wp:anchor distT="0" distB="0" distL="114300" distR="114300" simplePos="0" relativeHeight="251812864" behindDoc="0" locked="0" layoutInCell="1" allowOverlap="1" wp14:anchorId="5722FA3D" wp14:editId="78ACFE05">
            <wp:simplePos x="0" y="0"/>
            <wp:positionH relativeFrom="margin">
              <wp:align>right</wp:align>
            </wp:positionH>
            <wp:positionV relativeFrom="paragraph">
              <wp:posOffset>200660</wp:posOffset>
            </wp:positionV>
            <wp:extent cx="5122545" cy="2920365"/>
            <wp:effectExtent l="0" t="0" r="1905" b="0"/>
            <wp:wrapTopAndBottom/>
            <wp:docPr id="1" name="Wykres 1" descr="Chart 1. Prices changes of sold production of industry by sections in June 2024 compared to the previous month">
              <a:extLst xmlns:a="http://schemas.openxmlformats.org/drawingml/2006/main">
                <a:ext uri="{FF2B5EF4-FFF2-40B4-BE49-F238E27FC236}">
                  <a16:creationId xmlns:a16="http://schemas.microsoft.com/office/drawing/2014/main" id="{5B1C90E2-4D42-4D6B-B2E3-84F8E84A10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E06C92" w:rsidRPr="00823593">
        <w:rPr>
          <w:b w:val="0"/>
          <w:noProof/>
          <w:szCs w:val="19"/>
        </w:rPr>
        <mc:AlternateContent>
          <mc:Choice Requires="wps">
            <w:drawing>
              <wp:anchor distT="45720" distB="45720" distL="114300" distR="114300" simplePos="0" relativeHeight="251763712" behindDoc="1" locked="0" layoutInCell="1" allowOverlap="1" wp14:anchorId="72A37CB5" wp14:editId="470F6E91">
                <wp:simplePos x="0" y="0"/>
                <wp:positionH relativeFrom="column">
                  <wp:posOffset>5257800</wp:posOffset>
                </wp:positionH>
                <wp:positionV relativeFrom="paragraph">
                  <wp:posOffset>1271270</wp:posOffset>
                </wp:positionV>
                <wp:extent cx="1725295" cy="1913255"/>
                <wp:effectExtent l="0" t="0" r="0" b="0"/>
                <wp:wrapTight wrapText="bothSides">
                  <wp:wrapPolygon edited="0">
                    <wp:start x="715" y="0"/>
                    <wp:lineTo x="715" y="21292"/>
                    <wp:lineTo x="20749" y="21292"/>
                    <wp:lineTo x="20749" y="0"/>
                    <wp:lineTo x="715" y="0"/>
                  </wp:wrapPolygon>
                </wp:wrapTight>
                <wp:docPr id="2" name="Pole tekstowe 2" descr="Among divisions of manufacturing in June 2024 in comparison to the previous month the prices increased the most in manufacture of paper and paper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13255"/>
                        </a:xfrm>
                        <a:prstGeom prst="rect">
                          <a:avLst/>
                        </a:prstGeom>
                        <a:noFill/>
                        <a:ln w="9525">
                          <a:noFill/>
                          <a:miter lim="800000"/>
                          <a:headEnd/>
                          <a:tailEnd/>
                        </a:ln>
                      </wps:spPr>
                      <wps:txbx>
                        <w:txbxContent>
                          <w:p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3030A5">
                              <w:rPr>
                                <w:rFonts w:eastAsia="Times New Roman" w:cs="Times New Roman"/>
                                <w:bCs/>
                                <w:color w:val="001D77"/>
                                <w:sz w:val="18"/>
                                <w:szCs w:val="18"/>
                                <w:lang w:val="en-US" w:eastAsia="pl-PL"/>
                              </w:rPr>
                              <w:t>June</w:t>
                            </w:r>
                            <w:r w:rsidR="00E06C92">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w:t>
                            </w:r>
                            <w:r w:rsidR="00D62D37">
                              <w:rPr>
                                <w:rFonts w:eastAsia="Times New Roman" w:cs="Times New Roman"/>
                                <w:bCs/>
                                <w:color w:val="001D77"/>
                                <w:sz w:val="18"/>
                                <w:szCs w:val="18"/>
                                <w:lang w:val="en-US" w:eastAsia="pl-PL"/>
                              </w:rPr>
                              <w:t>4</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3030A5">
                              <w:rPr>
                                <w:rFonts w:eastAsia="Times New Roman" w:cs="Times New Roman"/>
                                <w:bCs/>
                                <w:color w:val="001D77"/>
                                <w:sz w:val="18"/>
                                <w:szCs w:val="18"/>
                                <w:lang w:val="en-US" w:eastAsia="pl-PL"/>
                              </w:rPr>
                              <w:t>increased</w:t>
                            </w:r>
                            <w:r w:rsidR="007C023D">
                              <w:rPr>
                                <w:rFonts w:eastAsia="Times New Roman" w:cs="Times New Roman"/>
                                <w:bCs/>
                                <w:color w:val="001D77"/>
                                <w:sz w:val="18"/>
                                <w:szCs w:val="18"/>
                                <w:lang w:val="en-US" w:eastAsia="pl-PL"/>
                              </w:rPr>
                              <w:t xml:space="preserve">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manufacture of </w:t>
                            </w:r>
                            <w:r w:rsidR="003030A5">
                              <w:rPr>
                                <w:rFonts w:eastAsia="Times New Roman" w:cs="Times New Roman"/>
                                <w:bCs/>
                                <w:color w:val="001D77"/>
                                <w:sz w:val="18"/>
                                <w:szCs w:val="18"/>
                                <w:lang w:val="en-US" w:eastAsia="pl-PL"/>
                              </w:rPr>
                              <w:t>paper and paper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37CB5" id="_x0000_s1028" type="#_x0000_t202" alt="Among divisions of manufacturing in June 2024 in comparison to the previous month the prices increased the most in manufacture of paper and paper products" style="position:absolute;margin-left:414pt;margin-top:100.1pt;width:135.85pt;height:150.6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" filled="f" stroked="f">
                <v:textbox>
                  <w:txbxContent>
                    <w:p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3030A5">
                        <w:rPr>
                          <w:rFonts w:eastAsia="Times New Roman" w:cs="Times New Roman"/>
                          <w:bCs/>
                          <w:color w:val="001D77"/>
                          <w:sz w:val="18"/>
                          <w:szCs w:val="18"/>
                          <w:lang w:val="en-US" w:eastAsia="pl-PL"/>
                        </w:rPr>
                        <w:t>June</w:t>
                      </w:r>
                      <w:r w:rsidR="00E06C92">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w:t>
                      </w:r>
                      <w:r w:rsidR="00D62D37">
                        <w:rPr>
                          <w:rFonts w:eastAsia="Times New Roman" w:cs="Times New Roman"/>
                          <w:bCs/>
                          <w:color w:val="001D77"/>
                          <w:sz w:val="18"/>
                          <w:szCs w:val="18"/>
                          <w:lang w:val="en-US" w:eastAsia="pl-PL"/>
                        </w:rPr>
                        <w:t>4</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3030A5">
                        <w:rPr>
                          <w:rFonts w:eastAsia="Times New Roman" w:cs="Times New Roman"/>
                          <w:bCs/>
                          <w:color w:val="001D77"/>
                          <w:sz w:val="18"/>
                          <w:szCs w:val="18"/>
                          <w:lang w:val="en-US" w:eastAsia="pl-PL"/>
                        </w:rPr>
                        <w:t>increased</w:t>
                      </w:r>
                      <w:r w:rsidR="007C023D">
                        <w:rPr>
                          <w:rFonts w:eastAsia="Times New Roman" w:cs="Times New Roman"/>
                          <w:bCs/>
                          <w:color w:val="001D77"/>
                          <w:sz w:val="18"/>
                          <w:szCs w:val="18"/>
                          <w:lang w:val="en-US" w:eastAsia="pl-PL"/>
                        </w:rPr>
                        <w:t xml:space="preserve">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manufacture of </w:t>
                      </w:r>
                      <w:r w:rsidR="003030A5">
                        <w:rPr>
                          <w:rFonts w:eastAsia="Times New Roman" w:cs="Times New Roman"/>
                          <w:bCs/>
                          <w:color w:val="001D77"/>
                          <w:sz w:val="18"/>
                          <w:szCs w:val="18"/>
                          <w:lang w:val="en-US" w:eastAsia="pl-PL"/>
                        </w:rPr>
                        <w:t>paper and paper products</w:t>
                      </w:r>
                    </w:p>
                  </w:txbxContent>
                </v:textbox>
                <w10:wrap type="tight"/>
              </v:shape>
            </w:pict>
          </mc:Fallback>
        </mc:AlternateContent>
      </w:r>
    </w:p>
    <w:p w:rsidR="007B51C5" w:rsidRPr="00B02675" w:rsidRDefault="007C112E" w:rsidP="00754C6C">
      <w:pPr>
        <w:rPr>
          <w:shd w:val="clear" w:color="auto" w:fill="FFFFFF"/>
          <w:lang w:val="en-US"/>
        </w:rPr>
      </w:pPr>
      <w:r w:rsidRPr="007C112E">
        <w:rPr>
          <w:shd w:val="clear" w:color="auto" w:fill="FFFFFF"/>
          <w:lang w:val="en-US"/>
        </w:rPr>
        <w:t xml:space="preserve">However, a decline in prices was recorded </w:t>
      </w:r>
      <w:r>
        <w:rPr>
          <w:shd w:val="clear" w:color="auto" w:fill="FFFFFF"/>
          <w:lang w:val="en-US"/>
        </w:rPr>
        <w:t xml:space="preserve">in </w:t>
      </w:r>
      <w:r w:rsidR="00754C6C" w:rsidRPr="00EC1E80">
        <w:rPr>
          <w:b/>
          <w:shd w:val="clear" w:color="auto" w:fill="FFFFFF"/>
          <w:lang w:val="en-US"/>
        </w:rPr>
        <w:t>mining and quarrying</w:t>
      </w:r>
      <w:r w:rsidR="00754C6C" w:rsidRPr="00EC1E80">
        <w:rPr>
          <w:shd w:val="clear" w:color="auto" w:fill="FFFFFF"/>
          <w:lang w:val="en-US"/>
        </w:rPr>
        <w:t xml:space="preserve"> </w:t>
      </w:r>
      <w:r w:rsidR="00754C6C" w:rsidRPr="00535562">
        <w:rPr>
          <w:shd w:val="clear" w:color="auto" w:fill="FFFFFF"/>
          <w:lang w:val="en-US"/>
        </w:rPr>
        <w:t>section</w:t>
      </w:r>
      <w:r w:rsidR="00754C6C">
        <w:rPr>
          <w:shd w:val="clear" w:color="auto" w:fill="FFFFFF"/>
          <w:lang w:val="en-US"/>
        </w:rPr>
        <w:t xml:space="preserve"> –</w:t>
      </w:r>
      <w:r w:rsidR="00754C6C" w:rsidRPr="00D62D37">
        <w:rPr>
          <w:shd w:val="clear" w:color="auto" w:fill="FFFFFF"/>
          <w:lang w:val="en-US"/>
        </w:rPr>
        <w:t xml:space="preserve"> </w:t>
      </w:r>
      <w:r w:rsidR="00754C6C" w:rsidRPr="00EC1E80">
        <w:rPr>
          <w:shd w:val="clear" w:color="auto" w:fill="FFFFFF"/>
          <w:lang w:val="en-US"/>
        </w:rPr>
        <w:t xml:space="preserve">by </w:t>
      </w:r>
      <w:r w:rsidR="00B02675">
        <w:rPr>
          <w:shd w:val="clear" w:color="auto" w:fill="FFFFFF"/>
          <w:lang w:val="en-US"/>
        </w:rPr>
        <w:t>1.</w:t>
      </w:r>
      <w:r>
        <w:rPr>
          <w:shd w:val="clear" w:color="auto" w:fill="FFFFFF"/>
          <w:lang w:val="en-US"/>
        </w:rPr>
        <w:t>8</w:t>
      </w:r>
      <w:r w:rsidR="00754C6C" w:rsidRPr="00EC1E80">
        <w:rPr>
          <w:shd w:val="clear" w:color="auto" w:fill="FFFFFF"/>
          <w:lang w:val="en-US"/>
        </w:rPr>
        <w:t>%</w:t>
      </w:r>
      <w:r w:rsidR="00754C6C">
        <w:rPr>
          <w:shd w:val="clear" w:color="auto" w:fill="FFFFFF"/>
          <w:lang w:val="en-US"/>
        </w:rPr>
        <w:t xml:space="preserve">, </w:t>
      </w:r>
      <w:r w:rsidR="00754C6C" w:rsidRPr="00D62D37">
        <w:rPr>
          <w:shd w:val="clear" w:color="auto" w:fill="FFFFFF"/>
          <w:lang w:val="en-US"/>
        </w:rPr>
        <w:t xml:space="preserve">of which in the mining of metal ores – by </w:t>
      </w:r>
      <w:r w:rsidR="003030A5">
        <w:rPr>
          <w:shd w:val="clear" w:color="auto" w:fill="FFFFFF"/>
          <w:lang w:val="en-US"/>
        </w:rPr>
        <w:t>2.1</w:t>
      </w:r>
      <w:r w:rsidR="00B02675">
        <w:rPr>
          <w:shd w:val="clear" w:color="auto" w:fill="FFFFFF"/>
          <w:lang w:val="en-US"/>
        </w:rPr>
        <w:t>%</w:t>
      </w:r>
      <w:r w:rsidR="00754C6C">
        <w:rPr>
          <w:shd w:val="clear" w:color="auto" w:fill="FFFFFF"/>
          <w:lang w:val="en-US"/>
        </w:rPr>
        <w:t xml:space="preserve">, </w:t>
      </w:r>
      <w:r w:rsidR="003030A5">
        <w:rPr>
          <w:shd w:val="clear" w:color="auto" w:fill="FFFFFF"/>
          <w:lang w:val="en-US"/>
        </w:rPr>
        <w:t>and</w:t>
      </w:r>
      <w:r w:rsidR="00B02675" w:rsidRPr="00B02675">
        <w:rPr>
          <w:shd w:val="clear" w:color="auto" w:fill="FFFFFF"/>
          <w:lang w:val="en-US"/>
        </w:rPr>
        <w:t xml:space="preserve"> in the</w:t>
      </w:r>
      <w:r w:rsidR="00754C6C" w:rsidRPr="00D62D37">
        <w:rPr>
          <w:shd w:val="clear" w:color="auto" w:fill="FFFFFF"/>
          <w:lang w:val="en-US"/>
        </w:rPr>
        <w:t xml:space="preserve"> mining of coal and lignite</w:t>
      </w:r>
      <w:r w:rsidR="003030A5">
        <w:rPr>
          <w:shd w:val="clear" w:color="auto" w:fill="FFFFFF"/>
          <w:lang w:val="en-US"/>
        </w:rPr>
        <w:t xml:space="preserve"> </w:t>
      </w:r>
      <w:r w:rsidR="00754C6C">
        <w:rPr>
          <w:shd w:val="clear" w:color="auto" w:fill="FFFFFF"/>
          <w:lang w:val="en-US"/>
        </w:rPr>
        <w:t xml:space="preserve">– </w:t>
      </w:r>
      <w:r w:rsidR="00754C6C" w:rsidRPr="00C456F4">
        <w:rPr>
          <w:shd w:val="clear" w:color="auto" w:fill="FFFFFF"/>
          <w:lang w:val="en-US"/>
        </w:rPr>
        <w:t xml:space="preserve">by </w:t>
      </w:r>
      <w:r w:rsidR="003030A5">
        <w:rPr>
          <w:shd w:val="clear" w:color="auto" w:fill="FFFFFF"/>
          <w:lang w:val="en-US"/>
        </w:rPr>
        <w:t>2.5</w:t>
      </w:r>
      <w:r w:rsidR="00754C6C" w:rsidRPr="00C456F4">
        <w:rPr>
          <w:shd w:val="clear" w:color="auto" w:fill="FFFFFF"/>
          <w:lang w:val="en-US"/>
        </w:rPr>
        <w:t>%</w:t>
      </w:r>
      <w:r w:rsidR="003030A5">
        <w:rPr>
          <w:shd w:val="clear" w:color="auto" w:fill="FFFFFF"/>
          <w:lang w:val="en-US"/>
        </w:rPr>
        <w:t>, as well as</w:t>
      </w:r>
      <w:r w:rsidR="00754C6C">
        <w:rPr>
          <w:shd w:val="clear" w:color="auto" w:fill="FFFFFF"/>
          <w:lang w:val="en-US"/>
        </w:rPr>
        <w:t xml:space="preserve"> </w:t>
      </w:r>
      <w:r w:rsidR="003030A5">
        <w:rPr>
          <w:shd w:val="clear" w:color="auto" w:fill="FFFFFF"/>
          <w:lang w:val="en-US"/>
        </w:rPr>
        <w:t>i</w:t>
      </w:r>
      <w:r w:rsidR="00B02675">
        <w:rPr>
          <w:shd w:val="clear" w:color="auto" w:fill="FFFFFF"/>
          <w:lang w:val="en-US"/>
        </w:rPr>
        <w:t>n</w:t>
      </w:r>
      <w:r w:rsidR="00754C6C" w:rsidRPr="00EC1E80">
        <w:rPr>
          <w:shd w:val="clear" w:color="auto" w:fill="FFFFFF"/>
          <w:lang w:val="en-US"/>
        </w:rPr>
        <w:t xml:space="preserve"> </w:t>
      </w:r>
      <w:r w:rsidR="00754C6C">
        <w:rPr>
          <w:shd w:val="clear" w:color="auto" w:fill="FFFFFF"/>
          <w:lang w:val="en-US"/>
        </w:rPr>
        <w:t xml:space="preserve">the </w:t>
      </w:r>
      <w:r w:rsidR="0034174A" w:rsidRPr="00FC267E">
        <w:rPr>
          <w:b/>
          <w:shd w:val="clear" w:color="auto" w:fill="FFFFFF"/>
          <w:lang w:val="en-US"/>
        </w:rPr>
        <w:t>electricity, gas, steam and air conditioning supply</w:t>
      </w:r>
      <w:r w:rsidR="0034174A">
        <w:rPr>
          <w:shd w:val="clear" w:color="auto" w:fill="FFFFFF"/>
          <w:lang w:val="en-US"/>
        </w:rPr>
        <w:t xml:space="preserve"> </w:t>
      </w:r>
      <w:r w:rsidR="00754C6C" w:rsidRPr="00EC1E80">
        <w:rPr>
          <w:shd w:val="clear" w:color="auto" w:fill="FFFFFF"/>
          <w:lang w:val="en-US"/>
        </w:rPr>
        <w:t>section</w:t>
      </w:r>
      <w:r w:rsidR="003030A5">
        <w:rPr>
          <w:shd w:val="clear" w:color="auto" w:fill="FFFFFF"/>
          <w:lang w:val="en-US"/>
        </w:rPr>
        <w:t xml:space="preserve"> </w:t>
      </w:r>
      <w:r w:rsidR="00754C6C">
        <w:rPr>
          <w:shd w:val="clear" w:color="auto" w:fill="FFFFFF"/>
          <w:lang w:val="en-US"/>
        </w:rPr>
        <w:t xml:space="preserve">– by </w:t>
      </w:r>
      <w:r w:rsidR="003030A5">
        <w:rPr>
          <w:shd w:val="clear" w:color="auto" w:fill="FFFFFF"/>
          <w:lang w:val="en-US"/>
        </w:rPr>
        <w:t>0.2</w:t>
      </w:r>
      <w:r w:rsidR="00754C6C">
        <w:rPr>
          <w:shd w:val="clear" w:color="auto" w:fill="FFFFFF"/>
          <w:lang w:val="en-US"/>
        </w:rPr>
        <w:t>%</w:t>
      </w:r>
      <w:r w:rsidR="003030A5">
        <w:rPr>
          <w:shd w:val="clear" w:color="auto" w:fill="FFFFFF"/>
          <w:lang w:val="en-US"/>
        </w:rPr>
        <w:t>.</w:t>
      </w:r>
    </w:p>
    <w:p w:rsidR="007B51C5" w:rsidRDefault="007B51C5" w:rsidP="00AC17C1">
      <w:pPr>
        <w:rPr>
          <w:shd w:val="clear" w:color="auto" w:fill="FFFFFF"/>
          <w:lang w:val="en-US"/>
        </w:rPr>
      </w:pPr>
    </w:p>
    <w:p w:rsidR="00AC17C1" w:rsidRDefault="00AC17C1" w:rsidP="00AC17C1">
      <w:pPr>
        <w:rPr>
          <w:shd w:val="clear" w:color="auto" w:fill="FFFFFF"/>
          <w:lang w:val="en-US"/>
        </w:rPr>
      </w:pPr>
    </w:p>
    <w:p w:rsidR="00535562" w:rsidRDefault="00535562" w:rsidP="00656307">
      <w:pPr>
        <w:rPr>
          <w:b/>
          <w:shd w:val="clear" w:color="auto" w:fill="FFFFFF"/>
          <w:lang w:val="en-US"/>
        </w:rPr>
      </w:pPr>
    </w:p>
    <w:p w:rsidR="00535562" w:rsidRDefault="00535562" w:rsidP="00656307">
      <w:pPr>
        <w:rPr>
          <w:b/>
          <w:shd w:val="clear" w:color="auto" w:fill="FFFFFF"/>
          <w:lang w:val="en-US"/>
        </w:rPr>
      </w:pPr>
    </w:p>
    <w:p w:rsidR="00656307" w:rsidRDefault="00656307" w:rsidP="00656307">
      <w:pPr>
        <w:rPr>
          <w:shd w:val="clear" w:color="auto" w:fill="FFFFFF"/>
          <w:lang w:val="en-US"/>
        </w:rPr>
      </w:pPr>
    </w:p>
    <w:p w:rsidR="00A4181D" w:rsidRDefault="00A4181D">
      <w:pPr>
        <w:spacing w:before="0" w:after="160" w:line="259" w:lineRule="auto"/>
        <w:rPr>
          <w:shd w:val="clear" w:color="auto" w:fill="FFFFFF"/>
          <w:lang w:val="en-US"/>
        </w:rPr>
      </w:pPr>
    </w:p>
    <w:p w:rsidR="00A2313A" w:rsidRDefault="00A2313A">
      <w:pPr>
        <w:spacing w:before="0" w:after="160" w:line="259" w:lineRule="auto"/>
        <w:rPr>
          <w:shd w:val="clear" w:color="auto" w:fill="FFFFFF"/>
          <w:lang w:val="en-US"/>
        </w:rPr>
      </w:pPr>
      <w:r>
        <w:rPr>
          <w:shd w:val="clear" w:color="auto" w:fill="FFFFFF"/>
          <w:lang w:val="en-US"/>
        </w:rPr>
        <w:br w:type="page"/>
      </w:r>
    </w:p>
    <w:p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11058C">
        <w:rPr>
          <w:rFonts w:ascii="Fira Sans" w:hAnsi="Fira Sans"/>
          <w:b/>
          <w:szCs w:val="19"/>
          <w:lang w:val="en-US"/>
        </w:rPr>
        <w:t>June</w:t>
      </w:r>
      <w:r w:rsidR="00D62D37">
        <w:rPr>
          <w:rFonts w:ascii="Fira Sans" w:hAnsi="Fira Sans"/>
          <w:b/>
          <w:szCs w:val="19"/>
          <w:lang w:val="en-US"/>
        </w:rPr>
        <w:t xml:space="preserve"> 2024</w:t>
      </w:r>
      <w:r w:rsidRPr="007444CA">
        <w:rPr>
          <w:rFonts w:ascii="Fira Sans" w:hAnsi="Fira Sans"/>
          <w:b/>
          <w:szCs w:val="19"/>
          <w:lang w:val="en-US"/>
        </w:rPr>
        <w:t xml:space="preserve"> compared to </w:t>
      </w:r>
      <w:r w:rsidR="0011058C">
        <w:rPr>
          <w:rFonts w:ascii="Fira Sans" w:hAnsi="Fira Sans"/>
          <w:b/>
          <w:szCs w:val="19"/>
          <w:lang w:val="en-US"/>
        </w:rPr>
        <w:t>June</w:t>
      </w:r>
      <w:r w:rsidR="00D62D37">
        <w:rPr>
          <w:rFonts w:ascii="Fira Sans" w:hAnsi="Fira Sans"/>
          <w:b/>
          <w:szCs w:val="19"/>
          <w:lang w:val="en-US"/>
        </w:rPr>
        <w:t xml:space="preserve"> 2023</w:t>
      </w:r>
    </w:p>
    <w:p w:rsidR="00656307" w:rsidRDefault="00656307" w:rsidP="00656307">
      <w:pPr>
        <w:rPr>
          <w:shd w:val="clear" w:color="auto" w:fill="FFFFFF"/>
          <w:lang w:val="en-US"/>
        </w:rPr>
      </w:pPr>
      <w:r w:rsidRPr="00562239">
        <w:rPr>
          <w:shd w:val="clear" w:color="auto" w:fill="FFFFFF"/>
          <w:lang w:val="en-US"/>
        </w:rPr>
        <w:t xml:space="preserve">In </w:t>
      </w:r>
      <w:r w:rsidR="0011058C">
        <w:rPr>
          <w:shd w:val="clear" w:color="auto" w:fill="FFFFFF"/>
          <w:lang w:val="en-US"/>
        </w:rPr>
        <w:t>June</w:t>
      </w:r>
      <w:r w:rsidRPr="00562239">
        <w:rPr>
          <w:shd w:val="clear" w:color="auto" w:fill="FFFFFF"/>
          <w:lang w:val="en-US"/>
        </w:rPr>
        <w:t xml:space="preserve"> 202</w:t>
      </w:r>
      <w:r w:rsidR="00D62D37">
        <w:rPr>
          <w:shd w:val="clear" w:color="auto" w:fill="FFFFFF"/>
          <w:lang w:val="en-US"/>
        </w:rPr>
        <w:t>4</w:t>
      </w:r>
      <w:r>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shd w:val="clear" w:color="auto" w:fill="FFFFFF"/>
          <w:lang w:val="en-US"/>
        </w:rPr>
        <w:t xml:space="preserve"> compared </w:t>
      </w:r>
      <w:r w:rsidRPr="001F09B7">
        <w:rPr>
          <w:shd w:val="clear" w:color="auto" w:fill="FFFFFF"/>
          <w:lang w:val="en-US"/>
        </w:rPr>
        <w:t>to</w:t>
      </w:r>
      <w:r>
        <w:rPr>
          <w:shd w:val="clear" w:color="auto" w:fill="FFFFFF"/>
          <w:lang w:val="en-US"/>
        </w:rPr>
        <w:t xml:space="preserve"> the corresponding month of the previous year de</w:t>
      </w:r>
      <w:r w:rsidRPr="00D75696">
        <w:rPr>
          <w:shd w:val="clear" w:color="auto" w:fill="FFFFFF"/>
          <w:lang w:val="en-US"/>
        </w:rPr>
        <w:t xml:space="preserve">creased </w:t>
      </w:r>
      <w:r w:rsidR="004A345A">
        <w:rPr>
          <w:shd w:val="clear" w:color="auto" w:fill="FFFFFF"/>
          <w:lang w:val="en-US"/>
        </w:rPr>
        <w:t xml:space="preserve">– </w:t>
      </w:r>
      <w:r w:rsidRPr="007D6610">
        <w:rPr>
          <w:shd w:val="clear" w:color="auto" w:fill="FFFFFF"/>
          <w:lang w:val="en-US"/>
        </w:rPr>
        <w:t xml:space="preserve">by </w:t>
      </w:r>
      <w:r w:rsidR="0011058C">
        <w:rPr>
          <w:shd w:val="clear" w:color="auto" w:fill="FFFFFF"/>
          <w:lang w:val="en-US"/>
        </w:rPr>
        <w:t>6.1</w:t>
      </w:r>
      <w:r w:rsidRPr="007D6610">
        <w:rPr>
          <w:shd w:val="clear" w:color="auto" w:fill="FFFFFF"/>
          <w:lang w:val="en-US"/>
        </w:rPr>
        <w:t>%.</w:t>
      </w:r>
      <w:r>
        <w:rPr>
          <w:shd w:val="clear" w:color="auto" w:fill="FFFFFF"/>
          <w:lang w:val="en-US"/>
        </w:rPr>
        <w:t xml:space="preserve"> </w:t>
      </w:r>
      <w:r w:rsidR="00D62D37">
        <w:rPr>
          <w:shd w:val="clear" w:color="auto" w:fill="FFFFFF"/>
          <w:lang w:val="en-US"/>
        </w:rPr>
        <w:t>T</w:t>
      </w:r>
      <w:r w:rsidR="00D62D37" w:rsidRPr="00D62D37">
        <w:rPr>
          <w:shd w:val="clear" w:color="auto" w:fill="FFFFFF"/>
          <w:lang w:val="en-US"/>
        </w:rPr>
        <w:t xml:space="preserve">he prices </w:t>
      </w:r>
      <w:r w:rsidR="00046036">
        <w:rPr>
          <w:shd w:val="clear" w:color="auto" w:fill="FFFFFF"/>
          <w:lang w:val="en-US"/>
        </w:rPr>
        <w:t>dropped</w:t>
      </w:r>
      <w:r w:rsidR="00D62D37" w:rsidRPr="00D62D37">
        <w:rPr>
          <w:shd w:val="clear" w:color="auto" w:fill="FFFFFF"/>
          <w:lang w:val="en-US"/>
        </w:rPr>
        <w:t xml:space="preserve"> the most in </w:t>
      </w:r>
      <w:r w:rsidRPr="00FE163B">
        <w:rPr>
          <w:shd w:val="clear" w:color="auto" w:fill="FFFFFF"/>
          <w:lang w:val="en-US"/>
        </w:rPr>
        <w:t>in</w:t>
      </w:r>
      <w:r w:rsidR="00163614">
        <w:rPr>
          <w:shd w:val="clear" w:color="auto" w:fill="FFFFFF"/>
          <w:lang w:val="en-US"/>
        </w:rPr>
        <w:t> </w:t>
      </w:r>
      <w:r w:rsidR="007B51C5" w:rsidRPr="00A62C5D">
        <w:rPr>
          <w:b/>
          <w:shd w:val="clear" w:color="auto" w:fill="FFFFFF"/>
          <w:lang w:val="en-US"/>
        </w:rPr>
        <w:t>electricity</w:t>
      </w:r>
      <w:r w:rsidR="007B51C5">
        <w:rPr>
          <w:b/>
          <w:shd w:val="clear" w:color="auto" w:fill="FFFFFF"/>
          <w:lang w:val="en-US"/>
        </w:rPr>
        <w:t>,</w:t>
      </w:r>
      <w:r w:rsidR="007B51C5" w:rsidRPr="00A62C5D">
        <w:rPr>
          <w:b/>
          <w:shd w:val="clear" w:color="auto" w:fill="FFFFFF"/>
          <w:lang w:val="en-US"/>
        </w:rPr>
        <w:t xml:space="preserve"> gas</w:t>
      </w:r>
      <w:r w:rsidR="007B51C5">
        <w:rPr>
          <w:b/>
          <w:shd w:val="clear" w:color="auto" w:fill="FFFFFF"/>
          <w:lang w:val="en-US"/>
        </w:rPr>
        <w:t>,</w:t>
      </w:r>
      <w:r w:rsidR="007B51C5" w:rsidRPr="00A62C5D">
        <w:rPr>
          <w:b/>
          <w:shd w:val="clear" w:color="auto" w:fill="FFFFFF"/>
          <w:lang w:val="en-US"/>
        </w:rPr>
        <w:t xml:space="preserve"> steam and air</w:t>
      </w:r>
      <w:r w:rsidR="007B51C5">
        <w:rPr>
          <w:b/>
          <w:shd w:val="clear" w:color="auto" w:fill="FFFFFF"/>
          <w:lang w:val="en-US"/>
        </w:rPr>
        <w:t xml:space="preserve"> </w:t>
      </w:r>
      <w:r w:rsidR="007B51C5" w:rsidRPr="00A62C5D">
        <w:rPr>
          <w:b/>
          <w:shd w:val="clear" w:color="auto" w:fill="FFFFFF"/>
          <w:lang w:val="en-US"/>
        </w:rPr>
        <w:t xml:space="preserve">conditioning </w:t>
      </w:r>
      <w:r w:rsidR="007B51C5" w:rsidRPr="007D6610">
        <w:rPr>
          <w:b/>
          <w:shd w:val="clear" w:color="auto" w:fill="FFFFFF"/>
          <w:lang w:val="en-US"/>
        </w:rPr>
        <w:t>supply</w:t>
      </w:r>
      <w:r w:rsidR="007B51C5">
        <w:rPr>
          <w:b/>
          <w:shd w:val="clear" w:color="auto" w:fill="FFFFFF"/>
          <w:lang w:val="en-US"/>
        </w:rPr>
        <w:t xml:space="preserve"> </w:t>
      </w:r>
      <w:r w:rsidR="007B51C5" w:rsidRPr="00BD5D30">
        <w:rPr>
          <w:shd w:val="clear" w:color="auto" w:fill="FFFFFF"/>
          <w:lang w:val="en-US"/>
        </w:rPr>
        <w:t>section</w:t>
      </w:r>
      <w:r w:rsidR="007B51C5">
        <w:rPr>
          <w:shd w:val="clear" w:color="auto" w:fill="FFFFFF"/>
          <w:lang w:val="en-US"/>
        </w:rPr>
        <w:t xml:space="preserve"> – by </w:t>
      </w:r>
      <w:r w:rsidR="00B02675">
        <w:rPr>
          <w:shd w:val="clear" w:color="auto" w:fill="FFFFFF"/>
          <w:lang w:val="en-US"/>
        </w:rPr>
        <w:t>15</w:t>
      </w:r>
      <w:r w:rsidR="00233BA1">
        <w:rPr>
          <w:shd w:val="clear" w:color="auto" w:fill="FFFFFF"/>
          <w:lang w:val="en-US"/>
        </w:rPr>
        <w:t>.</w:t>
      </w:r>
      <w:r w:rsidR="0011058C">
        <w:rPr>
          <w:shd w:val="clear" w:color="auto" w:fill="FFFFFF"/>
          <w:lang w:val="en-US"/>
        </w:rPr>
        <w:t>3</w:t>
      </w:r>
      <w:r w:rsidR="007B51C5">
        <w:rPr>
          <w:shd w:val="clear" w:color="auto" w:fill="FFFFFF"/>
          <w:lang w:val="en-US"/>
        </w:rPr>
        <w:t xml:space="preserve">%. In </w:t>
      </w:r>
      <w:r w:rsidR="00D62D37" w:rsidRPr="0085641D">
        <w:rPr>
          <w:b/>
          <w:shd w:val="clear" w:color="auto" w:fill="FFFFFF"/>
          <w:lang w:val="en-US"/>
        </w:rPr>
        <w:t xml:space="preserve">mining and </w:t>
      </w:r>
      <w:r w:rsidR="00D62D37" w:rsidRPr="008507FA">
        <w:rPr>
          <w:b/>
          <w:shd w:val="clear" w:color="auto" w:fill="FFFFFF"/>
          <w:lang w:val="en-US"/>
        </w:rPr>
        <w:t>quarrying</w:t>
      </w:r>
      <w:r w:rsidR="007B51C5" w:rsidRPr="007B51C5">
        <w:rPr>
          <w:shd w:val="clear" w:color="auto" w:fill="FFFFFF"/>
          <w:lang w:val="en-US"/>
        </w:rPr>
        <w:t xml:space="preserve"> </w:t>
      </w:r>
      <w:r w:rsidR="007B51C5" w:rsidRPr="00BD5D30">
        <w:rPr>
          <w:shd w:val="clear" w:color="auto" w:fill="FFFFFF"/>
          <w:lang w:val="en-US"/>
        </w:rPr>
        <w:t>section</w:t>
      </w:r>
      <w:r w:rsidR="007B51C5">
        <w:rPr>
          <w:shd w:val="clear" w:color="auto" w:fill="FFFFFF"/>
          <w:lang w:val="en-US"/>
        </w:rPr>
        <w:t xml:space="preserve"> prices have also decreased – </w:t>
      </w:r>
      <w:r w:rsidR="00D62D37">
        <w:rPr>
          <w:shd w:val="clear" w:color="auto" w:fill="FFFFFF"/>
          <w:lang w:val="en-US"/>
        </w:rPr>
        <w:t xml:space="preserve">by </w:t>
      </w:r>
      <w:r w:rsidR="00B02675">
        <w:rPr>
          <w:shd w:val="clear" w:color="auto" w:fill="FFFFFF"/>
          <w:lang w:val="en-US"/>
        </w:rPr>
        <w:t>5.5</w:t>
      </w:r>
      <w:r w:rsidR="00D62D37">
        <w:rPr>
          <w:shd w:val="clear" w:color="auto" w:fill="FFFFFF"/>
          <w:lang w:val="en-US"/>
        </w:rPr>
        <w:t xml:space="preserve">%, of which </w:t>
      </w:r>
      <w:r w:rsidR="00D62D37" w:rsidRPr="001522C8">
        <w:rPr>
          <w:shd w:val="clear" w:color="auto" w:fill="FFFFFF"/>
          <w:lang w:val="en-US"/>
        </w:rPr>
        <w:t>in</w:t>
      </w:r>
      <w:r w:rsidR="00D62D37">
        <w:rPr>
          <w:shd w:val="clear" w:color="auto" w:fill="FFFFFF"/>
          <w:lang w:val="en-US"/>
        </w:rPr>
        <w:t xml:space="preserve"> </w:t>
      </w:r>
      <w:r w:rsidR="00D62D37" w:rsidRPr="001522C8">
        <w:rPr>
          <w:shd w:val="clear" w:color="auto" w:fill="FFFFFF"/>
          <w:lang w:val="en-US"/>
        </w:rPr>
        <w:t xml:space="preserve">mining of coal and </w:t>
      </w:r>
      <w:r w:rsidR="00D62D37" w:rsidRPr="00955E03">
        <w:rPr>
          <w:shd w:val="clear" w:color="auto" w:fill="FFFFFF"/>
          <w:lang w:val="en-US"/>
        </w:rPr>
        <w:t xml:space="preserve">lignite </w:t>
      </w:r>
      <w:r w:rsidR="00D62D37">
        <w:rPr>
          <w:shd w:val="clear" w:color="auto" w:fill="FFFFFF"/>
          <w:lang w:val="en-US"/>
        </w:rPr>
        <w:t xml:space="preserve">– </w:t>
      </w:r>
      <w:r w:rsidR="00D62D37" w:rsidRPr="004A7EAB">
        <w:rPr>
          <w:shd w:val="clear" w:color="auto" w:fill="FFFFFF"/>
          <w:lang w:val="en-US"/>
        </w:rPr>
        <w:t xml:space="preserve">by </w:t>
      </w:r>
      <w:r w:rsidR="00B02675">
        <w:rPr>
          <w:shd w:val="clear" w:color="auto" w:fill="FFFFFF"/>
          <w:lang w:val="en-US"/>
        </w:rPr>
        <w:t>21.</w:t>
      </w:r>
      <w:r w:rsidR="0011058C">
        <w:rPr>
          <w:shd w:val="clear" w:color="auto" w:fill="FFFFFF"/>
          <w:lang w:val="en-US"/>
        </w:rPr>
        <w:t>7</w:t>
      </w:r>
      <w:r w:rsidR="00D62D37" w:rsidRPr="004A7EAB">
        <w:rPr>
          <w:shd w:val="clear" w:color="auto" w:fill="FFFFFF"/>
          <w:lang w:val="en-US"/>
        </w:rPr>
        <w:t>%</w:t>
      </w:r>
      <w:r w:rsidR="00D62D37">
        <w:rPr>
          <w:shd w:val="clear" w:color="auto" w:fill="FFFFFF"/>
          <w:lang w:val="en-US"/>
        </w:rPr>
        <w:t xml:space="preserve">, </w:t>
      </w:r>
      <w:r w:rsidR="00E06C92" w:rsidRPr="00E06C92">
        <w:rPr>
          <w:shd w:val="clear" w:color="auto" w:fill="FFFFFF"/>
          <w:lang w:val="en-US"/>
        </w:rPr>
        <w:t>with an increase i</w:t>
      </w:r>
      <w:r w:rsidR="00D62D37" w:rsidRPr="00BD5D30">
        <w:rPr>
          <w:shd w:val="clear" w:color="auto" w:fill="FFFFFF"/>
          <w:lang w:val="en-US"/>
        </w:rPr>
        <w:t xml:space="preserve">n </w:t>
      </w:r>
      <w:r w:rsidR="00D62D37">
        <w:rPr>
          <w:shd w:val="clear" w:color="auto" w:fill="FFFFFF"/>
          <w:lang w:val="en-US"/>
        </w:rPr>
        <w:t>the </w:t>
      </w:r>
      <w:r w:rsidR="00D62D37" w:rsidRPr="001522C8">
        <w:rPr>
          <w:shd w:val="clear" w:color="auto" w:fill="FFFFFF"/>
          <w:lang w:val="en-US"/>
        </w:rPr>
        <w:t>mining</w:t>
      </w:r>
      <w:r w:rsidR="00D62D37">
        <w:rPr>
          <w:shd w:val="clear" w:color="auto" w:fill="FFFFFF"/>
          <w:lang w:val="en-US"/>
        </w:rPr>
        <w:t xml:space="preserve"> </w:t>
      </w:r>
      <w:r w:rsidR="00D62D37" w:rsidRPr="001522C8">
        <w:rPr>
          <w:shd w:val="clear" w:color="auto" w:fill="FFFFFF"/>
          <w:lang w:val="en-US"/>
        </w:rPr>
        <w:t xml:space="preserve">of metal </w:t>
      </w:r>
      <w:r w:rsidR="00D62D37" w:rsidRPr="00955E03">
        <w:rPr>
          <w:shd w:val="clear" w:color="auto" w:fill="FFFFFF"/>
          <w:lang w:val="en-US"/>
        </w:rPr>
        <w:t xml:space="preserve">ores </w:t>
      </w:r>
      <w:r w:rsidR="00D62D37">
        <w:rPr>
          <w:shd w:val="clear" w:color="auto" w:fill="FFFFFF"/>
          <w:lang w:val="en-US"/>
        </w:rPr>
        <w:t xml:space="preserve">– </w:t>
      </w:r>
      <w:r w:rsidR="00D62D37" w:rsidRPr="007D6610">
        <w:rPr>
          <w:shd w:val="clear" w:color="auto" w:fill="FFFFFF"/>
          <w:lang w:val="en-US"/>
        </w:rPr>
        <w:t xml:space="preserve">by </w:t>
      </w:r>
      <w:r w:rsidR="0011058C">
        <w:rPr>
          <w:shd w:val="clear" w:color="auto" w:fill="FFFFFF"/>
          <w:lang w:val="en-US"/>
        </w:rPr>
        <w:t>14.5</w:t>
      </w:r>
      <w:r w:rsidR="00D62D37" w:rsidRPr="007D6610">
        <w:rPr>
          <w:shd w:val="clear" w:color="auto" w:fill="FFFFFF"/>
          <w:lang w:val="en-US"/>
        </w:rPr>
        <w:t>%</w:t>
      </w:r>
      <w:r w:rsidR="00476CE8">
        <w:rPr>
          <w:shd w:val="clear" w:color="auto" w:fill="FFFFFF"/>
          <w:lang w:val="en-US"/>
        </w:rPr>
        <w:t>. Prices dropped i</w:t>
      </w:r>
      <w:r w:rsidR="007B51C5">
        <w:rPr>
          <w:shd w:val="clear" w:color="auto" w:fill="FFFFFF"/>
          <w:lang w:val="en-US"/>
        </w:rPr>
        <w:t>n</w:t>
      </w:r>
      <w:r w:rsidR="00D62D37">
        <w:rPr>
          <w:shd w:val="clear" w:color="auto" w:fill="FFFFFF"/>
          <w:lang w:val="en-US"/>
        </w:rPr>
        <w:t xml:space="preserve"> </w:t>
      </w:r>
      <w:r w:rsidR="00476CE8">
        <w:rPr>
          <w:shd w:val="clear" w:color="auto" w:fill="FFFFFF"/>
          <w:lang w:val="en-US"/>
        </w:rPr>
        <w:t xml:space="preserve">the </w:t>
      </w:r>
      <w:r w:rsidRPr="00FE163B">
        <w:rPr>
          <w:b/>
          <w:shd w:val="clear" w:color="auto" w:fill="FFFFFF"/>
          <w:lang w:val="en-US"/>
        </w:rPr>
        <w:t>manufacturing</w:t>
      </w:r>
      <w:r>
        <w:rPr>
          <w:shd w:val="clear" w:color="auto" w:fill="FFFFFF"/>
          <w:lang w:val="en-US"/>
        </w:rPr>
        <w:t xml:space="preserve"> </w:t>
      </w:r>
      <w:r w:rsidR="000F0E30">
        <w:rPr>
          <w:shd w:val="clear" w:color="auto" w:fill="FFFFFF"/>
          <w:lang w:val="en-US"/>
        </w:rPr>
        <w:t xml:space="preserve">section </w:t>
      </w:r>
      <w:r w:rsidR="004A345A">
        <w:rPr>
          <w:shd w:val="clear" w:color="auto" w:fill="FFFFFF"/>
          <w:lang w:val="en-US"/>
        </w:rPr>
        <w:t xml:space="preserve">– </w:t>
      </w:r>
      <w:r>
        <w:rPr>
          <w:shd w:val="clear" w:color="auto" w:fill="FFFFFF"/>
          <w:lang w:val="en-US"/>
        </w:rPr>
        <w:t>by </w:t>
      </w:r>
      <w:r w:rsidR="0011058C">
        <w:rPr>
          <w:shd w:val="clear" w:color="auto" w:fill="FFFFFF"/>
          <w:lang w:val="en-US"/>
        </w:rPr>
        <w:t>5</w:t>
      </w:r>
      <w:r w:rsidR="00B02675">
        <w:rPr>
          <w:shd w:val="clear" w:color="auto" w:fill="FFFFFF"/>
          <w:lang w:val="en-US"/>
        </w:rPr>
        <w:t>.2</w:t>
      </w:r>
      <w:r>
        <w:rPr>
          <w:shd w:val="clear" w:color="auto" w:fill="FFFFFF"/>
          <w:lang w:val="en-US"/>
        </w:rPr>
        <w:t>%</w:t>
      </w:r>
      <w:r w:rsidR="00476CE8">
        <w:rPr>
          <w:shd w:val="clear" w:color="auto" w:fill="FFFFFF"/>
          <w:lang w:val="en-US"/>
        </w:rPr>
        <w:t>.</w:t>
      </w:r>
    </w:p>
    <w:p w:rsidR="00A2313A" w:rsidRDefault="00A2313A" w:rsidP="00C6765E">
      <w:pPr>
        <w:pStyle w:val="Tytuwykresu0"/>
        <w:ind w:left="709" w:hanging="709"/>
        <w:rPr>
          <w:shd w:val="clear" w:color="auto" w:fill="FFFFFF"/>
          <w:lang w:val="en-US"/>
        </w:rPr>
      </w:pPr>
      <w:r>
        <w:rPr>
          <w:shd w:val="clear" w:color="auto" w:fill="FFFFFF"/>
          <w:lang w:val="en-US"/>
        </w:rPr>
        <w:t xml:space="preserve">Chart 2. </w:t>
      </w:r>
      <w:r w:rsidRPr="00A2313A">
        <w:rPr>
          <w:shd w:val="clear" w:color="auto" w:fill="FFFFFF"/>
          <w:lang w:val="en-US"/>
        </w:rPr>
        <w:t xml:space="preserve">Prices changes of sold production of industry in </w:t>
      </w:r>
      <w:r w:rsidR="0011058C">
        <w:rPr>
          <w:shd w:val="clear" w:color="auto" w:fill="FFFFFF"/>
          <w:lang w:val="en-US"/>
        </w:rPr>
        <w:t>June</w:t>
      </w:r>
      <w:r w:rsidR="00DF0C53">
        <w:rPr>
          <w:shd w:val="clear" w:color="auto" w:fill="FFFFFF"/>
          <w:lang w:val="en-US"/>
        </w:rPr>
        <w:t xml:space="preserve"> </w:t>
      </w:r>
      <w:r w:rsidR="00471EF8">
        <w:rPr>
          <w:shd w:val="clear" w:color="auto" w:fill="FFFFFF"/>
          <w:lang w:val="en-US"/>
        </w:rPr>
        <w:t>2024</w:t>
      </w:r>
      <w:r w:rsidRPr="00A2313A">
        <w:rPr>
          <w:shd w:val="clear" w:color="auto" w:fill="FFFFFF"/>
          <w:lang w:val="en-US"/>
        </w:rPr>
        <w:t xml:space="preserve"> compared to</w:t>
      </w:r>
      <w:r w:rsidR="00EC1E80">
        <w:rPr>
          <w:shd w:val="clear" w:color="auto" w:fill="FFFFFF"/>
          <w:lang w:val="en-US"/>
        </w:rPr>
        <w:t> </w:t>
      </w:r>
      <w:r w:rsidR="00B97963" w:rsidRPr="001B5658">
        <w:rPr>
          <w:lang w:val="en-US"/>
        </w:rPr>
        <w:t>the</w:t>
      </w:r>
      <w:r w:rsidR="00B97963">
        <w:rPr>
          <w:lang w:val="en-US"/>
        </w:rPr>
        <w:t> corresponding month of the previous year</w:t>
      </w:r>
    </w:p>
    <w:p w:rsidR="003B0511" w:rsidRDefault="0011058C" w:rsidP="00656307">
      <w:pPr>
        <w:rPr>
          <w:shd w:val="clear" w:color="auto" w:fill="FFFFFF"/>
          <w:lang w:val="en-US"/>
        </w:rPr>
      </w:pPr>
      <w:r w:rsidRPr="00823593">
        <w:rPr>
          <w:b/>
          <w:noProof/>
          <w:spacing w:val="-2"/>
          <w:szCs w:val="19"/>
        </w:rPr>
        <mc:AlternateContent>
          <mc:Choice Requires="wps">
            <w:drawing>
              <wp:anchor distT="45720" distB="45720" distL="114300" distR="114300" simplePos="0" relativeHeight="251765760" behindDoc="1" locked="0" layoutInCell="1" allowOverlap="1" wp14:anchorId="2480FC30" wp14:editId="10C021FC">
                <wp:simplePos x="0" y="0"/>
                <wp:positionH relativeFrom="column">
                  <wp:posOffset>5257800</wp:posOffset>
                </wp:positionH>
                <wp:positionV relativeFrom="page">
                  <wp:posOffset>2810510</wp:posOffset>
                </wp:positionV>
                <wp:extent cx="1725295" cy="1278255"/>
                <wp:effectExtent l="0" t="0" r="0" b="0"/>
                <wp:wrapTight wrapText="bothSides">
                  <wp:wrapPolygon edited="0">
                    <wp:start x="715" y="0"/>
                    <wp:lineTo x="715" y="21246"/>
                    <wp:lineTo x="20749" y="21246"/>
                    <wp:lineTo x="20749" y="0"/>
                    <wp:lineTo x="715" y="0"/>
                  </wp:wrapPolygon>
                </wp:wrapTight>
                <wp:docPr id="13" name="Pole tekstowe 13" descr="In June 2024 in comparison to the corresponding month of the previous year, the prices were decreased the most in manufacture of products of wood, cork, straw and wick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78255"/>
                        </a:xfrm>
                        <a:prstGeom prst="rect">
                          <a:avLst/>
                        </a:prstGeom>
                        <a:noFill/>
                        <a:ln w="9525">
                          <a:noFill/>
                          <a:miter lim="800000"/>
                          <a:headEnd/>
                          <a:tailEnd/>
                        </a:ln>
                      </wps:spPr>
                      <wps:txbx>
                        <w:txbxContent>
                          <w:p w:rsidR="00656307" w:rsidRPr="007974A5" w:rsidRDefault="00656307" w:rsidP="00656307">
                            <w:pPr>
                              <w:pStyle w:val="tekstzboku"/>
                              <w:rPr>
                                <w:bCs w:val="0"/>
                                <w:lang w:val="en-US"/>
                              </w:rPr>
                            </w:pPr>
                            <w:r>
                              <w:rPr>
                                <w:lang w:val="en-US"/>
                              </w:rPr>
                              <w:t>In</w:t>
                            </w:r>
                            <w:r w:rsidRPr="007974A5">
                              <w:rPr>
                                <w:bCs w:val="0"/>
                                <w:lang w:val="en-US"/>
                              </w:rPr>
                              <w:t xml:space="preserve"> </w:t>
                            </w:r>
                            <w:r w:rsidR="0011058C">
                              <w:rPr>
                                <w:bCs w:val="0"/>
                                <w:lang w:val="en-US"/>
                              </w:rPr>
                              <w:t xml:space="preserve">June </w:t>
                            </w:r>
                            <w:r w:rsidR="00D62D37">
                              <w:rPr>
                                <w:bCs w:val="0"/>
                                <w:lang w:val="en-US"/>
                              </w:rPr>
                              <w:t>2024</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046036">
                              <w:rPr>
                                <w:bCs w:val="0"/>
                                <w:lang w:val="en-US"/>
                              </w:rPr>
                              <w:t>de</w:t>
                            </w:r>
                            <w:r w:rsidR="00803C20" w:rsidRPr="00803C20">
                              <w:rPr>
                                <w:bCs w:val="0"/>
                                <w:lang w:val="en-US"/>
                              </w:rPr>
                              <w:t xml:space="preserve">creased the most in </w:t>
                            </w:r>
                            <w:r w:rsidR="007B51C5">
                              <w:rPr>
                                <w:bCs w:val="0"/>
                                <w:lang w:val="en-US"/>
                              </w:rPr>
                              <w:t xml:space="preserve">manufacture of </w:t>
                            </w:r>
                            <w:r w:rsidR="0011058C">
                              <w:rPr>
                                <w:bCs w:val="0"/>
                                <w:lang w:val="en-US"/>
                              </w:rPr>
                              <w:t>products of wood, cork, straw and wicker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0FC30" id="Pole tekstowe 13" o:spid="_x0000_s1029" type="#_x0000_t202" alt="In June 2024 in comparison to the corresponding month of the previous year, the prices were decreased the most in manufacture of products of wood, cork, straw and wicker" style="position:absolute;margin-left:414pt;margin-top:221.3pt;width:135.85pt;height:100.65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" filled="f" stroked="f">
                <v:textbox>
                  <w:txbxContent>
                    <w:p w:rsidR="00656307" w:rsidRPr="007974A5" w:rsidRDefault="00656307" w:rsidP="00656307">
                      <w:pPr>
                        <w:pStyle w:val="tekstzboku"/>
                        <w:rPr>
                          <w:bCs w:val="0"/>
                          <w:lang w:val="en-US"/>
                        </w:rPr>
                      </w:pPr>
                      <w:r>
                        <w:rPr>
                          <w:lang w:val="en-US"/>
                        </w:rPr>
                        <w:t>In</w:t>
                      </w:r>
                      <w:r w:rsidRPr="007974A5">
                        <w:rPr>
                          <w:bCs w:val="0"/>
                          <w:lang w:val="en-US"/>
                        </w:rPr>
                        <w:t xml:space="preserve"> </w:t>
                      </w:r>
                      <w:r w:rsidR="0011058C">
                        <w:rPr>
                          <w:bCs w:val="0"/>
                          <w:lang w:val="en-US"/>
                        </w:rPr>
                        <w:t xml:space="preserve">June </w:t>
                      </w:r>
                      <w:r w:rsidR="00D62D37">
                        <w:rPr>
                          <w:bCs w:val="0"/>
                          <w:lang w:val="en-US"/>
                        </w:rPr>
                        <w:t>2024</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046036">
                        <w:rPr>
                          <w:bCs w:val="0"/>
                          <w:lang w:val="en-US"/>
                        </w:rPr>
                        <w:t>de</w:t>
                      </w:r>
                      <w:r w:rsidR="00803C20" w:rsidRPr="00803C20">
                        <w:rPr>
                          <w:bCs w:val="0"/>
                          <w:lang w:val="en-US"/>
                        </w:rPr>
                        <w:t xml:space="preserve">creased the most in </w:t>
                      </w:r>
                      <w:r w:rsidR="007B51C5">
                        <w:rPr>
                          <w:bCs w:val="0"/>
                          <w:lang w:val="en-US"/>
                        </w:rPr>
                        <w:t xml:space="preserve">manufacture of </w:t>
                      </w:r>
                      <w:r w:rsidR="0011058C">
                        <w:rPr>
                          <w:bCs w:val="0"/>
                          <w:lang w:val="en-US"/>
                        </w:rPr>
                        <w:t>products of wood, cork, straw and wicker</w:t>
                      </w:r>
                    </w:p>
                  </w:txbxContent>
                </v:textbox>
                <w10:wrap type="tight" anchory="page"/>
              </v:shape>
            </w:pict>
          </mc:Fallback>
        </mc:AlternateContent>
      </w:r>
      <w:r>
        <w:rPr>
          <w:noProof/>
        </w:rPr>
        <w:drawing>
          <wp:anchor distT="0" distB="0" distL="114300" distR="114300" simplePos="0" relativeHeight="251813888" behindDoc="0" locked="0" layoutInCell="1" allowOverlap="1" wp14:anchorId="4291577F" wp14:editId="296FB2A6">
            <wp:simplePos x="0" y="0"/>
            <wp:positionH relativeFrom="margin">
              <wp:align>left</wp:align>
            </wp:positionH>
            <wp:positionV relativeFrom="paragraph">
              <wp:posOffset>255270</wp:posOffset>
            </wp:positionV>
            <wp:extent cx="5223510" cy="2937510"/>
            <wp:effectExtent l="0" t="0" r="0" b="0"/>
            <wp:wrapTopAndBottom/>
            <wp:docPr id="19" name="Wykres 19" descr="Chart 2. Prices changes of sold production of industry in June 2024 compared to the corresponding month of the previous year">
              <a:extLst xmlns:a="http://schemas.openxmlformats.org/drawingml/2006/main">
                <a:ext uri="{FF2B5EF4-FFF2-40B4-BE49-F238E27FC236}">
                  <a16:creationId xmlns:a16="http://schemas.microsoft.com/office/drawing/2014/main" id="{392781BC-3AB5-4F8A-B0BE-BE9D72AFF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5669EA" w:rsidRDefault="005669EA" w:rsidP="00656307">
      <w:pPr>
        <w:rPr>
          <w:shd w:val="clear" w:color="auto" w:fill="FFFFFF"/>
          <w:lang w:val="en-US"/>
        </w:rPr>
      </w:pPr>
    </w:p>
    <w:p w:rsidR="00803C20" w:rsidRDefault="006609E2" w:rsidP="00803C20">
      <w:pPr>
        <w:rPr>
          <w:shd w:val="clear" w:color="auto" w:fill="FFFFFF"/>
          <w:lang w:val="en-US"/>
        </w:rPr>
      </w:pPr>
      <w:r w:rsidRPr="006609E2">
        <w:rPr>
          <w:shd w:val="clear" w:color="auto" w:fill="FFFFFF"/>
          <w:lang w:val="en-US"/>
        </w:rPr>
        <w:t xml:space="preserve">However, prices in </w:t>
      </w:r>
      <w:r w:rsidRPr="00C2178F">
        <w:rPr>
          <w:b/>
          <w:shd w:val="clear" w:color="auto" w:fill="FFFFFF"/>
          <w:lang w:val="en-US"/>
        </w:rPr>
        <w:t>water supply; sewerage</w:t>
      </w:r>
      <w:r>
        <w:rPr>
          <w:b/>
          <w:shd w:val="clear" w:color="auto" w:fill="FFFFFF"/>
          <w:lang w:val="en-US"/>
        </w:rPr>
        <w:t>,</w:t>
      </w:r>
      <w:r w:rsidRPr="00C2178F">
        <w:rPr>
          <w:b/>
          <w:shd w:val="clear" w:color="auto" w:fill="FFFFFF"/>
          <w:lang w:val="en-US"/>
        </w:rPr>
        <w:t xml:space="preserve"> waste management and remediation activitie</w:t>
      </w:r>
      <w:r>
        <w:rPr>
          <w:b/>
          <w:shd w:val="clear" w:color="auto" w:fill="FFFFFF"/>
          <w:lang w:val="en-US"/>
        </w:rPr>
        <w:t xml:space="preserve">s </w:t>
      </w:r>
      <w:r w:rsidRPr="006609E2">
        <w:rPr>
          <w:shd w:val="clear" w:color="auto" w:fill="FFFFFF"/>
          <w:lang w:val="en-US"/>
        </w:rPr>
        <w:t xml:space="preserve">section increased </w:t>
      </w:r>
      <w:r w:rsidR="00803C20">
        <w:rPr>
          <w:shd w:val="clear" w:color="auto" w:fill="FFFFFF"/>
          <w:lang w:val="en-US"/>
        </w:rPr>
        <w:t xml:space="preserve">in annual </w:t>
      </w:r>
      <w:r w:rsidR="00803C20" w:rsidRPr="002E156A">
        <w:rPr>
          <w:shd w:val="clear" w:color="auto" w:fill="FFFFFF"/>
          <w:lang w:val="en-US"/>
        </w:rPr>
        <w:t xml:space="preserve">terms </w:t>
      </w:r>
      <w:r w:rsidR="004A345A">
        <w:rPr>
          <w:shd w:val="clear" w:color="auto" w:fill="FFFFFF"/>
          <w:lang w:val="en-US"/>
        </w:rPr>
        <w:t xml:space="preserve">– </w:t>
      </w:r>
      <w:r w:rsidR="00803C20">
        <w:rPr>
          <w:shd w:val="clear" w:color="auto" w:fill="FFFFFF"/>
          <w:lang w:val="en-US"/>
        </w:rPr>
        <w:t xml:space="preserve">by </w:t>
      </w:r>
      <w:r w:rsidR="00B02675">
        <w:rPr>
          <w:shd w:val="clear" w:color="auto" w:fill="FFFFFF"/>
          <w:lang w:val="en-US"/>
        </w:rPr>
        <w:t>2.</w:t>
      </w:r>
      <w:r w:rsidR="0011058C">
        <w:rPr>
          <w:shd w:val="clear" w:color="auto" w:fill="FFFFFF"/>
          <w:lang w:val="en-US"/>
        </w:rPr>
        <w:t>5</w:t>
      </w:r>
      <w:r w:rsidR="00803C20">
        <w:rPr>
          <w:shd w:val="clear" w:color="auto" w:fill="FFFFFF"/>
          <w:lang w:val="en-US"/>
        </w:rPr>
        <w:t>%.</w:t>
      </w:r>
    </w:p>
    <w:p w:rsidR="006609E2" w:rsidRPr="00163614" w:rsidRDefault="006609E2" w:rsidP="006609E2">
      <w:pPr>
        <w:spacing w:before="0" w:after="160" w:line="259" w:lineRule="auto"/>
        <w:rPr>
          <w:lang w:val="en-US"/>
        </w:rPr>
      </w:pPr>
      <w:r w:rsidRPr="00163614">
        <w:rPr>
          <w:lang w:val="en-US"/>
        </w:rPr>
        <w:br w:type="page"/>
      </w:r>
    </w:p>
    <w:p w:rsidR="00656307" w:rsidRDefault="00656307" w:rsidP="00656307">
      <w:pPr>
        <w:pStyle w:val="Tytuwykresu0"/>
        <w:ind w:left="709" w:hanging="709"/>
        <w:rPr>
          <w:lang w:val="en-US"/>
        </w:rPr>
      </w:pPr>
      <w:r w:rsidRPr="007444CA">
        <w:rPr>
          <w:lang w:val="en-US"/>
        </w:rPr>
        <w:lastRenderedPageBreak/>
        <w:t xml:space="preserve">Chart </w:t>
      </w:r>
      <w:r w:rsidR="00FB6000">
        <w:rPr>
          <w:lang w:val="en-US"/>
        </w:rPr>
        <w:t>3</w:t>
      </w:r>
      <w:r w:rsidRPr="007444CA">
        <w:rPr>
          <w:lang w:val="en-US"/>
        </w:rPr>
        <w:t>. Prices changes of sold production of industry in 202</w:t>
      </w:r>
      <w:r w:rsidR="00F231F2">
        <w:rPr>
          <w:lang w:val="en-US"/>
        </w:rPr>
        <w:t>3</w:t>
      </w:r>
      <w:r w:rsidRPr="007444CA">
        <w:rPr>
          <w:lang w:val="en-US"/>
        </w:rPr>
        <w:t>-202</w:t>
      </w:r>
      <w:r w:rsidR="00B22C78">
        <w:rPr>
          <w:lang w:val="en-US"/>
        </w:rPr>
        <w:t>4</w:t>
      </w:r>
      <w:r w:rsidRPr="007444CA">
        <w:rPr>
          <w:lang w:val="en-US"/>
        </w:rPr>
        <w:t xml:space="preserve"> in relation to</w:t>
      </w:r>
      <w:r>
        <w:rPr>
          <w:lang w:val="en-US"/>
        </w:rPr>
        <w:t> </w:t>
      </w:r>
      <w:r w:rsidRPr="007444CA">
        <w:rPr>
          <w:lang w:val="en-US"/>
        </w:rPr>
        <w:t>the</w:t>
      </w:r>
      <w:r>
        <w:rPr>
          <w:lang w:val="en-US"/>
        </w:rPr>
        <w:t> p</w:t>
      </w:r>
      <w:r w:rsidRPr="007444CA">
        <w:rPr>
          <w:lang w:val="en-US"/>
        </w:rPr>
        <w:t>revious period</w:t>
      </w:r>
    </w:p>
    <w:p w:rsidR="00656307" w:rsidRDefault="0011058C" w:rsidP="00656307">
      <w:pPr>
        <w:pStyle w:val="Tytuwykresu0"/>
        <w:ind w:left="709" w:hanging="709"/>
        <w:rPr>
          <w:lang w:val="en-US"/>
        </w:rPr>
      </w:pPr>
      <w:r>
        <w:drawing>
          <wp:anchor distT="0" distB="0" distL="114300" distR="114300" simplePos="0" relativeHeight="251815936" behindDoc="0" locked="0" layoutInCell="1" allowOverlap="1" wp14:anchorId="7273D186" wp14:editId="2F57B677">
            <wp:simplePos x="0" y="0"/>
            <wp:positionH relativeFrom="margin">
              <wp:align>right</wp:align>
            </wp:positionH>
            <wp:positionV relativeFrom="paragraph">
              <wp:posOffset>441113</wp:posOffset>
            </wp:positionV>
            <wp:extent cx="5122545" cy="2320925"/>
            <wp:effectExtent l="0" t="0" r="1905" b="3175"/>
            <wp:wrapTopAndBottom/>
            <wp:docPr id="25" name="Wykres 25" descr="Chart 3. Prices changes of sold production of industry in 2023-2024 in relation to the previous period">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CD6B04" w:rsidRPr="00823593">
        <w:rPr>
          <w:b w:val="0"/>
          <w:spacing w:val="-2"/>
          <w:szCs w:val="19"/>
        </w:rPr>
        <mc:AlternateContent>
          <mc:Choice Requires="wps">
            <w:drawing>
              <wp:anchor distT="45720" distB="45720" distL="114300" distR="114300" simplePos="0" relativeHeight="251806720" behindDoc="1" locked="0" layoutInCell="1" allowOverlap="1" wp14:anchorId="69829FB6" wp14:editId="5ED3232D">
                <wp:simplePos x="0" y="0"/>
                <wp:positionH relativeFrom="column">
                  <wp:posOffset>5289969</wp:posOffset>
                </wp:positionH>
                <wp:positionV relativeFrom="paragraph">
                  <wp:posOffset>836415</wp:posOffset>
                </wp:positionV>
                <wp:extent cx="1725295" cy="1074420"/>
                <wp:effectExtent l="0" t="0" r="0" b="0"/>
                <wp:wrapTight wrapText="bothSides">
                  <wp:wrapPolygon edited="0">
                    <wp:start x="715" y="0"/>
                    <wp:lineTo x="715" y="21064"/>
                    <wp:lineTo x="20749" y="21064"/>
                    <wp:lineTo x="20749" y="0"/>
                    <wp:lineTo x="715" y="0"/>
                  </wp:wrapPolygon>
                </wp:wrapTight>
                <wp:docPr id="17" name="Pole tekstowe 17" descr="In June 2024, compared to the previous month, there was an increase in prices of industrial production sold by 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rsidR="00C72714" w:rsidRPr="00C72714" w:rsidRDefault="00C72714" w:rsidP="00C72714">
                            <w:pPr>
                              <w:pStyle w:val="tekstzboku"/>
                              <w:rPr>
                                <w:rFonts w:ascii="Calibri" w:hAnsi="Calibri"/>
                                <w:iCs/>
                                <w:sz w:val="22"/>
                                <w:lang w:val="en-US"/>
                              </w:rPr>
                            </w:pPr>
                            <w:bookmarkStart w:id="1" w:name="_Hlk172020364"/>
                            <w:bookmarkStart w:id="2" w:name="_Hlk172020365"/>
                            <w:r w:rsidRPr="00C72714">
                              <w:rPr>
                                <w:iCs/>
                                <w:lang w:val="en-US"/>
                              </w:rPr>
                              <w:t xml:space="preserve">In </w:t>
                            </w:r>
                            <w:r w:rsidR="0011058C">
                              <w:rPr>
                                <w:iCs/>
                                <w:lang w:val="en-US"/>
                              </w:rPr>
                              <w:t>June</w:t>
                            </w:r>
                            <w:r w:rsidR="000C3DBE">
                              <w:rPr>
                                <w:iCs/>
                                <w:lang w:val="en-US"/>
                              </w:rPr>
                              <w:t xml:space="preserve"> 2024</w:t>
                            </w:r>
                            <w:r w:rsidRPr="00C72714">
                              <w:rPr>
                                <w:iCs/>
                                <w:lang w:val="en-US"/>
                              </w:rPr>
                              <w:t xml:space="preserve">, compared to </w:t>
                            </w:r>
                            <w:r w:rsidR="00476CE8">
                              <w:rPr>
                                <w:iCs/>
                                <w:lang w:val="en-US"/>
                              </w:rPr>
                              <w:t>the previous month</w:t>
                            </w:r>
                            <w:r w:rsidRPr="00C72714">
                              <w:rPr>
                                <w:iCs/>
                                <w:lang w:val="en-US"/>
                              </w:rPr>
                              <w:t xml:space="preserve">, there was </w:t>
                            </w:r>
                            <w:r w:rsidR="007B0694">
                              <w:rPr>
                                <w:iCs/>
                                <w:lang w:val="en-US"/>
                              </w:rPr>
                              <w:t xml:space="preserve">a slight </w:t>
                            </w:r>
                            <w:r w:rsidR="009970FF">
                              <w:rPr>
                                <w:iCs/>
                                <w:lang w:val="en-US"/>
                              </w:rPr>
                              <w:t>increase</w:t>
                            </w:r>
                            <w:r w:rsidRPr="00C72714">
                              <w:rPr>
                                <w:iCs/>
                                <w:lang w:val="en-US"/>
                              </w:rPr>
                              <w:t xml:space="preserve"> in prices of</w:t>
                            </w:r>
                            <w:r w:rsidR="000F0E30">
                              <w:rPr>
                                <w:iCs/>
                                <w:lang w:val="en-US"/>
                              </w:rPr>
                              <w:t> </w:t>
                            </w:r>
                            <w:r w:rsidRPr="00C72714">
                              <w:rPr>
                                <w:iCs/>
                                <w:lang w:val="en-US"/>
                              </w:rPr>
                              <w:t>industrial production sold by</w:t>
                            </w:r>
                            <w:r w:rsidR="00163614">
                              <w:rPr>
                                <w:iCs/>
                                <w:lang w:val="en-US"/>
                              </w:rPr>
                              <w:t> </w:t>
                            </w:r>
                            <w:r w:rsidRPr="00C72714">
                              <w:rPr>
                                <w:iCs/>
                                <w:lang w:val="en-US"/>
                              </w:rPr>
                              <w:t>0.</w:t>
                            </w:r>
                            <w:r w:rsidR="0011058C">
                              <w:rPr>
                                <w:iCs/>
                                <w:lang w:val="en-US"/>
                              </w:rPr>
                              <w:t>1</w:t>
                            </w:r>
                            <w:r w:rsidRPr="00C72714">
                              <w:rPr>
                                <w:iCs/>
                                <w:lang w:val="en-US"/>
                              </w:rPr>
                              <w:t>%</w:t>
                            </w:r>
                            <w:bookmarkEnd w:id="1"/>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29FB6" id="Pole tekstowe 17" o:spid="_x0000_s1030" type="#_x0000_t202" alt="In June 2024, compared to the previous month, there was an increase in prices of industrial production sold by 0.1%" style="position:absolute;left:0;text-align:left;margin-left:416.55pt;margin-top:65.85pt;width:135.85pt;height:84.6pt;z-index:-25150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" filled="f" stroked="f">
                <v:textbox>
                  <w:txbxContent>
                    <w:p w:rsidR="00C72714" w:rsidRPr="00C72714" w:rsidRDefault="00C72714" w:rsidP="00C72714">
                      <w:pPr>
                        <w:pStyle w:val="tekstzboku"/>
                        <w:rPr>
                          <w:rFonts w:ascii="Calibri" w:hAnsi="Calibri"/>
                          <w:iCs/>
                          <w:sz w:val="22"/>
                          <w:lang w:val="en-US"/>
                        </w:rPr>
                      </w:pPr>
                      <w:bookmarkStart w:id="3" w:name="_Hlk172020364"/>
                      <w:bookmarkStart w:id="4" w:name="_Hlk172020365"/>
                      <w:r w:rsidRPr="00C72714">
                        <w:rPr>
                          <w:iCs/>
                          <w:lang w:val="en-US"/>
                        </w:rPr>
                        <w:t xml:space="preserve">In </w:t>
                      </w:r>
                      <w:r w:rsidR="0011058C">
                        <w:rPr>
                          <w:iCs/>
                          <w:lang w:val="en-US"/>
                        </w:rPr>
                        <w:t>June</w:t>
                      </w:r>
                      <w:r w:rsidR="000C3DBE">
                        <w:rPr>
                          <w:iCs/>
                          <w:lang w:val="en-US"/>
                        </w:rPr>
                        <w:t xml:space="preserve"> 2024</w:t>
                      </w:r>
                      <w:r w:rsidRPr="00C72714">
                        <w:rPr>
                          <w:iCs/>
                          <w:lang w:val="en-US"/>
                        </w:rPr>
                        <w:t xml:space="preserve">, compared to </w:t>
                      </w:r>
                      <w:r w:rsidR="00476CE8">
                        <w:rPr>
                          <w:iCs/>
                          <w:lang w:val="en-US"/>
                        </w:rPr>
                        <w:t>the previous month</w:t>
                      </w:r>
                      <w:r w:rsidRPr="00C72714">
                        <w:rPr>
                          <w:iCs/>
                          <w:lang w:val="en-US"/>
                        </w:rPr>
                        <w:t xml:space="preserve">, there was </w:t>
                      </w:r>
                      <w:r w:rsidR="007B0694">
                        <w:rPr>
                          <w:iCs/>
                          <w:lang w:val="en-US"/>
                        </w:rPr>
                        <w:t xml:space="preserve">a slight </w:t>
                      </w:r>
                      <w:r w:rsidR="009970FF">
                        <w:rPr>
                          <w:iCs/>
                          <w:lang w:val="en-US"/>
                        </w:rPr>
                        <w:t>increase</w:t>
                      </w:r>
                      <w:r w:rsidRPr="00C72714">
                        <w:rPr>
                          <w:iCs/>
                          <w:lang w:val="en-US"/>
                        </w:rPr>
                        <w:t xml:space="preserve"> in prices of</w:t>
                      </w:r>
                      <w:r w:rsidR="000F0E30">
                        <w:rPr>
                          <w:iCs/>
                          <w:lang w:val="en-US"/>
                        </w:rPr>
                        <w:t> </w:t>
                      </w:r>
                      <w:r w:rsidRPr="00C72714">
                        <w:rPr>
                          <w:iCs/>
                          <w:lang w:val="en-US"/>
                        </w:rPr>
                        <w:t>industrial production sold by</w:t>
                      </w:r>
                      <w:r w:rsidR="00163614">
                        <w:rPr>
                          <w:iCs/>
                          <w:lang w:val="en-US"/>
                        </w:rPr>
                        <w:t> </w:t>
                      </w:r>
                      <w:r w:rsidRPr="00C72714">
                        <w:rPr>
                          <w:iCs/>
                          <w:lang w:val="en-US"/>
                        </w:rPr>
                        <w:t>0.</w:t>
                      </w:r>
                      <w:r w:rsidR="0011058C">
                        <w:rPr>
                          <w:iCs/>
                          <w:lang w:val="en-US"/>
                        </w:rPr>
                        <w:t>1</w:t>
                      </w:r>
                      <w:r w:rsidRPr="00C72714">
                        <w:rPr>
                          <w:iCs/>
                          <w:lang w:val="en-US"/>
                        </w:rPr>
                        <w:t>%</w:t>
                      </w:r>
                      <w:bookmarkEnd w:id="3"/>
                      <w:bookmarkEnd w:id="4"/>
                    </w:p>
                  </w:txbxContent>
                </v:textbox>
                <w10:wrap type="tight"/>
              </v:shape>
            </w:pict>
          </mc:Fallback>
        </mc:AlternateContent>
      </w:r>
    </w:p>
    <w:p w:rsidR="00CD6B04" w:rsidRDefault="00CD6B04" w:rsidP="00CD6B04">
      <w:pPr>
        <w:pStyle w:val="Datainformacjisygnalnej"/>
        <w:rPr>
          <w:lang w:val="en-US"/>
        </w:rPr>
      </w:pPr>
    </w:p>
    <w:p w:rsidR="00656307" w:rsidRPr="007444CA" w:rsidRDefault="00656307" w:rsidP="00C6765E">
      <w:pPr>
        <w:pStyle w:val="Tytuwykresu0"/>
        <w:ind w:left="709" w:hanging="709"/>
        <w:rPr>
          <w:lang w:val="en-US"/>
        </w:rPr>
      </w:pPr>
      <w:r w:rsidRPr="007444CA">
        <w:rPr>
          <w:lang w:val="en-US"/>
        </w:rPr>
        <w:t xml:space="preserve">Chart </w:t>
      </w:r>
      <w:r w:rsidR="00FB6000">
        <w:rPr>
          <w:lang w:val="en-US"/>
        </w:rPr>
        <w:t>4</w:t>
      </w:r>
      <w:r w:rsidRPr="007444CA">
        <w:rPr>
          <w:lang w:val="en-US"/>
        </w:rPr>
        <w:t>.</w:t>
      </w:r>
      <w:r>
        <w:rPr>
          <w:spacing w:val="-2"/>
          <w:sz w:val="18"/>
          <w:lang w:val="en-US"/>
        </w:rPr>
        <w:t xml:space="preserve"> </w:t>
      </w:r>
      <w:r w:rsidRPr="007444CA">
        <w:rPr>
          <w:lang w:val="en-US"/>
        </w:rPr>
        <w:t>Prices changes of sold production of industry in 202</w:t>
      </w:r>
      <w:r w:rsidR="00F231F2">
        <w:rPr>
          <w:lang w:val="en-US"/>
        </w:rPr>
        <w:t>3</w:t>
      </w:r>
      <w:r w:rsidRPr="007444CA">
        <w:rPr>
          <w:lang w:val="en-US"/>
        </w:rPr>
        <w:t>-202</w:t>
      </w:r>
      <w:r w:rsidR="00B22C78">
        <w:rPr>
          <w:lang w:val="en-US"/>
        </w:rPr>
        <w:t>4</w:t>
      </w:r>
      <w:r w:rsidRPr="007444CA">
        <w:rPr>
          <w:lang w:val="en-US"/>
        </w:rPr>
        <w:t xml:space="preserve"> in relation to</w:t>
      </w:r>
      <w:r w:rsidR="00F37D85">
        <w:rPr>
          <w:lang w:val="en-US"/>
        </w:rPr>
        <w:t> </w:t>
      </w:r>
      <w:r w:rsidRPr="007444CA">
        <w:rPr>
          <w:lang w:val="en-US"/>
        </w:rPr>
        <w:t>the</w:t>
      </w:r>
      <w:r w:rsidR="00F37D85">
        <w:rPr>
          <w:lang w:val="en-US"/>
        </w:rPr>
        <w:t> </w:t>
      </w:r>
      <w:r w:rsidRPr="007444CA">
        <w:rPr>
          <w:lang w:val="en-US"/>
        </w:rPr>
        <w:t xml:space="preserve"> </w:t>
      </w:r>
      <w:r w:rsidR="00F37D85">
        <w:rPr>
          <w:lang w:val="en-US"/>
        </w:rPr>
        <w:t>corresponding</w:t>
      </w:r>
      <w:r w:rsidRPr="007444CA">
        <w:rPr>
          <w:lang w:val="en-US"/>
        </w:rPr>
        <w:t xml:space="preserve"> period of the previous year</w:t>
      </w:r>
    </w:p>
    <w:p w:rsidR="00FB6000" w:rsidRPr="00F231F2" w:rsidRDefault="0011058C" w:rsidP="00656307">
      <w:pPr>
        <w:spacing w:before="0" w:after="160" w:line="259" w:lineRule="auto"/>
        <w:rPr>
          <w:b/>
          <w:bCs/>
          <w:lang w:val="en-US"/>
        </w:rPr>
      </w:pPr>
      <w:r>
        <w:rPr>
          <w:noProof/>
        </w:rPr>
        <w:drawing>
          <wp:anchor distT="0" distB="0" distL="114300" distR="114300" simplePos="0" relativeHeight="251817984" behindDoc="0" locked="0" layoutInCell="1" allowOverlap="1" wp14:anchorId="73D11BA9" wp14:editId="34A16C97">
            <wp:simplePos x="0" y="0"/>
            <wp:positionH relativeFrom="margin">
              <wp:align>right</wp:align>
            </wp:positionH>
            <wp:positionV relativeFrom="paragraph">
              <wp:posOffset>350943</wp:posOffset>
            </wp:positionV>
            <wp:extent cx="5122545" cy="2567305"/>
            <wp:effectExtent l="0" t="0" r="1905" b="4445"/>
            <wp:wrapTopAndBottom/>
            <wp:docPr id="16" name="Wykres 16" descr="Chart 4. Prices changes of sold production of industry in 2023-2024 in relation to the  corresponding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B94BC6" w:rsidRPr="00966C9A">
        <w:rPr>
          <w:noProof/>
        </w:rPr>
        <mc:AlternateContent>
          <mc:Choice Requires="wps">
            <w:drawing>
              <wp:anchor distT="45720" distB="45720" distL="114300" distR="114300" simplePos="0" relativeHeight="251764736" behindDoc="1" locked="0" layoutInCell="1" allowOverlap="1" wp14:anchorId="7A7069CE" wp14:editId="2DBF6D44">
                <wp:simplePos x="0" y="0"/>
                <wp:positionH relativeFrom="page">
                  <wp:posOffset>5744845</wp:posOffset>
                </wp:positionH>
                <wp:positionV relativeFrom="paragraph">
                  <wp:posOffset>798195</wp:posOffset>
                </wp:positionV>
                <wp:extent cx="1725295" cy="888365"/>
                <wp:effectExtent l="0" t="0" r="0" b="0"/>
                <wp:wrapTight wrapText="bothSides">
                  <wp:wrapPolygon edited="0">
                    <wp:start x="715" y="0"/>
                    <wp:lineTo x="715" y="20843"/>
                    <wp:lineTo x="20749" y="20843"/>
                    <wp:lineTo x="20749" y="0"/>
                    <wp:lineTo x="715" y="0"/>
                  </wp:wrapPolygon>
                </wp:wrapTight>
                <wp:docPr id="4" name="Pole tekstowe 4" descr="In June 2024, a decline in the annual dynamics of sold production in industry prices was observed by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88365"/>
                        </a:xfrm>
                        <a:prstGeom prst="rect">
                          <a:avLst/>
                        </a:prstGeom>
                        <a:noFill/>
                        <a:ln w="9525">
                          <a:noFill/>
                          <a:miter lim="800000"/>
                          <a:headEnd/>
                          <a:tailEnd/>
                        </a:ln>
                      </wps:spPr>
                      <wps:txbx>
                        <w:txbxContent>
                          <w:p w:rsidR="00656307" w:rsidRPr="007444CA" w:rsidRDefault="000C3DBE" w:rsidP="00656307">
                            <w:pPr>
                              <w:pStyle w:val="tekstzboku"/>
                              <w:rPr>
                                <w:bCs w:val="0"/>
                                <w:lang w:val="en-US"/>
                              </w:rPr>
                            </w:pPr>
                            <w:r w:rsidRPr="000C3DBE">
                              <w:rPr>
                                <w:bCs w:val="0"/>
                                <w:lang w:val="en-US"/>
                              </w:rPr>
                              <w:t xml:space="preserve">In </w:t>
                            </w:r>
                            <w:r w:rsidR="0011058C">
                              <w:rPr>
                                <w:bCs w:val="0"/>
                                <w:lang w:val="en-US"/>
                              </w:rPr>
                              <w:t>June</w:t>
                            </w:r>
                            <w:r w:rsidRPr="000C3DBE">
                              <w:rPr>
                                <w:bCs w:val="0"/>
                                <w:lang w:val="en-US"/>
                              </w:rPr>
                              <w:t xml:space="preserve"> 2024, a decline in the dynamics of</w:t>
                            </w:r>
                            <w:r w:rsidR="00E76BFE">
                              <w:rPr>
                                <w:bCs w:val="0"/>
                                <w:lang w:val="en-US"/>
                              </w:rPr>
                              <w:t xml:space="preserve"> prices of</w:t>
                            </w:r>
                            <w:r w:rsidRPr="000C3DBE">
                              <w:rPr>
                                <w:bCs w:val="0"/>
                                <w:lang w:val="en-US"/>
                              </w:rPr>
                              <w:t xml:space="preserve"> sold production </w:t>
                            </w:r>
                            <w:r>
                              <w:rPr>
                                <w:bCs w:val="0"/>
                                <w:lang w:val="en-US"/>
                              </w:rPr>
                              <w:t xml:space="preserve">in industry </w:t>
                            </w:r>
                            <w:r w:rsidR="00E76BFE">
                              <w:rPr>
                                <w:bCs w:val="0"/>
                                <w:lang w:val="en-US"/>
                              </w:rPr>
                              <w:t xml:space="preserve">per year </w:t>
                            </w:r>
                            <w:r w:rsidRPr="000C3DBE">
                              <w:rPr>
                                <w:bCs w:val="0"/>
                                <w:lang w:val="en-US"/>
                              </w:rPr>
                              <w:t>was observed</w:t>
                            </w:r>
                            <w:r w:rsidR="000A68E8">
                              <w:rPr>
                                <w:bCs w:val="0"/>
                                <w:lang w:val="en-US"/>
                              </w:rPr>
                              <w:t xml:space="preserve"> by </w:t>
                            </w:r>
                            <w:r w:rsidR="0011058C">
                              <w:rPr>
                                <w:bCs w:val="0"/>
                                <w:lang w:val="en-US"/>
                              </w:rPr>
                              <w:t>6.1</w:t>
                            </w:r>
                            <w:r w:rsidR="000A68E8">
                              <w:rPr>
                                <w:bCs w:val="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069CE" id="Pole tekstowe 4" o:spid="_x0000_s1031" type="#_x0000_t202" alt="In June 2024, a decline in the annual dynamics of sold production in industry prices was observed by 6.1%" style="position:absolute;margin-left:452.35pt;margin-top:62.85pt;width:135.85pt;height:69.95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" filled="f" stroked="f">
                <v:textbox>
                  <w:txbxContent>
                    <w:p w:rsidR="00656307" w:rsidRPr="007444CA" w:rsidRDefault="000C3DBE" w:rsidP="00656307">
                      <w:pPr>
                        <w:pStyle w:val="tekstzboku"/>
                        <w:rPr>
                          <w:bCs w:val="0"/>
                          <w:lang w:val="en-US"/>
                        </w:rPr>
                      </w:pPr>
                      <w:r w:rsidRPr="000C3DBE">
                        <w:rPr>
                          <w:bCs w:val="0"/>
                          <w:lang w:val="en-US"/>
                        </w:rPr>
                        <w:t xml:space="preserve">In </w:t>
                      </w:r>
                      <w:r w:rsidR="0011058C">
                        <w:rPr>
                          <w:bCs w:val="0"/>
                          <w:lang w:val="en-US"/>
                        </w:rPr>
                        <w:t>June</w:t>
                      </w:r>
                      <w:r w:rsidRPr="000C3DBE">
                        <w:rPr>
                          <w:bCs w:val="0"/>
                          <w:lang w:val="en-US"/>
                        </w:rPr>
                        <w:t xml:space="preserve"> 2024, a decline in the dynamics of</w:t>
                      </w:r>
                      <w:r w:rsidR="00E76BFE">
                        <w:rPr>
                          <w:bCs w:val="0"/>
                          <w:lang w:val="en-US"/>
                        </w:rPr>
                        <w:t xml:space="preserve"> prices of</w:t>
                      </w:r>
                      <w:r w:rsidRPr="000C3DBE">
                        <w:rPr>
                          <w:bCs w:val="0"/>
                          <w:lang w:val="en-US"/>
                        </w:rPr>
                        <w:t xml:space="preserve"> sold production </w:t>
                      </w:r>
                      <w:r>
                        <w:rPr>
                          <w:bCs w:val="0"/>
                          <w:lang w:val="en-US"/>
                        </w:rPr>
                        <w:t xml:space="preserve">in industry </w:t>
                      </w:r>
                      <w:r w:rsidR="00E76BFE">
                        <w:rPr>
                          <w:bCs w:val="0"/>
                          <w:lang w:val="en-US"/>
                        </w:rPr>
                        <w:t xml:space="preserve">per year </w:t>
                      </w:r>
                      <w:r w:rsidRPr="000C3DBE">
                        <w:rPr>
                          <w:bCs w:val="0"/>
                          <w:lang w:val="en-US"/>
                        </w:rPr>
                        <w:t>was observed</w:t>
                      </w:r>
                      <w:r w:rsidR="000A68E8">
                        <w:rPr>
                          <w:bCs w:val="0"/>
                          <w:lang w:val="en-US"/>
                        </w:rPr>
                        <w:t xml:space="preserve"> by </w:t>
                      </w:r>
                      <w:r w:rsidR="0011058C">
                        <w:rPr>
                          <w:bCs w:val="0"/>
                          <w:lang w:val="en-US"/>
                        </w:rPr>
                        <w:t>6.1</w:t>
                      </w:r>
                      <w:r w:rsidR="000A68E8">
                        <w:rPr>
                          <w:bCs w:val="0"/>
                          <w:lang w:val="en-US"/>
                        </w:rPr>
                        <w:t>%</w:t>
                      </w:r>
                    </w:p>
                  </w:txbxContent>
                </v:textbox>
                <w10:wrap type="tight" anchorx="page"/>
              </v:shape>
            </w:pict>
          </mc:Fallback>
        </mc:AlternateContent>
      </w:r>
    </w:p>
    <w:p w:rsidR="00FB6000" w:rsidRDefault="00FB6000" w:rsidP="00656307">
      <w:pPr>
        <w:spacing w:before="0" w:after="160" w:line="259" w:lineRule="auto"/>
        <w:rPr>
          <w:b/>
          <w:bCs/>
          <w:lang w:val="en-US"/>
        </w:rPr>
      </w:pPr>
    </w:p>
    <w:p w:rsidR="00656307" w:rsidRDefault="00656307" w:rsidP="00656307">
      <w:pPr>
        <w:spacing w:before="0" w:after="160" w:line="259" w:lineRule="auto"/>
        <w:rPr>
          <w:rFonts w:ascii="Fira Sans SemiBold" w:eastAsia="Times New Roman" w:hAnsi="Fira Sans SemiBold" w:cs="Times New Roman"/>
          <w:noProof/>
          <w:szCs w:val="24"/>
          <w:lang w:val="en-US" w:eastAsia="pl-PL"/>
        </w:rPr>
      </w:pPr>
      <w:r>
        <w:rPr>
          <w:b/>
          <w:bCs/>
          <w:lang w:val="en-US"/>
        </w:rPr>
        <w:br w:type="page"/>
      </w:r>
    </w:p>
    <w:p w:rsidR="00656307" w:rsidRDefault="00656307" w:rsidP="00656307">
      <w:pPr>
        <w:pStyle w:val="Tytuwykresu0"/>
        <w:rPr>
          <w:b w:val="0"/>
          <w:bCs w:val="0"/>
          <w:lang w:val="en-US"/>
        </w:rPr>
      </w:pPr>
    </w:p>
    <w:p w:rsidR="00B37B5D" w:rsidRDefault="00B37B5D" w:rsidP="00C6765E">
      <w:pPr>
        <w:pStyle w:val="Tytuwykresu0"/>
        <w:ind w:left="709" w:hanging="709"/>
        <w:rPr>
          <w:lang w:val="en-US"/>
        </w:rPr>
      </w:pPr>
      <w:r w:rsidRPr="007444CA">
        <w:rPr>
          <w:lang w:val="en-US"/>
        </w:rPr>
        <w:t xml:space="preserve">Chart </w:t>
      </w:r>
      <w:r>
        <w:rPr>
          <w:lang w:val="en-US"/>
        </w:rPr>
        <w:t>5</w:t>
      </w:r>
      <w:r w:rsidRPr="007444CA">
        <w:rPr>
          <w:lang w:val="en-US"/>
        </w:rPr>
        <w:t>. Prices changes of sold production of industry by sections NACE in 202</w:t>
      </w:r>
      <w:r w:rsidR="00F231F2">
        <w:rPr>
          <w:lang w:val="en-US"/>
        </w:rPr>
        <w:t>3</w:t>
      </w:r>
      <w:r w:rsidRPr="007444CA">
        <w:rPr>
          <w:lang w:val="en-US"/>
        </w:rPr>
        <w:t>-202</w:t>
      </w:r>
      <w:r w:rsidR="00B22C78">
        <w:rPr>
          <w:lang w:val="en-US"/>
        </w:rPr>
        <w:t>4</w:t>
      </w:r>
      <w:r>
        <w:rPr>
          <w:lang w:val="en-US"/>
        </w:rPr>
        <w:t xml:space="preserve"> </w:t>
      </w:r>
      <w:r w:rsidRPr="007444CA">
        <w:rPr>
          <w:lang w:val="en-US"/>
        </w:rPr>
        <w:t>in</w:t>
      </w:r>
      <w:r>
        <w:rPr>
          <w:lang w:val="en-US"/>
        </w:rPr>
        <w:t> </w:t>
      </w:r>
      <w:r w:rsidRPr="007444CA">
        <w:rPr>
          <w:lang w:val="en-US"/>
        </w:rPr>
        <w:t>relation to December 202</w:t>
      </w:r>
      <w:r w:rsidR="00F231F2">
        <w:rPr>
          <w:lang w:val="en-US"/>
        </w:rPr>
        <w:t>2</w:t>
      </w:r>
    </w:p>
    <w:p w:rsidR="005669EA" w:rsidRDefault="0011058C" w:rsidP="00F231F2">
      <w:pPr>
        <w:rPr>
          <w:rFonts w:eastAsia="Times New Roman" w:cs="Times New Roman"/>
          <w:szCs w:val="19"/>
          <w:lang w:val="en-US" w:eastAsia="pl-PL"/>
        </w:rPr>
      </w:pPr>
      <w:r>
        <w:rPr>
          <w:noProof/>
        </w:rPr>
        <w:drawing>
          <wp:anchor distT="0" distB="0" distL="114300" distR="114300" simplePos="0" relativeHeight="251819008" behindDoc="0" locked="0" layoutInCell="1" allowOverlap="1" wp14:anchorId="7F8ED1E5" wp14:editId="61BB336E">
            <wp:simplePos x="0" y="0"/>
            <wp:positionH relativeFrom="margin">
              <wp:align>right</wp:align>
            </wp:positionH>
            <wp:positionV relativeFrom="paragraph">
              <wp:posOffset>280670</wp:posOffset>
            </wp:positionV>
            <wp:extent cx="5122545" cy="2997200"/>
            <wp:effectExtent l="0" t="0" r="1905" b="0"/>
            <wp:wrapTopAndBottom/>
            <wp:docPr id="26" name="Wykres 26" descr="Chart 5. Prices changes of sold production of industry by sections NACE in 2023-2024 in relation to December 2022">
              <a:extLst xmlns:a="http://schemas.openxmlformats.org/drawingml/2006/main">
                <a:ext uri="{FF2B5EF4-FFF2-40B4-BE49-F238E27FC236}">
                  <a16:creationId xmlns:a16="http://schemas.microsoft.com/office/drawing/2014/main" id="{8EAC6A4B-B83E-4AFE-B909-5B267940FF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5669EA" w:rsidRDefault="005669EA" w:rsidP="00180E0E">
      <w:pPr>
        <w:spacing w:line="288" w:lineRule="auto"/>
        <w:rPr>
          <w:rFonts w:eastAsia="Times New Roman" w:cs="Times New Roman"/>
          <w:szCs w:val="19"/>
          <w:lang w:val="en-US" w:eastAsia="pl-PL"/>
        </w:rPr>
      </w:pPr>
    </w:p>
    <w:p w:rsidR="005669EA" w:rsidRDefault="005669EA" w:rsidP="00180E0E">
      <w:pPr>
        <w:spacing w:line="288" w:lineRule="auto"/>
        <w:rPr>
          <w:rFonts w:eastAsia="Times New Roman" w:cs="Times New Roman"/>
          <w:szCs w:val="19"/>
          <w:lang w:val="en-US" w:eastAsia="pl-PL"/>
        </w:rPr>
      </w:pPr>
    </w:p>
    <w:p w:rsidR="00DA331D" w:rsidRPr="00982A1A" w:rsidRDefault="00180E0E" w:rsidP="00180E0E">
      <w:pPr>
        <w:spacing w:line="288" w:lineRule="auto"/>
        <w:rPr>
          <w:rFonts w:eastAsia="Times New Roman" w:cs="Times New Roman"/>
          <w:color w:val="FF0000"/>
          <w:szCs w:val="19"/>
          <w:lang w:val="en-US" w:eastAsia="pl-PL"/>
        </w:rPr>
        <w:sectPr w:rsidR="00DA331D" w:rsidRPr="00982A1A"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FB6000">
        <w:rPr>
          <w:rFonts w:eastAsia="Times New Roman" w:cs="Times New Roman"/>
          <w:szCs w:val="19"/>
          <w:lang w:val="en-US" w:eastAsia="pl-PL"/>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3466D5" w:rsidTr="009E7D31">
        <w:trPr>
          <w:trHeight w:val="1626"/>
        </w:trPr>
        <w:tc>
          <w:tcPr>
            <w:tcW w:w="4926" w:type="dxa"/>
          </w:tcPr>
          <w:p w:rsidR="00DE2400" w:rsidRPr="00982A1A" w:rsidRDefault="00C60504" w:rsidP="00DE2400">
            <w:pPr>
              <w:spacing w:before="0" w:after="0" w:line="276" w:lineRule="auto"/>
              <w:rPr>
                <w:rFonts w:cs="Arial"/>
                <w:sz w:val="20"/>
                <w:lang w:val="en-US"/>
              </w:rPr>
            </w:pPr>
            <w:r w:rsidRPr="00982A1A">
              <w:rPr>
                <w:rFonts w:cs="Arial"/>
                <w:sz w:val="20"/>
                <w:lang w:val="en-US"/>
              </w:rPr>
              <w:lastRenderedPageBreak/>
              <w:t>Prepared by</w:t>
            </w:r>
            <w:r w:rsidR="00DE2400" w:rsidRPr="00982A1A">
              <w:rPr>
                <w:rFonts w:cs="Arial"/>
                <w:sz w:val="20"/>
                <w:lang w:val="en-US"/>
              </w:rPr>
              <w:t>:</w:t>
            </w:r>
          </w:p>
          <w:p w:rsidR="00DE2400" w:rsidRPr="00982A1A" w:rsidRDefault="00466CC0"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982A1A">
              <w:rPr>
                <w:rFonts w:cs="Arial"/>
                <w:b/>
                <w:color w:val="000000" w:themeColor="text1"/>
                <w:sz w:val="20"/>
                <w:lang w:val="en-US"/>
              </w:rPr>
              <w:t xml:space="preserve"> </w:t>
            </w:r>
            <w:r w:rsidR="00DE2400" w:rsidRPr="00982A1A">
              <w:rPr>
                <w:rFonts w:cs="Arial"/>
                <w:b/>
                <w:color w:val="000000" w:themeColor="text1"/>
                <w:sz w:val="20"/>
                <w:lang w:val="en-US"/>
              </w:rPr>
              <w:t>Department</w:t>
            </w:r>
          </w:p>
          <w:p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66CC0">
              <w:rPr>
                <w:b/>
                <w:sz w:val="20"/>
                <w:szCs w:val="20"/>
                <w:lang w:val="fi-FI"/>
              </w:rPr>
              <w:t>Ewa Adach-Stankiewicz</w:t>
            </w:r>
          </w:p>
          <w:p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66CC0">
              <w:rPr>
                <w:rFonts w:ascii="Fira Sans" w:hAnsi="Fira Sans" w:cs="Arial"/>
                <w:color w:val="000000" w:themeColor="text1"/>
                <w:sz w:val="20"/>
                <w:lang w:val="fi-FI"/>
              </w:rPr>
              <w:t>608 31 24</w:t>
            </w:r>
          </w:p>
        </w:tc>
        <w:tc>
          <w:tcPr>
            <w:tcW w:w="4927" w:type="dxa"/>
          </w:tcPr>
          <w:p w:rsidR="002A7500" w:rsidRPr="005653EE" w:rsidRDefault="002A7500" w:rsidP="002A7500">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rsidR="002A7500" w:rsidRPr="005653EE" w:rsidRDefault="002A7500" w:rsidP="002A7500">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rsidR="002A7500" w:rsidRDefault="002A7500" w:rsidP="002A7500">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rsidR="002A7500" w:rsidRPr="005653EE" w:rsidRDefault="002A7500" w:rsidP="002A7500">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rsidR="002A7500" w:rsidRDefault="002A7500" w:rsidP="002A7500">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9" w:history="1">
              <w:r w:rsidRPr="00394E26">
                <w:rPr>
                  <w:rStyle w:val="Hipercze"/>
                  <w:rFonts w:cs="Arial"/>
                  <w:b/>
                  <w:color w:val="auto"/>
                  <w:sz w:val="20"/>
                  <w:szCs w:val="20"/>
                  <w:lang w:val="en-US"/>
                </w:rPr>
                <w:t>obslugaprasowa@stat.gov.pl</w:t>
              </w:r>
            </w:hyperlink>
          </w:p>
          <w:p w:rsidR="00DE2400" w:rsidRPr="002A7500" w:rsidRDefault="00DE2400" w:rsidP="009A00C1">
            <w:pPr>
              <w:pStyle w:val="Nagwek3"/>
              <w:spacing w:before="0" w:after="120" w:line="276" w:lineRule="auto"/>
              <w:outlineLvl w:val="2"/>
              <w:rPr>
                <w:sz w:val="18"/>
                <w:lang w:val="en-US"/>
              </w:rPr>
            </w:pPr>
          </w:p>
        </w:tc>
      </w:tr>
      <w:tr w:rsidR="00DE2400" w:rsidTr="009E7D31">
        <w:trPr>
          <w:trHeight w:val="418"/>
        </w:trPr>
        <w:tc>
          <w:tcPr>
            <w:tcW w:w="4926" w:type="dxa"/>
            <w:vMerge w:val="restart"/>
          </w:tcPr>
          <w:p w:rsidR="00DE2400" w:rsidRPr="00F05FC7" w:rsidRDefault="00DE2400" w:rsidP="00747B8C">
            <w:pPr>
              <w:rPr>
                <w:sz w:val="18"/>
                <w:lang w:val="en-US"/>
              </w:rPr>
            </w:pPr>
          </w:p>
        </w:tc>
        <w:tc>
          <w:tcPr>
            <w:tcW w:w="4927" w:type="dxa"/>
            <w:vAlign w:val="center"/>
          </w:tcPr>
          <w:p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rsidTr="009E7D31">
        <w:trPr>
          <w:trHeight w:val="418"/>
        </w:trPr>
        <w:tc>
          <w:tcPr>
            <w:tcW w:w="4926" w:type="dxa"/>
            <w:vMerge/>
          </w:tcPr>
          <w:p w:rsidR="00DE1D0A" w:rsidRPr="00C91687" w:rsidRDefault="00DE1D0A" w:rsidP="00DE1D0A">
            <w:pPr>
              <w:rPr>
                <w:b/>
                <w:sz w:val="20"/>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82A1A" w:rsidTr="009E7D31">
        <w:trPr>
          <w:trHeight w:val="4114"/>
        </w:trPr>
        <w:tc>
          <w:tcPr>
            <w:tcW w:w="9853" w:type="dxa"/>
            <w:gridSpan w:val="2"/>
            <w:shd w:val="clear" w:color="auto" w:fill="D9D9D9" w:themeFill="background1" w:themeFillShade="D9"/>
          </w:tcPr>
          <w:p w:rsidR="00466CC0" w:rsidRPr="00466CC0" w:rsidRDefault="00466CC0" w:rsidP="00466CC0">
            <w:pPr>
              <w:shd w:val="clear" w:color="auto" w:fill="D9D9D9" w:themeFill="background1" w:themeFillShade="D9"/>
              <w:rPr>
                <w:b/>
                <w:lang w:val="en-US"/>
              </w:rPr>
            </w:pPr>
            <w:r w:rsidRPr="00466CC0">
              <w:rPr>
                <w:b/>
                <w:lang w:val="en-US"/>
              </w:rPr>
              <w:t>Related information</w:t>
            </w:r>
          </w:p>
          <w:p w:rsidR="00466CC0" w:rsidRPr="00466CC0" w:rsidRDefault="00466CC0" w:rsidP="00466CC0">
            <w:pPr>
              <w:rPr>
                <w:rFonts w:cs="Times New Roman"/>
                <w:color w:val="001381"/>
                <w:u w:val="single"/>
                <w:lang w:val="en-US"/>
              </w:rPr>
            </w:pPr>
            <w:r w:rsidRPr="00466CC0">
              <w:rPr>
                <w:rFonts w:cs="Times New Roman"/>
                <w:color w:val="001381"/>
                <w:highlight w:val="yellow"/>
                <w:u w:val="single"/>
              </w:rPr>
              <w:fldChar w:fldCharType="begin"/>
            </w:r>
            <w:r w:rsidR="0011058C" w:rsidRPr="004E6BA6">
              <w:rPr>
                <w:rFonts w:cs="Times New Roman"/>
                <w:color w:val="001381"/>
                <w:highlight w:val="yellow"/>
                <w:u w:val="single"/>
                <w:lang w:val="en-US"/>
              </w:rPr>
              <w:instrText>HYPERLINK "https://stat.gov.pl/en/topics/other-studies/informations-on-socio-economic-situation/statistical-bulletin-no-52024,4,163.html" \o "Link to the publication Statistical Bulletin"</w:instrText>
            </w:r>
            <w:r w:rsidRPr="00466CC0">
              <w:rPr>
                <w:rFonts w:cs="Times New Roman"/>
                <w:color w:val="001381"/>
                <w:highlight w:val="yellow"/>
                <w:u w:val="single"/>
              </w:rPr>
              <w:fldChar w:fldCharType="separate"/>
            </w:r>
            <w:r w:rsidRPr="00466CC0">
              <w:rPr>
                <w:rFonts w:cs="Times New Roman"/>
                <w:color w:val="001381"/>
                <w:u w:val="single"/>
                <w:lang w:val="en-US"/>
              </w:rPr>
              <w:t>Statistical Bulletin</w:t>
            </w:r>
          </w:p>
          <w:p w:rsidR="00466CC0" w:rsidRPr="00466CC0" w:rsidRDefault="00466CC0" w:rsidP="00466CC0">
            <w:pPr>
              <w:rPr>
                <w:rFonts w:cs="Arial"/>
                <w:color w:val="001381"/>
                <w:sz w:val="18"/>
                <w:szCs w:val="30"/>
                <w:u w:val="single"/>
                <w:shd w:val="clear" w:color="auto" w:fill="F0F0F0"/>
                <w:lang w:val="en-US"/>
              </w:rPr>
            </w:pPr>
            <w:r w:rsidRPr="00466CC0">
              <w:rPr>
                <w:rFonts w:cs="Times New Roman"/>
                <w:color w:val="001381"/>
                <w:highlight w:val="yellow"/>
                <w:u w:val="single"/>
              </w:rPr>
              <w:fldChar w:fldCharType="end"/>
            </w:r>
            <w:r w:rsidRPr="00466CC0">
              <w:rPr>
                <w:rFonts w:cs="Times New Roman"/>
                <w:color w:val="001381"/>
              </w:rPr>
              <w:fldChar w:fldCharType="begin"/>
            </w:r>
            <w:r w:rsidR="00722B49" w:rsidRPr="002A7500">
              <w:rPr>
                <w:rFonts w:cs="Times New Roman"/>
                <w:color w:val="001381"/>
                <w:lang w:val="en-US"/>
              </w:rPr>
              <w:instrText>HYPERLINK "http://stat.gov.pl/en/latest-statistical-news/news-releases/" \o "Link to the publication News Releases"</w:instrText>
            </w:r>
            <w:r w:rsidRPr="00466CC0">
              <w:rPr>
                <w:rFonts w:cs="Times New Roman"/>
                <w:color w:val="001381"/>
              </w:rPr>
              <w:fldChar w:fldCharType="separate"/>
            </w:r>
            <w:r w:rsidRPr="00466CC0">
              <w:rPr>
                <w:rFonts w:cs="Times New Roman"/>
                <w:color w:val="001381"/>
                <w:u w:val="single"/>
                <w:lang w:val="en-US"/>
              </w:rPr>
              <w:t>News Releases</w:t>
            </w:r>
          </w:p>
          <w:p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1381"/>
              </w:rPr>
              <w:fldChar w:fldCharType="end"/>
            </w:r>
            <w:r w:rsidRPr="00466CC0">
              <w:rPr>
                <w:b/>
                <w:color w:val="000000" w:themeColor="text1"/>
                <w:szCs w:val="24"/>
                <w:lang w:val="en-US"/>
              </w:rPr>
              <w:t>Data available in databases</w:t>
            </w:r>
          </w:p>
          <w:p w:rsidR="00466CC0" w:rsidRPr="00466CC0" w:rsidRDefault="00466CC0" w:rsidP="00466CC0">
            <w:pPr>
              <w:rPr>
                <w:rFonts w:cs="Times New Roman"/>
                <w:color w:val="001381"/>
                <w:u w:val="single"/>
                <w:lang w:val="en-US"/>
              </w:rPr>
            </w:pPr>
            <w:r w:rsidRPr="00466CC0">
              <w:rPr>
                <w:rFonts w:cs="Times New Roman"/>
                <w:color w:val="001381"/>
                <w:u w:val="single"/>
              </w:rPr>
              <w:fldChar w:fldCharType="begin"/>
            </w:r>
            <w:r w:rsidRPr="00466CC0">
              <w:rPr>
                <w:rFonts w:cs="Times New Roman"/>
                <w:color w:val="001381"/>
                <w:u w:val="single"/>
                <w:lang w:val="en-US"/>
              </w:rPr>
              <w:instrText>HYPERLINK "http://swaid.stat.gov.pl/EN/SitePagesDBW/Ceny.aspx" \o "Link to Knowledge Databases"</w:instrText>
            </w:r>
            <w:r w:rsidRPr="00466CC0">
              <w:rPr>
                <w:rFonts w:cs="Times New Roman"/>
                <w:color w:val="001381"/>
                <w:u w:val="single"/>
              </w:rPr>
              <w:fldChar w:fldCharType="separate"/>
            </w:r>
            <w:r w:rsidRPr="00466CC0">
              <w:rPr>
                <w:rFonts w:cs="Times New Roman"/>
                <w:color w:val="001381"/>
                <w:u w:val="single"/>
                <w:lang w:val="en-US"/>
              </w:rPr>
              <w:t>Analytical Platform - Knowledge Databases</w:t>
            </w:r>
          </w:p>
          <w:p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1381"/>
                <w:u w:val="single"/>
              </w:rPr>
              <w:fldChar w:fldCharType="begin"/>
            </w:r>
            <w:r w:rsidRPr="00466CC0">
              <w:rPr>
                <w:rFonts w:cs="Times New Roman"/>
                <w:color w:val="001381"/>
                <w:u w:val="single"/>
                <w:lang w:val="en-US"/>
              </w:rPr>
              <w:instrText>HYPERLINK "http://bdm.stat.gov.pl/" \o "Link to Macroeconomic Data Bank"</w:instrText>
            </w:r>
            <w:r w:rsidRPr="00466CC0">
              <w:rPr>
                <w:rFonts w:cs="Times New Roman"/>
                <w:color w:val="001381"/>
                <w:u w:val="single"/>
              </w:rPr>
              <w:fldChar w:fldCharType="separate"/>
            </w:r>
            <w:r w:rsidRPr="00466CC0">
              <w:rPr>
                <w:rFonts w:cs="Times New Roman"/>
                <w:color w:val="001381"/>
                <w:u w:val="single"/>
                <w:lang w:val="en-US"/>
              </w:rPr>
              <w:t>Macroeconomic Data Bank</w:t>
            </w:r>
          </w:p>
          <w:p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00FF"/>
                <w:u w:val="single"/>
              </w:rPr>
              <w:fldChar w:fldCharType="begin"/>
            </w:r>
            <w:r w:rsidRPr="00466CC0">
              <w:rPr>
                <w:rFonts w:cs="Times New Roman"/>
                <w:color w:val="0000FF"/>
                <w:u w:val="single"/>
                <w:lang w:val="en-US"/>
              </w:rPr>
              <w:instrText>HYPERLINK "http://stat.gov.pl/en/topics/prices-trade/price-indices/" \o "Link to Prices indices (Topics: Prices, Trade)"</w:instrText>
            </w:r>
            <w:r w:rsidRPr="00466CC0">
              <w:rPr>
                <w:rFonts w:cs="Times New Roman"/>
                <w:color w:val="0000FF"/>
                <w:u w:val="single"/>
              </w:rPr>
              <w:fldChar w:fldCharType="separate"/>
            </w:r>
            <w:r w:rsidRPr="00466CC0">
              <w:rPr>
                <w:rFonts w:cs="Times New Roman"/>
                <w:color w:val="001381"/>
                <w:u w:val="single"/>
                <w:lang w:val="en-US"/>
              </w:rPr>
              <w:t>Prices indices (Topics: Prices. Trade)</w:t>
            </w:r>
          </w:p>
          <w:p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00FF"/>
                <w:u w:val="single"/>
              </w:rPr>
              <w:fldChar w:fldCharType="end"/>
            </w:r>
            <w:r w:rsidRPr="00466CC0">
              <w:rPr>
                <w:b/>
                <w:color w:val="000000" w:themeColor="text1"/>
                <w:szCs w:val="24"/>
                <w:lang w:val="en-US"/>
              </w:rPr>
              <w:t>Terms used in official statistics</w:t>
            </w:r>
          </w:p>
          <w:p w:rsidR="00466CC0" w:rsidRPr="00466CC0" w:rsidRDefault="00466CC0" w:rsidP="00466CC0">
            <w:pPr>
              <w:rPr>
                <w:rFonts w:cs="Times New Roman"/>
                <w:color w:val="001381"/>
                <w:u w:val="single"/>
              </w:rPr>
            </w:pPr>
            <w:r w:rsidRPr="00466CC0">
              <w:rPr>
                <w:rFonts w:cs="Times New Roman"/>
                <w:color w:val="0000FF"/>
                <w:u w:val="single"/>
              </w:rPr>
              <w:fldChar w:fldCharType="begin"/>
            </w:r>
            <w:r w:rsidRPr="00466CC0">
              <w:rPr>
                <w:rFonts w:cs="Times New Roman"/>
                <w:color w:val="0000FF"/>
                <w:u w:val="single"/>
              </w:rPr>
              <w:instrText xml:space="preserve"> HYPERLINK "https://stat.gov.pl/" \o "description hyperlink " </w:instrText>
            </w:r>
            <w:r w:rsidRPr="00466CC0">
              <w:rPr>
                <w:rFonts w:cs="Times New Roman"/>
                <w:color w:val="0000FF"/>
                <w:u w:val="single"/>
              </w:rPr>
              <w:fldChar w:fldCharType="separate"/>
            </w:r>
            <w:r w:rsidRPr="00466CC0">
              <w:rPr>
                <w:rFonts w:cs="Times New Roman"/>
                <w:color w:val="0000FF"/>
                <w:u w:val="single"/>
              </w:rPr>
              <w:fldChar w:fldCharType="begin"/>
            </w:r>
            <w:r w:rsidR="00F02491">
              <w:rPr>
                <w:rFonts w:cs="Times New Roman"/>
                <w:color w:val="0000FF"/>
                <w:u w:val="single"/>
              </w:rPr>
              <w:instrText>HYPERLINK "https://stat.gov.pl/en/metainformation/glossary/terms-used-in-official-statistics/708,term.html" \o "Link to Terms Price index of sold production of industry"</w:instrText>
            </w:r>
            <w:r w:rsidRPr="00466CC0">
              <w:rPr>
                <w:rFonts w:cs="Times New Roman"/>
                <w:color w:val="0000FF"/>
                <w:u w:val="single"/>
              </w:rPr>
              <w:fldChar w:fldCharType="separate"/>
            </w:r>
            <w:r w:rsidRPr="00466CC0">
              <w:rPr>
                <w:rFonts w:cs="Times New Roman"/>
                <w:color w:val="001381"/>
                <w:u w:val="single"/>
              </w:rPr>
              <w:t>Price index of sold production of industry</w:t>
            </w:r>
          </w:p>
          <w:p w:rsidR="00466CC0" w:rsidRPr="00466CC0" w:rsidRDefault="00466CC0" w:rsidP="00466CC0">
            <w:pPr>
              <w:rPr>
                <w:b/>
                <w:color w:val="000000" w:themeColor="text1"/>
                <w:szCs w:val="24"/>
                <w:lang w:val="en-GB"/>
              </w:rPr>
            </w:pPr>
            <w:r w:rsidRPr="00466CC0">
              <w:rPr>
                <w:rFonts w:cs="Times New Roman"/>
                <w:color w:val="0000FF"/>
                <w:u w:val="single"/>
              </w:rPr>
              <w:fldChar w:fldCharType="end"/>
            </w:r>
            <w:r w:rsidRPr="00466CC0">
              <w:rPr>
                <w:rFonts w:cs="Times New Roman"/>
                <w:color w:val="0000FF"/>
                <w:u w:val="single"/>
              </w:rPr>
              <w:fldChar w:fldCharType="end"/>
            </w:r>
          </w:p>
          <w:p w:rsidR="00466CC0" w:rsidRPr="00466CC0" w:rsidRDefault="00466CC0" w:rsidP="00466CC0">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Pr="00982A1A"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982A1A"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982A1A" w:rsidRDefault="000470AA" w:rsidP="000470AA">
      <w:pPr>
        <w:rPr>
          <w:sz w:val="20"/>
          <w:lang w:val="en-US"/>
        </w:rPr>
      </w:pPr>
    </w:p>
    <w:p w:rsidR="000470AA" w:rsidRPr="00982A1A" w:rsidRDefault="000470AA" w:rsidP="000470AA">
      <w:pPr>
        <w:rPr>
          <w:sz w:val="18"/>
          <w:lang w:val="en-US"/>
        </w:rPr>
      </w:pPr>
    </w:p>
    <w:p w:rsidR="00D261A2" w:rsidRPr="00982A1A" w:rsidRDefault="00D261A2" w:rsidP="00AD0E56">
      <w:pPr>
        <w:rPr>
          <w:sz w:val="18"/>
          <w:lang w:val="en-US"/>
        </w:rPr>
      </w:pPr>
    </w:p>
    <w:sectPr w:rsidR="00D261A2" w:rsidRPr="00982A1A"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49D8" w:rsidRDefault="008A49D8" w:rsidP="000662E2">
      <w:pPr>
        <w:spacing w:after="0" w:line="240" w:lineRule="auto"/>
      </w:pPr>
      <w:r>
        <w:separator/>
      </w:r>
    </w:p>
  </w:endnote>
  <w:endnote w:type="continuationSeparator" w:id="0">
    <w:p w:rsidR="008A49D8" w:rsidRDefault="008A49D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1BD97016-9071-4F17-A9C7-92A39DD60964}"/>
    <w:embedBold r:id="rId2" w:fontKey="{89C9A96F-33F5-4A0D-A02D-A29F8E711289}"/>
  </w:font>
  <w:font w:name="Fira Sans Light">
    <w:panose1 w:val="020B0403050000020004"/>
    <w:charset w:val="EE"/>
    <w:family w:val="swiss"/>
    <w:pitch w:val="variable"/>
    <w:sig w:usb0="600002FF" w:usb1="02000001" w:usb2="00000000" w:usb3="00000000" w:csb0="0000019F" w:csb1="00000000"/>
    <w:embedRegular r:id="rId3" w:fontKey="{DD37C4C4-B6C6-44D3-8315-D52FCF084760}"/>
    <w:embedBold r:id="rId4" w:fontKey="{61C5FFB2-BFA5-4837-8231-B29F75B29A06}"/>
  </w:font>
  <w:font w:name="Fira Sans SemiBold">
    <w:panose1 w:val="020B0603050000020004"/>
    <w:charset w:val="EE"/>
    <w:family w:val="swiss"/>
    <w:pitch w:val="variable"/>
    <w:sig w:usb0="600002FF" w:usb1="02000001" w:usb2="00000000" w:usb3="00000000" w:csb0="0000019F" w:csb1="00000000"/>
    <w:embedRegular r:id="rId5" w:fontKey="{D476001F-6CAF-4162-8D5F-900F97C433F6}"/>
    <w:embedBold r:id="rId6" w:fontKey="{04BDC3BC-95E7-4726-990D-A7156E1A0239}"/>
  </w:font>
  <w:font w:name="Fira Sans Medium">
    <w:panose1 w:val="020B0603050000020004"/>
    <w:charset w:val="EE"/>
    <w:family w:val="swiss"/>
    <w:pitch w:val="variable"/>
    <w:sig w:usb0="600002FF" w:usb1="02000001" w:usb2="00000000" w:usb3="00000000" w:csb0="0000019F" w:csb1="00000000"/>
    <w:embedRegular r:id="rId7" w:fontKey="{D19F70F1-C7EB-4D0F-A4DB-BE0A476C85E8}"/>
    <w:embedBold r:id="rId8" w:fontKey="{4888E173-6028-40AC-B1AF-15BE1E058080}"/>
    <w:embedItalic r:id="rId9" w:fontKey="{A7785E09-D514-4CF4-9E77-E11FAE09DE04}"/>
  </w:font>
  <w:font w:name="Segoe UI">
    <w:panose1 w:val="020B0502040204020203"/>
    <w:charset w:val="EE"/>
    <w:family w:val="swiss"/>
    <w:pitch w:val="variable"/>
    <w:sig w:usb0="E4002EFF" w:usb1="C000E47F" w:usb2="00000009" w:usb3="00000000" w:csb0="000001FF" w:csb1="00000000"/>
    <w:embedRegular r:id="rId10" w:fontKey="{4BD27A26-21FF-4AB4-BA99-822AA79839D0}"/>
  </w:font>
  <w:font w:name="Fira Sans Extra Condensed SemiB">
    <w:panose1 w:val="020B0603050000020004"/>
    <w:charset w:val="EE"/>
    <w:family w:val="swiss"/>
    <w:pitch w:val="variable"/>
    <w:sig w:usb0="600002FF" w:usb1="00000001" w:usb2="00000000" w:usb3="00000000" w:csb0="0000019F" w:csb1="00000000"/>
    <w:embedRegular r:id="rId11" w:fontKey="{76732FD8-E5E4-4E77-AF91-FB839DB3C211}"/>
  </w:font>
  <w:font w:name="Calibri">
    <w:panose1 w:val="020F0502020204030204"/>
    <w:charset w:val="EE"/>
    <w:family w:val="swiss"/>
    <w:pitch w:val="variable"/>
    <w:sig w:usb0="E4002EFF" w:usb1="C000247B" w:usb2="00000009" w:usb3="00000000" w:csb0="000001FF" w:csb1="00000000"/>
    <w:embedRegular r:id="rId12" w:fontKey="{D2D12892-0C5F-42AB-B40A-BBB455DD7A4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49D8" w:rsidRDefault="008A49D8" w:rsidP="000662E2">
      <w:pPr>
        <w:spacing w:after="0" w:line="240" w:lineRule="auto"/>
      </w:pPr>
      <w:r>
        <w:separator/>
      </w:r>
    </w:p>
  </w:footnote>
  <w:footnote w:type="continuationSeparator" w:id="0">
    <w:p w:rsidR="008A49D8" w:rsidRDefault="008A49D8"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31A7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43BE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D3A55E7">
              <wp:simplePos x="0" y="0"/>
              <wp:positionH relativeFrom="column">
                <wp:posOffset>5287976</wp:posOffset>
              </wp:positionH>
              <wp:positionV relativeFrom="paragraph">
                <wp:posOffset>266065</wp:posOffset>
              </wp:positionV>
              <wp:extent cx="1432293" cy="336589"/>
              <wp:effectExtent l="0" t="0" r="0" b="6350"/>
              <wp:wrapNone/>
              <wp:docPr id="8" name="Pole tekstowe 2" descr="18.07.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7C112E" w:rsidP="00F049AB">
                          <w:pPr>
                            <w:pStyle w:val="Datainformacjisygnalnej"/>
                          </w:pPr>
                          <w:r>
                            <w:t>18.07</w:t>
                          </w:r>
                          <w:r w:rsidR="00775B55">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18.07.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PJt47QeAgAAEQQAAA4AAAAAAAAAAAAAAAAALgIAAGRycy9lMm9Eb2MueG1sUEsB&#10;Ai0AFAAGAAgAAAAhALTJV9/eAAAACgEAAA8AAAAAAAAAAAAAAAAAeAQAAGRycy9kb3ducmV2Lnht&#10;bFBLBQYAAAAABAAEAPMAAACDBQAAAAA=&#10;" filled="f" stroked="f">
              <v:textbox>
                <w:txbxContent>
                  <w:p w:rsidR="00F37172" w:rsidRPr="00A01B40" w:rsidRDefault="007C112E" w:rsidP="00F049AB">
                    <w:pPr>
                      <w:pStyle w:val="Datainformacjisygnalnej"/>
                    </w:pPr>
                    <w:r>
                      <w:t>18.07</w:t>
                    </w:r>
                    <w:r w:rsidR="00775B55">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pt;height:126.5pt;visibility:visible;mso-wrap-style:square" o:bullet="t">
        <v:imagedata r:id="rId1" o:title=""/>
      </v:shape>
    </w:pict>
  </w:numPicBullet>
  <w:numPicBullet w:numPicBulletId="1">
    <w:pict>
      <v:shape id="_x0000_i1027" type="#_x0000_t75" style="width:125pt;height:126.5pt;visibility:visible;mso-wrap-style:square" o:bullet="t">
        <v:imagedata r:id="rId2" o:title=""/>
      </v:shape>
    </w:pict>
  </w:numPicBullet>
  <w:numPicBullet w:numPicBulletId="2">
    <w:pict>
      <v:shape id="_x0000_i1028" type="#_x0000_t75" style="width:18.5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AD15DC"/>
    <w:multiLevelType w:val="hybridMultilevel"/>
    <w:tmpl w:val="94E8F1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25FEB"/>
    <w:multiLevelType w:val="hybridMultilevel"/>
    <w:tmpl w:val="E5F0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174ACF"/>
    <w:multiLevelType w:val="hybridMultilevel"/>
    <w:tmpl w:val="61186D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49D82936"/>
    <w:multiLevelType w:val="hybridMultilevel"/>
    <w:tmpl w:val="8F460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82"/>
    <w:rsid w:val="00021CD0"/>
    <w:rsid w:val="0004582E"/>
    <w:rsid w:val="00046036"/>
    <w:rsid w:val="000470AA"/>
    <w:rsid w:val="00057CA1"/>
    <w:rsid w:val="000619FC"/>
    <w:rsid w:val="000647A9"/>
    <w:rsid w:val="000662E2"/>
    <w:rsid w:val="00066883"/>
    <w:rsid w:val="00071B39"/>
    <w:rsid w:val="00074DD8"/>
    <w:rsid w:val="00075759"/>
    <w:rsid w:val="0007575D"/>
    <w:rsid w:val="000806F7"/>
    <w:rsid w:val="00080C87"/>
    <w:rsid w:val="0008245F"/>
    <w:rsid w:val="00084F71"/>
    <w:rsid w:val="00097840"/>
    <w:rsid w:val="000A658D"/>
    <w:rsid w:val="000A68E8"/>
    <w:rsid w:val="000B0727"/>
    <w:rsid w:val="000C135D"/>
    <w:rsid w:val="000C3DBE"/>
    <w:rsid w:val="000D1D43"/>
    <w:rsid w:val="000D225C"/>
    <w:rsid w:val="000D28F3"/>
    <w:rsid w:val="000D2A5C"/>
    <w:rsid w:val="000D39F0"/>
    <w:rsid w:val="000E0918"/>
    <w:rsid w:val="000E79A9"/>
    <w:rsid w:val="000F0E30"/>
    <w:rsid w:val="000F1BEB"/>
    <w:rsid w:val="000F569C"/>
    <w:rsid w:val="000F61F4"/>
    <w:rsid w:val="001011C3"/>
    <w:rsid w:val="00106DA3"/>
    <w:rsid w:val="00110214"/>
    <w:rsid w:val="0011058C"/>
    <w:rsid w:val="00110D87"/>
    <w:rsid w:val="00112399"/>
    <w:rsid w:val="00114DB9"/>
    <w:rsid w:val="00116087"/>
    <w:rsid w:val="00117711"/>
    <w:rsid w:val="00130296"/>
    <w:rsid w:val="00131F2A"/>
    <w:rsid w:val="00134145"/>
    <w:rsid w:val="00136736"/>
    <w:rsid w:val="00136740"/>
    <w:rsid w:val="00136D67"/>
    <w:rsid w:val="001423B6"/>
    <w:rsid w:val="00142531"/>
    <w:rsid w:val="001448A7"/>
    <w:rsid w:val="00146621"/>
    <w:rsid w:val="00154C4A"/>
    <w:rsid w:val="00156F04"/>
    <w:rsid w:val="001617E3"/>
    <w:rsid w:val="00162325"/>
    <w:rsid w:val="001625C7"/>
    <w:rsid w:val="00163614"/>
    <w:rsid w:val="00180E0E"/>
    <w:rsid w:val="00190C26"/>
    <w:rsid w:val="001951DA"/>
    <w:rsid w:val="00197D3D"/>
    <w:rsid w:val="001B053D"/>
    <w:rsid w:val="001C3269"/>
    <w:rsid w:val="001D19B6"/>
    <w:rsid w:val="001D1DB4"/>
    <w:rsid w:val="001D1FF1"/>
    <w:rsid w:val="001D23F1"/>
    <w:rsid w:val="001D25F9"/>
    <w:rsid w:val="001D278B"/>
    <w:rsid w:val="001D61ED"/>
    <w:rsid w:val="001E5B2D"/>
    <w:rsid w:val="001F044F"/>
    <w:rsid w:val="0020156C"/>
    <w:rsid w:val="002021A6"/>
    <w:rsid w:val="00202E6E"/>
    <w:rsid w:val="00216634"/>
    <w:rsid w:val="00224DE2"/>
    <w:rsid w:val="00233BA1"/>
    <w:rsid w:val="00242D31"/>
    <w:rsid w:val="0025481E"/>
    <w:rsid w:val="002574F9"/>
    <w:rsid w:val="00260F7D"/>
    <w:rsid w:val="00262B61"/>
    <w:rsid w:val="00262CC6"/>
    <w:rsid w:val="00263E08"/>
    <w:rsid w:val="002758C9"/>
    <w:rsid w:val="00276811"/>
    <w:rsid w:val="00282699"/>
    <w:rsid w:val="002901F1"/>
    <w:rsid w:val="002926DF"/>
    <w:rsid w:val="00296697"/>
    <w:rsid w:val="002A7500"/>
    <w:rsid w:val="002B0472"/>
    <w:rsid w:val="002B6B12"/>
    <w:rsid w:val="002C21F0"/>
    <w:rsid w:val="002D01DF"/>
    <w:rsid w:val="002D5FC7"/>
    <w:rsid w:val="002E2973"/>
    <w:rsid w:val="002E3EB3"/>
    <w:rsid w:val="002E6140"/>
    <w:rsid w:val="002E6985"/>
    <w:rsid w:val="002E71B6"/>
    <w:rsid w:val="002F1ED5"/>
    <w:rsid w:val="002F35F6"/>
    <w:rsid w:val="002F77C8"/>
    <w:rsid w:val="002F7DF5"/>
    <w:rsid w:val="003030A5"/>
    <w:rsid w:val="00304F22"/>
    <w:rsid w:val="00306C7C"/>
    <w:rsid w:val="003109FB"/>
    <w:rsid w:val="00311F21"/>
    <w:rsid w:val="00314F86"/>
    <w:rsid w:val="00317F4D"/>
    <w:rsid w:val="00322EDD"/>
    <w:rsid w:val="003309FA"/>
    <w:rsid w:val="00332320"/>
    <w:rsid w:val="0033505D"/>
    <w:rsid w:val="0034174A"/>
    <w:rsid w:val="0034588E"/>
    <w:rsid w:val="003466D5"/>
    <w:rsid w:val="00347D72"/>
    <w:rsid w:val="00353F45"/>
    <w:rsid w:val="00357611"/>
    <w:rsid w:val="0036432A"/>
    <w:rsid w:val="00364AF9"/>
    <w:rsid w:val="00367237"/>
    <w:rsid w:val="0037077F"/>
    <w:rsid w:val="00372411"/>
    <w:rsid w:val="00373882"/>
    <w:rsid w:val="00380B5D"/>
    <w:rsid w:val="00382EA4"/>
    <w:rsid w:val="003843DB"/>
    <w:rsid w:val="00393761"/>
    <w:rsid w:val="00394E26"/>
    <w:rsid w:val="00396691"/>
    <w:rsid w:val="00397D18"/>
    <w:rsid w:val="003A1B36"/>
    <w:rsid w:val="003A1D38"/>
    <w:rsid w:val="003B0511"/>
    <w:rsid w:val="003B1454"/>
    <w:rsid w:val="003B18B6"/>
    <w:rsid w:val="003B2A1E"/>
    <w:rsid w:val="003C161B"/>
    <w:rsid w:val="003C59E0"/>
    <w:rsid w:val="003C6C8D"/>
    <w:rsid w:val="003D2656"/>
    <w:rsid w:val="003D2ADF"/>
    <w:rsid w:val="003D4F95"/>
    <w:rsid w:val="003D5F42"/>
    <w:rsid w:val="003D60A9"/>
    <w:rsid w:val="003E61E9"/>
    <w:rsid w:val="003F4C97"/>
    <w:rsid w:val="003F57D8"/>
    <w:rsid w:val="003F666D"/>
    <w:rsid w:val="003F7FE6"/>
    <w:rsid w:val="00400193"/>
    <w:rsid w:val="00416EAF"/>
    <w:rsid w:val="004212E7"/>
    <w:rsid w:val="00423C88"/>
    <w:rsid w:val="0042446D"/>
    <w:rsid w:val="00427BF8"/>
    <w:rsid w:val="00431C02"/>
    <w:rsid w:val="00436653"/>
    <w:rsid w:val="00437395"/>
    <w:rsid w:val="004378F1"/>
    <w:rsid w:val="00445047"/>
    <w:rsid w:val="00446749"/>
    <w:rsid w:val="00453EB7"/>
    <w:rsid w:val="00463E39"/>
    <w:rsid w:val="004657FC"/>
    <w:rsid w:val="00466CC0"/>
    <w:rsid w:val="00471EF8"/>
    <w:rsid w:val="004733F6"/>
    <w:rsid w:val="00474E69"/>
    <w:rsid w:val="00476CE8"/>
    <w:rsid w:val="00483E9F"/>
    <w:rsid w:val="00485A2C"/>
    <w:rsid w:val="0049621B"/>
    <w:rsid w:val="004A1D19"/>
    <w:rsid w:val="004A345A"/>
    <w:rsid w:val="004B0672"/>
    <w:rsid w:val="004C1895"/>
    <w:rsid w:val="004C6D40"/>
    <w:rsid w:val="004E6AA8"/>
    <w:rsid w:val="004E6BA6"/>
    <w:rsid w:val="004F0C3C"/>
    <w:rsid w:val="004F2280"/>
    <w:rsid w:val="004F23BB"/>
    <w:rsid w:val="004F63FC"/>
    <w:rsid w:val="00505A92"/>
    <w:rsid w:val="005203F1"/>
    <w:rsid w:val="00521BC3"/>
    <w:rsid w:val="005312C4"/>
    <w:rsid w:val="00533632"/>
    <w:rsid w:val="00534013"/>
    <w:rsid w:val="00535562"/>
    <w:rsid w:val="00540C5C"/>
    <w:rsid w:val="00541E6E"/>
    <w:rsid w:val="0054251F"/>
    <w:rsid w:val="005520D8"/>
    <w:rsid w:val="00555CFB"/>
    <w:rsid w:val="00556CF1"/>
    <w:rsid w:val="0055782A"/>
    <w:rsid w:val="005669EA"/>
    <w:rsid w:val="005762A7"/>
    <w:rsid w:val="005767C4"/>
    <w:rsid w:val="0057712E"/>
    <w:rsid w:val="00587CEE"/>
    <w:rsid w:val="005916D7"/>
    <w:rsid w:val="0059427F"/>
    <w:rsid w:val="005A698C"/>
    <w:rsid w:val="005C0CAC"/>
    <w:rsid w:val="005D062E"/>
    <w:rsid w:val="005D66B7"/>
    <w:rsid w:val="005E0799"/>
    <w:rsid w:val="005E10F9"/>
    <w:rsid w:val="005E1200"/>
    <w:rsid w:val="005E65A5"/>
    <w:rsid w:val="005F45EE"/>
    <w:rsid w:val="005F5A80"/>
    <w:rsid w:val="006044FF"/>
    <w:rsid w:val="00607CC5"/>
    <w:rsid w:val="0061179B"/>
    <w:rsid w:val="006125F9"/>
    <w:rsid w:val="00633014"/>
    <w:rsid w:val="0063437B"/>
    <w:rsid w:val="0064017E"/>
    <w:rsid w:val="00653DC3"/>
    <w:rsid w:val="00654BB6"/>
    <w:rsid w:val="00656307"/>
    <w:rsid w:val="006609E2"/>
    <w:rsid w:val="006673CA"/>
    <w:rsid w:val="00673C26"/>
    <w:rsid w:val="00674DE5"/>
    <w:rsid w:val="00676922"/>
    <w:rsid w:val="00677ACA"/>
    <w:rsid w:val="00680119"/>
    <w:rsid w:val="0068034C"/>
    <w:rsid w:val="006812AF"/>
    <w:rsid w:val="0068327D"/>
    <w:rsid w:val="00691278"/>
    <w:rsid w:val="00691534"/>
    <w:rsid w:val="00693880"/>
    <w:rsid w:val="00694AF0"/>
    <w:rsid w:val="00695543"/>
    <w:rsid w:val="006A4686"/>
    <w:rsid w:val="006B0E9E"/>
    <w:rsid w:val="006B486D"/>
    <w:rsid w:val="006B5AE4"/>
    <w:rsid w:val="006C0C7D"/>
    <w:rsid w:val="006C197A"/>
    <w:rsid w:val="006C7574"/>
    <w:rsid w:val="006D1507"/>
    <w:rsid w:val="006D4054"/>
    <w:rsid w:val="006E02EC"/>
    <w:rsid w:val="006E3C4F"/>
    <w:rsid w:val="006E59AF"/>
    <w:rsid w:val="006E6F13"/>
    <w:rsid w:val="006E6F41"/>
    <w:rsid w:val="006E73E6"/>
    <w:rsid w:val="00710BF3"/>
    <w:rsid w:val="007211B1"/>
    <w:rsid w:val="00722B49"/>
    <w:rsid w:val="007236AE"/>
    <w:rsid w:val="007267B0"/>
    <w:rsid w:val="007277DA"/>
    <w:rsid w:val="00731D27"/>
    <w:rsid w:val="007452E9"/>
    <w:rsid w:val="00746187"/>
    <w:rsid w:val="00754C6C"/>
    <w:rsid w:val="00757A8B"/>
    <w:rsid w:val="0076254F"/>
    <w:rsid w:val="00765373"/>
    <w:rsid w:val="00775B55"/>
    <w:rsid w:val="007801F5"/>
    <w:rsid w:val="00783CA4"/>
    <w:rsid w:val="007842FB"/>
    <w:rsid w:val="00786124"/>
    <w:rsid w:val="0079514B"/>
    <w:rsid w:val="00795252"/>
    <w:rsid w:val="007A1874"/>
    <w:rsid w:val="007A2DC1"/>
    <w:rsid w:val="007B0694"/>
    <w:rsid w:val="007B51C5"/>
    <w:rsid w:val="007C023D"/>
    <w:rsid w:val="007C112E"/>
    <w:rsid w:val="007D0869"/>
    <w:rsid w:val="007D14C4"/>
    <w:rsid w:val="007D3319"/>
    <w:rsid w:val="007D335D"/>
    <w:rsid w:val="007D605C"/>
    <w:rsid w:val="007E3314"/>
    <w:rsid w:val="007E3514"/>
    <w:rsid w:val="007E4B03"/>
    <w:rsid w:val="007E54D2"/>
    <w:rsid w:val="007E5A11"/>
    <w:rsid w:val="007E74A3"/>
    <w:rsid w:val="007F324B"/>
    <w:rsid w:val="007F4AFB"/>
    <w:rsid w:val="00803031"/>
    <w:rsid w:val="00803C20"/>
    <w:rsid w:val="0080512C"/>
    <w:rsid w:val="0080553C"/>
    <w:rsid w:val="00805B46"/>
    <w:rsid w:val="00805DB4"/>
    <w:rsid w:val="00821C2D"/>
    <w:rsid w:val="00823593"/>
    <w:rsid w:val="00825DC2"/>
    <w:rsid w:val="00831749"/>
    <w:rsid w:val="00834AD3"/>
    <w:rsid w:val="00843795"/>
    <w:rsid w:val="00847F0F"/>
    <w:rsid w:val="00850B7B"/>
    <w:rsid w:val="00851405"/>
    <w:rsid w:val="00852448"/>
    <w:rsid w:val="00853F3E"/>
    <w:rsid w:val="008643BF"/>
    <w:rsid w:val="008672E0"/>
    <w:rsid w:val="00876660"/>
    <w:rsid w:val="00877F6C"/>
    <w:rsid w:val="0088258A"/>
    <w:rsid w:val="00886332"/>
    <w:rsid w:val="008925F0"/>
    <w:rsid w:val="0089448A"/>
    <w:rsid w:val="00894C23"/>
    <w:rsid w:val="00897877"/>
    <w:rsid w:val="008A26D9"/>
    <w:rsid w:val="008A49D8"/>
    <w:rsid w:val="008A7B5B"/>
    <w:rsid w:val="008B12D2"/>
    <w:rsid w:val="008B1AE6"/>
    <w:rsid w:val="008B4A38"/>
    <w:rsid w:val="008C0C29"/>
    <w:rsid w:val="008D02DA"/>
    <w:rsid w:val="008D075C"/>
    <w:rsid w:val="008D2BA7"/>
    <w:rsid w:val="008D76BC"/>
    <w:rsid w:val="008E7DBA"/>
    <w:rsid w:val="008F0829"/>
    <w:rsid w:val="008F3638"/>
    <w:rsid w:val="008F4441"/>
    <w:rsid w:val="008F6B20"/>
    <w:rsid w:val="008F6F31"/>
    <w:rsid w:val="008F74DF"/>
    <w:rsid w:val="00902274"/>
    <w:rsid w:val="009127BA"/>
    <w:rsid w:val="0091789F"/>
    <w:rsid w:val="00920AAE"/>
    <w:rsid w:val="009227A6"/>
    <w:rsid w:val="00933EC1"/>
    <w:rsid w:val="009349E5"/>
    <w:rsid w:val="00943B74"/>
    <w:rsid w:val="009446AD"/>
    <w:rsid w:val="009530DB"/>
    <w:rsid w:val="00953676"/>
    <w:rsid w:val="00956F30"/>
    <w:rsid w:val="00962B00"/>
    <w:rsid w:val="00963C2D"/>
    <w:rsid w:val="00966C9A"/>
    <w:rsid w:val="009705EE"/>
    <w:rsid w:val="00972783"/>
    <w:rsid w:val="009739BE"/>
    <w:rsid w:val="00977927"/>
    <w:rsid w:val="0098135C"/>
    <w:rsid w:val="0098156A"/>
    <w:rsid w:val="009822D4"/>
    <w:rsid w:val="00982A1A"/>
    <w:rsid w:val="00984DBF"/>
    <w:rsid w:val="00991BAC"/>
    <w:rsid w:val="00992037"/>
    <w:rsid w:val="0099304A"/>
    <w:rsid w:val="0099317A"/>
    <w:rsid w:val="00993AA9"/>
    <w:rsid w:val="00996986"/>
    <w:rsid w:val="009970FF"/>
    <w:rsid w:val="009A00C1"/>
    <w:rsid w:val="009A6760"/>
    <w:rsid w:val="009A6EA0"/>
    <w:rsid w:val="009A77C1"/>
    <w:rsid w:val="009B2073"/>
    <w:rsid w:val="009B3558"/>
    <w:rsid w:val="009C1335"/>
    <w:rsid w:val="009C1AB2"/>
    <w:rsid w:val="009C7251"/>
    <w:rsid w:val="009E2E91"/>
    <w:rsid w:val="009E57BC"/>
    <w:rsid w:val="009E7D31"/>
    <w:rsid w:val="00A01B40"/>
    <w:rsid w:val="00A12DEC"/>
    <w:rsid w:val="00A139F5"/>
    <w:rsid w:val="00A2313A"/>
    <w:rsid w:val="00A25A5F"/>
    <w:rsid w:val="00A32E16"/>
    <w:rsid w:val="00A365F4"/>
    <w:rsid w:val="00A4181D"/>
    <w:rsid w:val="00A47D80"/>
    <w:rsid w:val="00A53132"/>
    <w:rsid w:val="00A54192"/>
    <w:rsid w:val="00A563F2"/>
    <w:rsid w:val="00A566E8"/>
    <w:rsid w:val="00A66347"/>
    <w:rsid w:val="00A70C73"/>
    <w:rsid w:val="00A7392B"/>
    <w:rsid w:val="00A810F9"/>
    <w:rsid w:val="00A81193"/>
    <w:rsid w:val="00A82D31"/>
    <w:rsid w:val="00A83563"/>
    <w:rsid w:val="00A85E7E"/>
    <w:rsid w:val="00A86ECC"/>
    <w:rsid w:val="00A86FCC"/>
    <w:rsid w:val="00A90A6D"/>
    <w:rsid w:val="00A971E5"/>
    <w:rsid w:val="00AA710D"/>
    <w:rsid w:val="00AB4C86"/>
    <w:rsid w:val="00AB64F3"/>
    <w:rsid w:val="00AB6D25"/>
    <w:rsid w:val="00AC17C1"/>
    <w:rsid w:val="00AD0E56"/>
    <w:rsid w:val="00AE229B"/>
    <w:rsid w:val="00AE2D4B"/>
    <w:rsid w:val="00AE4F99"/>
    <w:rsid w:val="00AE54DC"/>
    <w:rsid w:val="00B02675"/>
    <w:rsid w:val="00B11B69"/>
    <w:rsid w:val="00B14952"/>
    <w:rsid w:val="00B16347"/>
    <w:rsid w:val="00B16871"/>
    <w:rsid w:val="00B22C78"/>
    <w:rsid w:val="00B25B45"/>
    <w:rsid w:val="00B31E5A"/>
    <w:rsid w:val="00B37B5D"/>
    <w:rsid w:val="00B47359"/>
    <w:rsid w:val="00B653AB"/>
    <w:rsid w:val="00B65F9E"/>
    <w:rsid w:val="00B66B19"/>
    <w:rsid w:val="00B914E9"/>
    <w:rsid w:val="00B94BC6"/>
    <w:rsid w:val="00B956EE"/>
    <w:rsid w:val="00B97963"/>
    <w:rsid w:val="00BA2BA1"/>
    <w:rsid w:val="00BA3447"/>
    <w:rsid w:val="00BA3562"/>
    <w:rsid w:val="00BB1ECA"/>
    <w:rsid w:val="00BB4F09"/>
    <w:rsid w:val="00BB54B5"/>
    <w:rsid w:val="00BB5EF7"/>
    <w:rsid w:val="00BD4E33"/>
    <w:rsid w:val="00BD5D30"/>
    <w:rsid w:val="00BE2461"/>
    <w:rsid w:val="00BF0D8C"/>
    <w:rsid w:val="00C030DE"/>
    <w:rsid w:val="00C051A8"/>
    <w:rsid w:val="00C0617C"/>
    <w:rsid w:val="00C16800"/>
    <w:rsid w:val="00C22105"/>
    <w:rsid w:val="00C244B6"/>
    <w:rsid w:val="00C27630"/>
    <w:rsid w:val="00C27BF1"/>
    <w:rsid w:val="00C31167"/>
    <w:rsid w:val="00C3702F"/>
    <w:rsid w:val="00C4500A"/>
    <w:rsid w:val="00C456F4"/>
    <w:rsid w:val="00C50004"/>
    <w:rsid w:val="00C60504"/>
    <w:rsid w:val="00C62238"/>
    <w:rsid w:val="00C64A37"/>
    <w:rsid w:val="00C66259"/>
    <w:rsid w:val="00C6765E"/>
    <w:rsid w:val="00C7158E"/>
    <w:rsid w:val="00C7250B"/>
    <w:rsid w:val="00C72714"/>
    <w:rsid w:val="00C7346B"/>
    <w:rsid w:val="00C77C0E"/>
    <w:rsid w:val="00C91687"/>
    <w:rsid w:val="00C924A8"/>
    <w:rsid w:val="00C92EBB"/>
    <w:rsid w:val="00C945FE"/>
    <w:rsid w:val="00C96FAA"/>
    <w:rsid w:val="00C97A04"/>
    <w:rsid w:val="00CA107B"/>
    <w:rsid w:val="00CA484D"/>
    <w:rsid w:val="00CA4FB6"/>
    <w:rsid w:val="00CA784C"/>
    <w:rsid w:val="00CB2F90"/>
    <w:rsid w:val="00CB4AAE"/>
    <w:rsid w:val="00CB6AD4"/>
    <w:rsid w:val="00CB7081"/>
    <w:rsid w:val="00CC739E"/>
    <w:rsid w:val="00CD1EBB"/>
    <w:rsid w:val="00CD28CF"/>
    <w:rsid w:val="00CD58B7"/>
    <w:rsid w:val="00CD6B04"/>
    <w:rsid w:val="00CD7967"/>
    <w:rsid w:val="00CF18EE"/>
    <w:rsid w:val="00CF30BD"/>
    <w:rsid w:val="00CF4099"/>
    <w:rsid w:val="00D00796"/>
    <w:rsid w:val="00D01A94"/>
    <w:rsid w:val="00D141C8"/>
    <w:rsid w:val="00D261A2"/>
    <w:rsid w:val="00D264B8"/>
    <w:rsid w:val="00D54DF3"/>
    <w:rsid w:val="00D616D2"/>
    <w:rsid w:val="00D62D37"/>
    <w:rsid w:val="00D63B5F"/>
    <w:rsid w:val="00D70EF7"/>
    <w:rsid w:val="00D82FEA"/>
    <w:rsid w:val="00D8397C"/>
    <w:rsid w:val="00D94EED"/>
    <w:rsid w:val="00D96026"/>
    <w:rsid w:val="00D96DAE"/>
    <w:rsid w:val="00D972F6"/>
    <w:rsid w:val="00DA331D"/>
    <w:rsid w:val="00DA77AD"/>
    <w:rsid w:val="00DA7C1C"/>
    <w:rsid w:val="00DB147A"/>
    <w:rsid w:val="00DB1B7A"/>
    <w:rsid w:val="00DB706E"/>
    <w:rsid w:val="00DC6708"/>
    <w:rsid w:val="00DD011A"/>
    <w:rsid w:val="00DD7DCE"/>
    <w:rsid w:val="00DE0E4A"/>
    <w:rsid w:val="00DE1D0A"/>
    <w:rsid w:val="00DE2400"/>
    <w:rsid w:val="00DE58F1"/>
    <w:rsid w:val="00DE6B58"/>
    <w:rsid w:val="00DF0C53"/>
    <w:rsid w:val="00DF5E32"/>
    <w:rsid w:val="00E01436"/>
    <w:rsid w:val="00E03E79"/>
    <w:rsid w:val="00E045BD"/>
    <w:rsid w:val="00E04D6C"/>
    <w:rsid w:val="00E06C92"/>
    <w:rsid w:val="00E10F68"/>
    <w:rsid w:val="00E11675"/>
    <w:rsid w:val="00E150EF"/>
    <w:rsid w:val="00E17B77"/>
    <w:rsid w:val="00E21466"/>
    <w:rsid w:val="00E231AB"/>
    <w:rsid w:val="00E23337"/>
    <w:rsid w:val="00E259EA"/>
    <w:rsid w:val="00E25D33"/>
    <w:rsid w:val="00E32061"/>
    <w:rsid w:val="00E33F48"/>
    <w:rsid w:val="00E36D14"/>
    <w:rsid w:val="00E42FF9"/>
    <w:rsid w:val="00E44790"/>
    <w:rsid w:val="00E4714C"/>
    <w:rsid w:val="00E5178D"/>
    <w:rsid w:val="00E51AEB"/>
    <w:rsid w:val="00E522A7"/>
    <w:rsid w:val="00E5349E"/>
    <w:rsid w:val="00E54452"/>
    <w:rsid w:val="00E63B0C"/>
    <w:rsid w:val="00E664C5"/>
    <w:rsid w:val="00E671A2"/>
    <w:rsid w:val="00E72028"/>
    <w:rsid w:val="00E722D3"/>
    <w:rsid w:val="00E76BFE"/>
    <w:rsid w:val="00E76D26"/>
    <w:rsid w:val="00E76EE5"/>
    <w:rsid w:val="00E83DD3"/>
    <w:rsid w:val="00E86412"/>
    <w:rsid w:val="00E95036"/>
    <w:rsid w:val="00E95B8E"/>
    <w:rsid w:val="00EA1627"/>
    <w:rsid w:val="00EB1390"/>
    <w:rsid w:val="00EB2C71"/>
    <w:rsid w:val="00EB3333"/>
    <w:rsid w:val="00EB4340"/>
    <w:rsid w:val="00EB556D"/>
    <w:rsid w:val="00EB5A7D"/>
    <w:rsid w:val="00EC1E80"/>
    <w:rsid w:val="00ED020C"/>
    <w:rsid w:val="00ED55C0"/>
    <w:rsid w:val="00ED682B"/>
    <w:rsid w:val="00ED6FCE"/>
    <w:rsid w:val="00EE41D5"/>
    <w:rsid w:val="00EE5E8A"/>
    <w:rsid w:val="00EF1100"/>
    <w:rsid w:val="00F0166F"/>
    <w:rsid w:val="00F02491"/>
    <w:rsid w:val="00F037A4"/>
    <w:rsid w:val="00F049AB"/>
    <w:rsid w:val="00F10678"/>
    <w:rsid w:val="00F142DB"/>
    <w:rsid w:val="00F14E67"/>
    <w:rsid w:val="00F16709"/>
    <w:rsid w:val="00F231F2"/>
    <w:rsid w:val="00F27C8F"/>
    <w:rsid w:val="00F32749"/>
    <w:rsid w:val="00F33B19"/>
    <w:rsid w:val="00F37172"/>
    <w:rsid w:val="00F37D85"/>
    <w:rsid w:val="00F4477E"/>
    <w:rsid w:val="00F45D7D"/>
    <w:rsid w:val="00F46269"/>
    <w:rsid w:val="00F60607"/>
    <w:rsid w:val="00F60637"/>
    <w:rsid w:val="00F60BA8"/>
    <w:rsid w:val="00F60C9F"/>
    <w:rsid w:val="00F67D8F"/>
    <w:rsid w:val="00F71185"/>
    <w:rsid w:val="00F802BE"/>
    <w:rsid w:val="00F80E93"/>
    <w:rsid w:val="00F83F43"/>
    <w:rsid w:val="00F84069"/>
    <w:rsid w:val="00F86024"/>
    <w:rsid w:val="00F8611A"/>
    <w:rsid w:val="00FA4D6D"/>
    <w:rsid w:val="00FA5128"/>
    <w:rsid w:val="00FA739F"/>
    <w:rsid w:val="00FB42D4"/>
    <w:rsid w:val="00FB5906"/>
    <w:rsid w:val="00FB6000"/>
    <w:rsid w:val="00FB762F"/>
    <w:rsid w:val="00FC267E"/>
    <w:rsid w:val="00FC2AED"/>
    <w:rsid w:val="00FD5EA7"/>
    <w:rsid w:val="00FE36CF"/>
    <w:rsid w:val="00FE5114"/>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98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2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6586616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2691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7512784226"/>
          <c:y val="9.4962030483315432E-2"/>
          <c:w val="0.51059145594161881"/>
          <c:h val="0.77274127159702544"/>
        </c:manualLayout>
      </c:layout>
      <c:barChart>
        <c:barDir val="bar"/>
        <c:grouping val="clustered"/>
        <c:varyColors val="0"/>
        <c:ser>
          <c:idx val="0"/>
          <c:order val="0"/>
          <c:spPr>
            <a:solidFill>
              <a:srgbClr val="001D77"/>
            </a:solidFill>
            <a:ln>
              <a:noFill/>
            </a:ln>
            <a:effectLst/>
          </c:spPr>
          <c:invertIfNegative val="0"/>
          <c:dLbls>
            <c:dLbl>
              <c:idx val="3"/>
              <c:layout>
                <c:manualLayout>
                  <c:x val="1.5750833322484797E-3"/>
                  <c:y val="-3.83153101925997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6A-406A-9BFB-5E95C212164C}"/>
                </c:ext>
              </c:extLst>
            </c:dLbl>
            <c:dLbl>
              <c:idx val="13"/>
              <c:layout>
                <c:manualLayout>
                  <c:x val="-7.4377091855709352E-3"/>
                  <c:y val="1.3046314416177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6A-406A-9BFB-5E95C212164C}"/>
                </c:ext>
              </c:extLst>
            </c:dLbl>
            <c:dLbl>
              <c:idx val="14"/>
              <c:layout>
                <c:manualLayout>
                  <c:x val="-6.9340532879653503E-3"/>
                  <c:y val="1.45937237297392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6A-406A-9BFB-5E95C212164C}"/>
                </c:ext>
              </c:extLst>
            </c:dLbl>
            <c:dLbl>
              <c:idx val="15"/>
              <c:layout>
                <c:manualLayout>
                  <c:x val="-7.872926217908598E-3"/>
                  <c:y val="5.88138891151912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6A-406A-9BFB-5E95C212164C}"/>
                </c:ext>
              </c:extLst>
            </c:dLbl>
            <c:dLbl>
              <c:idx val="18"/>
              <c:layout>
                <c:manualLayout>
                  <c:x val="-7.8729369960469087E-3"/>
                  <c:y val="-1.009727074140856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6A-406A-9BFB-5E95C212164C}"/>
                </c:ext>
              </c:extLst>
            </c:dLbl>
            <c:dLbl>
              <c:idx val="19"/>
              <c:layout>
                <c:manualLayout>
                  <c:x val="2.4796651967599734E-7"/>
                  <c:y val="7.159423507845388E-3"/>
                </c:manualLayout>
              </c:layout>
              <c:showLegendKey val="0"/>
              <c:showVal val="1"/>
              <c:showCatName val="0"/>
              <c:showSerName val="0"/>
              <c:showPercent val="0"/>
              <c:showBubbleSize val="0"/>
              <c:extLst>
                <c:ext xmlns:c15="http://schemas.microsoft.com/office/drawing/2012/chart" uri="{CE6537A1-D6FC-4f65-9D91-7224C49458BB}">
                  <c15:layout>
                    <c:manualLayout>
                      <c:w val="3.9939347389315497E-2"/>
                      <c:h val="4.0186879005254826E-2"/>
                    </c:manualLayout>
                  </c15:layout>
                </c:ext>
                <c:ext xmlns:c16="http://schemas.microsoft.com/office/drawing/2014/chart" uri="{C3380CC4-5D6E-409C-BE32-E72D297353CC}">
                  <c16:uniqueId val="{00000004-316A-406A-9BFB-5E95C212164C}"/>
                </c:ext>
              </c:extLst>
            </c:dLbl>
            <c:dLbl>
              <c:idx val="21"/>
              <c:layout>
                <c:manualLayout>
                  <c:x val="3.7194977934079342E-7"/>
                  <c:y val="-1.43676353942558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6A-406A-9BFB-5E95C212164C}"/>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1'!$C$5:$C$26</c:f>
              <c:strCache>
                <c:ptCount val="22"/>
                <c:pt idx="0">
                  <c:v>manufacture of wearing apparel</c:v>
                </c:pt>
                <c:pt idx="1">
                  <c:v>printing  and reproduction of recorded media </c:v>
                </c:pt>
                <c:pt idx="2">
                  <c:v>manufacture of metal products</c:v>
                </c:pt>
                <c:pt idx="3">
                  <c:v>manufacture of furniture</c:v>
                </c:pt>
                <c:pt idx="4">
                  <c:v>manufacture of leather and related products</c:v>
                </c:pt>
                <c:pt idx="5">
                  <c:v>manufacture of products of wood, cork, straw and wicker </c:v>
                </c:pt>
                <c:pt idx="6">
                  <c:v>manufacture of rubber and plastic products</c:v>
                </c:pt>
                <c:pt idx="7">
                  <c:v>manufacture of computer, electronic and optical products</c:v>
                </c:pt>
                <c:pt idx="8">
                  <c:v>manufacture of machinery and equipment </c:v>
                </c:pt>
                <c:pt idx="9">
                  <c:v>manufacture of beverages</c:v>
                </c:pt>
                <c:pt idx="10">
                  <c:v>manufacture of chemicals and chemical products</c:v>
                </c:pt>
                <c:pt idx="11">
                  <c:v>manufacture of other non-metallic mineral products</c:v>
                </c:pt>
                <c:pt idx="12">
                  <c:v>manufacture of basic metals</c:v>
                </c:pt>
                <c:pt idx="13">
                  <c:v>manufacture of textiles </c:v>
                </c:pt>
                <c:pt idx="14">
                  <c:v>manufacture of coke and refined petroleum products</c:v>
                </c:pt>
                <c:pt idx="15">
                  <c:v>manufacture of motor vehicles, trailers and semi-trailers</c:v>
                </c:pt>
                <c:pt idx="16">
                  <c:v>manufacture of food products </c:v>
                </c:pt>
                <c:pt idx="17">
                  <c:v>manufacture of electrical equipment</c:v>
                </c:pt>
                <c:pt idx="18">
                  <c:v>manufacture of tobacco products </c:v>
                </c:pt>
                <c:pt idx="19">
                  <c:v>manufacture of other transport equipment</c:v>
                </c:pt>
                <c:pt idx="20">
                  <c:v>manufacture of pharmaceutical products </c:v>
                </c:pt>
                <c:pt idx="21">
                  <c:v>manufacture of paper and paper products</c:v>
                </c:pt>
              </c:strCache>
            </c:strRef>
          </c:cat>
          <c:val>
            <c:numRef>
              <c:f>'Wykres 1'!$E$5:$E$26</c:f>
              <c:numCache>
                <c:formatCode>0.0</c:formatCode>
                <c:ptCount val="22"/>
                <c:pt idx="0">
                  <c:v>-0.4</c:v>
                </c:pt>
                <c:pt idx="1">
                  <c:v>-0.4</c:v>
                </c:pt>
                <c:pt idx="2">
                  <c:v>-0.2</c:v>
                </c:pt>
                <c:pt idx="3">
                  <c:v>-0.2</c:v>
                </c:pt>
                <c:pt idx="4">
                  <c:v>-0.1</c:v>
                </c:pt>
                <c:pt idx="5">
                  <c:v>-0.1</c:v>
                </c:pt>
                <c:pt idx="6">
                  <c:v>0</c:v>
                </c:pt>
                <c:pt idx="7">
                  <c:v>0</c:v>
                </c:pt>
                <c:pt idx="8">
                  <c:v>0</c:v>
                </c:pt>
                <c:pt idx="9">
                  <c:v>0.1</c:v>
                </c:pt>
                <c:pt idx="10">
                  <c:v>0.1</c:v>
                </c:pt>
                <c:pt idx="11">
                  <c:v>0.1</c:v>
                </c:pt>
                <c:pt idx="12">
                  <c:v>0.1</c:v>
                </c:pt>
                <c:pt idx="13">
                  <c:v>0.2</c:v>
                </c:pt>
                <c:pt idx="14">
                  <c:v>0.2</c:v>
                </c:pt>
                <c:pt idx="15">
                  <c:v>0.2</c:v>
                </c:pt>
                <c:pt idx="16">
                  <c:v>0.4</c:v>
                </c:pt>
                <c:pt idx="17">
                  <c:v>0.4</c:v>
                </c:pt>
                <c:pt idx="18">
                  <c:v>0.5</c:v>
                </c:pt>
                <c:pt idx="19">
                  <c:v>0.5</c:v>
                </c:pt>
                <c:pt idx="20">
                  <c:v>0.7</c:v>
                </c:pt>
                <c:pt idx="21">
                  <c:v>1.1000000000000001</c:v>
                </c:pt>
              </c:numCache>
            </c:numRef>
          </c:val>
          <c:extLst>
            <c:ext xmlns:c16="http://schemas.microsoft.com/office/drawing/2014/chart" uri="{C3380CC4-5D6E-409C-BE32-E72D297353CC}">
              <c16:uniqueId val="{00000006-316A-406A-9BFB-5E95C212164C}"/>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1.4"/>
          <c:min val="-0.8"/>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01731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3658775775"/>
          <c:y val="8.921479693454902E-2"/>
          <c:w val="0.49169642286765991"/>
          <c:h val="0.77274127159702544"/>
        </c:manualLayout>
      </c:layout>
      <c:barChart>
        <c:barDir val="bar"/>
        <c:grouping val="clustered"/>
        <c:varyColors val="0"/>
        <c:ser>
          <c:idx val="0"/>
          <c:order val="0"/>
          <c:spPr>
            <a:solidFill>
              <a:srgbClr val="001D77"/>
            </a:solidFill>
            <a:ln>
              <a:noFill/>
            </a:ln>
            <a:effectLst/>
          </c:spPr>
          <c:invertIfNegative val="0"/>
          <c:dLbls>
            <c:dLbl>
              <c:idx val="21"/>
              <c:layout>
                <c:manualLayout>
                  <c:x val="-9.7252613663991322E-3"/>
                  <c:y val="-9.9076532358132242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5C-40FE-91E4-78467A4754C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2'!$C$5:$C$26</c:f>
              <c:strCache>
                <c:ptCount val="22"/>
                <c:pt idx="0">
                  <c:v>manufacture of tobacco products </c:v>
                </c:pt>
                <c:pt idx="1">
                  <c:v>manufacture of leather and related products</c:v>
                </c:pt>
                <c:pt idx="2">
                  <c:v>manufacture of other transport equipment</c:v>
                </c:pt>
                <c:pt idx="3">
                  <c:v>manufacture of wearing apparel</c:v>
                </c:pt>
                <c:pt idx="4">
                  <c:v>manufacture of pharmaceutical products </c:v>
                </c:pt>
                <c:pt idx="5">
                  <c:v>manufacture of beverages</c:v>
                </c:pt>
                <c:pt idx="6">
                  <c:v>manufacture of machinery and equipment </c:v>
                </c:pt>
                <c:pt idx="7">
                  <c:v>manufacture of textiles </c:v>
                </c:pt>
                <c:pt idx="8">
                  <c:v>manufacture of computer, electronic and optical products</c:v>
                </c:pt>
                <c:pt idx="9">
                  <c:v>manufacture of electrical equipment</c:v>
                </c:pt>
                <c:pt idx="10">
                  <c:v>manufacture of coke and refined petroleum products</c:v>
                </c:pt>
                <c:pt idx="11">
                  <c:v>manufacture of food products </c:v>
                </c:pt>
                <c:pt idx="12">
                  <c:v>manufacture of chemicals and chemical products</c:v>
                </c:pt>
                <c:pt idx="13">
                  <c:v>manufacture of printing  and reproduction of recorded media </c:v>
                </c:pt>
                <c:pt idx="14">
                  <c:v>manufacture of motor vehicles, trailers  and semi-trailers</c:v>
                </c:pt>
                <c:pt idx="15">
                  <c:v>manufacture of furniture</c:v>
                </c:pt>
                <c:pt idx="16">
                  <c:v>manufacture of other non-metallic mineral products</c:v>
                </c:pt>
                <c:pt idx="17">
                  <c:v>manufacture of metal products</c:v>
                </c:pt>
                <c:pt idx="18">
                  <c:v>manufacture of rubber and plastic products</c:v>
                </c:pt>
                <c:pt idx="19">
                  <c:v>manufacture of paper and paper products</c:v>
                </c:pt>
                <c:pt idx="20">
                  <c:v>manufacture of basic metals</c:v>
                </c:pt>
                <c:pt idx="21">
                  <c:v>manufacture of products of wood, cork, straw and wicker </c:v>
                </c:pt>
              </c:strCache>
            </c:strRef>
          </c:cat>
          <c:val>
            <c:numRef>
              <c:f>'Wykres 2'!$E$5:$E$26</c:f>
              <c:numCache>
                <c:formatCode>0.0</c:formatCode>
                <c:ptCount val="22"/>
                <c:pt idx="0">
                  <c:v>7.3</c:v>
                </c:pt>
                <c:pt idx="1">
                  <c:v>3.9</c:v>
                </c:pt>
                <c:pt idx="2">
                  <c:v>2.6</c:v>
                </c:pt>
                <c:pt idx="3">
                  <c:v>2.2999999999999998</c:v>
                </c:pt>
                <c:pt idx="4">
                  <c:v>0.7</c:v>
                </c:pt>
                <c:pt idx="5">
                  <c:v>0.3</c:v>
                </c:pt>
                <c:pt idx="6">
                  <c:v>-1.2</c:v>
                </c:pt>
                <c:pt idx="7">
                  <c:v>-1.4</c:v>
                </c:pt>
                <c:pt idx="8">
                  <c:v>-1.9</c:v>
                </c:pt>
                <c:pt idx="9">
                  <c:v>-4.2</c:v>
                </c:pt>
                <c:pt idx="10">
                  <c:v>-4.7</c:v>
                </c:pt>
                <c:pt idx="11">
                  <c:v>-4.8</c:v>
                </c:pt>
                <c:pt idx="12">
                  <c:v>-4.9000000000000004</c:v>
                </c:pt>
                <c:pt idx="13">
                  <c:v>-5.4</c:v>
                </c:pt>
                <c:pt idx="14">
                  <c:v>-5.4</c:v>
                </c:pt>
                <c:pt idx="15">
                  <c:v>-5.6</c:v>
                </c:pt>
                <c:pt idx="16">
                  <c:v>-6.1</c:v>
                </c:pt>
                <c:pt idx="17">
                  <c:v>-6.5</c:v>
                </c:pt>
                <c:pt idx="18">
                  <c:v>-8</c:v>
                </c:pt>
                <c:pt idx="19">
                  <c:v>-8.1999999999999993</c:v>
                </c:pt>
                <c:pt idx="20">
                  <c:v>-9.6</c:v>
                </c:pt>
                <c:pt idx="21">
                  <c:v>-11.1</c:v>
                </c:pt>
              </c:numCache>
            </c:numRef>
          </c:val>
          <c:extLst>
            <c:ext xmlns:c16="http://schemas.microsoft.com/office/drawing/2014/chart" uri="{C3380CC4-5D6E-409C-BE32-E72D297353CC}">
              <c16:uniqueId val="{00000000-F95C-40FE-91E4-78467A4754CE}"/>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8"/>
          <c:min val="-12"/>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mn-lt"/>
                <a:ea typeface="+mn-ea"/>
                <a:cs typeface="+mn-cs"/>
              </a:defRPr>
            </a:pPr>
            <a:endParaRPr lang="pl-PL"/>
          </a:p>
        </c:txPr>
        <c:crossAx val="689017312"/>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CF-40A1-B71B-A60F443F0D5B}"/>
                </c:ext>
              </c:extLst>
            </c:dLbl>
            <c:dLbl>
              <c:idx val="1"/>
              <c:layout>
                <c:manualLayout>
                  <c:x val="-2.9191600481971804E-2"/>
                  <c:y val="2.7106693765044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CF-40A1-B71B-A60F443F0D5B}"/>
                </c:ext>
              </c:extLst>
            </c:dLbl>
            <c:dLbl>
              <c:idx val="2"/>
              <c:layout>
                <c:manualLayout>
                  <c:x val="-4.6054061018497662E-2"/>
                  <c:y val="4.70428816097029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CF-40A1-B71B-A60F443F0D5B}"/>
                </c:ext>
              </c:extLst>
            </c:dLbl>
            <c:dLbl>
              <c:idx val="3"/>
              <c:layout>
                <c:manualLayout>
                  <c:x val="-4.0078515659696501E-2"/>
                  <c:y val="5.60354169135150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CF-40A1-B71B-A60F443F0D5B}"/>
                </c:ext>
              </c:extLst>
            </c:dLbl>
            <c:dLbl>
              <c:idx val="4"/>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CF-40A1-B71B-A60F443F0D5B}"/>
                </c:ext>
              </c:extLst>
            </c:dLbl>
            <c:dLbl>
              <c:idx val="5"/>
              <c:layout>
                <c:manualLayout>
                  <c:x val="-5.4159418423172519E-2"/>
                  <c:y val="-3.6617596067362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CF-40A1-B71B-A60F443F0D5B}"/>
                </c:ext>
              </c:extLst>
            </c:dLbl>
            <c:dLbl>
              <c:idx val="9"/>
              <c:layout>
                <c:manualLayout>
                  <c:x val="-5.5937518401671889E-2"/>
                  <c:y val="2.0448787414241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CF-40A1-B71B-A60F443F0D5B}"/>
                </c:ext>
              </c:extLst>
            </c:dLbl>
            <c:dLbl>
              <c:idx val="10"/>
              <c:layout>
                <c:manualLayout>
                  <c:x val="-2.8297380178919983E-2"/>
                  <c:y val="-3.6617596067362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CF-40A1-B71B-A60F443F0D5B}"/>
                </c:ext>
              </c:extLst>
            </c:dLbl>
            <c:dLbl>
              <c:idx val="11"/>
              <c:layout>
                <c:manualLayout>
                  <c:x val="-3.4762889739982997E-2"/>
                  <c:y val="-3.1862064110561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CF-40A1-B71B-A60F443F0D5B}"/>
                </c:ext>
              </c:extLst>
            </c:dLbl>
            <c:dLbl>
              <c:idx val="12"/>
              <c:layout>
                <c:manualLayout>
                  <c:x val="-4.5374125556730191E-2"/>
                  <c:y val="-5.0884022534119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CF-40A1-B71B-A60F443F0D5B}"/>
                </c:ext>
              </c:extLst>
            </c:dLbl>
            <c:dLbl>
              <c:idx val="14"/>
              <c:layout>
                <c:manualLayout>
                  <c:x val="-7.3262411555194669E-3"/>
                  <c:y val="1.8057455540355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CCF-40A1-B71B-A60F443F0D5B}"/>
                </c:ext>
              </c:extLst>
            </c:dLbl>
            <c:dLbl>
              <c:idx val="16"/>
              <c:layout>
                <c:manualLayout>
                  <c:x val="-3.4585347712904425E-2"/>
                  <c:y val="3.9945280437756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CCF-40A1-B71B-A60F443F0D5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3'!$A$18:$A$35</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'Wykres 3'!$B$18:$B$35</c:f>
              <c:numCache>
                <c:formatCode>0.0</c:formatCode>
                <c:ptCount val="18"/>
                <c:pt idx="0">
                  <c:v>2.1</c:v>
                </c:pt>
                <c:pt idx="1">
                  <c:v>-0.5</c:v>
                </c:pt>
                <c:pt idx="2" formatCode="General">
                  <c:v>-0.6</c:v>
                </c:pt>
                <c:pt idx="3" formatCode="General">
                  <c:v>-1.3</c:v>
                </c:pt>
                <c:pt idx="4" formatCode="General">
                  <c:v>-1.9</c:v>
                </c:pt>
                <c:pt idx="5" formatCode="General">
                  <c:v>-0.8</c:v>
                </c:pt>
                <c:pt idx="6" formatCode="General">
                  <c:v>-1.1000000000000001</c:v>
                </c:pt>
                <c:pt idx="7" formatCode="General">
                  <c:v>-0.1</c:v>
                </c:pt>
                <c:pt idx="8" formatCode="General">
                  <c:v>0.3</c:v>
                </c:pt>
                <c:pt idx="9" formatCode="General">
                  <c:v>-0.6</c:v>
                </c:pt>
                <c:pt idx="10" formatCode="General">
                  <c:v>-1.2</c:v>
                </c:pt>
                <c:pt idx="11" formatCode="General">
                  <c:v>-1.4</c:v>
                </c:pt>
                <c:pt idx="12" formatCode="General">
                  <c:v>-1.9</c:v>
                </c:pt>
                <c:pt idx="13" formatCode="General">
                  <c:v>0.1</c:v>
                </c:pt>
                <c:pt idx="14" formatCode="General">
                  <c:v>-0.5</c:v>
                </c:pt>
                <c:pt idx="15" formatCode="General">
                  <c:v>0.3</c:v>
                </c:pt>
                <c:pt idx="16" formatCode="General">
                  <c:v>-0.3</c:v>
                </c:pt>
                <c:pt idx="17" formatCode="General">
                  <c:v>0.1</c:v>
                </c:pt>
              </c:numCache>
            </c:numRef>
          </c:val>
          <c:smooth val="0"/>
          <c:extLst>
            <c:ext xmlns:c16="http://schemas.microsoft.com/office/drawing/2014/chart" uri="{C3380CC4-5D6E-409C-BE32-E72D297353CC}">
              <c16:uniqueId val="{0000000C-3CCF-40A1-B71B-A60F443F0D5B}"/>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LblSkip val="1"/>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05-4724-9A48-779BCE415831}"/>
                </c:ext>
              </c:extLst>
            </c:dLbl>
            <c:dLbl>
              <c:idx val="1"/>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05-4724-9A48-779BCE415831}"/>
                </c:ext>
              </c:extLst>
            </c:dLbl>
            <c:dLbl>
              <c:idx val="2"/>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05-4724-9A48-779BCE415831}"/>
                </c:ext>
              </c:extLst>
            </c:dLbl>
            <c:dLbl>
              <c:idx val="3"/>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05-4724-9A48-779BCE415831}"/>
                </c:ext>
              </c:extLst>
            </c:dLbl>
            <c:dLbl>
              <c:idx val="4"/>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05-4724-9A48-779BCE415831}"/>
                </c:ext>
              </c:extLst>
            </c:dLbl>
            <c:dLbl>
              <c:idx val="6"/>
              <c:layout>
                <c:manualLayout>
                  <c:x val="-1.1834242279359874E-2"/>
                  <c:y val="-2.3906719543204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05-4724-9A48-779BCE415831}"/>
                </c:ext>
              </c:extLst>
            </c:dLbl>
            <c:dLbl>
              <c:idx val="7"/>
              <c:layout>
                <c:manualLayout>
                  <c:x val="-2.4884115717028241E-2"/>
                  <c:y val="-3.5457501133283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605-4724-9A48-779BCE415831}"/>
                </c:ext>
              </c:extLst>
            </c:dLbl>
            <c:dLbl>
              <c:idx val="8"/>
              <c:layout>
                <c:manualLayout>
                  <c:x val="-2.5995922912858061E-2"/>
                  <c:y val="-3.1644866602822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05-4724-9A48-779BCE415831}"/>
                </c:ext>
              </c:extLst>
            </c:dLbl>
            <c:dLbl>
              <c:idx val="17"/>
              <c:layout>
                <c:manualLayout>
                  <c:x val="-1.580522962707032E-2"/>
                  <c:y val="-4.60054415038337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605-4724-9A48-779BCE415831}"/>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4'!$A$18:$A$35</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'Wykres 4'!$B$18:$B$35</c:f>
              <c:numCache>
                <c:formatCode>0.0</c:formatCode>
                <c:ptCount val="18"/>
                <c:pt idx="0">
                  <c:v>20.100000000000001</c:v>
                </c:pt>
                <c:pt idx="1">
                  <c:v>18.2</c:v>
                </c:pt>
                <c:pt idx="2">
                  <c:v>10.3</c:v>
                </c:pt>
                <c:pt idx="3">
                  <c:v>6.2</c:v>
                </c:pt>
                <c:pt idx="4">
                  <c:v>2.8</c:v>
                </c:pt>
                <c:pt idx="5">
                  <c:v>0.3</c:v>
                </c:pt>
                <c:pt idx="6">
                  <c:v>-2.1</c:v>
                </c:pt>
                <c:pt idx="7">
                  <c:v>-2.9</c:v>
                </c:pt>
                <c:pt idx="8">
                  <c:v>-2.7</c:v>
                </c:pt>
                <c:pt idx="9">
                  <c:v>-4.2</c:v>
                </c:pt>
                <c:pt idx="10">
                  <c:v>-5.0999999999999996</c:v>
                </c:pt>
                <c:pt idx="11">
                  <c:v>-6.9</c:v>
                </c:pt>
                <c:pt idx="12">
                  <c:v>-10.6</c:v>
                </c:pt>
                <c:pt idx="13">
                  <c:v>-10</c:v>
                </c:pt>
                <c:pt idx="14">
                  <c:v>-9.9</c:v>
                </c:pt>
                <c:pt idx="15">
                  <c:v>-8.5</c:v>
                </c:pt>
                <c:pt idx="16">
                  <c:v>-9.1999999999999993</c:v>
                </c:pt>
                <c:pt idx="17">
                  <c:v>-6.1</c:v>
                </c:pt>
              </c:numCache>
            </c:numRef>
          </c:val>
          <c:smooth val="0"/>
          <c:extLst>
            <c:ext xmlns:c16="http://schemas.microsoft.com/office/drawing/2014/chart" uri="{C3380CC4-5D6E-409C-BE32-E72D297353CC}">
              <c16:uniqueId val="{00000009-6605-4724-9A48-779BCE415831}"/>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'Wykres 5 pol ang'!$B$2</c:f>
              <c:strCache>
                <c:ptCount val="1"/>
                <c:pt idx="0">
                  <c:v> prices of sold production</c:v>
                </c:pt>
              </c:strCache>
            </c:strRef>
          </c:tx>
          <c:spPr>
            <a:solidFill>
              <a:srgbClr val="001D77"/>
            </a:solidFill>
            <a:ln w="12700">
              <a:solidFill>
                <a:srgbClr val="001D77"/>
              </a:solidFill>
              <a:prstDash val="solid"/>
            </a:ln>
          </c:spPr>
          <c:invertIfNegative val="0"/>
          <c:dLbls>
            <c:dLbl>
              <c:idx val="17"/>
              <c:layout>
                <c:manualLayout>
                  <c:x val="7.5825004953592401E-2"/>
                  <c:y val="6.0250567196049723E-2"/>
                </c:manualLayout>
              </c:layout>
              <c:spPr>
                <a:noFill/>
                <a:ln>
                  <a:noFill/>
                </a:ln>
                <a:effectLst/>
              </c:spPr>
              <c:txPr>
                <a:bodyPr wrap="square" lIns="38100" tIns="19050" rIns="38100" bIns="19050" anchor="ctr">
                  <a:no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5.7667038552125946E-2"/>
                      <c:h val="5.9322033898305086E-2"/>
                    </c:manualLayout>
                  </c15:layout>
                </c:ext>
                <c:ext xmlns:c16="http://schemas.microsoft.com/office/drawing/2014/chart" uri="{C3380CC4-5D6E-409C-BE32-E72D297353CC}">
                  <c16:uniqueId val="{00000000-269B-4B51-B78E-343B516C317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ang'!$A$8:$A$25</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'Wykres 5 pol ang'!$B$8:$B$25</c:f>
              <c:numCache>
                <c:formatCode>0.0</c:formatCode>
                <c:ptCount val="18"/>
                <c:pt idx="0">
                  <c:v>2.0999999999999943</c:v>
                </c:pt>
                <c:pt idx="1">
                  <c:v>1.5999999999999943</c:v>
                </c:pt>
                <c:pt idx="2">
                  <c:v>1</c:v>
                </c:pt>
                <c:pt idx="3" formatCode="General">
                  <c:v>-0.29999999999999716</c:v>
                </c:pt>
                <c:pt idx="4" formatCode="General">
                  <c:v>-2.2000000000000028</c:v>
                </c:pt>
                <c:pt idx="5">
                  <c:v>-3</c:v>
                </c:pt>
                <c:pt idx="6" formatCode="General">
                  <c:v>-4.0999999999999943</c:v>
                </c:pt>
                <c:pt idx="7" formatCode="General">
                  <c:v>-4.2000000000000028</c:v>
                </c:pt>
                <c:pt idx="8" formatCode="General">
                  <c:v>-3.9000000000000057</c:v>
                </c:pt>
                <c:pt idx="9">
                  <c:v>-4.5</c:v>
                </c:pt>
                <c:pt idx="10">
                  <c:v>-5.5999999999999943</c:v>
                </c:pt>
                <c:pt idx="11" formatCode="General">
                  <c:v>-6.9000000000000057</c:v>
                </c:pt>
                <c:pt idx="12" formatCode="General">
                  <c:v>-8.7000000000000028</c:v>
                </c:pt>
                <c:pt idx="13">
                  <c:v>-8.6</c:v>
                </c:pt>
                <c:pt idx="14">
                  <c:v>-9.1</c:v>
                </c:pt>
                <c:pt idx="15" formatCode="General">
                  <c:v>-8.7999999999999972</c:v>
                </c:pt>
                <c:pt idx="16" formatCode="General">
                  <c:v>-9.0999999999999943</c:v>
                </c:pt>
                <c:pt idx="17">
                  <c:v>-9</c:v>
                </c:pt>
              </c:numCache>
            </c:numRef>
          </c:val>
          <c:extLst>
            <c:ext xmlns:c16="http://schemas.microsoft.com/office/drawing/2014/chart" uri="{C3380CC4-5D6E-409C-BE32-E72D297353CC}">
              <c16:uniqueId val="{00000001-269B-4B51-B78E-343B516C3177}"/>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'Wykres 5 pol ang'!$C$2</c:f>
              <c:strCache>
                <c:ptCount val="1"/>
                <c:pt idx="0">
                  <c:v> mining and quarrying</c:v>
                </c:pt>
              </c:strCache>
            </c:strRef>
          </c:tx>
          <c:spPr>
            <a:ln w="25400">
              <a:solidFill>
                <a:srgbClr val="99CEB3"/>
              </a:solidFill>
              <a:prstDash val="solid"/>
            </a:ln>
          </c:spPr>
          <c:marker>
            <c:symbol val="none"/>
          </c:marker>
          <c:dLbls>
            <c:dLbl>
              <c:idx val="17"/>
              <c:layout>
                <c:manualLayout>
                  <c:x val="4.4532458972981782E-2"/>
                  <c:y val="1.16940325444004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9B-4B51-B78E-343B516C317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ang'!$A$8:$A$25</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'Wykres 5 pol ang'!$C$8:$C$25</c:f>
              <c:numCache>
                <c:formatCode>0.0</c:formatCode>
                <c:ptCount val="18"/>
                <c:pt idx="0">
                  <c:v>9.7999999999999972</c:v>
                </c:pt>
                <c:pt idx="1">
                  <c:v>10.299999999999997</c:v>
                </c:pt>
                <c:pt idx="2">
                  <c:v>10.599999999999994</c:v>
                </c:pt>
                <c:pt idx="3">
                  <c:v>11</c:v>
                </c:pt>
                <c:pt idx="4">
                  <c:v>8.9000000000000057</c:v>
                </c:pt>
                <c:pt idx="5">
                  <c:v>7.2000000000000028</c:v>
                </c:pt>
                <c:pt idx="6">
                  <c:v>4.4000000000000057</c:v>
                </c:pt>
                <c:pt idx="7">
                  <c:v>3.7000000000000028</c:v>
                </c:pt>
                <c:pt idx="8" formatCode="General">
                  <c:v>6.2000000000000028</c:v>
                </c:pt>
                <c:pt idx="9">
                  <c:v>4.7000000000000028</c:v>
                </c:pt>
                <c:pt idx="10">
                  <c:v>2.5999999999999943</c:v>
                </c:pt>
                <c:pt idx="11">
                  <c:v>2.0999999999999943</c:v>
                </c:pt>
                <c:pt idx="12">
                  <c:v>-3.6</c:v>
                </c:pt>
                <c:pt idx="13">
                  <c:v>-3.9</c:v>
                </c:pt>
                <c:pt idx="14">
                  <c:v>-3.1</c:v>
                </c:pt>
                <c:pt idx="15">
                  <c:v>1.1000000000000001</c:v>
                </c:pt>
                <c:pt idx="16">
                  <c:v>3.0999999999999943</c:v>
                </c:pt>
                <c:pt idx="17">
                  <c:v>1.2000000000000028</c:v>
                </c:pt>
              </c:numCache>
            </c:numRef>
          </c:val>
          <c:smooth val="0"/>
          <c:extLst>
            <c:ext xmlns:c16="http://schemas.microsoft.com/office/drawing/2014/chart" uri="{C3380CC4-5D6E-409C-BE32-E72D297353CC}">
              <c16:uniqueId val="{00000003-269B-4B51-B78E-343B516C3177}"/>
            </c:ext>
          </c:extLst>
        </c:ser>
        <c:ser>
          <c:idx val="2"/>
          <c:order val="2"/>
          <c:tx>
            <c:strRef>
              <c:f>'Wykres 5 pol ang'!$D$2</c:f>
              <c:strCache>
                <c:ptCount val="1"/>
                <c:pt idx="0">
                  <c:v>manufacturing</c:v>
                </c:pt>
              </c:strCache>
            </c:strRef>
          </c:tx>
          <c:spPr>
            <a:ln w="25400">
              <a:solidFill>
                <a:srgbClr val="99A5C9"/>
              </a:solidFill>
              <a:prstDash val="solid"/>
            </a:ln>
          </c:spPr>
          <c:marker>
            <c:symbol val="none"/>
          </c:marker>
          <c:dLbls>
            <c:dLbl>
              <c:idx val="17"/>
              <c:layout>
                <c:manualLayout>
                  <c:x val="3.562596717838553E-2"/>
                  <c:y val="2.7286075936934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9B-4B51-B78E-343B516C317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ang'!$A$8:$A$25</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'Wykres 5 pol ang'!$D$8:$D$25</c:f>
              <c:numCache>
                <c:formatCode>0.0</c:formatCode>
                <c:ptCount val="18"/>
                <c:pt idx="0">
                  <c:v>-0.5</c:v>
                </c:pt>
                <c:pt idx="1">
                  <c:v>-0.90000000000000568</c:v>
                </c:pt>
                <c:pt idx="2">
                  <c:v>-1.2999999999999972</c:v>
                </c:pt>
                <c:pt idx="3">
                  <c:v>-2.0999999999999943</c:v>
                </c:pt>
                <c:pt idx="4">
                  <c:v>-3.9000000000000057</c:v>
                </c:pt>
                <c:pt idx="5">
                  <c:v>-4.9000000000000057</c:v>
                </c:pt>
                <c:pt idx="6">
                  <c:v>-5.9000000000000057</c:v>
                </c:pt>
                <c:pt idx="7">
                  <c:v>-5.7999999999999972</c:v>
                </c:pt>
                <c:pt idx="8" formatCode="General">
                  <c:v>-5.4000000000000057</c:v>
                </c:pt>
                <c:pt idx="9">
                  <c:v>-6.2999999999999972</c:v>
                </c:pt>
                <c:pt idx="10">
                  <c:v>-7.0999999999999943</c:v>
                </c:pt>
                <c:pt idx="11">
                  <c:v>-8.4000000000000057</c:v>
                </c:pt>
                <c:pt idx="12">
                  <c:v>-9.1</c:v>
                </c:pt>
                <c:pt idx="13">
                  <c:v>-8.7999999999999972</c:v>
                </c:pt>
                <c:pt idx="14">
                  <c:v>-9.2999999999999972</c:v>
                </c:pt>
                <c:pt idx="15" formatCode="General">
                  <c:v>-9.2000000000000028</c:v>
                </c:pt>
                <c:pt idx="16">
                  <c:v>-9.7000000000000028</c:v>
                </c:pt>
                <c:pt idx="17">
                  <c:v>-9.5</c:v>
                </c:pt>
              </c:numCache>
            </c:numRef>
          </c:val>
          <c:smooth val="0"/>
          <c:extLst>
            <c:ext xmlns:c16="http://schemas.microsoft.com/office/drawing/2014/chart" uri="{C3380CC4-5D6E-409C-BE32-E72D297353CC}">
              <c16:uniqueId val="{00000005-269B-4B51-B78E-343B516C3177}"/>
            </c:ext>
          </c:extLst>
        </c:ser>
        <c:ser>
          <c:idx val="3"/>
          <c:order val="3"/>
          <c:tx>
            <c:strRef>
              <c:f>'Wykres 5 pol ang'!$E$2</c:f>
              <c:strCache>
                <c:ptCount val="1"/>
                <c:pt idx="0">
                  <c:v> electricity, gas, steam and
 air conditioning supply</c:v>
                </c:pt>
              </c:strCache>
            </c:strRef>
          </c:tx>
          <c:spPr>
            <a:ln w="38100">
              <a:solidFill>
                <a:srgbClr val="008542"/>
              </a:solidFill>
              <a:prstDash val="solid"/>
            </a:ln>
          </c:spPr>
          <c:marker>
            <c:symbol val="none"/>
          </c:marker>
          <c:dLbls>
            <c:dLbl>
              <c:idx val="17"/>
              <c:layout>
                <c:manualLayout>
                  <c:x val="2.8500773742708423E-2"/>
                  <c:y val="1.16940325444004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9B-4B51-B78E-343B516C317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ang'!$A$8:$A$25</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'Wykres 5 pol ang'!$E$8:$E$25</c:f>
              <c:numCache>
                <c:formatCode>0.0</c:formatCode>
                <c:ptCount val="18"/>
                <c:pt idx="0">
                  <c:v>12.5</c:v>
                </c:pt>
                <c:pt idx="1">
                  <c:v>10.900000000000006</c:v>
                </c:pt>
                <c:pt idx="2">
                  <c:v>9</c:v>
                </c:pt>
                <c:pt idx="3">
                  <c:v>3.7000000000000028</c:v>
                </c:pt>
                <c:pt idx="4">
                  <c:v>0.79999999999999716</c:v>
                </c:pt>
                <c:pt idx="5">
                  <c:v>1.5999999999999943</c:v>
                </c:pt>
                <c:pt idx="6">
                  <c:v>0.40000000000000568</c:v>
                </c:pt>
                <c:pt idx="7">
                  <c:v>-0.5</c:v>
                </c:pt>
                <c:pt idx="8" formatCode="General">
                  <c:v>-1.7000000000000028</c:v>
                </c:pt>
                <c:pt idx="9">
                  <c:v>0.40000000000000568</c:v>
                </c:pt>
                <c:pt idx="10">
                  <c:v>-2.5999999999999943</c:v>
                </c:pt>
                <c:pt idx="11">
                  <c:v>-4.5</c:v>
                </c:pt>
                <c:pt idx="12">
                  <c:v>-13.599999999999994</c:v>
                </c:pt>
                <c:pt idx="13">
                  <c:v>-14.5</c:v>
                </c:pt>
                <c:pt idx="14">
                  <c:v>-15.299999999999997</c:v>
                </c:pt>
                <c:pt idx="15" formatCode="General">
                  <c:v>-15.599999999999994</c:v>
                </c:pt>
                <c:pt idx="16">
                  <c:v>-14.5</c:v>
                </c:pt>
                <c:pt idx="17">
                  <c:v>-14.700000000000003</c:v>
                </c:pt>
              </c:numCache>
            </c:numRef>
          </c:val>
          <c:smooth val="0"/>
          <c:extLst>
            <c:ext xmlns:c16="http://schemas.microsoft.com/office/drawing/2014/chart" uri="{C3380CC4-5D6E-409C-BE32-E72D297353CC}">
              <c16:uniqueId val="{00000007-269B-4B51-B78E-343B516C3177}"/>
            </c:ext>
          </c:extLst>
        </c:ser>
        <c:ser>
          <c:idx val="4"/>
          <c:order val="4"/>
          <c:tx>
            <c:strRef>
              <c:f>'Wykres 5 pol ang'!$F$2</c:f>
              <c:strCache>
                <c:ptCount val="1"/>
                <c:pt idx="0">
                  <c:v>water supply; sewerage, waste management
and remediation activities</c:v>
                </c:pt>
              </c:strCache>
            </c:strRef>
          </c:tx>
          <c:spPr>
            <a:ln w="25400">
              <a:solidFill>
                <a:srgbClr val="000000"/>
              </a:solidFill>
              <a:prstDash val="lgDashDot"/>
            </a:ln>
          </c:spPr>
          <c:marker>
            <c:symbol val="none"/>
          </c:marker>
          <c:dLbls>
            <c:dLbl>
              <c:idx val="17"/>
              <c:layout>
                <c:manualLayout>
                  <c:x val="4.2751160614062506E-2"/>
                  <c:y val="-3.8980108481335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69B-4B51-B78E-343B516C317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ang'!$A$8:$A$25</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'Wykres 5 pol ang'!$F$8:$F$25</c:f>
              <c:numCache>
                <c:formatCode>0.0</c:formatCode>
                <c:ptCount val="18"/>
                <c:pt idx="0">
                  <c:v>1.9000000000000057</c:v>
                </c:pt>
                <c:pt idx="1">
                  <c:v>2.7999999999999972</c:v>
                </c:pt>
                <c:pt idx="2">
                  <c:v>3.0999999999999943</c:v>
                </c:pt>
                <c:pt idx="3">
                  <c:v>3</c:v>
                </c:pt>
                <c:pt idx="4">
                  <c:v>2.9000000000000057</c:v>
                </c:pt>
                <c:pt idx="5">
                  <c:v>3</c:v>
                </c:pt>
                <c:pt idx="6">
                  <c:v>2.4000000000000057</c:v>
                </c:pt>
                <c:pt idx="7">
                  <c:v>2.4000000000000057</c:v>
                </c:pt>
                <c:pt idx="8" formatCode="General">
                  <c:v>3</c:v>
                </c:pt>
                <c:pt idx="9">
                  <c:v>3.2000000000000028</c:v>
                </c:pt>
                <c:pt idx="10">
                  <c:v>3.0999999999999943</c:v>
                </c:pt>
                <c:pt idx="11">
                  <c:v>3.0999999999999943</c:v>
                </c:pt>
                <c:pt idx="12">
                  <c:v>4.2999999999999972</c:v>
                </c:pt>
                <c:pt idx="13">
                  <c:v>5</c:v>
                </c:pt>
                <c:pt idx="14">
                  <c:v>4.7999999999999972</c:v>
                </c:pt>
                <c:pt idx="15" formatCode="General">
                  <c:v>4.7000000000000028</c:v>
                </c:pt>
                <c:pt idx="16">
                  <c:v>5.5</c:v>
                </c:pt>
                <c:pt idx="17">
                  <c:v>5.5999999999999943</c:v>
                </c:pt>
              </c:numCache>
            </c:numRef>
          </c:val>
          <c:smooth val="0"/>
          <c:extLst>
            <c:ext xmlns:c16="http://schemas.microsoft.com/office/drawing/2014/chart" uri="{C3380CC4-5D6E-409C-BE32-E72D297353CC}">
              <c16:uniqueId val="{00000009-269B-4B51-B78E-343B516C3177}"/>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chemeClr val="tx1"/>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0"/>
          <c:y val="0.77517708785417561"/>
          <c:w val="1"/>
          <c:h val="0.22482283652120735"/>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descr="Chart 4. Prices changes of sold production of industry in 2023-2024 in relation to the  corresponding period of the previous year"/>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0.04847</cdr:y>
    </cdr:from>
    <cdr:to>
      <cdr:x>0.09394</cdr:x>
      <cdr:y>0.10867</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82310" y="168379"/>
          <a:ext cx="265390" cy="209139"/>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sold production of industry in June 2024.docx.docx</NazwaPliku>
    <Odbiorcy2 xmlns="1E9983FF-DC4B-4F4E-A072-0441E2B88E6D" xsi:nil="true"/>
    <_SourceUrl xmlns="http://schemas.microsoft.com/sharepoint/v3" xsi:nil="true"/>
    <xd_ProgID xmlns="http://schemas.microsoft.com/sharepoint/v3" xsi:nil="true"/>
    <Osoba xmlns="1E9983FF-DC4B-4F4E-A072-0441E2B88E6D">STAT\ADAMCZYKI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file>

<file path=customXml/itemProps2.xml><?xml version="1.0" encoding="utf-8"?>
<ds:datastoreItem xmlns:ds="http://schemas.openxmlformats.org/officeDocument/2006/customXml" ds:itemID="{834364E0-D00C-4641-B032-561F5031C5BD}"/>
</file>

<file path=customXml/itemProps3.xml><?xml version="1.0" encoding="utf-8"?>
<ds:datastoreItem xmlns:ds="http://schemas.openxmlformats.org/officeDocument/2006/customXml" ds:itemID="{48268843-50D1-46A0-9199-B42A35689E1B}"/>
</file>

<file path=docProps/app.xml><?xml version="1.0" encoding="utf-8"?>
<Properties xmlns="http://schemas.openxmlformats.org/officeDocument/2006/extended-properties" xmlns:vt="http://schemas.openxmlformats.org/officeDocument/2006/docPropsVTypes">
  <Template>Normal</Template>
  <TotalTime>0</TotalTime>
  <Pages>6</Pages>
  <Words>664</Words>
  <Characters>3984</Characters>
  <DocSecurity>4</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2024-06-18T09:50:00Z</cp:lastPrinted>
  <dcterms:created xsi:type="dcterms:W3CDTF">2024-07-17T08:48:00Z</dcterms:created>
  <dcterms:modified xsi:type="dcterms:W3CDTF">2024-07-17T08:48:00Z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