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64682CE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3E132588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B3364F">
        <w:rPr>
          <w:shd w:val="clear" w:color="auto" w:fill="FFFFFF"/>
          <w:lang w:val="en-GB"/>
        </w:rPr>
        <w:t>March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0CBAD28A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287F5939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6.0%&#10;Decrease in sold production of industry as compared to March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61A9058E" w:rsidR="00E66F2C" w:rsidRPr="00DC4A61" w:rsidRDefault="00B3364F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6.0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29FB9E16" w:rsidR="00E66F2C" w:rsidRPr="00A84C79" w:rsidRDefault="00B3364F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March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6.0%&#10;Decrease in sold production of industry as compared to March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55aAIAAHkEAAAOAAAAZHJzL2Uyb0RvYy54bWysVMFu2zAMvQ/YPxAatttix23a1KtTdM06&#10;DGi3Yt0+QJHkWKgsepISO/v6UXLaBt1tmA+CKJKP5CPp84uhNbBVzmu0FZtOcgbKCpTariv288f1&#10;+zkDH7iV3KBVFdspzy4Wr1+d912pCmzQSOWAQKwv+65iTQhdmWVeNKrlfoKdsqSs0bU8kOjWmXS8&#10;J/TWZEWen2Q9Otk5FMp7el2OSrZI+HWtRPhW114FMBWj3EI6XTpX8cwW57xcO941WuzT4P+QRcu1&#10;paBPUEseOGyc/guq1cKhxzpMBLYZ1rUWKtVA1UzzF9XcN7xTqRYix3dPNPn/Byu+bu8caFmxgoHl&#10;LbXoDo2CoB58wF4BPUvlBVF2MsnfvnszXH5YKuEU9wq0BU8NBOJfbkSgEQCs6VVufHA74B6oyI47&#10;JSEg3HInGijy4iiy3ne+pOD3HYUPw0ccaHoSg767QfHgweJVw+1aXTqHfaO4pKqn0TM7cB1xfARZ&#10;9bcoKX2+CZiAhtq1sSVEMhA6dX/31HE1BBD0WFA68+mMgSDd9OjobD5LM5Hx8tG9cz58VthSlZ7G&#10;x+HGyu80VykG3974EHPi5aNdDEmsaHmtjUmCW6+ujIMtjzOYT5enp6mMF2bGQl+xs1kxS8gWo38a&#10;z1YH2hGj24rN8/iNUxs5+WRlMglcm/FOmRi7JynyMjIUhtVAhpG5Fcod0eVw3AXaXbo06H4z6GkP&#10;KuZ/bahlDMwXS5SfTY+P4+Ik4Xh2WpDgDjWrQw23gqAqFhiM16uQli3yYPGSWlPrxNdzJvtcab4T&#10;jftdjAt0KCer5z/G4g8AAAD//wMAUEsDBBQABgAIAAAAIQCXhfFn3wAAAAgBAAAPAAAAZHJzL2Rv&#10;d25yZXYueG1sTI8xT8MwFIR3JP6D9ZBYIuq0aSiEOBVFCgOdSGF349c4In6ObLcJ/x4zwXi60913&#10;5XY2A7ug870lActFCgyptaqnTsDHob57AOaDJCUHSyjgGz1sq+urUhbKTvSOlyZ0LJaQL6QAHcJY&#10;cO5bjUb6hR2RoneyzsgQpeu4cnKK5WbgqzS950b2FBe0HPFFY/vVnI2AnTvtmzSbvd4d3vZJXSef&#10;r1MixO3N/PwELOAc/sLwix/RoYpMR3sm5dkgII9PgoBsvQEW7SxfPgI7Clit8w3wquT/D1Q/AAAA&#10;//8DAFBLAQItABQABgAIAAAAIQC2gziS/gAAAOEBAAATAAAAAAAAAAAAAAAAAAAAAABbQ29udGVu&#10;dF9UeXBlc10ueG1sUEsBAi0AFAAGAAgAAAAhADj9If/WAAAAlAEAAAsAAAAAAAAAAAAAAAAALwEA&#10;AF9yZWxzLy5yZWxzUEsBAi0AFAAGAAgAAAAhAAglXnloAgAAeQQAAA4AAAAAAAAAAAAAAAAALgIA&#10;AGRycy9lMm9Eb2MueG1sUEsBAi0AFAAGAAgAAAAhAJeF8WffAAAACAEAAA8AAAAAAAAAAAAAAAAA&#10;wgQAAGRycy9kb3ducmV2LnhtbFBLBQYAAAAABAAEAPMAAADOBQAAAAA=&#10;" fillcolor="#001d77" stroked="f">
                <v:stroke joinstyle="miter"/>
                <v:textbox>
                  <w:txbxContent>
                    <w:p w14:paraId="56629F65" w14:textId="61A9058E" w:rsidR="00E66F2C" w:rsidRPr="00DC4A61" w:rsidRDefault="00B3364F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6.0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29FB9E16" w:rsidR="00E66F2C" w:rsidRPr="00A84C79" w:rsidRDefault="00B3364F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March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B3364F">
        <w:rPr>
          <w:lang w:val="en-GB"/>
        </w:rPr>
        <w:t>March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B3364F">
        <w:rPr>
          <w:lang w:val="en-GB"/>
        </w:rPr>
        <w:t>6.0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B3364F">
        <w:rPr>
          <w:lang w:val="en-GB"/>
        </w:rPr>
        <w:t>lower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</w:t>
      </w:r>
      <w:r w:rsidR="00B3364F">
        <w:rPr>
          <w:lang w:val="en-GB"/>
        </w:rPr>
        <w:t>March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B3364F">
        <w:rPr>
          <w:spacing w:val="-2"/>
          <w:lang w:val="en-GB"/>
        </w:rPr>
        <w:t>3.7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B3364F">
        <w:rPr>
          <w:spacing w:val="-2"/>
          <w:lang w:val="en-GB"/>
        </w:rPr>
        <w:t>February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796CE4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796CE4">
        <w:rPr>
          <w:spacing w:val="-2"/>
          <w:lang w:val="en-GB"/>
        </w:rPr>
        <w:t>3.6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08784D">
        <w:rPr>
          <w:lang w:val="en-GB"/>
        </w:rPr>
        <w:t>In the period January-</w:t>
      </w:r>
      <w:r w:rsidR="00B3364F">
        <w:rPr>
          <w:lang w:val="en-GB"/>
        </w:rPr>
        <w:t>March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0.7</w:t>
      </w:r>
      <w:r w:rsidR="0008784D" w:rsidRPr="00C52703">
        <w:rPr>
          <w:lang w:val="en-GB"/>
        </w:rPr>
        <w:t xml:space="preserve">% </w:t>
      </w:r>
      <w:r w:rsidR="00B3364F">
        <w:rPr>
          <w:lang w:val="en-GB"/>
        </w:rPr>
        <w:t>lower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1.1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3FA05E1C" w14:textId="40414C07" w:rsidR="00C04FF0" w:rsidRDefault="00C04FF0" w:rsidP="00BB33B9">
      <w:pPr>
        <w:pStyle w:val="LID"/>
        <w:jc w:val="both"/>
        <w:rPr>
          <w:lang w:val="en-GB"/>
        </w:rPr>
      </w:pPr>
    </w:p>
    <w:p w14:paraId="73D91776" w14:textId="69397A2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845455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March 2024 amounted to 3.9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C7FC4B4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33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 de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33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336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3.9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March 2024 amounted to 3.9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7EXQIAAHM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gO4ITxHFtGOBXKVvSWGv6Sb5I7ci&#10;Uouk6B140bGqrBYMLG5dVJJFZEezszespwQ7BT75MvShpvIeeiowju9xpBqzxqG/RfEYmMOrDtxG&#10;XXqPQ6dAki7z9LI4eDrhhASyHu5QEj/YRsxAY+ttMo1sYIRO/bF76Qk1RiZSypNycbSgkKDY2fGS&#10;mi6ngPr5de9D/KjQEs1A/eWp5zI6PN2GmKqB+vlKSubwRhuT+844NhDoslrmBwcRq5PURtuGn5bp&#10;MzVqIvnByfw4gjbTnhIYt2ediE6U47geJ2OfxVyj3JEMHqcpoKmlTYf+J2cDTUDDw48teMWZ+eRI&#10;yrP5IvGO+bBYnlR08IeR9WEEnCCohkfOpu1VzGM2Ub4kyVud1UjeTJXsS6bOziLtpzCNzuE53/r9&#10;X7H6BQAA//8DAFBLAwQUAAYACAAAACEAh7RxBt8AAAALAQAADwAAAGRycy9kb3ducmV2LnhtbEyP&#10;zU7DMBCE70h9B2uRuFGbUkIS4lQIxJWq5Ufi5sbbJGq8jmK3CW/f7QluO5pPszPFanKdOOEQWk8a&#10;7uYKBFLlbUu1hs+Pt9sURIiGrOk8oYZfDLAqZ1eFya0faYOnbawFh1DIjYYmxj6XMlQNOhPmvkdi&#10;b+8HZyLLoZZ2MCOHu04ulEqkMy3xh8b0+NJgddgenYav9/3P91Kt61f30I9+UpJcJrW+uZ6en0BE&#10;nOIfDJf6XB1K7rTzR7JBdBrSxWPGKBtLnnABVJbcg9jxlSQpyLKQ/zeUZwAAAP//AwBQSwECLQAU&#10;AAYACAAAACEAtoM4kv4AAADhAQAAEwAAAAAAAAAAAAAAAAAAAAAAW0NvbnRlbnRfVHlwZXNdLnht&#10;bFBLAQItABQABgAIAAAAIQA4/SH/1gAAAJQBAAALAAAAAAAAAAAAAAAAAC8BAABfcmVscy8ucmVs&#10;c1BLAQItABQABgAIAAAAIQDxLy7EXQIAAHMEAAAOAAAAAAAAAAAAAAAAAC4CAABkcnMvZTJvRG9j&#10;LnhtbFBLAQItABQABgAIAAAAIQCHtHEG3wAAAAsBAAAPAAAAAAAAAAAAAAAAALcEAABkcnMvZG93&#10;bnJldi54bWxQSwUGAAAAAAQABADzAAAAwwUAAAAA&#10;" filled="f" stroked="f">
                <v:textbox>
                  <w:txbxContent>
                    <w:p w14:paraId="74E140B5" w14:textId="5C7FC4B4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33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 de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33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336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3.9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AA918FC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B3364F">
        <w:rPr>
          <w:noProof/>
          <w:spacing w:val="-2"/>
          <w:szCs w:val="19"/>
          <w:lang w:val="en-GB"/>
        </w:rPr>
        <w:t>March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3364F">
        <w:rPr>
          <w:noProof/>
          <w:spacing w:val="-2"/>
          <w:szCs w:val="19"/>
          <w:lang w:val="en-GB"/>
        </w:rPr>
        <w:t>lower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B3364F">
        <w:rPr>
          <w:noProof/>
          <w:spacing w:val="-2"/>
          <w:szCs w:val="19"/>
          <w:lang w:val="en-GB"/>
        </w:rPr>
        <w:t>3.9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B3364F">
        <w:rPr>
          <w:noProof/>
          <w:spacing w:val="-2"/>
          <w:szCs w:val="19"/>
          <w:lang w:val="en-GB"/>
        </w:rPr>
        <w:t>5.5</w:t>
      </w:r>
      <w:r w:rsidRPr="00DF2952">
        <w:rPr>
          <w:noProof/>
          <w:spacing w:val="-2"/>
          <w:szCs w:val="19"/>
          <w:lang w:val="en-GB"/>
        </w:rPr>
        <w:t>%</w:t>
      </w:r>
      <w:r w:rsidR="00EF2171" w:rsidRPr="00DF2952">
        <w:rPr>
          <w:noProof/>
          <w:spacing w:val="-2"/>
          <w:szCs w:val="19"/>
          <w:lang w:val="en-GB"/>
        </w:rPr>
        <w:t xml:space="preserve"> </w:t>
      </w:r>
      <w:r w:rsidR="00DF2952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B3364F">
        <w:rPr>
          <w:noProof/>
          <w:spacing w:val="-2"/>
          <w:szCs w:val="19"/>
          <w:lang w:val="en-GB"/>
        </w:rPr>
        <w:t>February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3397F6DD" w:rsidR="00EF2171" w:rsidRPr="00B54CD9" w:rsidRDefault="00B3364F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77728" behindDoc="0" locked="0" layoutInCell="1" allowOverlap="1" wp14:anchorId="435F6816" wp14:editId="353B0ED5">
            <wp:simplePos x="0" y="0"/>
            <wp:positionH relativeFrom="column">
              <wp:posOffset>-60960</wp:posOffset>
            </wp:positionH>
            <wp:positionV relativeFrom="paragraph">
              <wp:posOffset>353695</wp:posOffset>
            </wp:positionV>
            <wp:extent cx="5248910" cy="3096895"/>
            <wp:effectExtent l="0" t="0" r="8890" b="8255"/>
            <wp:wrapSquare wrapText="bothSides"/>
            <wp:docPr id="6" name="Obraz 6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3CC2EB98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1D97E50D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>March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67C48">
        <w:rPr>
          <w:b w:val="0"/>
          <w:sz w:val="19"/>
          <w:szCs w:val="19"/>
          <w:shd w:val="clear" w:color="auto" w:fill="FFFFFF"/>
          <w:lang w:val="en-GB"/>
        </w:rPr>
        <w:t xml:space="preserve">in all 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B633F7">
        <w:rPr>
          <w:b w:val="0"/>
          <w:sz w:val="19"/>
          <w:szCs w:val="19"/>
          <w:shd w:val="clear" w:color="auto" w:fill="FFFFFF"/>
          <w:lang w:val="en-GB"/>
        </w:rPr>
        <w:t>,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B3364F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bookmarkStart w:id="1" w:name="_GoBack"/>
      <w:bookmarkEnd w:id="1"/>
      <w:r w:rsidR="00B3364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 xml:space="preserve">8.9%, </w:t>
      </w:r>
      <w:r w:rsidR="00B3364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3364F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 xml:space="preserve">7.1%, </w:t>
      </w:r>
      <w:r w:rsidR="00E75D7C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75D7C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367C48">
        <w:rPr>
          <w:b w:val="0"/>
          <w:sz w:val="19"/>
          <w:szCs w:val="19"/>
          <w:shd w:val="clear" w:color="auto" w:fill="FFFFFF"/>
          <w:lang w:val="en-GB"/>
        </w:rPr>
        <w:t> 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>6.3</w:t>
      </w:r>
      <w:r w:rsidR="00E75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,</w:t>
      </w:r>
      <w:r w:rsidR="00DF2952" w:rsidRP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F2952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-</w:t>
      </w:r>
      <w:r w:rsidR="00DF295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DF2952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>3.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>6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%</w:t>
      </w:r>
      <w:r w:rsidR="0008784D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DF2952">
        <w:rPr>
          <w:b w:val="0"/>
          <w:sz w:val="19"/>
          <w:szCs w:val="19"/>
          <w:lang w:val="en-GB"/>
        </w:rPr>
        <w:t xml:space="preserve"> the</w:t>
      </w:r>
      <w:r w:rsidR="00DF2952" w:rsidRPr="004D23D2">
        <w:rPr>
          <w:sz w:val="19"/>
          <w:szCs w:val="19"/>
          <w:lang w:val="en-GB"/>
        </w:rPr>
        <w:t xml:space="preserve"> </w:t>
      </w:r>
      <w:r w:rsidR="00DF2952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DF2952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F2952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>2.4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>%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>.</w:t>
      </w:r>
      <w:r w:rsid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7B5CD658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4F5DDCE0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586DAEA8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B3364F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B3364F" w:rsidRPr="00A15DA4" w:rsidRDefault="00B3364F" w:rsidP="00B3364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545A6104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401BF061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07E5F9B2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142AF612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</w:tcPr>
          <w:p w14:paraId="7F847B15" w14:textId="538997F0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03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11D91D1F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735B8D5B" w:rsidR="00B3364F" w:rsidRPr="00A15DA4" w:rsidRDefault="00B3364F" w:rsidP="00B3364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B3364F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B3364F" w:rsidRPr="00A15DA4" w:rsidRDefault="00B3364F" w:rsidP="00B3364F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5218A948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198FB74E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0B00CB64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5CAEE3C5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180B8F0F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25004917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4F1A474D" w:rsidR="00B3364F" w:rsidRPr="00A15DA4" w:rsidRDefault="00B3364F" w:rsidP="00B3364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112.7</w:t>
            </w:r>
          </w:p>
        </w:tc>
      </w:tr>
      <w:tr w:rsidR="00B3364F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B3364F" w:rsidRPr="00A15DA4" w:rsidRDefault="00B3364F" w:rsidP="00B3364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34766352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105.0*</w:t>
            </w:r>
          </w:p>
        </w:tc>
        <w:tc>
          <w:tcPr>
            <w:tcW w:w="794" w:type="dxa"/>
          </w:tcPr>
          <w:p w14:paraId="0E8FD10B" w14:textId="48B9AB91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  <w:tc>
          <w:tcPr>
            <w:tcW w:w="794" w:type="dxa"/>
          </w:tcPr>
          <w:p w14:paraId="3E533996" w14:textId="40FA2C41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97.7*</w:t>
            </w:r>
          </w:p>
        </w:tc>
        <w:tc>
          <w:tcPr>
            <w:tcW w:w="794" w:type="dxa"/>
          </w:tcPr>
          <w:p w14:paraId="19D4F7E0" w14:textId="04487C89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86.9</w:t>
            </w:r>
          </w:p>
        </w:tc>
        <w:tc>
          <w:tcPr>
            <w:tcW w:w="794" w:type="dxa"/>
          </w:tcPr>
          <w:p w14:paraId="1A3611B0" w14:textId="70CD4243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</w:t>
            </w:r>
          </w:p>
        </w:tc>
        <w:tc>
          <w:tcPr>
            <w:tcW w:w="794" w:type="dxa"/>
          </w:tcPr>
          <w:p w14:paraId="27514117" w14:textId="1463887A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109.6*</w:t>
            </w:r>
          </w:p>
        </w:tc>
        <w:tc>
          <w:tcPr>
            <w:tcW w:w="794" w:type="dxa"/>
            <w:vAlign w:val="center"/>
          </w:tcPr>
          <w:p w14:paraId="733AD303" w14:textId="0FEB8F07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</w:tr>
      <w:tr w:rsidR="00B3364F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B3364F" w:rsidRPr="00A15DA4" w:rsidRDefault="00B3364F" w:rsidP="00B3364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223E92C7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101.4*</w:t>
            </w:r>
          </w:p>
        </w:tc>
        <w:tc>
          <w:tcPr>
            <w:tcW w:w="794" w:type="dxa"/>
          </w:tcPr>
          <w:p w14:paraId="09139D15" w14:textId="5C946AC4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794" w:type="dxa"/>
          </w:tcPr>
          <w:p w14:paraId="507DD464" w14:textId="58B0EEC9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794" w:type="dxa"/>
          </w:tcPr>
          <w:p w14:paraId="0649EF27" w14:textId="46F0499F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93.7</w:t>
            </w:r>
          </w:p>
        </w:tc>
        <w:tc>
          <w:tcPr>
            <w:tcW w:w="794" w:type="dxa"/>
          </w:tcPr>
          <w:p w14:paraId="5D685115" w14:textId="36E7B9EE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794" w:type="dxa"/>
          </w:tcPr>
          <w:p w14:paraId="05FB6906" w14:textId="08022F55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106.8</w:t>
            </w:r>
          </w:p>
        </w:tc>
        <w:tc>
          <w:tcPr>
            <w:tcW w:w="794" w:type="dxa"/>
            <w:vAlign w:val="center"/>
          </w:tcPr>
          <w:p w14:paraId="18F8CF38" w14:textId="128E5E71" w:rsidR="00B3364F" w:rsidRPr="00A15DA4" w:rsidRDefault="00B3364F" w:rsidP="00B3364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111.6</w:t>
            </w:r>
          </w:p>
        </w:tc>
      </w:tr>
      <w:tr w:rsidR="00B3364F" w:rsidRPr="00A15DA4" w14:paraId="450FDFBD" w14:textId="77777777" w:rsidTr="00D52AB1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B3364F" w:rsidRPr="00A15DA4" w:rsidRDefault="00B3364F" w:rsidP="00B3364F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0DA246C8" w14:textId="77777777" w:rsidR="00B3364F" w:rsidRPr="00FE1D51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4D0021D5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87.1</w:t>
            </w:r>
          </w:p>
        </w:tc>
        <w:tc>
          <w:tcPr>
            <w:tcW w:w="794" w:type="dxa"/>
          </w:tcPr>
          <w:p w14:paraId="6F742233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1B6FCF73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794" w:type="dxa"/>
          </w:tcPr>
          <w:p w14:paraId="23C7C0C7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2F37DFB9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95.8*</w:t>
            </w:r>
          </w:p>
        </w:tc>
        <w:tc>
          <w:tcPr>
            <w:tcW w:w="794" w:type="dxa"/>
          </w:tcPr>
          <w:p w14:paraId="12EC24E8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7A6DBBB3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100.1</w:t>
            </w:r>
          </w:p>
        </w:tc>
        <w:tc>
          <w:tcPr>
            <w:tcW w:w="794" w:type="dxa"/>
          </w:tcPr>
          <w:p w14:paraId="5206B1DF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6600AEB4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102.4</w:t>
            </w:r>
          </w:p>
        </w:tc>
        <w:tc>
          <w:tcPr>
            <w:tcW w:w="794" w:type="dxa"/>
          </w:tcPr>
          <w:p w14:paraId="02C00C5B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30C6D2B7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127.7</w:t>
            </w:r>
          </w:p>
        </w:tc>
        <w:tc>
          <w:tcPr>
            <w:tcW w:w="794" w:type="dxa"/>
            <w:vAlign w:val="bottom"/>
          </w:tcPr>
          <w:p w14:paraId="36BE7EB6" w14:textId="29B7395F" w:rsidR="00B3364F" w:rsidRPr="00A15DA4" w:rsidRDefault="00B3364F" w:rsidP="00D52AB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132.5</w:t>
            </w:r>
          </w:p>
        </w:tc>
      </w:tr>
      <w:tr w:rsidR="00B3364F" w:rsidRPr="00A15DA4" w14:paraId="6990B43D" w14:textId="77777777" w:rsidTr="000C6DBD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B3364F" w:rsidRPr="00A15DA4" w:rsidRDefault="00B3364F" w:rsidP="00B3364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313D4BA5" w14:textId="77777777" w:rsidR="00B3364F" w:rsidRPr="00FE1D51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4C164FA1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102.1*</w:t>
            </w:r>
          </w:p>
        </w:tc>
        <w:tc>
          <w:tcPr>
            <w:tcW w:w="794" w:type="dxa"/>
          </w:tcPr>
          <w:p w14:paraId="10F38559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6EBC4165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794" w:type="dxa"/>
          </w:tcPr>
          <w:p w14:paraId="4AC71070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32ABF5B2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109.8*</w:t>
            </w:r>
          </w:p>
        </w:tc>
        <w:tc>
          <w:tcPr>
            <w:tcW w:w="794" w:type="dxa"/>
          </w:tcPr>
          <w:p w14:paraId="348732FC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06E5C7EA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  <w:tc>
          <w:tcPr>
            <w:tcW w:w="794" w:type="dxa"/>
          </w:tcPr>
          <w:p w14:paraId="25839718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4D0B9504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108.1</w:t>
            </w:r>
          </w:p>
        </w:tc>
        <w:tc>
          <w:tcPr>
            <w:tcW w:w="794" w:type="dxa"/>
          </w:tcPr>
          <w:p w14:paraId="3A4E4097" w14:textId="77777777" w:rsidR="00B3364F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350CF96E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104.7*</w:t>
            </w:r>
          </w:p>
        </w:tc>
        <w:tc>
          <w:tcPr>
            <w:tcW w:w="794" w:type="dxa"/>
            <w:vAlign w:val="center"/>
          </w:tcPr>
          <w:p w14:paraId="75F59637" w14:textId="055716AF" w:rsidR="00B3364F" w:rsidRPr="00A15DA4" w:rsidRDefault="00B3364F" w:rsidP="00B3364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110.5</w:t>
            </w:r>
          </w:p>
        </w:tc>
      </w:tr>
    </w:tbl>
    <w:p w14:paraId="56332FC0" w14:textId="76F83CEC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1E36321C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B3364F">
        <w:rPr>
          <w:sz w:val="16"/>
          <w:szCs w:val="16"/>
          <w:lang w:val="en-GB"/>
        </w:rPr>
        <w:t>February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B3364F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4EE88A22" w14:textId="4007EBAC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6BBC5C4C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5A42AA7C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March 2023, stood at 83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F96C756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C84E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C84E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C84E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83.5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March 2023, stood at 83.5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YjYQIAAHoEAAAOAAAAZHJzL2Uyb0RvYy54bWysVMFu2zAMvQ/YPxACduvixE2W1qhTdO06&#10;DGi3At0+gJHkWKgtepISO/v6UXLaBd1tmA+CJIqPfI+kLy6HtoGddt6QLcVsMhWgrSRl7KYUP77f&#10;vj8T4ANahQ1ZXYq99uJy9fbNRd8VOqeaGqUdMIj1Rd+Vog6hK7LMy1q36CfUacvGilyLgY9ukymH&#10;PaO3TZZPpx+ynpzqHEntPd/ejEaxSvhVpWX4VlVeB2hKwbmFtLq0ruOarS6w2DjsaiMPaeA/ZNGi&#10;sRz0BeoGA8LWmb+gWiMdearCRFKbUVUZqRMHZjObvmLzWGOnExcWx3cvMvn/Byu/7h4cGFWKfCHA&#10;Yss1eqBGQ9BPPlCvId4r7SWLxvk4DVQBC662MnDNYYfNNt0Zq7Y+uD0oszOxHfwJ9KxqDR57QMaQ&#10;TqPXYCww9w6d8ewfCO7R8at8mp+ecK8QKcAAZ6eTxbtYnr7zBWf52HGeYfhIA7dZktp3dySfPFi6&#10;rtFu9JVz1NcaFcszi57ZkeuI4yPIur8nxTRxGygBDZVrY+24GsDo3Cb7l9bQQwAZQy5P8/MZSyHZ&#10;djZfLlmWGAKLZ+/O+fBZU8vieG4zx62X0HF358P49PlJDGbp1jQN32PRWOhLcb5gyFeW1gSejsa0&#10;HHMav7FfI8lPViXngKYZ95xLYw+sI9GRchjWw1jfZzHXpPYsg6NxGHh4eVOT+yWg50Eohf+55ToL&#10;aL5YlvJ8Np/HyUmH+WKZ88EdW9bHFrSSoUoRBIzb65CmbSR2xZJXJqkRazNmckiZGzzpeRjGOEHH&#10;5/Tqzy9j9RsAAP//AwBQSwMEFAAGAAgAAAAhAPn5xqrcAAAACQEAAA8AAABkcnMvZG93bnJldi54&#10;bWxMj0FPwzAMhe9I/IfISNyYQ9UhWppOCMQVxAZI3LLGaysap2qytfx7zAlu9nvW8/eqzeIHdaIp&#10;9oENXK80KOImuJ5bA2+7p6tbUDFZdnYITAa+KcKmPj+rbOnCzK902qZWSQjH0hroUhpLxNh05G1c&#10;hZFYvEOYvE2yTi26yc4S7gfMtL5Bb3uWD50d6aGj5mt79Abenw+fH7l+aR/9epzDopF9gcZcXiz3&#10;d6ASLenvGH7xBR1qYdqHI7uoBgNZJlWS6OsClPhZkcuwFyEvcsC6wv8N6h8AAAD//wMAUEsBAi0A&#10;FAAGAAgAAAAhALaDOJL+AAAA4QEAABMAAAAAAAAAAAAAAAAAAAAAAFtDb250ZW50X1R5cGVzXS54&#10;bWxQSwECLQAUAAYACAAAACEAOP0h/9YAAACUAQAACwAAAAAAAAAAAAAAAAAvAQAAX3JlbHMvLnJl&#10;bHNQSwECLQAUAAYACAAAACEA197mI2ECAAB6BAAADgAAAAAAAAAAAAAAAAAuAgAAZHJzL2Uyb0Rv&#10;Yy54bWxQSwECLQAUAAYACAAAACEA+fnGqtwAAAAJAQAADwAAAAAAAAAAAAAAAAC7BAAAZHJzL2Rv&#10;d25yZXYueG1sUEsFBgAAAAAEAAQA8wAAAMQFAAAAAA==&#10;" filled="f" stroked="f">
                <v:textbox>
                  <w:txbxContent>
                    <w:p w14:paraId="5F2B646E" w14:textId="1F96C756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C84E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C84E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C84E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83.5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A33A67" w14:textId="5297F10B" w:rsidR="00C84E55" w:rsidRDefault="00BB33B9" w:rsidP="00A7560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B3364F">
        <w:rPr>
          <w:noProof/>
          <w:spacing w:val="-2"/>
          <w:szCs w:val="19"/>
          <w:lang w:val="en-GB"/>
        </w:rPr>
        <w:t>March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3364F">
        <w:rPr>
          <w:noProof/>
          <w:spacing w:val="-2"/>
          <w:szCs w:val="19"/>
          <w:lang w:val="en-GB"/>
        </w:rPr>
        <w:t>March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B3364F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BB6A55">
        <w:rPr>
          <w:noProof/>
          <w:spacing w:val="-2"/>
          <w:szCs w:val="19"/>
          <w:lang w:val="en-GB"/>
        </w:rPr>
        <w:t>2</w:t>
      </w:r>
      <w:r w:rsidR="00B3364F">
        <w:rPr>
          <w:noProof/>
          <w:spacing w:val="-2"/>
          <w:szCs w:val="19"/>
          <w:lang w:val="en-GB"/>
        </w:rPr>
        <w:t>6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C84E55">
        <w:rPr>
          <w:noProof/>
          <w:szCs w:val="19"/>
          <w:lang w:val="en-GB"/>
        </w:rPr>
        <w:t xml:space="preserve">in </w:t>
      </w:r>
      <w:r w:rsidR="00C84E55" w:rsidRPr="009D61BA">
        <w:rPr>
          <w:noProof/>
          <w:szCs w:val="19"/>
          <w:lang w:val="en-GB"/>
        </w:rPr>
        <w:t>manufacture of</w:t>
      </w:r>
      <w:r w:rsidR="00C84E55">
        <w:rPr>
          <w:noProof/>
          <w:szCs w:val="19"/>
          <w:lang w:val="en-GB"/>
        </w:rPr>
        <w:t> </w:t>
      </w:r>
      <w:r w:rsidR="00C84E55" w:rsidRPr="009D61BA">
        <w:rPr>
          <w:noProof/>
          <w:szCs w:val="19"/>
          <w:lang w:val="en-GB"/>
        </w:rPr>
        <w:t>electrical equipment</w:t>
      </w:r>
      <w:r w:rsidR="00C84E55">
        <w:rPr>
          <w:noProof/>
          <w:szCs w:val="19"/>
          <w:lang w:val="en-GB"/>
        </w:rPr>
        <w:t xml:space="preserve"> </w:t>
      </w:r>
      <w:r w:rsidR="00C84E55">
        <w:rPr>
          <w:noProof/>
          <w:spacing w:val="-2"/>
          <w:szCs w:val="19"/>
          <w:lang w:val="en-GB"/>
        </w:rPr>
        <w:t>– by 29.1%,</w:t>
      </w:r>
      <w:r w:rsidR="00C84E55" w:rsidRPr="005C3B7C">
        <w:rPr>
          <w:noProof/>
          <w:spacing w:val="-2"/>
          <w:szCs w:val="19"/>
          <w:lang w:val="en-GB"/>
        </w:rPr>
        <w:t xml:space="preserve"> </w:t>
      </w:r>
      <w:r w:rsidR="00C84E55">
        <w:rPr>
          <w:noProof/>
          <w:spacing w:val="-2"/>
          <w:szCs w:val="19"/>
          <w:lang w:val="en-GB"/>
        </w:rPr>
        <w:t>in</w:t>
      </w:r>
      <w:r w:rsidR="00C84E55" w:rsidRPr="00B20F71">
        <w:rPr>
          <w:noProof/>
          <w:spacing w:val="-2"/>
          <w:szCs w:val="19"/>
          <w:lang w:val="en-GB"/>
        </w:rPr>
        <w:t xml:space="preserve"> </w:t>
      </w:r>
      <w:r w:rsidR="00C84E55">
        <w:rPr>
          <w:noProof/>
          <w:spacing w:val="-2"/>
          <w:szCs w:val="19"/>
          <w:lang w:val="en-GB"/>
        </w:rPr>
        <w:t>m</w:t>
      </w:r>
      <w:r w:rsidR="00C84E55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C84E55">
        <w:rPr>
          <w:noProof/>
          <w:spacing w:val="-2"/>
          <w:szCs w:val="19"/>
          <w:lang w:val="en-GB"/>
        </w:rPr>
        <w:t>– by</w:t>
      </w:r>
      <w:r w:rsidR="00825006">
        <w:rPr>
          <w:noProof/>
          <w:spacing w:val="-2"/>
          <w:szCs w:val="19"/>
          <w:lang w:val="en-GB"/>
        </w:rPr>
        <w:t> </w:t>
      </w:r>
      <w:r w:rsidR="00C84E55">
        <w:rPr>
          <w:noProof/>
          <w:spacing w:val="-2"/>
          <w:szCs w:val="19"/>
          <w:lang w:val="en-GB"/>
        </w:rPr>
        <w:t>25.9%,</w:t>
      </w:r>
      <w:r w:rsidR="00A02D72">
        <w:rPr>
          <w:noProof/>
          <w:spacing w:val="-2"/>
          <w:szCs w:val="19"/>
          <w:lang w:val="en-GB"/>
        </w:rPr>
        <w:t xml:space="preserve"> in</w:t>
      </w:r>
      <w:r w:rsidR="00C84E55">
        <w:rPr>
          <w:noProof/>
          <w:spacing w:val="-2"/>
          <w:szCs w:val="19"/>
          <w:lang w:val="en-GB"/>
        </w:rPr>
        <w:t xml:space="preserve"> ma</w:t>
      </w:r>
      <w:r w:rsidR="00C84E55" w:rsidRPr="00C84E55">
        <w:rPr>
          <w:noProof/>
          <w:spacing w:val="-2"/>
          <w:szCs w:val="19"/>
          <w:lang w:val="en-GB"/>
        </w:rPr>
        <w:t>nufacture of beverages</w:t>
      </w:r>
      <w:r w:rsidR="00C84E55">
        <w:rPr>
          <w:noProof/>
          <w:spacing w:val="-2"/>
          <w:szCs w:val="19"/>
          <w:lang w:val="en-GB"/>
        </w:rPr>
        <w:t xml:space="preserve"> – by 13.8%, m</w:t>
      </w:r>
      <w:r w:rsidR="00C84E55" w:rsidRPr="00C84E55">
        <w:rPr>
          <w:noProof/>
          <w:spacing w:val="-2"/>
          <w:szCs w:val="19"/>
          <w:lang w:val="en-GB"/>
        </w:rPr>
        <w:t>anufacture of basic metals</w:t>
      </w:r>
      <w:r w:rsidR="00C84E55">
        <w:rPr>
          <w:noProof/>
          <w:spacing w:val="-2"/>
          <w:szCs w:val="19"/>
          <w:lang w:val="en-GB"/>
        </w:rPr>
        <w:t xml:space="preserve"> – by 12.5</w:t>
      </w:r>
      <w:r w:rsidR="00825006">
        <w:rPr>
          <w:noProof/>
          <w:spacing w:val="-2"/>
          <w:szCs w:val="19"/>
          <w:lang w:val="en-GB"/>
        </w:rPr>
        <w:t>%</w:t>
      </w:r>
      <w:r w:rsidR="00C84E55">
        <w:rPr>
          <w:noProof/>
          <w:spacing w:val="-2"/>
          <w:szCs w:val="19"/>
          <w:lang w:val="en-GB"/>
        </w:rPr>
        <w:t xml:space="preserve">, </w:t>
      </w:r>
      <w:r w:rsidR="00A02D72">
        <w:rPr>
          <w:noProof/>
          <w:spacing w:val="-2"/>
          <w:szCs w:val="19"/>
          <w:lang w:val="en-GB"/>
        </w:rPr>
        <w:t>m</w:t>
      </w:r>
      <w:r w:rsidR="00C84E55" w:rsidRPr="00C84E55">
        <w:rPr>
          <w:noProof/>
          <w:spacing w:val="-2"/>
          <w:szCs w:val="19"/>
          <w:lang w:val="en-GB"/>
        </w:rPr>
        <w:t>anufacture of metal products</w:t>
      </w:r>
      <w:r w:rsidR="00C84E55">
        <w:rPr>
          <w:noProof/>
          <w:spacing w:val="-2"/>
          <w:szCs w:val="19"/>
          <w:lang w:val="en-GB"/>
        </w:rPr>
        <w:t xml:space="preserve"> – by 10.3%, in</w:t>
      </w:r>
      <w:r w:rsidR="00C84E55">
        <w:rPr>
          <w:noProof/>
          <w:szCs w:val="19"/>
          <w:lang w:val="en-GB"/>
        </w:rPr>
        <w:t> </w:t>
      </w:r>
      <w:r w:rsidR="00C84E55">
        <w:rPr>
          <w:noProof/>
          <w:spacing w:val="-2"/>
          <w:szCs w:val="19"/>
          <w:lang w:val="en-GB"/>
        </w:rPr>
        <w:t>r</w:t>
      </w:r>
      <w:r w:rsidR="00C84E55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C84E55">
        <w:rPr>
          <w:noProof/>
          <w:spacing w:val="-2"/>
          <w:szCs w:val="19"/>
          <w:lang w:val="en-GB"/>
        </w:rPr>
        <w:t xml:space="preserve"> – by 9.6%, in </w:t>
      </w:r>
      <w:r w:rsidR="00C84E55" w:rsidRPr="009D61BA">
        <w:rPr>
          <w:noProof/>
          <w:szCs w:val="19"/>
          <w:lang w:val="en-GB"/>
        </w:rPr>
        <w:t xml:space="preserve">manufacture of </w:t>
      </w:r>
      <w:r w:rsidR="00C84E55" w:rsidRPr="00082002">
        <w:rPr>
          <w:noProof/>
          <w:spacing w:val="-2"/>
          <w:szCs w:val="19"/>
          <w:lang w:val="en-GB"/>
        </w:rPr>
        <w:t>machinery and equipment</w:t>
      </w:r>
      <w:r w:rsidR="00C84E55">
        <w:rPr>
          <w:noProof/>
          <w:spacing w:val="-2"/>
          <w:szCs w:val="19"/>
          <w:lang w:val="en-GB"/>
        </w:rPr>
        <w:t xml:space="preserve"> </w:t>
      </w:r>
      <w:r w:rsidR="00C84E55">
        <w:rPr>
          <w:noProof/>
          <w:szCs w:val="19"/>
          <w:lang w:val="en-GB"/>
        </w:rPr>
        <w:t>– by 9.3%,</w:t>
      </w:r>
      <w:r w:rsidR="00C84E55" w:rsidRPr="00C84E55">
        <w:rPr>
          <w:lang w:val="en-US"/>
        </w:rPr>
        <w:t xml:space="preserve"> </w:t>
      </w:r>
      <w:r w:rsidR="00C84E55">
        <w:rPr>
          <w:noProof/>
          <w:szCs w:val="19"/>
          <w:lang w:val="en-GB"/>
        </w:rPr>
        <w:t>m</w:t>
      </w:r>
      <w:r w:rsidR="00C84E55" w:rsidRPr="00C84E55">
        <w:rPr>
          <w:noProof/>
          <w:szCs w:val="19"/>
          <w:lang w:val="en-GB"/>
        </w:rPr>
        <w:t>anufacture of furniture</w:t>
      </w:r>
      <w:r w:rsidR="00C84E55">
        <w:rPr>
          <w:noProof/>
          <w:szCs w:val="19"/>
          <w:lang w:val="en-GB"/>
        </w:rPr>
        <w:t xml:space="preserve"> – by 8.1%.</w:t>
      </w:r>
    </w:p>
    <w:p w14:paraId="3722E909" w14:textId="20F9AE9F" w:rsidR="00BB6A55" w:rsidRPr="00C84E55" w:rsidRDefault="00E74A2F" w:rsidP="00BB6A55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84E55">
        <w:rPr>
          <w:noProof/>
          <w:szCs w:val="19"/>
          <w:lang w:val="en-GB"/>
        </w:rPr>
        <w:t>n</w:t>
      </w:r>
      <w:r w:rsidR="005C3B7C">
        <w:rPr>
          <w:noProof/>
          <w:szCs w:val="19"/>
          <w:lang w:val="en-GB"/>
        </w:rPr>
        <w:t xml:space="preserve"> </w:t>
      </w:r>
      <w:r w:rsidR="00C84E55">
        <w:rPr>
          <w:noProof/>
          <w:szCs w:val="19"/>
          <w:lang w:val="en-GB"/>
        </w:rPr>
        <w:t>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C84E55">
        <w:rPr>
          <w:noProof/>
          <w:szCs w:val="19"/>
          <w:lang w:val="en-GB"/>
        </w:rPr>
        <w:t>March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C84E55">
        <w:rPr>
          <w:noProof/>
          <w:szCs w:val="19"/>
          <w:lang w:val="en-GB"/>
        </w:rPr>
        <w:t>8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>
        <w:rPr>
          <w:noProof/>
          <w:spacing w:val="-2"/>
          <w:szCs w:val="19"/>
          <w:lang w:val="en-GB"/>
        </w:rPr>
        <w:t xml:space="preserve">among others </w:t>
      </w:r>
      <w:r w:rsidR="00BB6A55">
        <w:rPr>
          <w:noProof/>
          <w:spacing w:val="-2"/>
          <w:szCs w:val="19"/>
          <w:lang w:val="en-GB"/>
        </w:rPr>
        <w:t>in</w:t>
      </w:r>
      <w:r w:rsidR="00BB6A55">
        <w:rPr>
          <w:noProof/>
          <w:szCs w:val="19"/>
          <w:lang w:val="en-GB"/>
        </w:rPr>
        <w:t xml:space="preserve"> </w:t>
      </w:r>
      <w:r w:rsidR="00A02D72">
        <w:rPr>
          <w:noProof/>
          <w:szCs w:val="19"/>
          <w:lang w:val="en-GB"/>
        </w:rPr>
        <w:t>w</w:t>
      </w:r>
      <w:r w:rsidR="00C84E55" w:rsidRPr="00C84E55">
        <w:rPr>
          <w:noProof/>
          <w:szCs w:val="19"/>
          <w:lang w:val="en-GB"/>
        </w:rPr>
        <w:t>aste collection, treatment and disposal activities; materials recovery</w:t>
      </w:r>
      <w:r w:rsidR="00C84E55">
        <w:rPr>
          <w:noProof/>
          <w:szCs w:val="19"/>
          <w:lang w:val="en-GB"/>
        </w:rPr>
        <w:t xml:space="preserve"> </w:t>
      </w:r>
      <w:r w:rsidR="00C84E55">
        <w:rPr>
          <w:noProof/>
          <w:spacing w:val="-2"/>
          <w:szCs w:val="19"/>
          <w:lang w:val="en-GB"/>
        </w:rPr>
        <w:t>– by 7.5%,</w:t>
      </w:r>
      <w:r w:rsidR="00C84E55" w:rsidRPr="00C84E55">
        <w:rPr>
          <w:noProof/>
          <w:spacing w:val="-2"/>
          <w:szCs w:val="19"/>
          <w:lang w:val="en-GB"/>
        </w:rPr>
        <w:t xml:space="preserve"> </w:t>
      </w:r>
      <w:r w:rsidR="00A02D72">
        <w:rPr>
          <w:noProof/>
          <w:spacing w:val="-2"/>
          <w:szCs w:val="19"/>
          <w:lang w:val="en-GB"/>
        </w:rPr>
        <w:t xml:space="preserve">in </w:t>
      </w:r>
      <w:r w:rsidR="00C84E55">
        <w:rPr>
          <w:noProof/>
          <w:spacing w:val="-2"/>
          <w:szCs w:val="19"/>
          <w:lang w:val="en-GB"/>
        </w:rPr>
        <w:t>m</w:t>
      </w:r>
      <w:r w:rsidR="00C84E55" w:rsidRPr="00BD0775">
        <w:rPr>
          <w:noProof/>
          <w:spacing w:val="-2"/>
          <w:szCs w:val="19"/>
          <w:lang w:val="en-GB"/>
        </w:rPr>
        <w:t>anufacture of chemicals and chemical products</w:t>
      </w:r>
      <w:r w:rsidR="00C84E55">
        <w:rPr>
          <w:noProof/>
          <w:spacing w:val="-2"/>
          <w:szCs w:val="19"/>
          <w:lang w:val="en-GB"/>
        </w:rPr>
        <w:t xml:space="preserve"> – by 4.5%,</w:t>
      </w:r>
      <w:r w:rsidR="00C84E55" w:rsidRPr="00C84E55">
        <w:rPr>
          <w:noProof/>
          <w:spacing w:val="-2"/>
          <w:szCs w:val="19"/>
          <w:lang w:val="en-GB"/>
        </w:rPr>
        <w:t xml:space="preserve"> </w:t>
      </w:r>
      <w:r w:rsidR="00C84E55">
        <w:rPr>
          <w:noProof/>
          <w:spacing w:val="-2"/>
          <w:szCs w:val="19"/>
          <w:lang w:val="en-GB"/>
        </w:rPr>
        <w:t>m</w:t>
      </w:r>
      <w:r w:rsidR="00C84E55" w:rsidRPr="00BC5F37">
        <w:rPr>
          <w:noProof/>
          <w:spacing w:val="-2"/>
          <w:szCs w:val="19"/>
          <w:lang w:val="en-GB"/>
        </w:rPr>
        <w:t>anufacture of other transport equipment</w:t>
      </w:r>
      <w:r w:rsidR="00C84E55">
        <w:rPr>
          <w:noProof/>
          <w:spacing w:val="-2"/>
          <w:szCs w:val="19"/>
          <w:lang w:val="en-GB"/>
        </w:rPr>
        <w:t xml:space="preserve"> – by 2.1%.</w:t>
      </w:r>
    </w:p>
    <w:p w14:paraId="5855A0A2" w14:textId="142B09D9" w:rsidR="00AA6DFC" w:rsidRPr="00993183" w:rsidRDefault="00AA6DFC" w:rsidP="00A02CEF">
      <w:pPr>
        <w:spacing w:before="0" w:after="0"/>
        <w:rPr>
          <w:noProof/>
          <w:szCs w:val="19"/>
          <w:lang w:val="en-GB"/>
        </w:rPr>
      </w:pPr>
    </w:p>
    <w:p w14:paraId="5175D03E" w14:textId="7591A58C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372BDD33" w14:textId="2C46193B" w:rsidR="00FE1D51" w:rsidRPr="00A51608" w:rsidRDefault="00A02D72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78752" behindDoc="0" locked="0" layoutInCell="1" allowOverlap="1" wp14:anchorId="301EA983" wp14:editId="0C72FB77">
            <wp:simplePos x="0" y="0"/>
            <wp:positionH relativeFrom="column">
              <wp:posOffset>-50800</wp:posOffset>
            </wp:positionH>
            <wp:positionV relativeFrom="paragraph">
              <wp:posOffset>208915</wp:posOffset>
            </wp:positionV>
            <wp:extent cx="5212715" cy="3714750"/>
            <wp:effectExtent l="0" t="0" r="6985" b="0"/>
            <wp:wrapSquare wrapText="bothSides"/>
            <wp:docPr id="4" name="Obraz 4" descr="Index numbers of sold production of industry by selected NACE divisions (constant prices; previous year =100) - March 2023, March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7DB8F5FD" w14:textId="296D9706" w:rsidR="00301DA2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301DA2">
        <w:rPr>
          <w:szCs w:val="19"/>
          <w:lang w:val="en-GB"/>
        </w:rPr>
        <w:t>February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D5076A">
        <w:rPr>
          <w:szCs w:val="19"/>
          <w:lang w:val="en-GB"/>
        </w:rPr>
        <w:t>an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301DA2">
        <w:rPr>
          <w:szCs w:val="19"/>
          <w:lang w:val="en-GB"/>
        </w:rPr>
        <w:t>March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3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2419F5">
        <w:rPr>
          <w:noProof/>
          <w:spacing w:val="-2"/>
          <w:szCs w:val="19"/>
          <w:lang w:val="en-GB"/>
        </w:rPr>
        <w:t>2</w:t>
      </w:r>
      <w:r w:rsidR="00301DA2">
        <w:rPr>
          <w:noProof/>
          <w:spacing w:val="-2"/>
          <w:szCs w:val="19"/>
          <w:lang w:val="en-GB"/>
        </w:rPr>
        <w:t>7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>in ma</w:t>
      </w:r>
      <w:r w:rsidR="00301DA2" w:rsidRPr="00C84E55">
        <w:rPr>
          <w:noProof/>
          <w:spacing w:val="-2"/>
          <w:szCs w:val="19"/>
          <w:lang w:val="en-GB"/>
        </w:rPr>
        <w:t>nufacture of beverages</w:t>
      </w:r>
      <w:r w:rsidR="00301DA2">
        <w:rPr>
          <w:noProof/>
          <w:spacing w:val="-2"/>
          <w:szCs w:val="19"/>
          <w:lang w:val="en-GB"/>
        </w:rPr>
        <w:t xml:space="preserve"> – by 28.0%,</w:t>
      </w:r>
      <w:r w:rsidR="00301DA2" w:rsidRPr="00301DA2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>m</w:t>
      </w:r>
      <w:r w:rsidR="00301DA2" w:rsidRPr="00BC5F37">
        <w:rPr>
          <w:noProof/>
          <w:spacing w:val="-2"/>
          <w:szCs w:val="19"/>
          <w:lang w:val="en-GB"/>
        </w:rPr>
        <w:t>anufacture of other transport equipment</w:t>
      </w:r>
      <w:r w:rsidR="00301DA2" w:rsidRPr="00BC5F37">
        <w:rPr>
          <w:noProof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>– by 21.2%,</w:t>
      </w:r>
      <w:r w:rsidR="00301DA2" w:rsidRPr="00301DA2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>m</w:t>
      </w:r>
      <w:r w:rsidR="00301DA2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301DA2">
        <w:rPr>
          <w:noProof/>
          <w:spacing w:val="-2"/>
          <w:szCs w:val="19"/>
          <w:lang w:val="en-GB"/>
        </w:rPr>
        <w:t xml:space="preserve"> – by 10.6%,</w:t>
      </w:r>
      <w:r w:rsidR="00301DA2" w:rsidRPr="00301DA2">
        <w:rPr>
          <w:lang w:val="en-US"/>
        </w:rPr>
        <w:t xml:space="preserve"> </w:t>
      </w:r>
      <w:r w:rsidR="00301DA2">
        <w:rPr>
          <w:noProof/>
          <w:spacing w:val="-2"/>
          <w:szCs w:val="19"/>
          <w:lang w:val="en-GB"/>
        </w:rPr>
        <w:t>m</w:t>
      </w:r>
      <w:r w:rsidR="00301DA2" w:rsidRPr="00301DA2">
        <w:rPr>
          <w:noProof/>
          <w:spacing w:val="-2"/>
          <w:szCs w:val="19"/>
          <w:lang w:val="en-GB"/>
        </w:rPr>
        <w:t>anufacture of computer, electronic and optical products</w:t>
      </w:r>
      <w:r w:rsidR="00301DA2">
        <w:rPr>
          <w:noProof/>
          <w:spacing w:val="-2"/>
          <w:szCs w:val="19"/>
          <w:lang w:val="en-GB"/>
        </w:rPr>
        <w:t xml:space="preserve"> – by 9.5%,</w:t>
      </w:r>
      <w:r w:rsidR="00301DA2" w:rsidRPr="00301DA2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>m</w:t>
      </w:r>
      <w:r w:rsidR="00301DA2" w:rsidRPr="00524711">
        <w:rPr>
          <w:noProof/>
          <w:spacing w:val="-2"/>
          <w:szCs w:val="19"/>
          <w:lang w:val="en-GB"/>
        </w:rPr>
        <w:t>anufacture of food products</w:t>
      </w:r>
      <w:r w:rsidR="00301DA2">
        <w:rPr>
          <w:noProof/>
          <w:spacing w:val="-2"/>
          <w:szCs w:val="19"/>
          <w:lang w:val="en-GB"/>
        </w:rPr>
        <w:t xml:space="preserve"> – by 8.7%,</w:t>
      </w:r>
      <w:r w:rsidR="00301DA2" w:rsidRPr="00301DA2">
        <w:rPr>
          <w:noProof/>
          <w:szCs w:val="19"/>
          <w:lang w:val="en-GB"/>
        </w:rPr>
        <w:t xml:space="preserve"> </w:t>
      </w:r>
      <w:r w:rsidR="00301DA2" w:rsidRPr="009D61BA">
        <w:rPr>
          <w:noProof/>
          <w:szCs w:val="19"/>
          <w:lang w:val="en-GB"/>
        </w:rPr>
        <w:t xml:space="preserve">manufacture of </w:t>
      </w:r>
      <w:r w:rsidR="00301DA2" w:rsidRPr="00082002">
        <w:rPr>
          <w:noProof/>
          <w:spacing w:val="-2"/>
          <w:szCs w:val="19"/>
          <w:lang w:val="en-GB"/>
        </w:rPr>
        <w:t>machinery and equipment</w:t>
      </w:r>
      <w:r w:rsidR="00301DA2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zCs w:val="19"/>
          <w:lang w:val="en-GB"/>
        </w:rPr>
        <w:t>– by 7.3%,</w:t>
      </w:r>
      <w:r w:rsidR="00301DA2" w:rsidRPr="00301DA2">
        <w:rPr>
          <w:lang w:val="en-US"/>
        </w:rPr>
        <w:t xml:space="preserve"> </w:t>
      </w:r>
      <w:r w:rsidR="00301DA2">
        <w:rPr>
          <w:lang w:val="en-US"/>
        </w:rPr>
        <w:t xml:space="preserve">in </w:t>
      </w:r>
      <w:r w:rsidR="00301DA2">
        <w:rPr>
          <w:noProof/>
          <w:szCs w:val="19"/>
          <w:lang w:val="en-GB"/>
        </w:rPr>
        <w:t>w</w:t>
      </w:r>
      <w:r w:rsidR="00301DA2" w:rsidRPr="00301DA2">
        <w:rPr>
          <w:noProof/>
          <w:szCs w:val="19"/>
          <w:lang w:val="en-GB"/>
        </w:rPr>
        <w:t>aste collection, treatment and disposal activities; materials recovery</w:t>
      </w:r>
      <w:r w:rsidR="00301DA2">
        <w:rPr>
          <w:noProof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>– by 6.8%.</w:t>
      </w:r>
    </w:p>
    <w:p w14:paraId="0A1FE1CA" w14:textId="7EEC8D2E" w:rsidR="007F64BD" w:rsidRDefault="00201122" w:rsidP="006F05D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076A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301DA2">
        <w:rPr>
          <w:noProof/>
          <w:szCs w:val="19"/>
          <w:lang w:val="en-GB"/>
        </w:rPr>
        <w:t>February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7F64BD">
        <w:rPr>
          <w:noProof/>
          <w:szCs w:val="19"/>
          <w:lang w:val="en-GB"/>
        </w:rPr>
        <w:t>7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7F64BD">
        <w:rPr>
          <w:noProof/>
          <w:szCs w:val="19"/>
          <w:lang w:val="en-GB"/>
        </w:rPr>
        <w:t> </w:t>
      </w:r>
      <w:r w:rsidR="007F64BD">
        <w:rPr>
          <w:noProof/>
          <w:spacing w:val="-2"/>
          <w:szCs w:val="19"/>
          <w:lang w:val="en-GB"/>
        </w:rPr>
        <w:t>r</w:t>
      </w:r>
      <w:r w:rsidR="007F64B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7F64BD">
        <w:rPr>
          <w:noProof/>
          <w:spacing w:val="-2"/>
          <w:szCs w:val="19"/>
          <w:lang w:val="en-GB"/>
        </w:rPr>
        <w:t xml:space="preserve"> – by 19.8%,</w:t>
      </w:r>
    </w:p>
    <w:p w14:paraId="647CE719" w14:textId="4957C92A" w:rsidR="007F64BD" w:rsidRDefault="006F05DD" w:rsidP="006F05D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in</w:t>
      </w:r>
      <w:r w:rsidRPr="00B20F71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D62272">
        <w:rPr>
          <w:noProof/>
          <w:spacing w:val="-2"/>
          <w:szCs w:val="19"/>
          <w:lang w:val="en-GB"/>
        </w:rPr>
        <w:t xml:space="preserve">ining of coal and lignite </w:t>
      </w:r>
      <w:r>
        <w:rPr>
          <w:noProof/>
          <w:spacing w:val="-2"/>
          <w:szCs w:val="19"/>
          <w:lang w:val="en-GB"/>
        </w:rPr>
        <w:t xml:space="preserve">– by </w:t>
      </w:r>
      <w:r w:rsidR="007F64BD">
        <w:rPr>
          <w:noProof/>
          <w:spacing w:val="-2"/>
          <w:szCs w:val="19"/>
          <w:lang w:val="en-GB"/>
        </w:rPr>
        <w:t>3.7</w:t>
      </w:r>
      <w:r>
        <w:rPr>
          <w:noProof/>
          <w:spacing w:val="-2"/>
          <w:szCs w:val="19"/>
          <w:lang w:val="en-GB"/>
        </w:rPr>
        <w:t>%,</w:t>
      </w:r>
      <w:r w:rsidRPr="006F05D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 m</w:t>
      </w:r>
      <w:r w:rsidR="007F64BD" w:rsidRPr="007F64BD">
        <w:rPr>
          <w:noProof/>
          <w:spacing w:val="-2"/>
          <w:szCs w:val="19"/>
          <w:lang w:val="en-GB"/>
        </w:rPr>
        <w:t>anufacture of motor vehicles, trailers and semi-</w:t>
      </w:r>
      <w:r w:rsidR="00A02D72">
        <w:rPr>
          <w:noProof/>
          <w:spacing w:val="-2"/>
          <w:szCs w:val="19"/>
          <w:lang w:val="en-GB"/>
        </w:rPr>
        <w:t xml:space="preserve">       -</w:t>
      </w:r>
      <w:r w:rsidR="007F64BD" w:rsidRPr="007F64BD">
        <w:rPr>
          <w:noProof/>
          <w:spacing w:val="-2"/>
          <w:szCs w:val="19"/>
          <w:lang w:val="en-GB"/>
        </w:rPr>
        <w:t>trailers</w:t>
      </w:r>
      <w:r w:rsidR="007F64BD">
        <w:rPr>
          <w:noProof/>
          <w:spacing w:val="-2"/>
          <w:szCs w:val="19"/>
          <w:lang w:val="en-GB"/>
        </w:rPr>
        <w:t xml:space="preserve"> – by 1.8%, m</w:t>
      </w:r>
      <w:r w:rsidR="007F64BD" w:rsidRPr="007F64BD">
        <w:rPr>
          <w:noProof/>
          <w:spacing w:val="-2"/>
          <w:szCs w:val="19"/>
          <w:lang w:val="en-GB"/>
        </w:rPr>
        <w:t>anufacture of furniture</w:t>
      </w:r>
      <w:r w:rsidR="007F64BD">
        <w:rPr>
          <w:noProof/>
          <w:spacing w:val="-2"/>
          <w:szCs w:val="19"/>
          <w:lang w:val="en-GB"/>
        </w:rPr>
        <w:t xml:space="preserve"> – by 1.3%.</w:t>
      </w:r>
    </w:p>
    <w:bookmarkEnd w:id="3"/>
    <w:p w14:paraId="5BD380D1" w14:textId="77777777" w:rsidR="006F05DD" w:rsidRDefault="006F05DD" w:rsidP="00E44A8F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4D589ED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6E0E0765" w:rsidR="00E44A8F" w:rsidRPr="000A5D02" w:rsidRDefault="00156C28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79776" behindDoc="0" locked="0" layoutInCell="1" allowOverlap="1" wp14:anchorId="40734882" wp14:editId="206D340D">
            <wp:simplePos x="0" y="0"/>
            <wp:positionH relativeFrom="column">
              <wp:posOffset>-88900</wp:posOffset>
            </wp:positionH>
            <wp:positionV relativeFrom="paragraph">
              <wp:posOffset>228600</wp:posOffset>
            </wp:positionV>
            <wp:extent cx="5224780" cy="3816350"/>
            <wp:effectExtent l="0" t="0" r="0" b="0"/>
            <wp:wrapSquare wrapText="bothSides"/>
            <wp:docPr id="8" name="Obraz 8" descr="Index numbers of sold production of industry by selected NACE divisions (constant prices; previous month =100) - January, February and March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35007826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56346AA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8E12C3" w:rsidRPr="00DD4DC4" w:rsidRDefault="008E12C3" w:rsidP="008E12C3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8E12C3" w:rsidRPr="00DD4DC4" w:rsidRDefault="008E12C3" w:rsidP="008E12C3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8E12C3" w:rsidRPr="00F05FC7" w:rsidRDefault="008E12C3" w:rsidP="008E12C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4AA5559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A765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40B14D19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7B3E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E0EEC8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7528C1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47C73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40C2F3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4350C691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741846A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B6A1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"https://stat.gov.pl/en/topics/other-studies/informations-on-socio-economic-situation/statistical-bulletin-no-22024,4,160.html"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F1C5B19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B6A1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"https://stat.gov.pl/en/topics/other-studies/informations-on-socio-economic-situation/socio-economic-situation-of-the-country-in-february-2024,1,155.html"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A2386">
                              <w:rPr>
                                <w:lang w:val="en-GB"/>
                              </w:rPr>
                              <w:instrText xml:space="preserve"> 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A2386">
                              <w:rPr>
                                <w:lang w:val="en-GB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A2386">
                              <w:rPr>
                                <w:lang w:val="en-GB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5A2386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A2386">
                              <w:rPr>
                                <w:lang w:val="en-GB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5A2386">
                              <w:fldChar w:fldCharType="begin"/>
                            </w:r>
                            <w:r w:rsidR="005A2386" w:rsidRPr="005A2386">
                              <w:rPr>
                                <w:lang w:val="en-GB"/>
                              </w:rPr>
                              <w:instrText xml:space="preserve"> HYPERLINK "https://stat.gov.pl/en/metainformation/glossary/terms-used-in-offi</w:instrText>
                            </w:r>
                            <w:r w:rsidR="005A2386" w:rsidRPr="005A2386">
                              <w:rPr>
                                <w:lang w:val="en-GB"/>
                              </w:rPr>
                              <w:instrText xml:space="preserve">cial-statistics/700,term.html" </w:instrText>
                            </w:r>
                            <w:r w:rsidR="005A2386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5A238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5A2386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5A23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5A23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741846A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B6A1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"https://stat.gov.pl/en/topics/other-studies/informations-on-socio-economic-situation/statistical-bulletin-no-22024,4,160.html"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2F1C5B19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B6A1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"https://stat.gov.pl/en/topics/other-studies/informations-on-socio-economic-situation/socio-economic-situation-of-the-country-in-february-2024,1,155.html"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5A238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5A2386">
                        <w:rPr>
                          <w:lang w:val="en-GB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5A2386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5A2386">
                        <w:rPr>
                          <w:lang w:val="en-GB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5A238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5A2386">
                        <w:rPr>
                          <w:lang w:val="en-GB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5A2386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5A2386">
                        <w:rPr>
                          <w:lang w:val="en-GB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5A2386">
                        <w:fldChar w:fldCharType="begin"/>
                      </w:r>
                      <w:r w:rsidR="005A2386" w:rsidRPr="005A2386">
                        <w:rPr>
                          <w:lang w:val="en-GB"/>
                        </w:rPr>
                        <w:instrText xml:space="preserve"> HYPERLINK "https://stat.gov.pl/en/metainformation/glossary/terms-used-in-offi</w:instrText>
                      </w:r>
                      <w:r w:rsidR="005A2386" w:rsidRPr="005A2386">
                        <w:rPr>
                          <w:lang w:val="en-GB"/>
                        </w:rPr>
                        <w:instrText xml:space="preserve">cial-statistics/700,term.html" </w:instrText>
                      </w:r>
                      <w:r w:rsidR="005A2386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5A238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5A238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5A2386">
                        <w:rPr>
                          <w:lang w:val="en-GB"/>
                        </w:rPr>
                        <w:instrText xml:space="preserve"> HYPERLINK "https://stat.gov.pl/en/metainformation/glossary/terms-used-in-official-statistics/707,term.html"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5A23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5A23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5A23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5A23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5A23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A5104" w14:textId="77777777" w:rsidR="005074BF" w:rsidRDefault="005074BF" w:rsidP="000662E2">
      <w:pPr>
        <w:spacing w:after="0" w:line="240" w:lineRule="auto"/>
      </w:pPr>
      <w:r>
        <w:separator/>
      </w:r>
    </w:p>
  </w:endnote>
  <w:endnote w:type="continuationSeparator" w:id="0">
    <w:p w14:paraId="31461D21" w14:textId="77777777" w:rsidR="005074BF" w:rsidRDefault="005074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45464" w14:textId="77777777" w:rsidR="005074BF" w:rsidRDefault="005074BF" w:rsidP="000662E2">
      <w:pPr>
        <w:spacing w:after="0" w:line="240" w:lineRule="auto"/>
      </w:pPr>
      <w:r>
        <w:separator/>
      </w:r>
    </w:p>
  </w:footnote>
  <w:footnote w:type="continuationSeparator" w:id="0">
    <w:p w14:paraId="3C955BD5" w14:textId="77777777" w:rsidR="005074BF" w:rsidRDefault="005074B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005D69F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4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22DCCD9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3364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B3364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4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xWHgIAABEEAAAOAAAAZHJzL2Uyb0RvYy54bWysU9Fu2yAUfZ+0f0C8L3YcO22tOFXXrtOk&#10;bqvU7QMIxjEqcBmQ2NnX94LTNNrepvkBgS/33HvOPayuR63IXjgvwTR0PsspEYZDK822oT9/3H+4&#10;pMQHZlqmwIiGHoSn1+v371aDrUUBPahWOIIgxteDbWgfgq2zzPNeaOZnYIXBYAdOs4BHt81axwZE&#10;1yor8nyZDeBa64AL7/Hv3RSk64TfdYKH713nRSCqodhbSKtL6yau2XrF6q1jtpf82Ab7hy40kwaL&#10;nqDuWGBk5+RfUFpyBx66MOOgM+g6yUXigGzm+R9snnpmReKC4nh7ksn/P1j+bf/oiGwbekGJYRpH&#10;9AhKkCCefYBBkIKSVniOkhXFLC9nRV6UUbXB+hqTnyymh/EjjDj9pIC3D8CfPTFw2zOzFTfOwdAL&#10;1mLX85iZnaVOOD6CbIav0GJ5tguQgMbO6SgpikQQHad3OE1MjIHwWLJcFNUSQxxji8WyqtJIM1a/&#10;Zlvnw2cBmsRNQx06IqGz/YMPsRtWv16JxQzcS6WSK5QhQ0OvqqJKCWcRLQOaVknd0Ms8fpONIslP&#10;pk3JgUk17bGAMkfWkehEOYybMcmeJImKbKA9oAwOJo/im8JND+43JQP6s6H+1445QYn6YlDKq3lZ&#10;RkOnQ1ldFHhw55HNeYQZjlANDZRM29uQHsFE+QYl72RS462TY8vouyTS8Y1EY5+f0623l7x+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9dixW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422DCCD9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3364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B3364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2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477A4"/>
    <w:rsid w:val="00151995"/>
    <w:rsid w:val="00151D31"/>
    <w:rsid w:val="00152273"/>
    <w:rsid w:val="00152BFE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40ECE"/>
    <w:rsid w:val="002419F5"/>
    <w:rsid w:val="0024258D"/>
    <w:rsid w:val="002452B8"/>
    <w:rsid w:val="00247C71"/>
    <w:rsid w:val="00250FEE"/>
    <w:rsid w:val="002517AD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77C8"/>
    <w:rsid w:val="003005E6"/>
    <w:rsid w:val="0030115B"/>
    <w:rsid w:val="003019E7"/>
    <w:rsid w:val="00301DA2"/>
    <w:rsid w:val="00301DF5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2677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4BF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2386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1317,term.html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56,term.html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1313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57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March 2024. News release.docx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7706-8AD9-4829-AACE-7B9AC9A3733D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C6E2F3E-54CD-42CA-B1E2-1B1D5024B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666</Words>
  <Characters>3998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2024-04-18T07:19:00Z</dcterms:created>
  <dcterms:modified xsi:type="dcterms:W3CDTF">2024-04-19T07:31:00Z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