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3E6878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22335392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2B0CDD">
        <w:rPr>
          <w:shd w:val="clear" w:color="auto" w:fill="FFFFFF"/>
          <w:lang w:val="en-GB"/>
        </w:rPr>
        <w:t>Septembe</w:t>
      </w:r>
      <w:r w:rsidR="00F63A54">
        <w:rPr>
          <w:shd w:val="clear" w:color="auto" w:fill="FFFFFF"/>
          <w:lang w:val="en-GB"/>
        </w:rPr>
        <w:t>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FA05E1C" w14:textId="32DD9A3F" w:rsidR="00C04FF0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C7754AB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3%&#10;Decrease in sold production of industry as compared to September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741CCE33" w:rsidR="00E66F2C" w:rsidRPr="00DC4A61" w:rsidRDefault="00067DDD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2B0CDD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0.3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7B1C4A0" w:rsidR="00E66F2C" w:rsidRPr="00A84C79" w:rsidRDefault="00067DDD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B0CDD">
                              <w:rPr>
                                <w:sz w:val="20"/>
                                <w:lang w:val="en-US"/>
                              </w:rPr>
                              <w:t>September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0.3%&#10;Decrease in sold production of industry as compared to September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B2jSGHaQIAAH0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741CCE33" w:rsidR="00E66F2C" w:rsidRPr="00DC4A61" w:rsidRDefault="00067DDD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2B0CDD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0.3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7B1C4A0" w:rsidR="00E66F2C" w:rsidRPr="00A84C79" w:rsidRDefault="00067DDD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B0CDD">
                        <w:rPr>
                          <w:sz w:val="20"/>
                          <w:lang w:val="en-US"/>
                        </w:rPr>
                        <w:t>September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2B0CDD">
        <w:rPr>
          <w:lang w:val="en-GB"/>
        </w:rPr>
        <w:t>September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2B0CDD">
        <w:rPr>
          <w:lang w:val="en-GB"/>
        </w:rPr>
        <w:t>0.3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067DDD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101B4A">
        <w:rPr>
          <w:lang w:val="en-GB"/>
        </w:rPr>
        <w:t xml:space="preserve"> </w:t>
      </w:r>
      <w:r w:rsidR="002B0CDD">
        <w:rPr>
          <w:lang w:val="en-GB"/>
        </w:rPr>
        <w:t>September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2B0CDD">
        <w:rPr>
          <w:spacing w:val="-2"/>
          <w:lang w:val="en-GB"/>
        </w:rPr>
        <w:t>3.3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>corresponding perio</w:t>
      </w:r>
      <w:bookmarkStart w:id="1" w:name="_GoBack"/>
      <w:bookmarkEnd w:id="1"/>
      <w:r w:rsidR="00163064" w:rsidRPr="00163064">
        <w:rPr>
          <w:lang w:val="en"/>
        </w:rPr>
        <w:t xml:space="preserve">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2B0CDD">
        <w:rPr>
          <w:spacing w:val="-2"/>
          <w:lang w:val="en-GB"/>
        </w:rPr>
        <w:t>August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B0CDD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2B0CDD">
        <w:rPr>
          <w:spacing w:val="-2"/>
          <w:lang w:val="en-GB"/>
        </w:rPr>
        <w:t>9.0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08784D">
        <w:rPr>
          <w:lang w:val="en-GB"/>
        </w:rPr>
        <w:t>In the period January-</w:t>
      </w:r>
      <w:r w:rsidR="002B0CDD">
        <w:rPr>
          <w:lang w:val="en-GB"/>
        </w:rPr>
        <w:t>September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2B0CDD">
        <w:rPr>
          <w:lang w:val="en-GB"/>
        </w:rPr>
        <w:t>2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</w:t>
      </w:r>
      <w:r w:rsidR="006A6D1B">
        <w:rPr>
          <w:lang w:val="en-GB"/>
        </w:rPr>
        <w:t>.</w:t>
      </w:r>
      <w:r w:rsidR="002F5670">
        <w:rPr>
          <w:lang w:val="en-GB"/>
        </w:rPr>
        <w:t>3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73D91776" w14:textId="2569E84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0D1A153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September 2024 amounted to 0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F224028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B0C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67D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2B0C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September 2024 amounted to 0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" filled="f" stroked="f">
                <v:textbox>
                  <w:txbxContent>
                    <w:p w14:paraId="74E140B5" w14:textId="6F224028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B0C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67D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2B0C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1D66442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2B0CDD">
        <w:rPr>
          <w:noProof/>
          <w:spacing w:val="-2"/>
          <w:szCs w:val="19"/>
          <w:lang w:val="en-GB"/>
        </w:rPr>
        <w:t>September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067DDD">
        <w:rPr>
          <w:noProof/>
          <w:spacing w:val="-2"/>
          <w:szCs w:val="19"/>
          <w:lang w:val="en-GB"/>
        </w:rPr>
        <w:t>0.</w:t>
      </w:r>
      <w:r w:rsidR="002B0CD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51266A">
        <w:rPr>
          <w:noProof/>
          <w:spacing w:val="-2"/>
          <w:szCs w:val="19"/>
          <w:lang w:val="en-GB"/>
        </w:rPr>
        <w:t>0</w:t>
      </w:r>
      <w:r w:rsidR="00F80C6D">
        <w:rPr>
          <w:noProof/>
          <w:spacing w:val="-2"/>
          <w:szCs w:val="19"/>
          <w:lang w:val="en-GB"/>
        </w:rPr>
        <w:t>.</w:t>
      </w:r>
      <w:r w:rsidR="002B0CDD">
        <w:rPr>
          <w:noProof/>
          <w:spacing w:val="-2"/>
          <w:szCs w:val="19"/>
          <w:lang w:val="en-GB"/>
        </w:rPr>
        <w:t>2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51266A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August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699FCF39" w:rsidR="00EF2171" w:rsidRPr="00B54CD9" w:rsidRDefault="002B0CDD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96160" behindDoc="0" locked="0" layoutInCell="1" allowOverlap="1" wp14:anchorId="77D919E8" wp14:editId="09CC9A1E">
            <wp:simplePos x="0" y="0"/>
            <wp:positionH relativeFrom="column">
              <wp:posOffset>-67945</wp:posOffset>
            </wp:positionH>
            <wp:positionV relativeFrom="paragraph">
              <wp:posOffset>323850</wp:posOffset>
            </wp:positionV>
            <wp:extent cx="5236845" cy="3237230"/>
            <wp:effectExtent l="0" t="0" r="1905" b="1270"/>
            <wp:wrapSquare wrapText="bothSides"/>
            <wp:docPr id="4" name="Obraz 4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46F9406F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26D537C6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0CD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B0CD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 xml:space="preserve">2.6% and 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 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1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.2</w:t>
      </w:r>
      <w:r w:rsidR="00BE7A2A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.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F80C6D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BE7A2A" w:rsidRPr="00E2764C">
        <w:rPr>
          <w:b w:val="0"/>
          <w:sz w:val="19"/>
          <w:szCs w:val="19"/>
          <w:lang w:val="en-GB"/>
        </w:rPr>
        <w:t xml:space="preserve">was </w:t>
      </w:r>
      <w:r w:rsidR="00BE7A2A" w:rsidRPr="004D23D2">
        <w:rPr>
          <w:b w:val="0"/>
          <w:sz w:val="19"/>
          <w:szCs w:val="19"/>
          <w:lang w:val="en-GB"/>
        </w:rPr>
        <w:t>observed in</w:t>
      </w:r>
      <w:r w:rsidR="00BE7A2A">
        <w:rPr>
          <w:b w:val="0"/>
          <w:sz w:val="19"/>
          <w:szCs w:val="19"/>
          <w:lang w:val="en-GB"/>
        </w:rPr>
        <w:t xml:space="preserve"> the</w:t>
      </w:r>
      <w:r w:rsidR="00BE7A2A" w:rsidRPr="004D23D2">
        <w:rPr>
          <w:sz w:val="19"/>
          <w:szCs w:val="19"/>
          <w:lang w:val="en-GB"/>
        </w:rPr>
        <w:t xml:space="preserve"> </w:t>
      </w:r>
      <w:r w:rsidR="00BE7A2A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-</w:t>
      </w:r>
      <w:r w:rsidR="00BE7A2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E7A2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2.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7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>%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,</w:t>
      </w:r>
      <w:r w:rsidR="00BE7A2A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0CDD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2B0CDD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 xml:space="preserve">2.3% </w:t>
      </w:r>
      <w:r w:rsidR="00BE7A2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6763E2" w:rsidRPr="006763E2">
        <w:rPr>
          <w:b w:val="0"/>
          <w:sz w:val="19"/>
          <w:szCs w:val="19"/>
          <w:shd w:val="clear" w:color="auto" w:fill="FFFFFF"/>
          <w:lang w:val="en-GB"/>
        </w:rPr>
        <w:t>slightly</w:t>
      </w:r>
      <w:r w:rsidR="00F80C6D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80C6D">
        <w:rPr>
          <w:b w:val="0"/>
          <w:sz w:val="19"/>
          <w:szCs w:val="19"/>
          <w:lang w:val="en-GB"/>
        </w:rPr>
        <w:t>the</w:t>
      </w:r>
      <w:r w:rsidR="00F80C6D" w:rsidRPr="004D23D2">
        <w:rPr>
          <w:sz w:val="19"/>
          <w:szCs w:val="19"/>
          <w:lang w:val="en-GB"/>
        </w:rPr>
        <w:t xml:space="preserve"> </w:t>
      </w:r>
      <w:r w:rsidR="00F80C6D"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51266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0.</w:t>
      </w:r>
      <w:r w:rsidR="002B0CDD">
        <w:rPr>
          <w:b w:val="0"/>
          <w:sz w:val="19"/>
          <w:szCs w:val="19"/>
          <w:shd w:val="clear" w:color="auto" w:fill="FFFFFF"/>
          <w:lang w:val="en-GB"/>
        </w:rPr>
        <w:t>1</w:t>
      </w:r>
      <w:r w:rsidR="0051266A">
        <w:rPr>
          <w:b w:val="0"/>
          <w:sz w:val="19"/>
          <w:szCs w:val="19"/>
          <w:shd w:val="clear" w:color="auto" w:fill="FFFFFF"/>
          <w:lang w:val="en-GB"/>
        </w:rPr>
        <w:t>%</w:t>
      </w:r>
      <w:r w:rsidR="006763E2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62A762A6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2B28D0D0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2B0CDD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2B0CDD" w:rsidRPr="00A15DA4" w:rsidRDefault="002B0CDD" w:rsidP="002B0CDD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4FE119B7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04FF000C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4417D6B6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2456713C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  <w:tc>
          <w:tcPr>
            <w:tcW w:w="794" w:type="dxa"/>
          </w:tcPr>
          <w:p w14:paraId="7F847B15" w14:textId="53AF87E9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173B97A7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78342C43" w:rsidR="002B0CDD" w:rsidRPr="00A15DA4" w:rsidRDefault="002B0CDD" w:rsidP="002B0CD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09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2B0CDD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2B0CDD" w:rsidRPr="00A15DA4" w:rsidRDefault="002B0CDD" w:rsidP="002B0CD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64674006" w:rsidR="002B0CDD" w:rsidRPr="00A15DA4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68F2BF7E" w:rsidR="002B0CDD" w:rsidRPr="00A15DA4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39A1F0ED" w:rsidR="002B0CDD" w:rsidRPr="00A15DA4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1EFAE9A0" w:rsidR="002B0CDD" w:rsidRPr="00A15DA4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6416E92E" w:rsidR="002B0CDD" w:rsidRPr="00A15DA4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32752308" w:rsidR="002B0CDD" w:rsidRPr="0051266A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472E8F81" w:rsidR="002B0CDD" w:rsidRPr="0051266A" w:rsidRDefault="002B0CDD" w:rsidP="002B0CD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109.6</w:t>
            </w:r>
          </w:p>
        </w:tc>
      </w:tr>
      <w:tr w:rsidR="002B0CDD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2B0CDD" w:rsidRPr="00A15DA4" w:rsidRDefault="002B0CDD" w:rsidP="002B0CD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4A4AA110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92.5*</w:t>
            </w:r>
          </w:p>
        </w:tc>
        <w:tc>
          <w:tcPr>
            <w:tcW w:w="794" w:type="dxa"/>
          </w:tcPr>
          <w:p w14:paraId="0E8FD10B" w14:textId="4D2FFA5E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794" w:type="dxa"/>
          </w:tcPr>
          <w:p w14:paraId="3E533996" w14:textId="08A69933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92.8*</w:t>
            </w:r>
          </w:p>
        </w:tc>
        <w:tc>
          <w:tcPr>
            <w:tcW w:w="794" w:type="dxa"/>
          </w:tcPr>
          <w:p w14:paraId="19D4F7E0" w14:textId="52D9DC38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92.7</w:t>
            </w:r>
          </w:p>
        </w:tc>
        <w:tc>
          <w:tcPr>
            <w:tcW w:w="794" w:type="dxa"/>
          </w:tcPr>
          <w:p w14:paraId="1A3611B0" w14:textId="3AEAB733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794" w:type="dxa"/>
          </w:tcPr>
          <w:p w14:paraId="27514117" w14:textId="3AD58851" w:rsidR="002B0CDD" w:rsidRPr="0051266A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99.6*</w:t>
            </w:r>
          </w:p>
        </w:tc>
        <w:tc>
          <w:tcPr>
            <w:tcW w:w="794" w:type="dxa"/>
            <w:vAlign w:val="center"/>
          </w:tcPr>
          <w:p w14:paraId="733AD303" w14:textId="3337CC42" w:rsidR="002B0CDD" w:rsidRPr="0051266A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107.4</w:t>
            </w:r>
          </w:p>
        </w:tc>
      </w:tr>
      <w:tr w:rsidR="002B0CDD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2B0CDD" w:rsidRPr="00A15DA4" w:rsidRDefault="002B0CDD" w:rsidP="002B0CD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417BED73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94.8*</w:t>
            </w:r>
          </w:p>
        </w:tc>
        <w:tc>
          <w:tcPr>
            <w:tcW w:w="794" w:type="dxa"/>
          </w:tcPr>
          <w:p w14:paraId="09139D15" w14:textId="7E9085A4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</w:t>
            </w:r>
          </w:p>
        </w:tc>
        <w:tc>
          <w:tcPr>
            <w:tcW w:w="794" w:type="dxa"/>
          </w:tcPr>
          <w:p w14:paraId="507DD464" w14:textId="66107EDF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98.6*</w:t>
            </w:r>
          </w:p>
        </w:tc>
        <w:tc>
          <w:tcPr>
            <w:tcW w:w="794" w:type="dxa"/>
          </w:tcPr>
          <w:p w14:paraId="0649EF27" w14:textId="20C12706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</w:tcPr>
          <w:p w14:paraId="5D685115" w14:textId="0FF324D7" w:rsidR="002B0CDD" w:rsidRPr="00A15DA4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794" w:type="dxa"/>
          </w:tcPr>
          <w:p w14:paraId="05FB6906" w14:textId="78F3A5EC" w:rsidR="002B0CDD" w:rsidRPr="0051266A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101.5*</w:t>
            </w:r>
          </w:p>
        </w:tc>
        <w:tc>
          <w:tcPr>
            <w:tcW w:w="794" w:type="dxa"/>
            <w:vAlign w:val="center"/>
          </w:tcPr>
          <w:p w14:paraId="18F8CF38" w14:textId="6E49DFB5" w:rsidR="002B0CDD" w:rsidRPr="0051266A" w:rsidRDefault="002B0CDD" w:rsidP="002B0CD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111.5</w:t>
            </w:r>
          </w:p>
        </w:tc>
      </w:tr>
      <w:tr w:rsidR="002B0CDD" w:rsidRPr="00A15DA4" w14:paraId="450FDFBD" w14:textId="77777777" w:rsidTr="002B0CDD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2B0CDD" w:rsidRPr="00A15DA4" w:rsidRDefault="002B0CDD" w:rsidP="002B0CDD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BBDBA23" w14:textId="77777777" w:rsidR="002B0CDD" w:rsidRPr="001F3CBF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2750D6C1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100.4*</w:t>
            </w:r>
          </w:p>
        </w:tc>
        <w:tc>
          <w:tcPr>
            <w:tcW w:w="794" w:type="dxa"/>
          </w:tcPr>
          <w:p w14:paraId="62488757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575E0910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794" w:type="dxa"/>
          </w:tcPr>
          <w:p w14:paraId="36BA3D74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2DD5FECC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</w:tcPr>
          <w:p w14:paraId="25B00337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6335B98A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794" w:type="dxa"/>
          </w:tcPr>
          <w:p w14:paraId="5BB867F4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0C8C1DDE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794" w:type="dxa"/>
          </w:tcPr>
          <w:p w14:paraId="4B533262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1B9FEB18" w:rsidR="002B0CDD" w:rsidRPr="0051266A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87.3*</w:t>
            </w:r>
          </w:p>
        </w:tc>
        <w:tc>
          <w:tcPr>
            <w:tcW w:w="794" w:type="dxa"/>
            <w:vAlign w:val="bottom"/>
          </w:tcPr>
          <w:p w14:paraId="36BE7EB6" w14:textId="6F6C6979" w:rsidR="002B0CDD" w:rsidRPr="0051266A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87.8</w:t>
            </w:r>
          </w:p>
        </w:tc>
      </w:tr>
      <w:tr w:rsidR="002B0CDD" w:rsidRPr="00A15DA4" w14:paraId="6990B43D" w14:textId="77777777" w:rsidTr="00F72615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2B0CDD" w:rsidRPr="00A15DA4" w:rsidRDefault="002B0CDD" w:rsidP="002B0CD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3FFCA26E" w14:textId="77777777" w:rsidR="002B0CDD" w:rsidRPr="001F3CBF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5F88820C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98.2*</w:t>
            </w:r>
          </w:p>
        </w:tc>
        <w:tc>
          <w:tcPr>
            <w:tcW w:w="794" w:type="dxa"/>
          </w:tcPr>
          <w:p w14:paraId="03DD785F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6EF6F2AD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</w:t>
            </w:r>
          </w:p>
        </w:tc>
        <w:tc>
          <w:tcPr>
            <w:tcW w:w="794" w:type="dxa"/>
          </w:tcPr>
          <w:p w14:paraId="3DE68B36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63A37424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108.0*</w:t>
            </w:r>
          </w:p>
        </w:tc>
        <w:tc>
          <w:tcPr>
            <w:tcW w:w="794" w:type="dxa"/>
          </w:tcPr>
          <w:p w14:paraId="40FC831E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0918CC82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106.9</w:t>
            </w:r>
          </w:p>
        </w:tc>
        <w:tc>
          <w:tcPr>
            <w:tcW w:w="794" w:type="dxa"/>
          </w:tcPr>
          <w:p w14:paraId="0C65FB2D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3DE36492" w:rsidR="002B0CDD" w:rsidRPr="00A15DA4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43929608" w14:textId="77777777" w:rsidR="002B0CDD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72E03D1E" w:rsidR="002B0CDD" w:rsidRPr="0051266A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114.6*</w:t>
            </w:r>
          </w:p>
        </w:tc>
        <w:tc>
          <w:tcPr>
            <w:tcW w:w="794" w:type="dxa"/>
            <w:vAlign w:val="center"/>
          </w:tcPr>
          <w:p w14:paraId="75F59637" w14:textId="6FAA71E1" w:rsidR="002B0CDD" w:rsidRPr="0051266A" w:rsidRDefault="002B0CDD" w:rsidP="002B0CD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114.6</w:t>
            </w:r>
          </w:p>
        </w:tc>
      </w:tr>
    </w:tbl>
    <w:p w14:paraId="56332FC0" w14:textId="1CB36790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6D284312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2B0CDD">
        <w:rPr>
          <w:sz w:val="16"/>
          <w:szCs w:val="16"/>
          <w:lang w:val="en-GB"/>
        </w:rPr>
        <w:t>August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2B0CDD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14:paraId="4EE88A22" w14:textId="1950DBF1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31670E96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7581CFA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September 2023, stood at 48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8E5182E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676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D05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676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FD05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September 2023, stood at 48.5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c9azjmQCAAB+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38E5182E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676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D05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676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FD05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8A192C" w14:textId="79B19DBD" w:rsidR="00AD7030" w:rsidRDefault="00BB33B9" w:rsidP="003C4F7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September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B0CDD">
        <w:rPr>
          <w:noProof/>
          <w:spacing w:val="-2"/>
          <w:szCs w:val="19"/>
          <w:lang w:val="en-GB"/>
        </w:rPr>
        <w:t>September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F42F1F">
        <w:rPr>
          <w:noProof/>
          <w:spacing w:val="-2"/>
          <w:szCs w:val="19"/>
          <w:lang w:val="en-GB"/>
        </w:rPr>
        <w:t> </w:t>
      </w:r>
      <w:r w:rsidR="00F71B94"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F71B94">
        <w:rPr>
          <w:noProof/>
          <w:spacing w:val="-2"/>
          <w:szCs w:val="19"/>
          <w:lang w:val="en-GB"/>
        </w:rPr>
        <w:t>1</w:t>
      </w:r>
      <w:r w:rsidR="002B0CDD">
        <w:rPr>
          <w:noProof/>
          <w:spacing w:val="-2"/>
          <w:szCs w:val="19"/>
          <w:lang w:val="en-GB"/>
        </w:rPr>
        <w:t>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in</w:t>
      </w:r>
      <w:r w:rsidR="002B0CDD" w:rsidRPr="00A6184D">
        <w:rPr>
          <w:lang w:val="en-US"/>
        </w:rPr>
        <w:t xml:space="preserve"> </w:t>
      </w:r>
      <w:r w:rsidR="002B0CDD">
        <w:rPr>
          <w:noProof/>
          <w:spacing w:val="-2"/>
          <w:szCs w:val="19"/>
          <w:lang w:val="en-GB"/>
        </w:rPr>
        <w:t>m</w:t>
      </w:r>
      <w:r w:rsidR="002B0CDD" w:rsidRPr="00A6184D">
        <w:rPr>
          <w:noProof/>
          <w:spacing w:val="-2"/>
          <w:szCs w:val="19"/>
          <w:lang w:val="en-GB"/>
        </w:rPr>
        <w:t>ining of coal and lignite</w:t>
      </w:r>
      <w:r w:rsidR="002B0CDD">
        <w:rPr>
          <w:noProof/>
          <w:spacing w:val="-2"/>
          <w:szCs w:val="19"/>
          <w:lang w:val="en-GB"/>
        </w:rPr>
        <w:t xml:space="preserve"> – by 21.0%,</w:t>
      </w:r>
      <w:r w:rsidR="002B0CDD" w:rsidRPr="00052566">
        <w:rPr>
          <w:noProof/>
          <w:spacing w:val="-2"/>
          <w:szCs w:val="19"/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in r</w:t>
      </w:r>
      <w:r w:rsidR="002B0CD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2B0CDD">
        <w:rPr>
          <w:noProof/>
          <w:spacing w:val="-2"/>
          <w:szCs w:val="19"/>
          <w:lang w:val="en-GB"/>
        </w:rPr>
        <w:t xml:space="preserve"> – by 17.6%,</w:t>
      </w:r>
      <w:r w:rsidR="001F3CBF">
        <w:rPr>
          <w:noProof/>
          <w:spacing w:val="-2"/>
          <w:szCs w:val="19"/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in</w:t>
      </w:r>
      <w:r w:rsidR="00AD7030" w:rsidRPr="00D51D24">
        <w:rPr>
          <w:noProof/>
          <w:szCs w:val="19"/>
          <w:lang w:val="en-GB"/>
        </w:rPr>
        <w:t xml:space="preserve"> </w:t>
      </w:r>
      <w:r w:rsidR="00AD7030" w:rsidRPr="009D61BA">
        <w:rPr>
          <w:noProof/>
          <w:szCs w:val="19"/>
          <w:lang w:val="en-GB"/>
        </w:rPr>
        <w:t>manufacture of</w:t>
      </w:r>
      <w:r w:rsidR="00AD7030">
        <w:rPr>
          <w:noProof/>
          <w:szCs w:val="19"/>
          <w:lang w:val="en-GB"/>
        </w:rPr>
        <w:t> </w:t>
      </w:r>
      <w:r w:rsidR="00AD7030" w:rsidRPr="009D61BA">
        <w:rPr>
          <w:noProof/>
          <w:szCs w:val="19"/>
          <w:lang w:val="en-GB"/>
        </w:rPr>
        <w:t>electrical equipment</w:t>
      </w:r>
      <w:r w:rsidR="00AD7030">
        <w:rPr>
          <w:noProof/>
          <w:szCs w:val="19"/>
          <w:lang w:val="en-GB"/>
        </w:rPr>
        <w:t xml:space="preserve"> </w:t>
      </w:r>
      <w:r w:rsidR="00AD7030">
        <w:rPr>
          <w:noProof/>
          <w:spacing w:val="-2"/>
          <w:szCs w:val="19"/>
          <w:lang w:val="en-GB"/>
        </w:rPr>
        <w:t>– by </w:t>
      </w:r>
      <w:r w:rsidR="002B0CDD">
        <w:rPr>
          <w:noProof/>
          <w:spacing w:val="-2"/>
          <w:szCs w:val="19"/>
          <w:lang w:val="en-GB"/>
        </w:rPr>
        <w:t>15.7</w:t>
      </w:r>
      <w:r w:rsidR="00AD7030">
        <w:rPr>
          <w:noProof/>
          <w:spacing w:val="-2"/>
          <w:szCs w:val="19"/>
          <w:lang w:val="en-GB"/>
        </w:rPr>
        <w:t>%,</w:t>
      </w:r>
      <w:r w:rsidR="00AD7030" w:rsidRPr="00AD7030">
        <w:rPr>
          <w:noProof/>
          <w:spacing w:val="-2"/>
          <w:szCs w:val="19"/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m</w:t>
      </w:r>
      <w:r w:rsidR="002B0CD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2B0CDD">
        <w:rPr>
          <w:noProof/>
          <w:spacing w:val="-2"/>
          <w:szCs w:val="19"/>
          <w:lang w:val="en-GB"/>
        </w:rPr>
        <w:t xml:space="preserve"> – by 5.7%,</w:t>
      </w:r>
      <w:r w:rsidR="00AD7030">
        <w:rPr>
          <w:noProof/>
          <w:szCs w:val="19"/>
          <w:lang w:val="en-GB"/>
        </w:rPr>
        <w:t xml:space="preserve"> </w:t>
      </w:r>
      <w:r w:rsidR="002B0CDD">
        <w:rPr>
          <w:noProof/>
          <w:szCs w:val="19"/>
          <w:lang w:val="en-GB"/>
        </w:rPr>
        <w:t>m</w:t>
      </w:r>
      <w:r w:rsidR="002B0CDD" w:rsidRPr="002B0CDD">
        <w:rPr>
          <w:noProof/>
          <w:szCs w:val="19"/>
          <w:lang w:val="en-GB"/>
        </w:rPr>
        <w:t>anufacture of beverages</w:t>
      </w:r>
      <w:r w:rsidR="002B0CDD">
        <w:rPr>
          <w:noProof/>
          <w:szCs w:val="19"/>
          <w:lang w:val="en-GB"/>
        </w:rPr>
        <w:t xml:space="preserve"> – by 4.4%, </w:t>
      </w:r>
      <w:r w:rsidR="00AD7030" w:rsidRPr="009D61BA">
        <w:rPr>
          <w:noProof/>
          <w:szCs w:val="19"/>
          <w:lang w:val="en-GB"/>
        </w:rPr>
        <w:t xml:space="preserve">manufacture of </w:t>
      </w:r>
      <w:r w:rsidR="00AD7030" w:rsidRPr="00082002">
        <w:rPr>
          <w:noProof/>
          <w:spacing w:val="-2"/>
          <w:szCs w:val="19"/>
          <w:lang w:val="en-GB"/>
        </w:rPr>
        <w:t>machinery and equipment</w:t>
      </w:r>
      <w:r w:rsidR="00AD7030">
        <w:rPr>
          <w:noProof/>
          <w:spacing w:val="-2"/>
          <w:szCs w:val="19"/>
          <w:lang w:val="en-GB"/>
        </w:rPr>
        <w:t xml:space="preserve"> </w:t>
      </w:r>
      <w:r w:rsidR="00AD7030">
        <w:rPr>
          <w:noProof/>
          <w:szCs w:val="19"/>
          <w:lang w:val="en-GB"/>
        </w:rPr>
        <w:t xml:space="preserve">– by </w:t>
      </w:r>
      <w:r w:rsidR="002B0CDD">
        <w:rPr>
          <w:noProof/>
          <w:szCs w:val="19"/>
          <w:lang w:val="en-GB"/>
        </w:rPr>
        <w:t>2.9</w:t>
      </w:r>
      <w:r w:rsidR="00AD7030">
        <w:rPr>
          <w:noProof/>
          <w:szCs w:val="19"/>
          <w:lang w:val="en-GB"/>
        </w:rPr>
        <w:t>%,</w:t>
      </w:r>
      <w:r w:rsidR="00052566">
        <w:rPr>
          <w:noProof/>
          <w:spacing w:val="-2"/>
          <w:szCs w:val="19"/>
          <w:lang w:val="en-GB"/>
        </w:rPr>
        <w:t xml:space="preserve"> m</w:t>
      </w:r>
      <w:r w:rsidR="00052566" w:rsidRPr="00C84E55">
        <w:rPr>
          <w:noProof/>
          <w:spacing w:val="-2"/>
          <w:szCs w:val="19"/>
          <w:lang w:val="en-GB"/>
        </w:rPr>
        <w:t>anufacture of</w:t>
      </w:r>
      <w:r w:rsidR="00B41BCB">
        <w:rPr>
          <w:noProof/>
          <w:spacing w:val="-2"/>
          <w:szCs w:val="19"/>
          <w:lang w:val="en-GB"/>
        </w:rPr>
        <w:t xml:space="preserve"> basic</w:t>
      </w:r>
      <w:r w:rsidR="00052566" w:rsidRPr="00C84E55">
        <w:rPr>
          <w:noProof/>
          <w:spacing w:val="-2"/>
          <w:szCs w:val="19"/>
          <w:lang w:val="en-GB"/>
        </w:rPr>
        <w:t xml:space="preserve"> metal</w:t>
      </w:r>
      <w:r w:rsidR="00B41BCB">
        <w:rPr>
          <w:noProof/>
          <w:spacing w:val="-2"/>
          <w:szCs w:val="19"/>
          <w:lang w:val="en-GB"/>
        </w:rPr>
        <w:t>s</w:t>
      </w:r>
      <w:r w:rsidR="00052566">
        <w:rPr>
          <w:noProof/>
          <w:spacing w:val="-2"/>
          <w:szCs w:val="19"/>
          <w:lang w:val="en-GB"/>
        </w:rPr>
        <w:t xml:space="preserve"> – by </w:t>
      </w:r>
      <w:r w:rsidR="002B0CDD">
        <w:rPr>
          <w:noProof/>
          <w:spacing w:val="-2"/>
          <w:szCs w:val="19"/>
          <w:lang w:val="en-GB"/>
        </w:rPr>
        <w:t>2.1</w:t>
      </w:r>
      <w:r w:rsidR="00052566">
        <w:rPr>
          <w:noProof/>
          <w:spacing w:val="-2"/>
          <w:szCs w:val="19"/>
          <w:lang w:val="en-GB"/>
        </w:rPr>
        <w:t>%</w:t>
      </w:r>
      <w:r w:rsidR="002B0CDD">
        <w:rPr>
          <w:noProof/>
          <w:spacing w:val="-2"/>
          <w:szCs w:val="19"/>
          <w:lang w:val="en-GB"/>
        </w:rPr>
        <w:t>, m</w:t>
      </w:r>
      <w:r w:rsidR="002B0CDD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2B0CDD">
        <w:rPr>
          <w:noProof/>
          <w:spacing w:val="-2"/>
          <w:szCs w:val="19"/>
          <w:lang w:val="en-GB"/>
        </w:rPr>
        <w:t>– by 2.0%</w:t>
      </w:r>
      <w:r w:rsidR="00052566">
        <w:rPr>
          <w:noProof/>
          <w:spacing w:val="-2"/>
          <w:szCs w:val="19"/>
          <w:lang w:val="en-GB"/>
        </w:rPr>
        <w:t>.</w:t>
      </w:r>
    </w:p>
    <w:p w14:paraId="44058763" w14:textId="4589DA82" w:rsidR="00052566" w:rsidRDefault="00E74A2F" w:rsidP="00052566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052566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2B0CDD">
        <w:rPr>
          <w:noProof/>
          <w:szCs w:val="19"/>
          <w:lang w:val="en-GB"/>
        </w:rPr>
        <w:t xml:space="preserve">September </w:t>
      </w:r>
      <w:r>
        <w:rPr>
          <w:noProof/>
          <w:szCs w:val="19"/>
          <w:lang w:val="en-GB"/>
        </w:rPr>
        <w:t>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052566">
        <w:rPr>
          <w:noProof/>
          <w:szCs w:val="19"/>
          <w:lang w:val="en-GB"/>
        </w:rPr>
        <w:t>17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052566">
        <w:rPr>
          <w:lang w:val="en-GB"/>
        </w:rPr>
        <w:t xml:space="preserve">in </w:t>
      </w:r>
      <w:r w:rsidR="002B0CDD">
        <w:rPr>
          <w:noProof/>
          <w:szCs w:val="19"/>
          <w:lang w:val="en-GB"/>
        </w:rPr>
        <w:t>m</w:t>
      </w:r>
      <w:r w:rsidR="002B0CDD" w:rsidRPr="003C4F74">
        <w:rPr>
          <w:noProof/>
          <w:szCs w:val="19"/>
          <w:lang w:val="en-GB"/>
        </w:rPr>
        <w:t>anufacture of other transport equipment</w:t>
      </w:r>
      <w:r w:rsidR="002B0CDD">
        <w:rPr>
          <w:noProof/>
          <w:szCs w:val="19"/>
          <w:lang w:val="en-GB"/>
        </w:rPr>
        <w:t xml:space="preserve"> </w:t>
      </w:r>
      <w:r w:rsidR="002B0CDD" w:rsidRPr="00186E71">
        <w:rPr>
          <w:noProof/>
          <w:spacing w:val="-2"/>
          <w:szCs w:val="19"/>
          <w:lang w:val="en-GB"/>
        </w:rPr>
        <w:t>– by </w:t>
      </w:r>
      <w:r w:rsidR="002B0CDD">
        <w:rPr>
          <w:noProof/>
          <w:spacing w:val="-2"/>
          <w:szCs w:val="19"/>
          <w:lang w:val="en-GB"/>
        </w:rPr>
        <w:t>18.7</w:t>
      </w:r>
      <w:r w:rsidR="002B0CDD" w:rsidRPr="00186E71">
        <w:rPr>
          <w:noProof/>
          <w:spacing w:val="-2"/>
          <w:szCs w:val="19"/>
          <w:lang w:val="en-GB"/>
        </w:rPr>
        <w:t>%</w:t>
      </w:r>
      <w:r w:rsidR="002B0CDD">
        <w:rPr>
          <w:noProof/>
          <w:spacing w:val="-2"/>
          <w:szCs w:val="19"/>
          <w:lang w:val="en-GB"/>
        </w:rPr>
        <w:t xml:space="preserve">, </w:t>
      </w:r>
      <w:r w:rsidR="003F2D2D">
        <w:rPr>
          <w:noProof/>
          <w:spacing w:val="-2"/>
          <w:szCs w:val="19"/>
          <w:lang w:val="en-GB"/>
        </w:rPr>
        <w:t xml:space="preserve">          </w:t>
      </w:r>
      <w:r w:rsidR="003F2D2D">
        <w:rPr>
          <w:lang w:val="en-US"/>
        </w:rPr>
        <w:t xml:space="preserve">in </w:t>
      </w:r>
      <w:r w:rsidR="002B0CDD">
        <w:rPr>
          <w:noProof/>
          <w:spacing w:val="-2"/>
          <w:szCs w:val="19"/>
          <w:lang w:val="en-GB"/>
        </w:rPr>
        <w:t>w</w:t>
      </w:r>
      <w:r w:rsidR="002B0CDD" w:rsidRPr="000850A7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2B0CDD">
        <w:rPr>
          <w:noProof/>
          <w:spacing w:val="-2"/>
          <w:szCs w:val="19"/>
          <w:lang w:val="en-GB"/>
        </w:rPr>
        <w:t xml:space="preserve"> – by 7.6%,</w:t>
      </w:r>
      <w:r w:rsidR="003F2D2D">
        <w:rPr>
          <w:noProof/>
          <w:spacing w:val="-2"/>
          <w:szCs w:val="19"/>
          <w:lang w:val="en-GB"/>
        </w:rPr>
        <w:t xml:space="preserve"> </w:t>
      </w:r>
      <w:r w:rsidR="002B0CDD">
        <w:rPr>
          <w:noProof/>
          <w:spacing w:val="-2"/>
          <w:szCs w:val="19"/>
          <w:lang w:val="en-GB"/>
        </w:rPr>
        <w:t>in m</w:t>
      </w:r>
      <w:r w:rsidR="002B0CDD" w:rsidRPr="004C4B79">
        <w:rPr>
          <w:noProof/>
          <w:spacing w:val="-2"/>
          <w:szCs w:val="19"/>
          <w:lang w:val="en-GB"/>
        </w:rPr>
        <w:t>anufacture of paper and paper products</w:t>
      </w:r>
      <w:r w:rsidR="002B0CDD">
        <w:rPr>
          <w:noProof/>
          <w:spacing w:val="-2"/>
          <w:szCs w:val="19"/>
          <w:lang w:val="en-GB"/>
        </w:rPr>
        <w:t xml:space="preserve"> – by </w:t>
      </w:r>
      <w:r w:rsidR="003F2D2D">
        <w:rPr>
          <w:noProof/>
          <w:spacing w:val="-2"/>
          <w:szCs w:val="19"/>
          <w:lang w:val="en-GB"/>
        </w:rPr>
        <w:t>7.4</w:t>
      </w:r>
      <w:r w:rsidR="002B0CDD">
        <w:rPr>
          <w:noProof/>
          <w:spacing w:val="-2"/>
          <w:szCs w:val="19"/>
          <w:lang w:val="en-GB"/>
        </w:rPr>
        <w:t>%,</w:t>
      </w:r>
      <w:r w:rsidR="002B0CDD" w:rsidRPr="00052566">
        <w:rPr>
          <w:noProof/>
          <w:spacing w:val="-2"/>
          <w:szCs w:val="19"/>
          <w:lang w:val="en-GB"/>
        </w:rPr>
        <w:t xml:space="preserve"> </w:t>
      </w:r>
      <w:bookmarkStart w:id="4" w:name="_Hlk179892752"/>
      <w:r w:rsidR="003F2D2D">
        <w:rPr>
          <w:noProof/>
          <w:spacing w:val="-2"/>
          <w:szCs w:val="19"/>
          <w:lang w:val="en-GB"/>
        </w:rPr>
        <w:t>m</w:t>
      </w:r>
      <w:r w:rsidR="003F2D2D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3F2D2D">
        <w:rPr>
          <w:noProof/>
          <w:spacing w:val="-2"/>
          <w:szCs w:val="19"/>
          <w:lang w:val="en-GB"/>
        </w:rPr>
        <w:t xml:space="preserve"> – by 6.7%,</w:t>
      </w:r>
      <w:r w:rsidR="003F2D2D" w:rsidRPr="00052566">
        <w:rPr>
          <w:lang w:val="en-US"/>
        </w:rPr>
        <w:t xml:space="preserve"> </w:t>
      </w:r>
      <w:bookmarkEnd w:id="4"/>
      <w:r w:rsidR="002B0CDD">
        <w:rPr>
          <w:noProof/>
          <w:spacing w:val="-2"/>
          <w:szCs w:val="19"/>
          <w:lang w:val="en-GB"/>
        </w:rPr>
        <w:t>m</w:t>
      </w:r>
      <w:r w:rsidR="002B0CDD" w:rsidRPr="00524711">
        <w:rPr>
          <w:noProof/>
          <w:spacing w:val="-2"/>
          <w:szCs w:val="19"/>
          <w:lang w:val="en-GB"/>
        </w:rPr>
        <w:t>anufacture of food products</w:t>
      </w:r>
      <w:r w:rsidR="002B0CDD">
        <w:rPr>
          <w:noProof/>
          <w:spacing w:val="-2"/>
          <w:szCs w:val="19"/>
          <w:lang w:val="en-GB"/>
        </w:rPr>
        <w:t xml:space="preserve"> – by </w:t>
      </w:r>
      <w:r w:rsidR="003F2D2D">
        <w:rPr>
          <w:noProof/>
          <w:spacing w:val="-2"/>
          <w:szCs w:val="19"/>
          <w:lang w:val="en-GB"/>
        </w:rPr>
        <w:t>5.0</w:t>
      </w:r>
      <w:r w:rsidR="002B0CDD">
        <w:rPr>
          <w:noProof/>
          <w:spacing w:val="-2"/>
          <w:szCs w:val="19"/>
          <w:lang w:val="en-GB"/>
        </w:rPr>
        <w:t>%</w:t>
      </w:r>
      <w:r w:rsidR="003F2D2D">
        <w:rPr>
          <w:noProof/>
          <w:spacing w:val="-2"/>
          <w:szCs w:val="19"/>
          <w:lang w:val="en-GB"/>
        </w:rPr>
        <w:t>,</w:t>
      </w:r>
      <w:r w:rsidR="003F2D2D" w:rsidRPr="003F2D2D">
        <w:rPr>
          <w:noProof/>
          <w:spacing w:val="-2"/>
          <w:szCs w:val="19"/>
          <w:lang w:val="en-GB"/>
        </w:rPr>
        <w:t xml:space="preserve"> </w:t>
      </w:r>
      <w:r w:rsidR="003F2D2D">
        <w:rPr>
          <w:noProof/>
          <w:spacing w:val="-2"/>
          <w:szCs w:val="19"/>
          <w:lang w:val="en-GB"/>
        </w:rPr>
        <w:t>m</w:t>
      </w:r>
      <w:r w:rsidR="003F2D2D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3F2D2D">
        <w:rPr>
          <w:noProof/>
          <w:spacing w:val="-2"/>
          <w:szCs w:val="19"/>
          <w:lang w:val="en-GB"/>
        </w:rPr>
        <w:t xml:space="preserve"> – by 4.2%</w:t>
      </w:r>
      <w:r w:rsidR="002B0CDD">
        <w:rPr>
          <w:noProof/>
          <w:spacing w:val="-2"/>
          <w:szCs w:val="19"/>
          <w:lang w:val="en-GB"/>
        </w:rPr>
        <w:t>.</w:t>
      </w:r>
      <w:r w:rsidR="00052566" w:rsidRPr="00052566">
        <w:rPr>
          <w:lang w:val="en-US"/>
        </w:rPr>
        <w:t xml:space="preserve"> </w:t>
      </w:r>
    </w:p>
    <w:p w14:paraId="400374B9" w14:textId="2B760B63" w:rsidR="00A6184D" w:rsidRDefault="00A6184D" w:rsidP="00A6184D">
      <w:pPr>
        <w:spacing w:before="0" w:after="0"/>
        <w:rPr>
          <w:noProof/>
          <w:spacing w:val="-2"/>
          <w:szCs w:val="19"/>
          <w:lang w:val="en-GB"/>
        </w:rPr>
      </w:pPr>
    </w:p>
    <w:p w14:paraId="5175D03E" w14:textId="0DAFB863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3CD1C75A" w14:textId="27500ECB" w:rsidR="003F2D2D" w:rsidRDefault="003F2D2D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97184" behindDoc="0" locked="0" layoutInCell="1" allowOverlap="1" wp14:anchorId="5F2019D9" wp14:editId="21917663">
            <wp:simplePos x="0" y="0"/>
            <wp:positionH relativeFrom="column">
              <wp:posOffset>-69850</wp:posOffset>
            </wp:positionH>
            <wp:positionV relativeFrom="paragraph">
              <wp:posOffset>219075</wp:posOffset>
            </wp:positionV>
            <wp:extent cx="5162550" cy="3171190"/>
            <wp:effectExtent l="0" t="0" r="0" b="0"/>
            <wp:wrapSquare wrapText="bothSides"/>
            <wp:docPr id="6" name="Obraz 6" descr="Index numbers of sold production of industry by selected NACE divisions (constant prices; previous year =100) - September 2023, Septem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7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2F003577" w14:textId="744980EB" w:rsidR="001F5FDE" w:rsidRPr="001F3CBF" w:rsidRDefault="005F27B3" w:rsidP="00D5076A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FD05F4">
        <w:rPr>
          <w:szCs w:val="19"/>
          <w:lang w:val="en-GB"/>
        </w:rPr>
        <w:t>August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FD05F4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FD05F4">
        <w:rPr>
          <w:szCs w:val="19"/>
          <w:lang w:val="en-GB"/>
        </w:rPr>
        <w:t>September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2</w:t>
      </w:r>
      <w:r w:rsidR="00FD05F4">
        <w:rPr>
          <w:noProof/>
          <w:spacing w:val="-2"/>
          <w:szCs w:val="19"/>
          <w:lang w:val="en-GB"/>
        </w:rPr>
        <w:t>4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zCs w:val="19"/>
          <w:lang w:val="en-GB"/>
        </w:rPr>
        <w:t xml:space="preserve">in </w:t>
      </w:r>
      <w:r w:rsidR="00FD05F4">
        <w:rPr>
          <w:noProof/>
          <w:spacing w:val="-2"/>
          <w:szCs w:val="19"/>
          <w:lang w:val="en-GB"/>
        </w:rPr>
        <w:t>m</w:t>
      </w:r>
      <w:r w:rsidR="00FD05F4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FD05F4">
        <w:rPr>
          <w:noProof/>
          <w:spacing w:val="-2"/>
          <w:szCs w:val="19"/>
          <w:lang w:val="en-GB"/>
        </w:rPr>
        <w:t>– by 29.3%, m</w:t>
      </w:r>
      <w:r w:rsidR="00FD05F4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FD05F4">
        <w:rPr>
          <w:noProof/>
          <w:spacing w:val="-2"/>
          <w:szCs w:val="19"/>
          <w:lang w:val="en-GB"/>
        </w:rPr>
        <w:t xml:space="preserve"> – by </w:t>
      </w:r>
      <w:r w:rsidR="001F3CBF">
        <w:rPr>
          <w:noProof/>
          <w:spacing w:val="-2"/>
          <w:szCs w:val="19"/>
          <w:lang w:val="en-GB"/>
        </w:rPr>
        <w:t>21.8</w:t>
      </w:r>
      <w:r w:rsidR="00FD05F4">
        <w:rPr>
          <w:noProof/>
          <w:spacing w:val="-2"/>
          <w:szCs w:val="19"/>
          <w:lang w:val="en-GB"/>
        </w:rPr>
        <w:t>%,</w:t>
      </w:r>
      <w:r w:rsidR="001F3CBF" w:rsidRPr="001F3CBF">
        <w:rPr>
          <w:noProof/>
          <w:szCs w:val="19"/>
          <w:lang w:val="en-GB"/>
        </w:rPr>
        <w:t xml:space="preserve"> </w:t>
      </w:r>
      <w:r w:rsidR="001F3CBF" w:rsidRPr="009D61BA">
        <w:rPr>
          <w:noProof/>
          <w:szCs w:val="19"/>
          <w:lang w:val="en-GB"/>
        </w:rPr>
        <w:t xml:space="preserve">manufacture of </w:t>
      </w:r>
      <w:r w:rsidR="001F3CBF" w:rsidRPr="00082002">
        <w:rPr>
          <w:noProof/>
          <w:spacing w:val="-2"/>
          <w:szCs w:val="19"/>
          <w:lang w:val="en-GB"/>
        </w:rPr>
        <w:t>machinery and equipment</w:t>
      </w:r>
      <w:r w:rsidR="001F3CBF">
        <w:rPr>
          <w:noProof/>
          <w:spacing w:val="-2"/>
          <w:szCs w:val="19"/>
          <w:lang w:val="en-GB"/>
        </w:rPr>
        <w:t xml:space="preserve"> </w:t>
      </w:r>
      <w:r w:rsidR="001F3CBF">
        <w:rPr>
          <w:noProof/>
          <w:szCs w:val="19"/>
          <w:lang w:val="en-GB"/>
        </w:rPr>
        <w:t>– by 19.5%,</w:t>
      </w:r>
      <w:r w:rsidR="001F3CBF" w:rsidRPr="001F3CBF">
        <w:rPr>
          <w:noProof/>
          <w:szCs w:val="19"/>
          <w:lang w:val="en-GB"/>
        </w:rPr>
        <w:t xml:space="preserve"> </w:t>
      </w:r>
      <w:r w:rsidR="001F3CBF" w:rsidRPr="009D61BA">
        <w:rPr>
          <w:noProof/>
          <w:szCs w:val="19"/>
          <w:lang w:val="en-GB"/>
        </w:rPr>
        <w:t>manufacture of</w:t>
      </w:r>
      <w:r w:rsidR="001F3CBF">
        <w:rPr>
          <w:noProof/>
          <w:szCs w:val="19"/>
          <w:lang w:val="en-GB"/>
        </w:rPr>
        <w:t> </w:t>
      </w:r>
      <w:r w:rsidR="001F3CBF" w:rsidRPr="009D61BA">
        <w:rPr>
          <w:noProof/>
          <w:szCs w:val="19"/>
          <w:lang w:val="en-GB"/>
        </w:rPr>
        <w:t>electrical equipment</w:t>
      </w:r>
      <w:r w:rsidR="001F3CBF">
        <w:rPr>
          <w:noProof/>
          <w:szCs w:val="19"/>
          <w:lang w:val="en-GB"/>
        </w:rPr>
        <w:t xml:space="preserve"> </w:t>
      </w:r>
      <w:r w:rsidR="001F3CBF">
        <w:rPr>
          <w:noProof/>
          <w:spacing w:val="-2"/>
          <w:szCs w:val="19"/>
          <w:lang w:val="en-GB"/>
        </w:rPr>
        <w:t>– by 19.3%,</w:t>
      </w:r>
      <w:r w:rsidR="001F3CBF" w:rsidRPr="001F3CBF">
        <w:rPr>
          <w:noProof/>
          <w:szCs w:val="19"/>
          <w:lang w:val="en-GB"/>
        </w:rPr>
        <w:t xml:space="preserve"> </w:t>
      </w:r>
      <w:r w:rsidR="001F3CBF">
        <w:rPr>
          <w:noProof/>
          <w:szCs w:val="19"/>
          <w:lang w:val="en-GB"/>
        </w:rPr>
        <w:t>m</w:t>
      </w:r>
      <w:r w:rsidR="001F3CBF" w:rsidRPr="003C4F74">
        <w:rPr>
          <w:noProof/>
          <w:szCs w:val="19"/>
          <w:lang w:val="en-GB"/>
        </w:rPr>
        <w:t>anufacture of other transport equipment</w:t>
      </w:r>
      <w:r w:rsidR="001F3CBF">
        <w:rPr>
          <w:noProof/>
          <w:szCs w:val="19"/>
          <w:lang w:val="en-GB"/>
        </w:rPr>
        <w:t xml:space="preserve"> </w:t>
      </w:r>
      <w:r w:rsidR="001F3CBF" w:rsidRPr="00186E71">
        <w:rPr>
          <w:noProof/>
          <w:spacing w:val="-2"/>
          <w:szCs w:val="19"/>
          <w:lang w:val="en-GB"/>
        </w:rPr>
        <w:t>– by </w:t>
      </w:r>
      <w:r w:rsidR="001F3CBF">
        <w:rPr>
          <w:noProof/>
          <w:spacing w:val="-2"/>
          <w:szCs w:val="19"/>
          <w:lang w:val="en-GB"/>
        </w:rPr>
        <w:t>17.1</w:t>
      </w:r>
      <w:r w:rsidR="001F3CBF" w:rsidRPr="00186E71">
        <w:rPr>
          <w:noProof/>
          <w:spacing w:val="-2"/>
          <w:szCs w:val="19"/>
          <w:lang w:val="en-GB"/>
        </w:rPr>
        <w:t>%</w:t>
      </w:r>
      <w:r w:rsidR="001F3CBF">
        <w:rPr>
          <w:noProof/>
          <w:spacing w:val="-2"/>
          <w:szCs w:val="19"/>
          <w:lang w:val="en-GB"/>
        </w:rPr>
        <w:t>,</w:t>
      </w:r>
      <w:r w:rsidR="001F3CBF">
        <w:rPr>
          <w:noProof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1F5FDE">
        <w:rPr>
          <w:noProof/>
          <w:spacing w:val="-2"/>
          <w:szCs w:val="19"/>
          <w:lang w:val="en-GB"/>
        </w:rPr>
        <w:t xml:space="preserve"> – by 1</w:t>
      </w:r>
      <w:r w:rsidR="001F3CBF">
        <w:rPr>
          <w:noProof/>
          <w:spacing w:val="-2"/>
          <w:szCs w:val="19"/>
          <w:lang w:val="en-GB"/>
        </w:rPr>
        <w:t>1.7</w:t>
      </w:r>
      <w:r w:rsidR="001F5FDE">
        <w:rPr>
          <w:noProof/>
          <w:spacing w:val="-2"/>
          <w:szCs w:val="19"/>
          <w:lang w:val="en-GB"/>
        </w:rPr>
        <w:t>%,</w:t>
      </w:r>
      <w:r w:rsidR="001F5FDE" w:rsidRPr="001F5FDE">
        <w:rPr>
          <w:noProof/>
          <w:spacing w:val="-2"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C84E55">
        <w:rPr>
          <w:noProof/>
          <w:spacing w:val="-2"/>
          <w:szCs w:val="19"/>
          <w:lang w:val="en-GB"/>
        </w:rPr>
        <w:t>anufacture of metal</w:t>
      </w:r>
      <w:r w:rsidR="001F3CBF">
        <w:rPr>
          <w:noProof/>
          <w:spacing w:val="-2"/>
          <w:szCs w:val="19"/>
          <w:lang w:val="en-GB"/>
        </w:rPr>
        <w:t xml:space="preserve"> products</w:t>
      </w:r>
      <w:r w:rsidR="001F5FDE">
        <w:rPr>
          <w:noProof/>
          <w:spacing w:val="-2"/>
          <w:szCs w:val="19"/>
          <w:lang w:val="en-GB"/>
        </w:rPr>
        <w:t xml:space="preserve"> – by 1</w:t>
      </w:r>
      <w:r w:rsidR="001F3CBF">
        <w:rPr>
          <w:noProof/>
          <w:spacing w:val="-2"/>
          <w:szCs w:val="19"/>
          <w:lang w:val="en-GB"/>
        </w:rPr>
        <w:t>1.0</w:t>
      </w:r>
      <w:r w:rsidR="001F5FDE">
        <w:rPr>
          <w:noProof/>
          <w:spacing w:val="-2"/>
          <w:szCs w:val="19"/>
          <w:lang w:val="en-GB"/>
        </w:rPr>
        <w:t>%,</w:t>
      </w:r>
      <w:r w:rsidR="001F5FDE" w:rsidRPr="001F5FDE">
        <w:rPr>
          <w:noProof/>
          <w:szCs w:val="19"/>
          <w:lang w:val="en-GB"/>
        </w:rPr>
        <w:t xml:space="preserve"> </w:t>
      </w:r>
      <w:r w:rsidR="001F5FDE">
        <w:rPr>
          <w:noProof/>
          <w:spacing w:val="-2"/>
          <w:szCs w:val="19"/>
          <w:lang w:val="en-GB"/>
        </w:rPr>
        <w:t>m</w:t>
      </w:r>
      <w:r w:rsidR="001F5FDE" w:rsidRPr="001F5FDE">
        <w:rPr>
          <w:noProof/>
          <w:spacing w:val="-2"/>
          <w:szCs w:val="19"/>
          <w:lang w:val="en-GB"/>
        </w:rPr>
        <w:t>anufacture of rubber and plastic products</w:t>
      </w:r>
      <w:r w:rsidR="001F3CBF">
        <w:rPr>
          <w:noProof/>
          <w:spacing w:val="-2"/>
          <w:szCs w:val="19"/>
          <w:lang w:val="en-GB"/>
        </w:rPr>
        <w:t xml:space="preserve"> – by 9.9%.</w:t>
      </w:r>
    </w:p>
    <w:p w14:paraId="4C7877F1" w14:textId="67835DE5" w:rsidR="001F5FDE" w:rsidRDefault="00201122" w:rsidP="001F5FDE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1F3CBF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1F3CBF">
        <w:rPr>
          <w:noProof/>
          <w:szCs w:val="19"/>
          <w:lang w:val="en-GB"/>
        </w:rPr>
        <w:t>August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10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1F5FDE" w:rsidRPr="001F5FDE">
        <w:rPr>
          <w:lang w:val="en-US"/>
        </w:rPr>
        <w:t xml:space="preserve"> </w:t>
      </w:r>
      <w:r w:rsidR="001F3CBF">
        <w:rPr>
          <w:noProof/>
          <w:szCs w:val="19"/>
          <w:lang w:val="en-GB"/>
        </w:rPr>
        <w:t>m</w:t>
      </w:r>
      <w:r w:rsidR="001F3CBF" w:rsidRPr="002B0CDD">
        <w:rPr>
          <w:noProof/>
          <w:szCs w:val="19"/>
          <w:lang w:val="en-GB"/>
        </w:rPr>
        <w:t>anufacture of beverages</w:t>
      </w:r>
      <w:r w:rsidR="001F3CBF">
        <w:rPr>
          <w:noProof/>
          <w:szCs w:val="19"/>
          <w:lang w:val="en-GB"/>
        </w:rPr>
        <w:t xml:space="preserve"> – by 9.6%, </w:t>
      </w:r>
      <w:r w:rsidR="001F3CBF">
        <w:rPr>
          <w:noProof/>
          <w:spacing w:val="-2"/>
          <w:szCs w:val="19"/>
          <w:lang w:val="en-GB"/>
        </w:rPr>
        <w:t>in</w:t>
      </w:r>
      <w:r w:rsidR="001F3CBF" w:rsidRPr="00A6184D">
        <w:rPr>
          <w:lang w:val="en-US"/>
        </w:rPr>
        <w:t xml:space="preserve"> </w:t>
      </w:r>
      <w:r w:rsidR="001F3CBF">
        <w:rPr>
          <w:noProof/>
          <w:spacing w:val="-2"/>
          <w:szCs w:val="19"/>
          <w:lang w:val="en-GB"/>
        </w:rPr>
        <w:t>m</w:t>
      </w:r>
      <w:r w:rsidR="001F3CBF" w:rsidRPr="00A6184D">
        <w:rPr>
          <w:noProof/>
          <w:spacing w:val="-2"/>
          <w:szCs w:val="19"/>
          <w:lang w:val="en-GB"/>
        </w:rPr>
        <w:t>ining of coal and lignite</w:t>
      </w:r>
      <w:r w:rsidR="001F3CBF">
        <w:rPr>
          <w:noProof/>
          <w:spacing w:val="-2"/>
          <w:szCs w:val="19"/>
          <w:lang w:val="en-GB"/>
        </w:rPr>
        <w:t xml:space="preserve"> – by 5.4%.</w:t>
      </w:r>
    </w:p>
    <w:p w14:paraId="57562347" w14:textId="6B1EF15A" w:rsidR="001F5FDE" w:rsidRDefault="001F5FDE" w:rsidP="001F5FDE">
      <w:pPr>
        <w:spacing w:after="0"/>
        <w:rPr>
          <w:noProof/>
          <w:spacing w:val="-2"/>
          <w:szCs w:val="19"/>
          <w:lang w:val="en-GB"/>
        </w:rPr>
      </w:pPr>
    </w:p>
    <w:bookmarkEnd w:id="5"/>
    <w:p w14:paraId="1F5B1DF6" w14:textId="37BDF82D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3D8C1498" w:rsidR="00E44A8F" w:rsidRPr="000A5D02" w:rsidRDefault="00BF6639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1998208" behindDoc="0" locked="0" layoutInCell="1" allowOverlap="1" wp14:anchorId="4FFF5871" wp14:editId="76B0B167">
            <wp:simplePos x="0" y="0"/>
            <wp:positionH relativeFrom="column">
              <wp:posOffset>-82550</wp:posOffset>
            </wp:positionH>
            <wp:positionV relativeFrom="paragraph">
              <wp:posOffset>222250</wp:posOffset>
            </wp:positionV>
            <wp:extent cx="5224780" cy="3584575"/>
            <wp:effectExtent l="0" t="0" r="0" b="0"/>
            <wp:wrapSquare wrapText="bothSides"/>
            <wp:docPr id="8" name="Obraz 8" descr="Index numbers of sold production of industry by selected NACE divisions (constant prices; previous month =100) - May, June, July, August and Septem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4EF4176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22193ED4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B41BCB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200A9C0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63A5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"https://stat.gov.pl/en/topics/other-studies/informations-on-socio-economic-situation/statistical-bulletin-no-82024,4,166.html"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E0BB00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63A5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"https://stat.gov.pl/en/topics/other-studies/informations-on-socio-economic-situation/socio-economic-situation-of-the-country-in-august-2024,1,161.html"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A324A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A324AA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A324A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A324AA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A324AA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76757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76757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76757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76757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76757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200A9C0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63A5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"https://stat.gov.pl/en/topics/other-studies/informations-on-socio-economic-situation/statistical-bulletin-no-82024,4,166.html"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E0BB00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63A5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"https://stat.gov.pl/en/topics/other-studies/informations-on-socio-economic-situation/socio-economic-situation-of-the-country-in-august-2024,1,161.html"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A324A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41BCB">
                        <w:rPr>
                          <w:lang w:val="en-US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A324AA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B41BCB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A324A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41BCB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A324AA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B41BCB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A324AA">
                        <w:fldChar w:fldCharType="begin"/>
                      </w:r>
                      <w:r w:rsidR="00A324AA" w:rsidRPr="00B41BCB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A324AA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A324A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A324A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41BCB">
                        <w:rPr>
                          <w:lang w:val="en-US"/>
                        </w:rPr>
                        <w:instrText xml:space="preserve"> HYPERLINK "https://stat.gov.pl/en/metainformation/glossary/terms-used-in-official-st</w:instrText>
                      </w:r>
                      <w:r w:rsidRPr="00B41BCB">
                        <w:rPr>
                          <w:lang w:val="en-US"/>
                        </w:rPr>
                        <w:instrText xml:space="preserve">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A324A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A324A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A324A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A324A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A324A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A6D7" w14:textId="77777777" w:rsidR="00767571" w:rsidRDefault="00767571" w:rsidP="000662E2">
      <w:pPr>
        <w:spacing w:after="0" w:line="240" w:lineRule="auto"/>
      </w:pPr>
      <w:r>
        <w:separator/>
      </w:r>
    </w:p>
  </w:endnote>
  <w:endnote w:type="continuationSeparator" w:id="0">
    <w:p w14:paraId="10F8BACA" w14:textId="77777777" w:rsidR="00767571" w:rsidRDefault="0076757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DBC5" w14:textId="77777777" w:rsidR="00767571" w:rsidRDefault="00767571" w:rsidP="000662E2">
      <w:pPr>
        <w:spacing w:after="0" w:line="240" w:lineRule="auto"/>
      </w:pPr>
      <w:r>
        <w:separator/>
      </w:r>
    </w:p>
  </w:footnote>
  <w:footnote w:type="continuationSeparator" w:id="0">
    <w:p w14:paraId="019BAFD2" w14:textId="77777777" w:rsidR="00767571" w:rsidRDefault="0076757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EB9A7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10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271D518" w:rsidR="00637ED3" w:rsidRPr="00E66F2C" w:rsidRDefault="002B0CD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0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1t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FrMhnZV4uom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95DdbR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2CA07B51" w14:textId="0271D518" w:rsidR="00637ED3" w:rsidRPr="00E66F2C" w:rsidRDefault="002B0CD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24pt;height:125.5pt;visibility:visible;mso-wrap-style:square" o:bullet="t">
        <v:imagedata r:id="rId1" o:title=""/>
      </v:shape>
    </w:pict>
  </w:numPicBullet>
  <w:numPicBullet w:numPicBulletId="1">
    <w:pict>
      <v:shape id="_x0000_i1159" type="#_x0000_t75" style="width:123.5pt;height:125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5B48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67571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155"/>
    <w:rsid w:val="00816DE1"/>
    <w:rsid w:val="00820371"/>
    <w:rsid w:val="00820A18"/>
    <w:rsid w:val="008211DF"/>
    <w:rsid w:val="008214C0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C91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1313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707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s://stat.gov.pl/en/metainformation/glossary/terms-used-in-official-statistics/1314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s://stat.gov.pl/en/metainformation/glossary/terms-used-in-official-statistics/1317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s://stat.gov.pl/en/metainformation/glossary/terms-used-in-official-statistics/35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stat.gov.pl/en/metainformation/glossary/terms-used-in-official-statistics/35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September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F9B18-F0EC-45F2-9D9F-7FA5E64A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4167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2024-10-18T13:58:00Z</dcterms:created>
  <dcterms:modified xsi:type="dcterms:W3CDTF">2024-10-18T13:58:00Z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