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20CC6" w14:textId="00F340EC" w:rsidR="00E31B21" w:rsidRPr="00EF5837" w:rsidRDefault="00BE16FB" w:rsidP="00CD4091">
      <w:pPr>
        <w:pStyle w:val="Tytuinfomacjisygnalnej"/>
        <w:rPr>
          <w:szCs w:val="40"/>
          <w:lang w:val="en-US"/>
        </w:rPr>
      </w:pPr>
      <w:r w:rsidRPr="00EF5837">
        <w:rPr>
          <w:szCs w:val="40"/>
          <w:lang w:val="en-US"/>
        </w:rPr>
        <w:t>Financial results of enterprises</w:t>
      </w:r>
      <w:r w:rsidR="00F72729">
        <w:rPr>
          <w:rStyle w:val="Odwoanieprzypisudolnego"/>
          <w:szCs w:val="40"/>
          <w:lang w:val="en-US"/>
        </w:rPr>
        <w:footnoteReference w:id="1"/>
      </w:r>
      <w:r w:rsidRPr="00EF5837">
        <w:rPr>
          <w:szCs w:val="40"/>
          <w:lang w:val="en-US"/>
        </w:rPr>
        <w:t xml:space="preserve"> </w:t>
      </w:r>
      <w:r w:rsidR="00C353AE">
        <w:rPr>
          <w:szCs w:val="40"/>
          <w:lang w:val="en-US"/>
        </w:rPr>
        <w:br/>
      </w:r>
      <w:r w:rsidR="00A61CC4">
        <w:rPr>
          <w:szCs w:val="40"/>
          <w:lang w:val="en-US"/>
        </w:rPr>
        <w:t>in</w:t>
      </w:r>
      <w:r w:rsidR="00D277B1">
        <w:rPr>
          <w:szCs w:val="40"/>
          <w:lang w:val="en-US"/>
        </w:rPr>
        <w:t xml:space="preserve"> </w:t>
      </w:r>
      <w:r w:rsidR="009D01CA">
        <w:rPr>
          <w:szCs w:val="40"/>
          <w:lang w:val="en-US"/>
        </w:rPr>
        <w:t xml:space="preserve">the </w:t>
      </w:r>
      <w:r w:rsidR="00D277B1">
        <w:rPr>
          <w:szCs w:val="40"/>
          <w:lang w:val="en-US"/>
        </w:rPr>
        <w:t>1</w:t>
      </w:r>
      <w:r w:rsidR="00895B61">
        <w:rPr>
          <w:szCs w:val="40"/>
          <w:lang w:val="en-US"/>
        </w:rPr>
        <w:t>st quarter of</w:t>
      </w:r>
      <w:r w:rsidR="00D277B1">
        <w:rPr>
          <w:szCs w:val="40"/>
          <w:lang w:val="en-US"/>
        </w:rPr>
        <w:t xml:space="preserve"> 2024</w:t>
      </w:r>
    </w:p>
    <w:p w14:paraId="02BF4B14" w14:textId="7AD9CD37" w:rsidR="00E31B21" w:rsidRDefault="00731D27" w:rsidP="00D41384">
      <w:pPr>
        <w:pStyle w:val="Lead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00731AAA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060700" cy="1049020"/>
                <wp:effectExtent l="0" t="0" r="6350" b="0"/>
                <wp:wrapSquare wrapText="bothSides"/>
                <wp:docPr id="6" name="Pole tekstowe 2" descr="37.0 bn PLN&#10;Net financial result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252" cy="104902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2B97072E" w:rsidR="005C0CAC" w:rsidRPr="00BE16FB" w:rsidRDefault="009D01CA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37.0</w:t>
                            </w:r>
                            <w:r w:rsidR="00A61CC4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61CC4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bn</w:t>
                            </w:r>
                            <w:proofErr w:type="spellEnd"/>
                            <w:r w:rsidR="008D004E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 xml:space="preserve"> PLN</w:t>
                            </w:r>
                          </w:p>
                          <w:p w14:paraId="63B3F253" w14:textId="5D5A318F" w:rsidR="005C0CAC" w:rsidRPr="004E2D98" w:rsidRDefault="00A61CC4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Net financial result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FC13F97" id="Pole tekstowe 2" o:spid="_x0000_s1026" alt="37.0 bn PLN&#10;Net financial result&#10;" style="position:absolute;margin-left:0;margin-top:.6pt;width:241pt;height:82.6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" fillcolor="#001d77" stroked="f">
                <v:stroke joinstyle="miter"/>
                <v:textbox>
                  <w:txbxContent>
                    <w:p w14:paraId="30951E30" w14:textId="2B97072E" w:rsidR="005C0CAC" w:rsidRPr="00BE16FB" w:rsidRDefault="009D01CA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37.0</w:t>
                      </w:r>
                      <w:r w:rsidR="00A61CC4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 xml:space="preserve"> bn</w:t>
                      </w:r>
                      <w:r w:rsidR="008D004E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 xml:space="preserve"> PLN</w:t>
                      </w:r>
                    </w:p>
                    <w:p w14:paraId="63B3F253" w14:textId="5D5A318F" w:rsidR="005C0CAC" w:rsidRPr="004E2D98" w:rsidRDefault="00A61CC4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Net financial result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61CC4">
        <w:rPr>
          <w:lang w:val="en-US"/>
        </w:rPr>
        <w:t xml:space="preserve">In </w:t>
      </w:r>
      <w:r w:rsidR="009D01CA">
        <w:rPr>
          <w:lang w:val="en-US"/>
        </w:rPr>
        <w:t xml:space="preserve">the </w:t>
      </w:r>
      <w:r w:rsidR="001C6A55">
        <w:rPr>
          <w:lang w:val="en-US"/>
        </w:rPr>
        <w:t>1st quarter of 2024</w:t>
      </w:r>
      <w:r w:rsidR="00920814">
        <w:rPr>
          <w:lang w:val="en-US"/>
        </w:rPr>
        <w:t>,</w:t>
      </w:r>
      <w:r w:rsidR="00BE16FB" w:rsidRPr="00BE16FB">
        <w:rPr>
          <w:lang w:val="en-US"/>
        </w:rPr>
        <w:t xml:space="preserve"> </w:t>
      </w:r>
      <w:r w:rsidR="008D004E">
        <w:rPr>
          <w:lang w:val="en-US"/>
        </w:rPr>
        <w:t>t</w:t>
      </w:r>
      <w:r w:rsidR="008D004E" w:rsidRPr="008D004E">
        <w:rPr>
          <w:lang w:val="en-US"/>
        </w:rPr>
        <w:t>otal revenues</w:t>
      </w:r>
      <w:r w:rsidR="00511D67">
        <w:rPr>
          <w:lang w:val="en-US"/>
        </w:rPr>
        <w:t xml:space="preserve"> surveyed enterprises</w:t>
      </w:r>
      <w:r w:rsidR="008D004E">
        <w:rPr>
          <w:lang w:val="en-US"/>
        </w:rPr>
        <w:t xml:space="preserve"> </w:t>
      </w:r>
      <w:r w:rsidR="008D004E" w:rsidRPr="008D004E">
        <w:rPr>
          <w:lang w:val="en-US"/>
        </w:rPr>
        <w:t>amounted to</w:t>
      </w:r>
      <w:r w:rsidR="00C800D8">
        <w:rPr>
          <w:lang w:val="en-US"/>
        </w:rPr>
        <w:t xml:space="preserve"> 1 272.4</w:t>
      </w:r>
      <w:r w:rsidR="008D004E">
        <w:rPr>
          <w:lang w:val="en-US"/>
        </w:rPr>
        <w:t xml:space="preserve"> bn PLN and </w:t>
      </w:r>
      <w:r w:rsidR="008D004E" w:rsidRPr="008D004E">
        <w:rPr>
          <w:lang w:val="en-US"/>
        </w:rPr>
        <w:t>total costs of obtaining the revenues</w:t>
      </w:r>
      <w:r w:rsidR="006B3970">
        <w:rPr>
          <w:lang w:val="en-US"/>
        </w:rPr>
        <w:t xml:space="preserve"> </w:t>
      </w:r>
      <w:r w:rsidR="006B3970" w:rsidRPr="008D004E">
        <w:rPr>
          <w:lang w:val="en-US"/>
        </w:rPr>
        <w:t>amounted to</w:t>
      </w:r>
      <w:r w:rsidR="00C800D8">
        <w:rPr>
          <w:lang w:val="en-US"/>
        </w:rPr>
        <w:t xml:space="preserve"> 1</w:t>
      </w:r>
      <w:r w:rsidR="00E61019">
        <w:rPr>
          <w:lang w:val="en-US"/>
        </w:rPr>
        <w:t> 223.6</w:t>
      </w:r>
      <w:r w:rsidR="008D004E">
        <w:rPr>
          <w:lang w:val="en-US"/>
        </w:rPr>
        <w:t xml:space="preserve"> bn PLN. </w:t>
      </w:r>
      <w:r w:rsidR="008D004E" w:rsidRPr="008D004E">
        <w:rPr>
          <w:lang w:val="en-US"/>
        </w:rPr>
        <w:t>Net financial result amounted to</w:t>
      </w:r>
      <w:r w:rsidR="00C800D8">
        <w:rPr>
          <w:lang w:val="en-US"/>
        </w:rPr>
        <w:t xml:space="preserve"> 37.0</w:t>
      </w:r>
      <w:r w:rsidR="003F5E57">
        <w:rPr>
          <w:lang w:val="en-US"/>
        </w:rPr>
        <w:t xml:space="preserve"> bn PLN.</w:t>
      </w:r>
      <w:bookmarkStart w:id="0" w:name="_GoBack"/>
      <w:bookmarkEnd w:id="0"/>
    </w:p>
    <w:p w14:paraId="581BDE40" w14:textId="77777777" w:rsidR="006D6A2C" w:rsidRDefault="006D6A2C" w:rsidP="00D65C1D">
      <w:pPr>
        <w:spacing w:line="288" w:lineRule="auto"/>
        <w:rPr>
          <w:b/>
          <w:noProof/>
          <w:szCs w:val="19"/>
          <w:lang w:val="en-US" w:eastAsia="pl-PL"/>
        </w:rPr>
      </w:pPr>
    </w:p>
    <w:p w14:paraId="6B81B5C6" w14:textId="0A763DE5" w:rsidR="00511D67" w:rsidRPr="00E15169" w:rsidRDefault="00511D67" w:rsidP="00D65C1D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E15169">
        <w:rPr>
          <w:rFonts w:eastAsia="Times New Roman" w:cs="Times New Roman"/>
          <w:b/>
          <w:szCs w:val="19"/>
          <w:lang w:val="en-US" w:eastAsia="pl-PL"/>
        </w:rPr>
        <w:t xml:space="preserve">Basic data on the surveyed enterprises </w:t>
      </w:r>
      <w:r w:rsidR="00D23E96" w:rsidRPr="00E15169">
        <w:rPr>
          <w:b/>
          <w:lang w:val="en-US"/>
        </w:rPr>
        <w:t>keeping accounting ledgers</w:t>
      </w:r>
      <w:r w:rsidR="00D23E96" w:rsidRPr="00E15169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9D01CA">
        <w:rPr>
          <w:rFonts w:eastAsia="Times New Roman" w:cs="Times New Roman"/>
          <w:b/>
          <w:szCs w:val="19"/>
          <w:lang w:val="en-US" w:eastAsia="pl-PL"/>
        </w:rPr>
        <w:t>with 5</w:t>
      </w:r>
      <w:r w:rsidRPr="00E15169">
        <w:rPr>
          <w:rFonts w:eastAsia="Times New Roman" w:cs="Times New Roman"/>
          <w:b/>
          <w:szCs w:val="19"/>
          <w:lang w:val="en-US" w:eastAsia="pl-PL"/>
        </w:rPr>
        <w:t>0 and</w:t>
      </w:r>
      <w:r w:rsidR="00D23E96" w:rsidRPr="00E15169">
        <w:rPr>
          <w:rFonts w:eastAsia="Times New Roman" w:cs="Times New Roman"/>
          <w:b/>
          <w:szCs w:val="19"/>
          <w:lang w:val="en-US" w:eastAsia="pl-PL"/>
        </w:rPr>
        <w:t xml:space="preserve"> more persons employed</w:t>
      </w:r>
      <w:r w:rsidRPr="00E15169">
        <w:rPr>
          <w:rFonts w:eastAsia="Times New Roman" w:cs="Times New Roman"/>
          <w:b/>
          <w:szCs w:val="19"/>
          <w:lang w:val="en-US" w:eastAsia="pl-PL"/>
        </w:rPr>
        <w:t xml:space="preserve"> in </w:t>
      </w:r>
      <w:r w:rsidR="009D01CA">
        <w:rPr>
          <w:rFonts w:eastAsia="Times New Roman" w:cs="Times New Roman"/>
          <w:b/>
          <w:szCs w:val="19"/>
          <w:lang w:val="en-US" w:eastAsia="pl-PL"/>
        </w:rPr>
        <w:t>the 1st quarter of 2024</w:t>
      </w:r>
    </w:p>
    <w:p w14:paraId="1752B4AB" w14:textId="4DCF50AC" w:rsidR="00F0564E" w:rsidRDefault="00D23E96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23E96">
        <w:rPr>
          <w:rFonts w:eastAsia="Times New Roman" w:cs="Times New Roman"/>
          <w:szCs w:val="19"/>
          <w:lang w:val="en-US" w:eastAsia="pl-PL"/>
        </w:rPr>
        <w:t>In the population of</w:t>
      </w:r>
      <w:r w:rsidR="009D01CA">
        <w:rPr>
          <w:rFonts w:eastAsia="Times New Roman" w:cs="Times New Roman"/>
          <w:szCs w:val="19"/>
          <w:lang w:val="en-US" w:eastAsia="pl-PL"/>
        </w:rPr>
        <w:t xml:space="preserve"> 17,282</w:t>
      </w:r>
      <w:r w:rsidRPr="00D23E96">
        <w:rPr>
          <w:rFonts w:eastAsia="Times New Roman" w:cs="Times New Roman"/>
          <w:szCs w:val="19"/>
          <w:lang w:val="en-US" w:eastAsia="pl-PL"/>
        </w:rPr>
        <w:t xml:space="preserve"> enterprises keeping accountin</w:t>
      </w:r>
      <w:r>
        <w:rPr>
          <w:rFonts w:eastAsia="Times New Roman" w:cs="Times New Roman"/>
          <w:szCs w:val="19"/>
          <w:lang w:val="en-US" w:eastAsia="pl-PL"/>
        </w:rPr>
        <w:t>g ledgers</w:t>
      </w:r>
      <w:r w:rsidR="009D01CA">
        <w:rPr>
          <w:rFonts w:eastAsia="Times New Roman" w:cs="Times New Roman"/>
          <w:szCs w:val="19"/>
          <w:lang w:val="en-US" w:eastAsia="pl-PL"/>
        </w:rPr>
        <w:t xml:space="preserve"> surveyed in the 1st quarter of 2024</w:t>
      </w:r>
      <w:r w:rsidR="006A55A0">
        <w:rPr>
          <w:rFonts w:eastAsia="Times New Roman" w:cs="Times New Roman"/>
          <w:szCs w:val="19"/>
          <w:lang w:val="en-US" w:eastAsia="pl-PL"/>
        </w:rPr>
        <w:t>, the largest group (77.7</w:t>
      </w:r>
      <w:r w:rsidRPr="00D23E96">
        <w:rPr>
          <w:rFonts w:eastAsia="Times New Roman" w:cs="Times New Roman"/>
          <w:szCs w:val="19"/>
          <w:lang w:val="en-US" w:eastAsia="pl-PL"/>
        </w:rPr>
        <w:t xml:space="preserve">%) were </w:t>
      </w:r>
      <w:r w:rsidR="006A55A0">
        <w:rPr>
          <w:rFonts w:eastAsia="Times New Roman" w:cs="Times New Roman"/>
          <w:szCs w:val="19"/>
          <w:lang w:val="en-US" w:eastAsia="pl-PL"/>
        </w:rPr>
        <w:t>m</w:t>
      </w:r>
      <w:r w:rsidR="006A55A0" w:rsidRPr="00D23E96">
        <w:rPr>
          <w:rFonts w:eastAsia="Times New Roman" w:cs="Times New Roman"/>
          <w:szCs w:val="19"/>
          <w:lang w:val="en-US" w:eastAsia="pl-PL"/>
        </w:rPr>
        <w:t>ed</w:t>
      </w:r>
      <w:r w:rsidR="006A55A0">
        <w:rPr>
          <w:rFonts w:eastAsia="Times New Roman" w:cs="Times New Roman"/>
          <w:szCs w:val="19"/>
          <w:lang w:val="en-US" w:eastAsia="pl-PL"/>
        </w:rPr>
        <w:t>ium-sized enterprises, i.e. from</w:t>
      </w:r>
      <w:r w:rsidR="008726FB">
        <w:rPr>
          <w:rFonts w:eastAsia="Times New Roman" w:cs="Times New Roman"/>
          <w:szCs w:val="19"/>
          <w:lang w:val="en-US" w:eastAsia="pl-PL"/>
        </w:rPr>
        <w:t xml:space="preserve"> 50 to 249 persons employed and</w:t>
      </w:r>
      <w:r w:rsidR="006A55A0" w:rsidRPr="00D23E96">
        <w:rPr>
          <w:rFonts w:eastAsia="Times New Roman" w:cs="Times New Roman"/>
          <w:szCs w:val="19"/>
          <w:lang w:val="en-US" w:eastAsia="pl-PL"/>
        </w:rPr>
        <w:t xml:space="preserve"> large enti</w:t>
      </w:r>
      <w:r w:rsidR="006A55A0">
        <w:rPr>
          <w:rFonts w:eastAsia="Times New Roman" w:cs="Times New Roman"/>
          <w:szCs w:val="19"/>
          <w:lang w:val="en-US" w:eastAsia="pl-PL"/>
        </w:rPr>
        <w:t>ties (with 250</w:t>
      </w:r>
      <w:r w:rsidR="006A55A0" w:rsidRPr="00D23E96">
        <w:rPr>
          <w:rFonts w:eastAsia="Times New Roman" w:cs="Times New Roman"/>
          <w:szCs w:val="19"/>
          <w:lang w:val="en-US" w:eastAsia="pl-PL"/>
        </w:rPr>
        <w:t xml:space="preserve"> </w:t>
      </w:r>
      <w:r w:rsidR="008726FB">
        <w:rPr>
          <w:rFonts w:eastAsia="Times New Roman" w:cs="Times New Roman"/>
          <w:szCs w:val="19"/>
          <w:lang w:val="en-US" w:eastAsia="pl-PL"/>
        </w:rPr>
        <w:t>and more persons employed) were</w:t>
      </w:r>
      <w:r w:rsidR="006A55A0">
        <w:rPr>
          <w:rFonts w:eastAsia="Times New Roman" w:cs="Times New Roman"/>
          <w:szCs w:val="19"/>
          <w:lang w:val="en-US" w:eastAsia="pl-PL"/>
        </w:rPr>
        <w:t xml:space="preserve"> 22.3%. </w:t>
      </w:r>
      <w:r w:rsidR="007D493C">
        <w:rPr>
          <w:rFonts w:eastAsia="Times New Roman" w:cs="Times New Roman"/>
          <w:szCs w:val="19"/>
          <w:lang w:val="en-US" w:eastAsia="pl-PL"/>
        </w:rPr>
        <w:t>As of March 31, 2024</w:t>
      </w:r>
      <w:r w:rsidR="00F155BB">
        <w:rPr>
          <w:rFonts w:eastAsia="Times New Roman" w:cs="Times New Roman"/>
          <w:szCs w:val="19"/>
          <w:lang w:val="en-US" w:eastAsia="pl-PL"/>
        </w:rPr>
        <w:t xml:space="preserve">, </w:t>
      </w:r>
      <w:r w:rsidR="00F155BB" w:rsidRPr="00F155BB">
        <w:rPr>
          <w:rFonts w:eastAsia="Times New Roman" w:cs="Times New Roman"/>
          <w:szCs w:val="19"/>
          <w:lang w:val="en-US" w:eastAsia="pl-PL"/>
        </w:rPr>
        <w:t>the enterprises covered by the survey em</w:t>
      </w:r>
      <w:r w:rsidR="007D493C">
        <w:rPr>
          <w:rFonts w:eastAsia="Times New Roman" w:cs="Times New Roman"/>
          <w:szCs w:val="19"/>
          <w:lang w:val="en-US" w:eastAsia="pl-PL"/>
        </w:rPr>
        <w:t>ployed 4,834.3</w:t>
      </w:r>
      <w:r w:rsidR="00F155BB">
        <w:rPr>
          <w:rFonts w:eastAsia="Times New Roman" w:cs="Times New Roman"/>
          <w:szCs w:val="19"/>
          <w:lang w:val="en-US" w:eastAsia="pl-PL"/>
        </w:rPr>
        <w:t xml:space="preserve"> thousand persons.</w:t>
      </w:r>
      <w:r w:rsidR="00FD3C79">
        <w:rPr>
          <w:rFonts w:eastAsia="Times New Roman" w:cs="Times New Roman"/>
          <w:szCs w:val="19"/>
          <w:lang w:val="en-US" w:eastAsia="pl-PL"/>
        </w:rPr>
        <w:t xml:space="preserve"> </w:t>
      </w:r>
      <w:r w:rsidR="00FD3C79" w:rsidRPr="00FD3C79">
        <w:rPr>
          <w:rFonts w:eastAsia="Times New Roman" w:cs="Times New Roman"/>
          <w:szCs w:val="19"/>
          <w:lang w:val="en-US" w:eastAsia="pl-PL"/>
        </w:rPr>
        <w:t>Large entities were the work</w:t>
      </w:r>
      <w:r w:rsidR="007D493C">
        <w:rPr>
          <w:rFonts w:eastAsia="Times New Roman" w:cs="Times New Roman"/>
          <w:szCs w:val="19"/>
          <w:lang w:val="en-US" w:eastAsia="pl-PL"/>
        </w:rPr>
        <w:t>place for 69.9</w:t>
      </w:r>
      <w:r w:rsidR="00FD3C79">
        <w:rPr>
          <w:rFonts w:eastAsia="Times New Roman" w:cs="Times New Roman"/>
          <w:szCs w:val="19"/>
          <w:lang w:val="en-US" w:eastAsia="pl-PL"/>
        </w:rPr>
        <w:t>% of all persons employed</w:t>
      </w:r>
      <w:r w:rsidR="00FD3C79" w:rsidRPr="00FD3C79">
        <w:rPr>
          <w:rFonts w:eastAsia="Times New Roman" w:cs="Times New Roman"/>
          <w:szCs w:val="19"/>
          <w:lang w:val="en-US" w:eastAsia="pl-PL"/>
        </w:rPr>
        <w:t>, medium-sized entit</w:t>
      </w:r>
      <w:r w:rsidR="00843840">
        <w:rPr>
          <w:rFonts w:eastAsia="Times New Roman" w:cs="Times New Roman"/>
          <w:szCs w:val="19"/>
          <w:lang w:val="en-US" w:eastAsia="pl-PL"/>
        </w:rPr>
        <w:t xml:space="preserve">ies </w:t>
      </w:r>
      <w:r w:rsidR="00843840" w:rsidRPr="00FD3C79">
        <w:rPr>
          <w:rFonts w:eastAsia="Times New Roman" w:cs="Times New Roman"/>
          <w:szCs w:val="19"/>
          <w:lang w:val="en-US" w:eastAsia="pl-PL"/>
        </w:rPr>
        <w:t>–</w:t>
      </w:r>
      <w:r w:rsidR="00B07AD3">
        <w:rPr>
          <w:rFonts w:eastAsia="Times New Roman" w:cs="Times New Roman"/>
          <w:szCs w:val="19"/>
          <w:lang w:val="en-US" w:eastAsia="pl-PL"/>
        </w:rPr>
        <w:t xml:space="preserve"> 30.1%. </w:t>
      </w:r>
      <w:r w:rsidR="00F0564E" w:rsidRPr="00F0564E">
        <w:rPr>
          <w:rFonts w:eastAsia="Times New Roman" w:cs="Times New Roman"/>
          <w:szCs w:val="19"/>
          <w:lang w:val="en-US" w:eastAsia="pl-PL"/>
        </w:rPr>
        <w:t xml:space="preserve">As at the </w:t>
      </w:r>
      <w:r w:rsidR="00624640">
        <w:rPr>
          <w:rFonts w:eastAsia="Times New Roman" w:cs="Times New Roman"/>
          <w:szCs w:val="19"/>
          <w:lang w:val="en-US" w:eastAsia="pl-PL"/>
        </w:rPr>
        <w:t>end of March 2024</w:t>
      </w:r>
      <w:r w:rsidR="00F0564E">
        <w:rPr>
          <w:rFonts w:eastAsia="Times New Roman" w:cs="Times New Roman"/>
          <w:szCs w:val="19"/>
          <w:lang w:val="en-US" w:eastAsia="pl-PL"/>
        </w:rPr>
        <w:t>, the average surveyed</w:t>
      </w:r>
      <w:r w:rsidR="002851E1">
        <w:rPr>
          <w:rFonts w:eastAsia="Times New Roman" w:cs="Times New Roman"/>
          <w:szCs w:val="19"/>
          <w:lang w:val="en-US" w:eastAsia="pl-PL"/>
        </w:rPr>
        <w:t xml:space="preserve"> entity keeping accounting ledgers</w:t>
      </w:r>
      <w:r w:rsidR="00F0564E" w:rsidRPr="00F0564E">
        <w:rPr>
          <w:rFonts w:eastAsia="Times New Roman" w:cs="Times New Roman"/>
          <w:szCs w:val="19"/>
          <w:lang w:val="en-US" w:eastAsia="pl-PL"/>
        </w:rPr>
        <w:t xml:space="preserve"> emplo</w:t>
      </w:r>
      <w:r w:rsidR="00624640">
        <w:rPr>
          <w:rFonts w:eastAsia="Times New Roman" w:cs="Times New Roman"/>
          <w:szCs w:val="19"/>
          <w:lang w:val="en-US" w:eastAsia="pl-PL"/>
        </w:rPr>
        <w:t>yed 280</w:t>
      </w:r>
      <w:r w:rsidR="00375880">
        <w:rPr>
          <w:rFonts w:eastAsia="Times New Roman" w:cs="Times New Roman"/>
          <w:szCs w:val="19"/>
          <w:lang w:val="en-US" w:eastAsia="pl-PL"/>
        </w:rPr>
        <w:t xml:space="preserve"> persons</w:t>
      </w:r>
      <w:r w:rsidR="00FE5E06">
        <w:rPr>
          <w:rFonts w:eastAsia="Times New Roman" w:cs="Times New Roman"/>
          <w:szCs w:val="19"/>
          <w:lang w:val="en-US" w:eastAsia="pl-PL"/>
        </w:rPr>
        <w:t xml:space="preserve">, a large entity </w:t>
      </w:r>
      <w:r w:rsidR="00FE5E06" w:rsidRPr="00FD3C79">
        <w:rPr>
          <w:rFonts w:eastAsia="Times New Roman" w:cs="Times New Roman"/>
          <w:szCs w:val="19"/>
          <w:lang w:val="en-US" w:eastAsia="pl-PL"/>
        </w:rPr>
        <w:t>–</w:t>
      </w:r>
      <w:r w:rsidR="00624640">
        <w:rPr>
          <w:rFonts w:eastAsia="Times New Roman" w:cs="Times New Roman"/>
          <w:szCs w:val="19"/>
          <w:lang w:val="en-US" w:eastAsia="pl-PL"/>
        </w:rPr>
        <w:t xml:space="preserve"> 874</w:t>
      </w:r>
      <w:r w:rsidR="00375880">
        <w:rPr>
          <w:rFonts w:eastAsia="Times New Roman" w:cs="Times New Roman"/>
          <w:szCs w:val="19"/>
          <w:lang w:val="en-US" w:eastAsia="pl-PL"/>
        </w:rPr>
        <w:t xml:space="preserve"> persons</w:t>
      </w:r>
      <w:r w:rsidR="002851E1">
        <w:rPr>
          <w:rFonts w:eastAsia="Times New Roman" w:cs="Times New Roman"/>
          <w:szCs w:val="19"/>
          <w:lang w:val="en-US" w:eastAsia="pl-PL"/>
        </w:rPr>
        <w:t xml:space="preserve">, a medium-sized entity </w:t>
      </w:r>
      <w:r w:rsidR="002851E1" w:rsidRPr="00FD3C79">
        <w:rPr>
          <w:rFonts w:eastAsia="Times New Roman" w:cs="Times New Roman"/>
          <w:szCs w:val="19"/>
          <w:lang w:val="en-US" w:eastAsia="pl-PL"/>
        </w:rPr>
        <w:t>–</w:t>
      </w:r>
      <w:r w:rsidR="00F0564E" w:rsidRPr="00F0564E">
        <w:rPr>
          <w:rFonts w:eastAsia="Times New Roman" w:cs="Times New Roman"/>
          <w:szCs w:val="19"/>
          <w:lang w:val="en-US" w:eastAsia="pl-PL"/>
        </w:rPr>
        <w:t xml:space="preserve"> </w:t>
      </w:r>
      <w:r w:rsidR="00624640">
        <w:rPr>
          <w:rFonts w:eastAsia="Times New Roman" w:cs="Times New Roman"/>
          <w:szCs w:val="19"/>
          <w:lang w:val="en-US" w:eastAsia="pl-PL"/>
        </w:rPr>
        <w:t>109</w:t>
      </w:r>
      <w:r w:rsidR="00375880">
        <w:rPr>
          <w:rFonts w:eastAsia="Times New Roman" w:cs="Times New Roman"/>
          <w:szCs w:val="19"/>
          <w:lang w:val="en-US" w:eastAsia="pl-PL"/>
        </w:rPr>
        <w:t xml:space="preserve"> persons</w:t>
      </w:r>
      <w:r w:rsidR="00624640">
        <w:rPr>
          <w:rFonts w:eastAsia="Times New Roman" w:cs="Times New Roman"/>
          <w:szCs w:val="19"/>
          <w:lang w:val="en-US" w:eastAsia="pl-PL"/>
        </w:rPr>
        <w:t>.</w:t>
      </w:r>
    </w:p>
    <w:p w14:paraId="5D6EF89B" w14:textId="71316ECE" w:rsidR="001C6F87" w:rsidRDefault="00E36A5D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T</w:t>
      </w:r>
      <w:r w:rsidR="001C6F87" w:rsidRPr="001C6F87">
        <w:rPr>
          <w:rFonts w:eastAsia="Times New Roman" w:cs="Times New Roman"/>
          <w:szCs w:val="19"/>
          <w:lang w:val="en-US" w:eastAsia="pl-PL"/>
        </w:rPr>
        <w:t>otal r</w:t>
      </w:r>
      <w:r w:rsidR="001C6F87">
        <w:rPr>
          <w:rFonts w:eastAsia="Times New Roman" w:cs="Times New Roman"/>
          <w:szCs w:val="19"/>
          <w:lang w:val="en-US" w:eastAsia="pl-PL"/>
        </w:rPr>
        <w:t>evenues of the surveyed</w:t>
      </w:r>
      <w:r w:rsidR="000C1D73">
        <w:rPr>
          <w:rFonts w:eastAsia="Times New Roman" w:cs="Times New Roman"/>
          <w:szCs w:val="19"/>
          <w:lang w:val="en-US" w:eastAsia="pl-PL"/>
        </w:rPr>
        <w:t xml:space="preserve"> enterprises amounted to 1,272.4</w:t>
      </w:r>
      <w:r w:rsidR="001C6F87">
        <w:rPr>
          <w:rFonts w:eastAsia="Times New Roman" w:cs="Times New Roman"/>
          <w:szCs w:val="19"/>
          <w:lang w:val="en-US" w:eastAsia="pl-PL"/>
        </w:rPr>
        <w:t xml:space="preserve"> </w:t>
      </w:r>
      <w:proofErr w:type="spellStart"/>
      <w:r w:rsidR="001C6F87">
        <w:rPr>
          <w:rFonts w:eastAsia="Times New Roman" w:cs="Times New Roman"/>
          <w:szCs w:val="19"/>
          <w:lang w:val="en-US" w:eastAsia="pl-PL"/>
        </w:rPr>
        <w:t>bn</w:t>
      </w:r>
      <w:proofErr w:type="spellEnd"/>
      <w:r w:rsidR="001C6F87">
        <w:rPr>
          <w:rFonts w:eastAsia="Times New Roman" w:cs="Times New Roman"/>
          <w:szCs w:val="19"/>
          <w:lang w:val="en-US" w:eastAsia="pl-PL"/>
        </w:rPr>
        <w:t xml:space="preserve"> PLN</w:t>
      </w:r>
      <w:r w:rsidR="001C6F87" w:rsidRPr="001C6F87">
        <w:rPr>
          <w:rFonts w:eastAsia="Times New Roman" w:cs="Times New Roman"/>
          <w:szCs w:val="19"/>
          <w:lang w:val="en-US" w:eastAsia="pl-PL"/>
        </w:rPr>
        <w:t>, and in the s</w:t>
      </w:r>
      <w:r w:rsidR="000C1D73">
        <w:rPr>
          <w:rFonts w:eastAsia="Times New Roman" w:cs="Times New Roman"/>
          <w:szCs w:val="19"/>
          <w:lang w:val="en-US" w:eastAsia="pl-PL"/>
        </w:rPr>
        <w:t>tructure of these revenues, 59.0</w:t>
      </w:r>
      <w:r w:rsidR="001C6F87" w:rsidRPr="001C6F87">
        <w:rPr>
          <w:rFonts w:eastAsia="Times New Roman" w:cs="Times New Roman"/>
          <w:szCs w:val="19"/>
          <w:lang w:val="en-US" w:eastAsia="pl-PL"/>
        </w:rPr>
        <w:t>% were revenues from the sale of products (pr</w:t>
      </w:r>
      <w:r w:rsidR="000C1D73">
        <w:rPr>
          <w:rFonts w:eastAsia="Times New Roman" w:cs="Times New Roman"/>
          <w:szCs w:val="19"/>
          <w:lang w:val="en-US" w:eastAsia="pl-PL"/>
        </w:rPr>
        <w:t>oducts and services) and 38.1</w:t>
      </w:r>
      <w:r w:rsidR="005D3341">
        <w:rPr>
          <w:rFonts w:eastAsia="Times New Roman" w:cs="Times New Roman"/>
          <w:szCs w:val="19"/>
          <w:lang w:val="en-US" w:eastAsia="pl-PL"/>
        </w:rPr>
        <w:t xml:space="preserve">% </w:t>
      </w:r>
      <w:r w:rsidR="005D3341" w:rsidRPr="00FD3C79">
        <w:rPr>
          <w:rFonts w:eastAsia="Times New Roman" w:cs="Times New Roman"/>
          <w:szCs w:val="19"/>
          <w:lang w:val="en-US" w:eastAsia="pl-PL"/>
        </w:rPr>
        <w:t>–</w:t>
      </w:r>
      <w:r w:rsidR="001C6F87" w:rsidRPr="001C6F87">
        <w:rPr>
          <w:rFonts w:eastAsia="Times New Roman" w:cs="Times New Roman"/>
          <w:szCs w:val="19"/>
          <w:lang w:val="en-US" w:eastAsia="pl-PL"/>
        </w:rPr>
        <w:t xml:space="preserve"> revenues from the sale of goods and materials.</w:t>
      </w:r>
      <w:r w:rsidR="000345BD">
        <w:rPr>
          <w:rFonts w:eastAsia="Times New Roman" w:cs="Times New Roman"/>
          <w:szCs w:val="19"/>
          <w:lang w:val="en-US" w:eastAsia="pl-PL"/>
        </w:rPr>
        <w:t xml:space="preserve"> </w:t>
      </w:r>
      <w:r w:rsidR="000345BD" w:rsidRPr="000345BD">
        <w:rPr>
          <w:rFonts w:eastAsia="Times New Roman" w:cs="Times New Roman"/>
          <w:szCs w:val="19"/>
          <w:lang w:val="en-US" w:eastAsia="pl-PL"/>
        </w:rPr>
        <w:t>Ot</w:t>
      </w:r>
      <w:r w:rsidR="000345BD">
        <w:rPr>
          <w:rFonts w:eastAsia="Times New Roman" w:cs="Times New Roman"/>
          <w:szCs w:val="19"/>
          <w:lang w:val="en-US" w:eastAsia="pl-PL"/>
        </w:rPr>
        <w:t>her operating revenues constituted</w:t>
      </w:r>
      <w:r w:rsidR="000C1D73">
        <w:rPr>
          <w:rFonts w:eastAsia="Times New Roman" w:cs="Times New Roman"/>
          <w:szCs w:val="19"/>
          <w:lang w:val="en-US" w:eastAsia="pl-PL"/>
        </w:rPr>
        <w:t xml:space="preserve"> for 1.5% and financial revenues for 1.4</w:t>
      </w:r>
      <w:r w:rsidR="000345BD" w:rsidRPr="000345BD">
        <w:rPr>
          <w:rFonts w:eastAsia="Times New Roman" w:cs="Times New Roman"/>
          <w:szCs w:val="19"/>
          <w:lang w:val="en-US" w:eastAsia="pl-PL"/>
        </w:rPr>
        <w:t>% of total revenues.</w:t>
      </w:r>
      <w:r w:rsidR="000345BD">
        <w:rPr>
          <w:rFonts w:eastAsia="Times New Roman" w:cs="Times New Roman"/>
          <w:szCs w:val="19"/>
          <w:lang w:val="en-US" w:eastAsia="pl-PL"/>
        </w:rPr>
        <w:t xml:space="preserve"> </w:t>
      </w:r>
      <w:r w:rsidR="000345BD" w:rsidRPr="000345BD">
        <w:rPr>
          <w:rFonts w:eastAsia="Times New Roman" w:cs="Times New Roman"/>
          <w:szCs w:val="19"/>
          <w:lang w:val="en-US" w:eastAsia="pl-PL"/>
        </w:rPr>
        <w:t>Total revenues obtained by large enterprise</w:t>
      </w:r>
      <w:r w:rsidR="00477595">
        <w:rPr>
          <w:rFonts w:eastAsia="Times New Roman" w:cs="Times New Roman"/>
          <w:szCs w:val="19"/>
          <w:lang w:val="en-US" w:eastAsia="pl-PL"/>
        </w:rPr>
        <w:t>s amounted to 914.9</w:t>
      </w:r>
      <w:r w:rsidR="000345BD">
        <w:rPr>
          <w:rFonts w:eastAsia="Times New Roman" w:cs="Times New Roman"/>
          <w:szCs w:val="19"/>
          <w:lang w:val="en-US" w:eastAsia="pl-PL"/>
        </w:rPr>
        <w:t xml:space="preserve"> </w:t>
      </w:r>
      <w:proofErr w:type="spellStart"/>
      <w:r w:rsidR="000345BD">
        <w:rPr>
          <w:rFonts w:eastAsia="Times New Roman" w:cs="Times New Roman"/>
          <w:szCs w:val="19"/>
          <w:lang w:val="en-US" w:eastAsia="pl-PL"/>
        </w:rPr>
        <w:t>b</w:t>
      </w:r>
      <w:r w:rsidR="000345BD" w:rsidRPr="000345BD">
        <w:rPr>
          <w:rFonts w:eastAsia="Times New Roman" w:cs="Times New Roman"/>
          <w:szCs w:val="19"/>
          <w:lang w:val="en-US" w:eastAsia="pl-PL"/>
        </w:rPr>
        <w:t>n</w:t>
      </w:r>
      <w:proofErr w:type="spellEnd"/>
      <w:r w:rsidR="000345BD">
        <w:rPr>
          <w:rFonts w:eastAsia="Times New Roman" w:cs="Times New Roman"/>
          <w:szCs w:val="19"/>
          <w:lang w:val="en-US" w:eastAsia="pl-PL"/>
        </w:rPr>
        <w:t xml:space="preserve"> PLN and constituted</w:t>
      </w:r>
      <w:r w:rsidR="00477595">
        <w:rPr>
          <w:rFonts w:eastAsia="Times New Roman" w:cs="Times New Roman"/>
          <w:szCs w:val="19"/>
          <w:lang w:val="en-US" w:eastAsia="pl-PL"/>
        </w:rPr>
        <w:t xml:space="preserve"> for 71.9</w:t>
      </w:r>
      <w:r w:rsidR="000345BD" w:rsidRPr="000345BD">
        <w:rPr>
          <w:rFonts w:eastAsia="Times New Roman" w:cs="Times New Roman"/>
          <w:szCs w:val="19"/>
          <w:lang w:val="en-US" w:eastAsia="pl-PL"/>
        </w:rPr>
        <w:t>% of the revenues of all surveyed enterprises.</w:t>
      </w:r>
      <w:r w:rsidR="00EB5FC5">
        <w:rPr>
          <w:rFonts w:eastAsia="Times New Roman" w:cs="Times New Roman"/>
          <w:szCs w:val="19"/>
          <w:lang w:val="en-US" w:eastAsia="pl-PL"/>
        </w:rPr>
        <w:t xml:space="preserve"> </w:t>
      </w:r>
      <w:r w:rsidR="00EB5FC5" w:rsidRPr="00EB5FC5">
        <w:rPr>
          <w:rFonts w:eastAsia="Times New Roman" w:cs="Times New Roman"/>
          <w:szCs w:val="19"/>
          <w:lang w:val="en-US" w:eastAsia="pl-PL"/>
        </w:rPr>
        <w:t>Medium-sized</w:t>
      </w:r>
      <w:r w:rsidR="00EB5FC5">
        <w:rPr>
          <w:rFonts w:eastAsia="Times New Roman" w:cs="Times New Roman"/>
          <w:szCs w:val="19"/>
          <w:lang w:val="en-US" w:eastAsia="pl-PL"/>
        </w:rPr>
        <w:t xml:space="preserve"> entities (from 50 to 249 persons employed</w:t>
      </w:r>
      <w:r w:rsidR="00361795">
        <w:rPr>
          <w:rFonts w:eastAsia="Times New Roman" w:cs="Times New Roman"/>
          <w:szCs w:val="19"/>
          <w:lang w:val="en-US" w:eastAsia="pl-PL"/>
        </w:rPr>
        <w:t>) obtained 28.1</w:t>
      </w:r>
      <w:r w:rsidR="00477595">
        <w:rPr>
          <w:rFonts w:eastAsia="Times New Roman" w:cs="Times New Roman"/>
          <w:szCs w:val="19"/>
          <w:lang w:val="en-US" w:eastAsia="pl-PL"/>
        </w:rPr>
        <w:t>%</w:t>
      </w:r>
      <w:r w:rsidR="00EB5FC5" w:rsidRPr="00EB5FC5">
        <w:rPr>
          <w:rFonts w:eastAsia="Times New Roman" w:cs="Times New Roman"/>
          <w:szCs w:val="19"/>
          <w:lang w:val="en-US" w:eastAsia="pl-PL"/>
        </w:rPr>
        <w:t xml:space="preserve"> of total revenues.</w:t>
      </w:r>
    </w:p>
    <w:p w14:paraId="082D900C" w14:textId="0BBD6ABF" w:rsidR="00920814" w:rsidRDefault="00D248E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7B5E1556" wp14:editId="22435D09">
                <wp:simplePos x="0" y="0"/>
                <wp:positionH relativeFrom="column">
                  <wp:posOffset>5351228</wp:posOffset>
                </wp:positionH>
                <wp:positionV relativeFrom="paragraph">
                  <wp:posOffset>948221</wp:posOffset>
                </wp:positionV>
                <wp:extent cx="1581150" cy="1152525"/>
                <wp:effectExtent l="0" t="0" r="0" b="0"/>
                <wp:wrapTight wrapText="bothSides">
                  <wp:wrapPolygon edited="0">
                    <wp:start x="781" y="0"/>
                    <wp:lineTo x="781" y="21064"/>
                    <wp:lineTo x="20559" y="21064"/>
                    <wp:lineTo x="20559" y="0"/>
                    <wp:lineTo x="781" y="0"/>
                  </wp:wrapPolygon>
                </wp:wrapTight>
                <wp:docPr id="4" name="Pole tekstowe 4" descr="In the 1st quarter of 2024, gross financial result of enterprises amounted to 48.8 bn PLN and net financial result amounted to 37.0 bn PL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56D43" w14:textId="2321BC64" w:rsidR="00D248E5" w:rsidRPr="00BE16FB" w:rsidRDefault="00D248E5" w:rsidP="00D248E5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994EE6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E30C1D">
                              <w:rPr>
                                <w:lang w:val="en-US"/>
                              </w:rPr>
                              <w:t>the 1st quarter of 2024</w:t>
                            </w:r>
                            <w:r>
                              <w:rPr>
                                <w:lang w:val="en-US"/>
                              </w:rPr>
                              <w:t>, gross</w:t>
                            </w:r>
                            <w:r w:rsidRPr="00994EE6">
                              <w:rPr>
                                <w:lang w:val="en-US"/>
                              </w:rPr>
                              <w:t xml:space="preserve"> financia</w:t>
                            </w:r>
                            <w:r>
                              <w:rPr>
                                <w:lang w:val="en-US"/>
                              </w:rPr>
                              <w:t xml:space="preserve">l result </w:t>
                            </w:r>
                            <w:r w:rsidR="00E30C1D">
                              <w:rPr>
                                <w:lang w:val="en-US"/>
                              </w:rPr>
                              <w:t>of enterprises amounted to 48.8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PLN and net fi</w:t>
                            </w:r>
                            <w:r w:rsidR="00E30C1D">
                              <w:rPr>
                                <w:lang w:val="en-US"/>
                              </w:rPr>
                              <w:t>nancial result amounted to 37.0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B5E155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alt="In the 1st quarter of 2024, gross financial result of enterprises amounted to 48.8 bn PLN and net financial result amounted to 37.0 bn PLN" style="position:absolute;margin-left:421.35pt;margin-top:74.65pt;width:124.5pt;height:90.7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" filled="f" stroked="f">
                <v:textbox>
                  <w:txbxContent>
                    <w:p w14:paraId="5EB56D43" w14:textId="2321BC64" w:rsidR="00D248E5" w:rsidRPr="00BE16FB" w:rsidRDefault="00D248E5" w:rsidP="00D248E5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994EE6">
                        <w:rPr>
                          <w:lang w:val="en-US"/>
                        </w:rPr>
                        <w:t xml:space="preserve">In </w:t>
                      </w:r>
                      <w:r w:rsidR="00E30C1D">
                        <w:rPr>
                          <w:lang w:val="en-US"/>
                        </w:rPr>
                        <w:t>the 1st quarter of 2024</w:t>
                      </w:r>
                      <w:r>
                        <w:rPr>
                          <w:lang w:val="en-US"/>
                        </w:rPr>
                        <w:t>, gross</w:t>
                      </w:r>
                      <w:r w:rsidRPr="00994EE6">
                        <w:rPr>
                          <w:lang w:val="en-US"/>
                        </w:rPr>
                        <w:t xml:space="preserve"> financia</w:t>
                      </w:r>
                      <w:r>
                        <w:rPr>
                          <w:lang w:val="en-US"/>
                        </w:rPr>
                        <w:t xml:space="preserve">l result </w:t>
                      </w:r>
                      <w:r w:rsidR="00E30C1D">
                        <w:rPr>
                          <w:lang w:val="en-US"/>
                        </w:rPr>
                        <w:t>of enterprises amounted to 48.8</w:t>
                      </w:r>
                      <w:r>
                        <w:rPr>
                          <w:lang w:val="en-US"/>
                        </w:rPr>
                        <w:t xml:space="preserve"> bn PLN and net fi</w:t>
                      </w:r>
                      <w:r w:rsidR="00E30C1D">
                        <w:rPr>
                          <w:lang w:val="en-US"/>
                        </w:rPr>
                        <w:t>nancial result amounted to 37.0</w:t>
                      </w:r>
                      <w:r>
                        <w:rPr>
                          <w:lang w:val="en-US"/>
                        </w:rPr>
                        <w:t xml:space="preserve"> bn PLN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20814">
        <w:rPr>
          <w:rFonts w:eastAsia="Times New Roman" w:cs="Times New Roman"/>
          <w:szCs w:val="19"/>
          <w:lang w:val="en-US" w:eastAsia="pl-PL"/>
        </w:rPr>
        <w:t xml:space="preserve">In </w:t>
      </w:r>
      <w:r w:rsidR="00C353AE">
        <w:rPr>
          <w:rFonts w:eastAsia="Times New Roman" w:cs="Times New Roman"/>
          <w:szCs w:val="19"/>
          <w:lang w:val="en-US" w:eastAsia="pl-PL"/>
        </w:rPr>
        <w:t>the 1st quarter of 2024</w:t>
      </w:r>
      <w:r w:rsidR="00920814">
        <w:rPr>
          <w:rFonts w:eastAsia="Times New Roman" w:cs="Times New Roman"/>
          <w:szCs w:val="19"/>
          <w:lang w:val="en-US" w:eastAsia="pl-PL"/>
        </w:rPr>
        <w:t>, tot</w:t>
      </w:r>
      <w:r w:rsidR="00C47DC3">
        <w:rPr>
          <w:rFonts w:eastAsia="Times New Roman" w:cs="Times New Roman"/>
          <w:szCs w:val="19"/>
          <w:lang w:val="en-US" w:eastAsia="pl-PL"/>
        </w:rPr>
        <w:t>al costs amounted to 1,223.6</w:t>
      </w:r>
      <w:r w:rsidR="00920814">
        <w:rPr>
          <w:rFonts w:eastAsia="Times New Roman" w:cs="Times New Roman"/>
          <w:szCs w:val="19"/>
          <w:lang w:val="en-US" w:eastAsia="pl-PL"/>
        </w:rPr>
        <w:t xml:space="preserve"> </w:t>
      </w:r>
      <w:proofErr w:type="spellStart"/>
      <w:r w:rsidR="00920814">
        <w:rPr>
          <w:rFonts w:eastAsia="Times New Roman" w:cs="Times New Roman"/>
          <w:szCs w:val="19"/>
          <w:lang w:val="en-US" w:eastAsia="pl-PL"/>
        </w:rPr>
        <w:t>b</w:t>
      </w:r>
      <w:r w:rsidR="00920814" w:rsidRPr="00920814">
        <w:rPr>
          <w:rFonts w:eastAsia="Times New Roman" w:cs="Times New Roman"/>
          <w:szCs w:val="19"/>
          <w:lang w:val="en-US" w:eastAsia="pl-PL"/>
        </w:rPr>
        <w:t>n</w:t>
      </w:r>
      <w:proofErr w:type="spellEnd"/>
      <w:r w:rsidR="00920814">
        <w:rPr>
          <w:rFonts w:eastAsia="Times New Roman" w:cs="Times New Roman"/>
          <w:szCs w:val="19"/>
          <w:lang w:val="en-US" w:eastAsia="pl-PL"/>
        </w:rPr>
        <w:t xml:space="preserve"> PLN</w:t>
      </w:r>
      <w:r w:rsidR="00920814" w:rsidRPr="00920814">
        <w:rPr>
          <w:rFonts w:eastAsia="Times New Roman" w:cs="Times New Roman"/>
          <w:szCs w:val="19"/>
          <w:lang w:val="en-US" w:eastAsia="pl-PL"/>
        </w:rPr>
        <w:t>. I</w:t>
      </w:r>
      <w:r w:rsidR="00C47DC3">
        <w:rPr>
          <w:rFonts w:eastAsia="Times New Roman" w:cs="Times New Roman"/>
          <w:szCs w:val="19"/>
          <w:lang w:val="en-US" w:eastAsia="pl-PL"/>
        </w:rPr>
        <w:t>n the total cost structure, 96.7</w:t>
      </w:r>
      <w:r w:rsidR="00920814" w:rsidRPr="00920814">
        <w:rPr>
          <w:rFonts w:eastAsia="Times New Roman" w:cs="Times New Roman"/>
          <w:szCs w:val="19"/>
          <w:lang w:val="en-US" w:eastAsia="pl-PL"/>
        </w:rPr>
        <w:t>% were the costs of products, goods a</w:t>
      </w:r>
      <w:r w:rsidR="00C47DC3">
        <w:rPr>
          <w:rFonts w:eastAsia="Times New Roman" w:cs="Times New Roman"/>
          <w:szCs w:val="19"/>
          <w:lang w:val="en-US" w:eastAsia="pl-PL"/>
        </w:rPr>
        <w:t>nd materials sold (of which 32.9</w:t>
      </w:r>
      <w:r w:rsidR="00920814" w:rsidRPr="00920814">
        <w:rPr>
          <w:rFonts w:eastAsia="Times New Roman" w:cs="Times New Roman"/>
          <w:szCs w:val="19"/>
          <w:lang w:val="en-US" w:eastAsia="pl-PL"/>
        </w:rPr>
        <w:t>% was the value of good</w:t>
      </w:r>
      <w:r w:rsidR="00C47DC3">
        <w:rPr>
          <w:rFonts w:eastAsia="Times New Roman" w:cs="Times New Roman"/>
          <w:szCs w:val="19"/>
          <w:lang w:val="en-US" w:eastAsia="pl-PL"/>
        </w:rPr>
        <w:t>s and materials sold and 63.8</w:t>
      </w:r>
      <w:r w:rsidR="004739BC">
        <w:rPr>
          <w:rFonts w:eastAsia="Times New Roman" w:cs="Times New Roman"/>
          <w:szCs w:val="19"/>
          <w:lang w:val="en-US" w:eastAsia="pl-PL"/>
        </w:rPr>
        <w:t xml:space="preserve">% </w:t>
      </w:r>
      <w:r w:rsidR="004739BC" w:rsidRPr="00FD3C79">
        <w:rPr>
          <w:rFonts w:eastAsia="Times New Roman" w:cs="Times New Roman"/>
          <w:szCs w:val="19"/>
          <w:lang w:val="en-US" w:eastAsia="pl-PL"/>
        </w:rPr>
        <w:t>–</w:t>
      </w:r>
      <w:r w:rsidR="00920814" w:rsidRPr="00920814">
        <w:rPr>
          <w:rFonts w:eastAsia="Times New Roman" w:cs="Times New Roman"/>
          <w:szCs w:val="19"/>
          <w:lang w:val="en-US" w:eastAsia="pl-PL"/>
        </w:rPr>
        <w:t xml:space="preserve"> cost of product</w:t>
      </w:r>
      <w:r w:rsidR="004739BC">
        <w:rPr>
          <w:rFonts w:eastAsia="Times New Roman" w:cs="Times New Roman"/>
          <w:szCs w:val="19"/>
          <w:lang w:val="en-US" w:eastAsia="pl-PL"/>
        </w:rPr>
        <w:t xml:space="preserve">s sold), other operating costs </w:t>
      </w:r>
      <w:r w:rsidR="004739BC" w:rsidRPr="00FD3C79">
        <w:rPr>
          <w:rFonts w:eastAsia="Times New Roman" w:cs="Times New Roman"/>
          <w:szCs w:val="19"/>
          <w:lang w:val="en-US" w:eastAsia="pl-PL"/>
        </w:rPr>
        <w:t>–</w:t>
      </w:r>
      <w:r w:rsidR="00A1229A">
        <w:rPr>
          <w:rFonts w:eastAsia="Times New Roman" w:cs="Times New Roman"/>
          <w:szCs w:val="19"/>
          <w:lang w:val="en-US" w:eastAsia="pl-PL"/>
        </w:rPr>
        <w:t xml:space="preserve"> 1.3</w:t>
      </w:r>
      <w:r w:rsidR="00920814" w:rsidRPr="00920814">
        <w:rPr>
          <w:rFonts w:eastAsia="Times New Roman" w:cs="Times New Roman"/>
          <w:szCs w:val="19"/>
          <w:lang w:val="en-US" w:eastAsia="pl-PL"/>
        </w:rPr>
        <w:t>%, and financial costs – 2.0%.</w:t>
      </w:r>
      <w:r w:rsidR="00443638">
        <w:rPr>
          <w:rFonts w:eastAsia="Times New Roman" w:cs="Times New Roman"/>
          <w:szCs w:val="19"/>
          <w:lang w:val="en-US" w:eastAsia="pl-PL"/>
        </w:rPr>
        <w:t xml:space="preserve"> </w:t>
      </w:r>
      <w:r w:rsidR="00443638" w:rsidRPr="00443638">
        <w:rPr>
          <w:rFonts w:eastAsia="Times New Roman" w:cs="Times New Roman"/>
          <w:szCs w:val="19"/>
          <w:lang w:val="en-US" w:eastAsia="pl-PL"/>
        </w:rPr>
        <w:t>The total costs incurred by large enterprise</w:t>
      </w:r>
      <w:r w:rsidR="004153E9">
        <w:rPr>
          <w:rFonts w:eastAsia="Times New Roman" w:cs="Times New Roman"/>
          <w:szCs w:val="19"/>
          <w:lang w:val="en-US" w:eastAsia="pl-PL"/>
        </w:rPr>
        <w:t>s amounted to 879.2</w:t>
      </w:r>
      <w:r w:rsidR="00443638">
        <w:rPr>
          <w:rFonts w:eastAsia="Times New Roman" w:cs="Times New Roman"/>
          <w:szCs w:val="19"/>
          <w:lang w:val="en-US" w:eastAsia="pl-PL"/>
        </w:rPr>
        <w:t xml:space="preserve"> </w:t>
      </w:r>
      <w:proofErr w:type="spellStart"/>
      <w:r w:rsidR="00443638">
        <w:rPr>
          <w:rFonts w:eastAsia="Times New Roman" w:cs="Times New Roman"/>
          <w:szCs w:val="19"/>
          <w:lang w:val="en-US" w:eastAsia="pl-PL"/>
        </w:rPr>
        <w:t>b</w:t>
      </w:r>
      <w:r w:rsidR="00443638" w:rsidRPr="00443638">
        <w:rPr>
          <w:rFonts w:eastAsia="Times New Roman" w:cs="Times New Roman"/>
          <w:szCs w:val="19"/>
          <w:lang w:val="en-US" w:eastAsia="pl-PL"/>
        </w:rPr>
        <w:t>n</w:t>
      </w:r>
      <w:proofErr w:type="spellEnd"/>
      <w:r w:rsidR="00443638">
        <w:rPr>
          <w:rFonts w:eastAsia="Times New Roman" w:cs="Times New Roman"/>
          <w:szCs w:val="19"/>
          <w:lang w:val="en-US" w:eastAsia="pl-PL"/>
        </w:rPr>
        <w:t xml:space="preserve"> PLN</w:t>
      </w:r>
      <w:r w:rsidR="004153E9">
        <w:rPr>
          <w:rFonts w:eastAsia="Times New Roman" w:cs="Times New Roman"/>
          <w:szCs w:val="19"/>
          <w:lang w:val="en-US" w:eastAsia="pl-PL"/>
        </w:rPr>
        <w:t xml:space="preserve"> and accounted for 71.9</w:t>
      </w:r>
      <w:r w:rsidR="00443638" w:rsidRPr="00443638">
        <w:rPr>
          <w:rFonts w:eastAsia="Times New Roman" w:cs="Times New Roman"/>
          <w:szCs w:val="19"/>
          <w:lang w:val="en-US" w:eastAsia="pl-PL"/>
        </w:rPr>
        <w:t>% of the costs of all surveyed enterprises.</w:t>
      </w:r>
      <w:r w:rsidR="00443638" w:rsidRPr="00443638">
        <w:rPr>
          <w:lang w:val="en-US"/>
        </w:rPr>
        <w:t xml:space="preserve"> </w:t>
      </w:r>
      <w:r w:rsidR="00443638" w:rsidRPr="00443638">
        <w:rPr>
          <w:rFonts w:eastAsia="Times New Roman" w:cs="Times New Roman"/>
          <w:szCs w:val="19"/>
          <w:lang w:val="en-US" w:eastAsia="pl-PL"/>
        </w:rPr>
        <w:t>Med</w:t>
      </w:r>
      <w:r w:rsidR="004153E9">
        <w:rPr>
          <w:rFonts w:eastAsia="Times New Roman" w:cs="Times New Roman"/>
          <w:szCs w:val="19"/>
          <w:lang w:val="en-US" w:eastAsia="pl-PL"/>
        </w:rPr>
        <w:t>ium-sized entities incurred 28.1</w:t>
      </w:r>
      <w:r w:rsidR="00443638" w:rsidRPr="00443638">
        <w:rPr>
          <w:rFonts w:eastAsia="Times New Roman" w:cs="Times New Roman"/>
          <w:szCs w:val="19"/>
          <w:lang w:val="en-US" w:eastAsia="pl-PL"/>
        </w:rPr>
        <w:t>% of the total costs.</w:t>
      </w:r>
    </w:p>
    <w:p w14:paraId="5EAF4017" w14:textId="2C41E38F" w:rsidR="005E326B" w:rsidRDefault="00475DFE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G</w:t>
      </w:r>
      <w:r w:rsidR="005E326B" w:rsidRPr="005E326B">
        <w:rPr>
          <w:rFonts w:eastAsia="Times New Roman" w:cs="Times New Roman"/>
          <w:szCs w:val="19"/>
          <w:lang w:val="en-US" w:eastAsia="pl-PL"/>
        </w:rPr>
        <w:t>ross financial res</w:t>
      </w:r>
      <w:r w:rsidR="00E06B6A">
        <w:rPr>
          <w:rFonts w:eastAsia="Times New Roman" w:cs="Times New Roman"/>
          <w:szCs w:val="19"/>
          <w:lang w:val="en-US" w:eastAsia="pl-PL"/>
        </w:rPr>
        <w:t>ult amounted to 48.8</w:t>
      </w:r>
      <w:r w:rsidR="005E326B">
        <w:rPr>
          <w:rFonts w:eastAsia="Times New Roman" w:cs="Times New Roman"/>
          <w:szCs w:val="19"/>
          <w:lang w:val="en-US" w:eastAsia="pl-PL"/>
        </w:rPr>
        <w:t xml:space="preserve"> </w:t>
      </w:r>
      <w:proofErr w:type="spellStart"/>
      <w:r w:rsidR="005E326B">
        <w:rPr>
          <w:rFonts w:eastAsia="Times New Roman" w:cs="Times New Roman"/>
          <w:szCs w:val="19"/>
          <w:lang w:val="en-US" w:eastAsia="pl-PL"/>
        </w:rPr>
        <w:t>b</w:t>
      </w:r>
      <w:r w:rsidR="005E326B" w:rsidRPr="005E326B">
        <w:rPr>
          <w:rFonts w:eastAsia="Times New Roman" w:cs="Times New Roman"/>
          <w:szCs w:val="19"/>
          <w:lang w:val="en-US" w:eastAsia="pl-PL"/>
        </w:rPr>
        <w:t>n</w:t>
      </w:r>
      <w:proofErr w:type="spellEnd"/>
      <w:r w:rsidR="005E326B">
        <w:rPr>
          <w:rFonts w:eastAsia="Times New Roman" w:cs="Times New Roman"/>
          <w:szCs w:val="19"/>
          <w:lang w:val="en-US" w:eastAsia="pl-PL"/>
        </w:rPr>
        <w:t xml:space="preserve"> PLN</w:t>
      </w:r>
      <w:r w:rsidR="005E326B" w:rsidRPr="005E326B">
        <w:rPr>
          <w:rFonts w:eastAsia="Times New Roman" w:cs="Times New Roman"/>
          <w:szCs w:val="19"/>
          <w:lang w:val="en-US" w:eastAsia="pl-PL"/>
        </w:rPr>
        <w:t xml:space="preserve">. </w:t>
      </w:r>
      <w:r w:rsidR="005E326B">
        <w:rPr>
          <w:rFonts w:eastAsia="Times New Roman" w:cs="Times New Roman"/>
          <w:szCs w:val="19"/>
          <w:lang w:val="en-US" w:eastAsia="pl-PL"/>
        </w:rPr>
        <w:t>O</w:t>
      </w:r>
      <w:r w:rsidR="005E326B" w:rsidRPr="00293571">
        <w:rPr>
          <w:rFonts w:eastAsia="Times New Roman" w:cs="Times New Roman"/>
          <w:szCs w:val="19"/>
          <w:lang w:val="en-US" w:eastAsia="pl-PL"/>
        </w:rPr>
        <w:t>bligato</w:t>
      </w:r>
      <w:r w:rsidR="005E326B">
        <w:rPr>
          <w:rFonts w:eastAsia="Times New Roman" w:cs="Times New Roman"/>
          <w:szCs w:val="19"/>
          <w:lang w:val="en-US" w:eastAsia="pl-PL"/>
        </w:rPr>
        <w:t xml:space="preserve">ry encumbrances </w:t>
      </w:r>
      <w:r w:rsidR="005E326B" w:rsidRPr="005E326B">
        <w:rPr>
          <w:rFonts w:eastAsia="Times New Roman" w:cs="Times New Roman"/>
          <w:szCs w:val="19"/>
          <w:lang w:val="en-US" w:eastAsia="pl-PL"/>
        </w:rPr>
        <w:t>on the gross f</w:t>
      </w:r>
      <w:r w:rsidR="00E06B6A">
        <w:rPr>
          <w:rFonts w:eastAsia="Times New Roman" w:cs="Times New Roman"/>
          <w:szCs w:val="19"/>
          <w:lang w:val="en-US" w:eastAsia="pl-PL"/>
        </w:rPr>
        <w:t>inancial result amounted to 11.8</w:t>
      </w:r>
      <w:r w:rsidR="005E326B">
        <w:rPr>
          <w:rFonts w:eastAsia="Times New Roman" w:cs="Times New Roman"/>
          <w:szCs w:val="19"/>
          <w:lang w:val="en-US" w:eastAsia="pl-PL"/>
        </w:rPr>
        <w:t xml:space="preserve"> </w:t>
      </w:r>
      <w:proofErr w:type="spellStart"/>
      <w:r w:rsidR="005E326B">
        <w:rPr>
          <w:rFonts w:eastAsia="Times New Roman" w:cs="Times New Roman"/>
          <w:szCs w:val="19"/>
          <w:lang w:val="en-US" w:eastAsia="pl-PL"/>
        </w:rPr>
        <w:t>b</w:t>
      </w:r>
      <w:r w:rsidR="005E326B" w:rsidRPr="005E326B">
        <w:rPr>
          <w:rFonts w:eastAsia="Times New Roman" w:cs="Times New Roman"/>
          <w:szCs w:val="19"/>
          <w:lang w:val="en-US" w:eastAsia="pl-PL"/>
        </w:rPr>
        <w:t>n</w:t>
      </w:r>
      <w:proofErr w:type="spellEnd"/>
      <w:r w:rsidR="005E326B">
        <w:rPr>
          <w:rFonts w:eastAsia="Times New Roman" w:cs="Times New Roman"/>
          <w:szCs w:val="19"/>
          <w:lang w:val="en-US" w:eastAsia="pl-PL"/>
        </w:rPr>
        <w:t xml:space="preserve"> PLN</w:t>
      </w:r>
      <w:r w:rsidR="004450C3">
        <w:rPr>
          <w:rFonts w:eastAsia="Times New Roman" w:cs="Times New Roman"/>
          <w:szCs w:val="19"/>
          <w:lang w:val="en-US" w:eastAsia="pl-PL"/>
        </w:rPr>
        <w:t>. N</w:t>
      </w:r>
      <w:r w:rsidR="005E326B" w:rsidRPr="005E326B">
        <w:rPr>
          <w:rFonts w:eastAsia="Times New Roman" w:cs="Times New Roman"/>
          <w:szCs w:val="19"/>
          <w:lang w:val="en-US" w:eastAsia="pl-PL"/>
        </w:rPr>
        <w:t xml:space="preserve">et </w:t>
      </w:r>
      <w:r w:rsidR="005E326B">
        <w:rPr>
          <w:rFonts w:eastAsia="Times New Roman" w:cs="Times New Roman"/>
          <w:szCs w:val="19"/>
          <w:lang w:val="en-US" w:eastAsia="pl-PL"/>
        </w:rPr>
        <w:t>fi</w:t>
      </w:r>
      <w:r w:rsidR="00E06B6A">
        <w:rPr>
          <w:rFonts w:eastAsia="Times New Roman" w:cs="Times New Roman"/>
          <w:szCs w:val="19"/>
          <w:lang w:val="en-US" w:eastAsia="pl-PL"/>
        </w:rPr>
        <w:t>nancial result amounted to 37.0</w:t>
      </w:r>
      <w:r w:rsidR="005E326B">
        <w:rPr>
          <w:rFonts w:eastAsia="Times New Roman" w:cs="Times New Roman"/>
          <w:szCs w:val="19"/>
          <w:lang w:val="en-US" w:eastAsia="pl-PL"/>
        </w:rPr>
        <w:t xml:space="preserve"> </w:t>
      </w:r>
      <w:proofErr w:type="spellStart"/>
      <w:r w:rsidR="005E326B">
        <w:rPr>
          <w:rFonts w:eastAsia="Times New Roman" w:cs="Times New Roman"/>
          <w:szCs w:val="19"/>
          <w:lang w:val="en-US" w:eastAsia="pl-PL"/>
        </w:rPr>
        <w:t>b</w:t>
      </w:r>
      <w:r w:rsidR="005E326B" w:rsidRPr="005E326B">
        <w:rPr>
          <w:rFonts w:eastAsia="Times New Roman" w:cs="Times New Roman"/>
          <w:szCs w:val="19"/>
          <w:lang w:val="en-US" w:eastAsia="pl-PL"/>
        </w:rPr>
        <w:t>n</w:t>
      </w:r>
      <w:proofErr w:type="spellEnd"/>
      <w:r w:rsidR="005E326B">
        <w:rPr>
          <w:rFonts w:eastAsia="Times New Roman" w:cs="Times New Roman"/>
          <w:szCs w:val="19"/>
          <w:lang w:val="en-US" w:eastAsia="pl-PL"/>
        </w:rPr>
        <w:t xml:space="preserve"> PLN.</w:t>
      </w:r>
    </w:p>
    <w:p w14:paraId="043A8E26" w14:textId="73702245" w:rsidR="005E326B" w:rsidRDefault="00475DFE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 xml:space="preserve">In </w:t>
      </w:r>
      <w:r w:rsidR="004540D3">
        <w:rPr>
          <w:rFonts w:eastAsia="Times New Roman" w:cs="Times New Roman"/>
          <w:szCs w:val="19"/>
          <w:lang w:val="en-US" w:eastAsia="pl-PL"/>
        </w:rPr>
        <w:t xml:space="preserve">the 1st quarter of </w:t>
      </w:r>
      <w:r w:rsidR="00AB2AF4">
        <w:rPr>
          <w:rFonts w:eastAsia="Times New Roman" w:cs="Times New Roman"/>
          <w:szCs w:val="19"/>
          <w:lang w:val="en-US" w:eastAsia="pl-PL"/>
        </w:rPr>
        <w:t>2024</w:t>
      </w:r>
      <w:r>
        <w:rPr>
          <w:rFonts w:eastAsia="Times New Roman" w:cs="Times New Roman"/>
          <w:szCs w:val="19"/>
          <w:lang w:val="en-US" w:eastAsia="pl-PL"/>
        </w:rPr>
        <w:t>,</w:t>
      </w:r>
      <w:r w:rsidR="00056AD7" w:rsidRPr="00056AD7">
        <w:rPr>
          <w:rFonts w:eastAsia="Times New Roman" w:cs="Times New Roman"/>
          <w:szCs w:val="19"/>
          <w:lang w:val="en-US" w:eastAsia="pl-PL"/>
        </w:rPr>
        <w:t xml:space="preserve"> total investment outlays of th</w:t>
      </w:r>
      <w:r w:rsidR="004540D3">
        <w:rPr>
          <w:rFonts w:eastAsia="Times New Roman" w:cs="Times New Roman"/>
          <w:szCs w:val="19"/>
          <w:lang w:val="en-US" w:eastAsia="pl-PL"/>
        </w:rPr>
        <w:t>e surveyed enterprises with 5</w:t>
      </w:r>
      <w:r w:rsidR="00056AD7">
        <w:rPr>
          <w:rFonts w:eastAsia="Times New Roman" w:cs="Times New Roman"/>
          <w:szCs w:val="19"/>
          <w:lang w:val="en-US" w:eastAsia="pl-PL"/>
        </w:rPr>
        <w:t>0 and more persons employed</w:t>
      </w:r>
      <w:r w:rsidR="00056AD7" w:rsidRPr="00056AD7">
        <w:rPr>
          <w:rFonts w:eastAsia="Times New Roman" w:cs="Times New Roman"/>
          <w:szCs w:val="19"/>
          <w:lang w:val="en-US" w:eastAsia="pl-PL"/>
        </w:rPr>
        <w:t xml:space="preserve"> keeping accounting </w:t>
      </w:r>
      <w:r w:rsidR="004540D3">
        <w:rPr>
          <w:rFonts w:eastAsia="Times New Roman" w:cs="Times New Roman"/>
          <w:szCs w:val="19"/>
          <w:lang w:val="en-US" w:eastAsia="pl-PL"/>
        </w:rPr>
        <w:t>ledgers amounted to 40.8</w:t>
      </w:r>
      <w:r w:rsidR="00056AD7">
        <w:rPr>
          <w:rFonts w:eastAsia="Times New Roman" w:cs="Times New Roman"/>
          <w:szCs w:val="19"/>
          <w:lang w:val="en-US" w:eastAsia="pl-PL"/>
        </w:rPr>
        <w:t xml:space="preserve"> </w:t>
      </w:r>
      <w:proofErr w:type="spellStart"/>
      <w:r w:rsidR="00056AD7">
        <w:rPr>
          <w:rFonts w:eastAsia="Times New Roman" w:cs="Times New Roman"/>
          <w:szCs w:val="19"/>
          <w:lang w:val="en-US" w:eastAsia="pl-PL"/>
        </w:rPr>
        <w:t>b</w:t>
      </w:r>
      <w:r w:rsidR="00056AD7" w:rsidRPr="00056AD7">
        <w:rPr>
          <w:rFonts w:eastAsia="Times New Roman" w:cs="Times New Roman"/>
          <w:szCs w:val="19"/>
          <w:lang w:val="en-US" w:eastAsia="pl-PL"/>
        </w:rPr>
        <w:t>n</w:t>
      </w:r>
      <w:proofErr w:type="spellEnd"/>
      <w:r w:rsidR="00056AD7">
        <w:rPr>
          <w:rFonts w:eastAsia="Times New Roman" w:cs="Times New Roman"/>
          <w:szCs w:val="19"/>
          <w:lang w:val="en-US" w:eastAsia="pl-PL"/>
        </w:rPr>
        <w:t xml:space="preserve"> PLN</w:t>
      </w:r>
      <w:r w:rsidR="00056AD7" w:rsidRPr="00056AD7">
        <w:rPr>
          <w:rFonts w:eastAsia="Times New Roman" w:cs="Times New Roman"/>
          <w:szCs w:val="19"/>
          <w:lang w:val="en-US" w:eastAsia="pl-PL"/>
        </w:rPr>
        <w:t>.</w:t>
      </w:r>
      <w:r w:rsidR="00056AD7">
        <w:rPr>
          <w:rFonts w:eastAsia="Times New Roman" w:cs="Times New Roman"/>
          <w:szCs w:val="19"/>
          <w:lang w:val="en-US" w:eastAsia="pl-PL"/>
        </w:rPr>
        <w:t xml:space="preserve"> </w:t>
      </w:r>
      <w:r w:rsidR="00056AD7" w:rsidRPr="00056AD7">
        <w:rPr>
          <w:rFonts w:eastAsia="Times New Roman" w:cs="Times New Roman"/>
          <w:szCs w:val="19"/>
          <w:lang w:val="en-US" w:eastAsia="pl-PL"/>
        </w:rPr>
        <w:t>Large e</w:t>
      </w:r>
      <w:r w:rsidR="00056AD7">
        <w:rPr>
          <w:rFonts w:eastAsia="Times New Roman" w:cs="Times New Roman"/>
          <w:szCs w:val="19"/>
          <w:lang w:val="en-US" w:eastAsia="pl-PL"/>
        </w:rPr>
        <w:t xml:space="preserve">nterprises (with 250 </w:t>
      </w:r>
      <w:r w:rsidR="00056AD7" w:rsidRPr="00056AD7">
        <w:rPr>
          <w:rFonts w:eastAsia="Times New Roman" w:cs="Times New Roman"/>
          <w:szCs w:val="19"/>
          <w:lang w:val="en-US" w:eastAsia="pl-PL"/>
        </w:rPr>
        <w:t>and more</w:t>
      </w:r>
      <w:r w:rsidR="00056AD7">
        <w:rPr>
          <w:rFonts w:eastAsia="Times New Roman" w:cs="Times New Roman"/>
          <w:szCs w:val="19"/>
          <w:lang w:val="en-US" w:eastAsia="pl-PL"/>
        </w:rPr>
        <w:t xml:space="preserve"> persons employed)</w:t>
      </w:r>
      <w:r w:rsidR="004540D3">
        <w:rPr>
          <w:rFonts w:eastAsia="Times New Roman" w:cs="Times New Roman"/>
          <w:szCs w:val="19"/>
          <w:lang w:val="en-US" w:eastAsia="pl-PL"/>
        </w:rPr>
        <w:t>, incurred 80.5</w:t>
      </w:r>
      <w:r w:rsidR="00056AD7" w:rsidRPr="00056AD7">
        <w:rPr>
          <w:rFonts w:eastAsia="Times New Roman" w:cs="Times New Roman"/>
          <w:szCs w:val="19"/>
          <w:lang w:val="en-US" w:eastAsia="pl-PL"/>
        </w:rPr>
        <w:t>% of the total investment outlays incurred by th</w:t>
      </w:r>
      <w:r w:rsidR="004540D3">
        <w:rPr>
          <w:rFonts w:eastAsia="Times New Roman" w:cs="Times New Roman"/>
          <w:szCs w:val="19"/>
          <w:lang w:val="en-US" w:eastAsia="pl-PL"/>
        </w:rPr>
        <w:t>e surveyed enterprises with 5</w:t>
      </w:r>
      <w:r w:rsidR="00056AD7">
        <w:rPr>
          <w:rFonts w:eastAsia="Times New Roman" w:cs="Times New Roman"/>
          <w:szCs w:val="19"/>
          <w:lang w:val="en-US" w:eastAsia="pl-PL"/>
        </w:rPr>
        <w:t xml:space="preserve">0 </w:t>
      </w:r>
      <w:r w:rsidR="00056AD7" w:rsidRPr="00056AD7">
        <w:rPr>
          <w:rFonts w:eastAsia="Times New Roman" w:cs="Times New Roman"/>
          <w:szCs w:val="19"/>
          <w:lang w:val="en-US" w:eastAsia="pl-PL"/>
        </w:rPr>
        <w:t>and more</w:t>
      </w:r>
      <w:r w:rsidR="00056AD7">
        <w:rPr>
          <w:rFonts w:eastAsia="Times New Roman" w:cs="Times New Roman"/>
          <w:szCs w:val="19"/>
          <w:lang w:val="en-US" w:eastAsia="pl-PL"/>
        </w:rPr>
        <w:t xml:space="preserve"> persons employed</w:t>
      </w:r>
      <w:r w:rsidR="00056AD7" w:rsidRPr="00056AD7">
        <w:rPr>
          <w:rFonts w:eastAsia="Times New Roman" w:cs="Times New Roman"/>
          <w:szCs w:val="19"/>
          <w:lang w:val="en-US" w:eastAsia="pl-PL"/>
        </w:rPr>
        <w:t>.</w:t>
      </w:r>
      <w:r w:rsidR="00056AD7">
        <w:rPr>
          <w:rFonts w:eastAsia="Times New Roman" w:cs="Times New Roman"/>
          <w:szCs w:val="19"/>
          <w:lang w:val="en-US" w:eastAsia="pl-PL"/>
        </w:rPr>
        <w:t xml:space="preserve"> Medium-sized units (from 50 to 249 persons employed</w:t>
      </w:r>
      <w:r w:rsidR="00056AD7" w:rsidRPr="00056AD7">
        <w:rPr>
          <w:rFonts w:eastAsia="Times New Roman" w:cs="Times New Roman"/>
          <w:szCs w:val="19"/>
          <w:lang w:val="en-US" w:eastAsia="pl-PL"/>
        </w:rPr>
        <w:t xml:space="preserve">) – </w:t>
      </w:r>
      <w:r w:rsidR="004540D3">
        <w:rPr>
          <w:rFonts w:eastAsia="Times New Roman" w:cs="Times New Roman"/>
          <w:szCs w:val="19"/>
          <w:lang w:val="en-US" w:eastAsia="pl-PL"/>
        </w:rPr>
        <w:t>19.5%.</w:t>
      </w:r>
    </w:p>
    <w:p w14:paraId="3C0DB2CC" w14:textId="77777777" w:rsidR="00F0564E" w:rsidRDefault="00F0564E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00A5AEE9" w14:textId="77777777" w:rsidR="00DD35C2" w:rsidRDefault="00DD35C2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7416CF51" w14:textId="2C4310C8" w:rsidR="009E3005" w:rsidRPr="009744B8" w:rsidRDefault="009E3005" w:rsidP="009E3005">
      <w:pPr>
        <w:pStyle w:val="LID"/>
        <w:contextualSpacing/>
        <w:rPr>
          <w:lang w:val="en-US"/>
        </w:rPr>
      </w:pPr>
      <w:r w:rsidRPr="009744B8">
        <w:rPr>
          <w:lang w:val="en-US"/>
        </w:rPr>
        <w:lastRenderedPageBreak/>
        <w:t>Table 1. Basic financial data of surveyed enterprises</w:t>
      </w:r>
      <w:r w:rsidR="00023A22">
        <w:rPr>
          <w:lang w:val="en-US"/>
        </w:rPr>
        <w:t xml:space="preserve"> in the 1st quarter of 2024</w:t>
      </w:r>
    </w:p>
    <w:p w14:paraId="037572C8" w14:textId="4DF40C10" w:rsidR="00D25FC6" w:rsidRPr="002A4A78" w:rsidRDefault="00D25FC6" w:rsidP="00D65C1D">
      <w:pPr>
        <w:spacing w:line="288" w:lineRule="auto"/>
        <w:rPr>
          <w:rFonts w:asciiTheme="minorHAnsi" w:hAnsiTheme="minorHAnsi"/>
          <w:sz w:val="18"/>
          <w:szCs w:val="18"/>
          <w:lang w:val="en-US"/>
        </w:rPr>
      </w:pP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480"/>
        <w:gridCol w:w="1480"/>
        <w:gridCol w:w="1480"/>
      </w:tblGrid>
      <w:tr w:rsidR="00D25FC6" w:rsidRPr="00D25FC6" w14:paraId="2FB4A63A" w14:textId="77777777" w:rsidTr="00D25FC6">
        <w:trPr>
          <w:trHeight w:val="315"/>
        </w:trPr>
        <w:tc>
          <w:tcPr>
            <w:tcW w:w="360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DA83D4E" w14:textId="77777777" w:rsidR="00D25FC6" w:rsidRPr="00D25FC6" w:rsidRDefault="00D25FC6" w:rsidP="00D25FC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48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A44B8A6" w14:textId="77777777" w:rsidR="00D25FC6" w:rsidRPr="00D25FC6" w:rsidRDefault="00D25FC6" w:rsidP="00D25FC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Total</w:t>
            </w:r>
          </w:p>
        </w:tc>
        <w:tc>
          <w:tcPr>
            <w:tcW w:w="2960" w:type="dxa"/>
            <w:gridSpan w:val="2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96C6D94" w14:textId="3352D427" w:rsidR="00D25FC6" w:rsidRPr="00D25FC6" w:rsidRDefault="001B6C83" w:rsidP="00D25FC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P</w:t>
            </w:r>
            <w:r w:rsidR="00D25FC6"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ersons</w:t>
            </w:r>
            <w:proofErr w:type="spellEnd"/>
            <w:r w:rsidR="00D25FC6"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="00D25FC6"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</w:tr>
      <w:tr w:rsidR="00D25FC6" w:rsidRPr="00D25FC6" w14:paraId="67D612A2" w14:textId="77777777" w:rsidTr="00D25FC6">
        <w:trPr>
          <w:trHeight w:val="345"/>
        </w:trPr>
        <w:tc>
          <w:tcPr>
            <w:tcW w:w="360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4059C248" w14:textId="77777777" w:rsidR="00D25FC6" w:rsidRPr="00D25FC6" w:rsidRDefault="00D25FC6" w:rsidP="00D25FC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4E7F1B5F" w14:textId="77777777" w:rsidR="00D25FC6" w:rsidRPr="00D25FC6" w:rsidRDefault="00D25FC6" w:rsidP="00D25FC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D49F5D5" w14:textId="77777777" w:rsidR="00D25FC6" w:rsidRPr="00D25FC6" w:rsidRDefault="00D25FC6" w:rsidP="00D25FC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968E2EB" w14:textId="77777777" w:rsidR="00D25FC6" w:rsidRPr="00D25FC6" w:rsidRDefault="00D25FC6" w:rsidP="00D25FC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250 and </w:t>
            </w:r>
            <w:proofErr w:type="spellStart"/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more</w:t>
            </w:r>
            <w:proofErr w:type="spellEnd"/>
          </w:p>
        </w:tc>
      </w:tr>
      <w:tr w:rsidR="00D25FC6" w:rsidRPr="00D25FC6" w14:paraId="180BE4B0" w14:textId="77777777" w:rsidTr="00D25FC6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A95B2B6" w14:textId="77777777" w:rsidR="00D25FC6" w:rsidRPr="00D25FC6" w:rsidRDefault="00D25FC6" w:rsidP="00D25FC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enterprises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BF5AC22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17,282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AD98126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13,420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53C5EC1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3,862</w:t>
            </w:r>
          </w:p>
        </w:tc>
      </w:tr>
      <w:tr w:rsidR="00D25FC6" w:rsidRPr="00D25FC6" w14:paraId="46C53BF8" w14:textId="77777777" w:rsidTr="00D25FC6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B50EDDC" w14:textId="77777777" w:rsidR="00D25FC6" w:rsidRPr="00D25FC6" w:rsidRDefault="00D25FC6" w:rsidP="00D25FC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</w:t>
            </w:r>
            <w:proofErr w:type="spellStart"/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AC1D410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4,834,321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8F113B2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1,457,103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38D821B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3,377,218</w:t>
            </w:r>
          </w:p>
        </w:tc>
      </w:tr>
      <w:tr w:rsidR="00D25FC6" w:rsidRPr="00D25FC6" w14:paraId="7540F67C" w14:textId="77777777" w:rsidTr="00D25FC6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79A8418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44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DCA4EE2" w14:textId="77777777" w:rsidR="00D25FC6" w:rsidRPr="00D25FC6" w:rsidRDefault="00D25FC6" w:rsidP="00D25FC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 </w:t>
            </w:r>
            <w:proofErr w:type="spellStart"/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million</w:t>
            </w:r>
            <w:proofErr w:type="spellEnd"/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PLN</w:t>
            </w:r>
          </w:p>
        </w:tc>
      </w:tr>
      <w:tr w:rsidR="00D25FC6" w:rsidRPr="00D25FC6" w14:paraId="59E55B9A" w14:textId="77777777" w:rsidTr="00D25FC6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83CF0B3" w14:textId="77777777" w:rsidR="00D25FC6" w:rsidRPr="00D25FC6" w:rsidRDefault="00D25FC6" w:rsidP="00D25FC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revenues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4EAF465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1,272,418.5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4AE99B7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357,492.4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94BBED9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914,926.0</w:t>
            </w:r>
          </w:p>
        </w:tc>
      </w:tr>
      <w:tr w:rsidR="00D25FC6" w:rsidRPr="00D25FC6" w14:paraId="6D3AD88F" w14:textId="77777777" w:rsidTr="00D25FC6">
        <w:trPr>
          <w:trHeight w:val="58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EF81BCE" w14:textId="77777777" w:rsidR="00D25FC6" w:rsidRPr="00D25FC6" w:rsidRDefault="00D25FC6" w:rsidP="00D25FC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net revenues from sale</w:t>
            </w:r>
            <w:r w:rsidRPr="00D25FC6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of products, goods and materials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F4F8727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1,235,195.1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900AA6D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348,186.1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996E779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887,008.9</w:t>
            </w:r>
          </w:p>
        </w:tc>
      </w:tr>
      <w:tr w:rsidR="00D25FC6" w:rsidRPr="00D25FC6" w14:paraId="2D298762" w14:textId="77777777" w:rsidTr="00D25FC6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592CA5B" w14:textId="77777777" w:rsidR="00D25FC6" w:rsidRPr="00D25FC6" w:rsidRDefault="00D25FC6" w:rsidP="00D25FC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costs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B69C7D1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1,223,560.3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423970F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344,406.4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466F748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879,154.0</w:t>
            </w:r>
          </w:p>
        </w:tc>
      </w:tr>
      <w:tr w:rsidR="00D25FC6" w:rsidRPr="00D25FC6" w14:paraId="5B4EB863" w14:textId="77777777" w:rsidTr="00D25FC6">
        <w:trPr>
          <w:trHeight w:val="52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D3B88C1" w14:textId="77777777" w:rsidR="00D25FC6" w:rsidRPr="00D25FC6" w:rsidRDefault="00D25FC6" w:rsidP="00D25FC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cost of products,</w:t>
            </w:r>
            <w:r w:rsidRPr="00D25FC6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goods and materials sold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FFA18E5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1,183,354.2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899FFA8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332,092.0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6F18A2C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851,262.2</w:t>
            </w:r>
          </w:p>
        </w:tc>
      </w:tr>
      <w:tr w:rsidR="00D25FC6" w:rsidRPr="00D25FC6" w14:paraId="1749B795" w14:textId="77777777" w:rsidTr="00D25FC6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6049836" w14:textId="77777777" w:rsidR="00D25FC6" w:rsidRPr="00D25FC6" w:rsidRDefault="00D25FC6" w:rsidP="00D25FC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9503F30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48,858.1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694D9C0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13,086.1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7724EE7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35,772.1</w:t>
            </w:r>
          </w:p>
        </w:tc>
      </w:tr>
      <w:tr w:rsidR="00D25FC6" w:rsidRPr="00D25FC6" w14:paraId="08DB059A" w14:textId="77777777" w:rsidTr="00D25FC6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214836F" w14:textId="77777777" w:rsidR="00D25FC6" w:rsidRPr="00D25FC6" w:rsidRDefault="00D25FC6" w:rsidP="00D25FC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Nat </w:t>
            </w:r>
            <w:proofErr w:type="spellStart"/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802E48E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37,042.5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207145F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9,411.4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4A569DC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27,631.1</w:t>
            </w:r>
          </w:p>
        </w:tc>
      </w:tr>
      <w:tr w:rsidR="00D25FC6" w:rsidRPr="00D25FC6" w14:paraId="1E8C3261" w14:textId="77777777" w:rsidTr="00D25FC6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5728EFB" w14:textId="77777777" w:rsidR="00D25FC6" w:rsidRPr="00D25FC6" w:rsidRDefault="00D25FC6" w:rsidP="00D25FC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Investment </w:t>
            </w:r>
            <w:proofErr w:type="spellStart"/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outlays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6E40934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40,826.1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541D773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7,957.5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31C2A" w14:textId="77777777" w:rsidR="00D25FC6" w:rsidRPr="00D25FC6" w:rsidRDefault="00D25FC6" w:rsidP="00D25F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25FC6">
              <w:rPr>
                <w:rFonts w:eastAsia="Times New Roman" w:cs="Calibri"/>
                <w:color w:val="000000"/>
                <w:szCs w:val="19"/>
                <w:lang w:eastAsia="pl-PL"/>
              </w:rPr>
              <w:t>32,868.7</w:t>
            </w:r>
          </w:p>
        </w:tc>
      </w:tr>
    </w:tbl>
    <w:p w14:paraId="7304DF48" w14:textId="47BD8DC1" w:rsidR="009E3005" w:rsidRDefault="009E300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1CF6C665" w14:textId="064FA1EC" w:rsidR="009E3005" w:rsidRPr="00011503" w:rsidRDefault="00011503" w:rsidP="00D65C1D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011503">
        <w:rPr>
          <w:rFonts w:eastAsia="Times New Roman" w:cs="Times New Roman"/>
          <w:b/>
          <w:szCs w:val="19"/>
          <w:lang w:val="en-US" w:eastAsia="pl-PL"/>
        </w:rPr>
        <w:t>Enterprises keeping accounting ledgers with a predominant share of foreign capital</w:t>
      </w:r>
      <w:r>
        <w:rPr>
          <w:rStyle w:val="Odwoanieprzypisudolnego"/>
          <w:rFonts w:eastAsia="Times New Roman" w:cs="Times New Roman"/>
          <w:b/>
          <w:szCs w:val="19"/>
          <w:lang w:val="en-US" w:eastAsia="pl-PL"/>
        </w:rPr>
        <w:footnoteReference w:id="2"/>
      </w:r>
    </w:p>
    <w:p w14:paraId="5EDB0A44" w14:textId="28F6F9C8" w:rsidR="0076328F" w:rsidRDefault="0038304B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75DC940" wp14:editId="7CE8F677">
                <wp:simplePos x="0" y="0"/>
                <wp:positionH relativeFrom="page">
                  <wp:align>right</wp:align>
                </wp:positionH>
                <wp:positionV relativeFrom="paragraph">
                  <wp:posOffset>1655113</wp:posOffset>
                </wp:positionV>
                <wp:extent cx="1772920" cy="1176655"/>
                <wp:effectExtent l="0" t="0" r="0" b="4445"/>
                <wp:wrapTight wrapText="bothSides">
                  <wp:wrapPolygon edited="0">
                    <wp:start x="696" y="0"/>
                    <wp:lineTo x="696" y="21332"/>
                    <wp:lineTo x="20888" y="21332"/>
                    <wp:lineTo x="20888" y="0"/>
                    <wp:lineTo x="696" y="0"/>
                  </wp:wrapPolygon>
                </wp:wrapTight>
                <wp:docPr id="13" name="Pole tekstowe 13" descr="Total revenues of enterprises with predominant foreign capital amounted to 544.8 bn PLN, and costs of obtaining them amounted to 527.6 bn PL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1176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D52C7" w14:textId="02E9C655" w:rsidR="00C74675" w:rsidRPr="00BE16FB" w:rsidRDefault="00C74675" w:rsidP="00C74675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Pr="00C74675">
                              <w:rPr>
                                <w:lang w:val="en-US"/>
                              </w:rPr>
                              <w:t>otal revenues of enterprises with predominant</w:t>
                            </w:r>
                            <w:r>
                              <w:rPr>
                                <w:lang w:val="en-US"/>
                              </w:rPr>
                              <w:t xml:space="preserve"> foreign capital amounted to</w:t>
                            </w:r>
                            <w:r w:rsidR="00FB57F0">
                              <w:rPr>
                                <w:lang w:val="en-US"/>
                              </w:rPr>
                              <w:t xml:space="preserve"> 544.8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</w:t>
                            </w:r>
                            <w:r w:rsidRPr="00C74675">
                              <w:rPr>
                                <w:lang w:val="en-US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PLN, and</w:t>
                            </w:r>
                            <w:r w:rsidRPr="00C74675">
                              <w:rPr>
                                <w:lang w:val="en-US"/>
                              </w:rPr>
                              <w:t xml:space="preserve"> costs of obtaining the</w:t>
                            </w:r>
                            <w:r w:rsidR="00FB57F0">
                              <w:rPr>
                                <w:lang w:val="en-US"/>
                              </w:rPr>
                              <w:t>m amounted to 527.6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bn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75DC940" id="Pole tekstowe 13" o:spid="_x0000_s1028" type="#_x0000_t202" alt="Total revenues of enterprises with predominant foreign capital amounted to 544.8 bn PLN, and costs of obtaining them amounted to 527.6 bn PLN" style="position:absolute;margin-left:88.4pt;margin-top:130.3pt;width:139.6pt;height:92.65pt;z-index:-2515292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" filled="f" stroked="f">
                <v:textbox>
                  <w:txbxContent>
                    <w:p w14:paraId="01FD52C7" w14:textId="02E9C655" w:rsidR="00C74675" w:rsidRPr="00BE16FB" w:rsidRDefault="00C74675" w:rsidP="00C74675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Pr="00C74675">
                        <w:rPr>
                          <w:lang w:val="en-US"/>
                        </w:rPr>
                        <w:t>otal revenues of enterprises with predominant</w:t>
                      </w:r>
                      <w:r>
                        <w:rPr>
                          <w:lang w:val="en-US"/>
                        </w:rPr>
                        <w:t xml:space="preserve"> foreign capital amounted to</w:t>
                      </w:r>
                      <w:r w:rsidR="00FB57F0">
                        <w:rPr>
                          <w:lang w:val="en-US"/>
                        </w:rPr>
                        <w:t xml:space="preserve"> 544.8</w:t>
                      </w:r>
                      <w:r>
                        <w:rPr>
                          <w:lang w:val="en-US"/>
                        </w:rPr>
                        <w:t xml:space="preserve"> b</w:t>
                      </w:r>
                      <w:r w:rsidRPr="00C74675">
                        <w:rPr>
                          <w:lang w:val="en-US"/>
                        </w:rPr>
                        <w:t>n</w:t>
                      </w:r>
                      <w:r>
                        <w:rPr>
                          <w:lang w:val="en-US"/>
                        </w:rPr>
                        <w:t xml:space="preserve"> PLN, and</w:t>
                      </w:r>
                      <w:r w:rsidRPr="00C74675">
                        <w:rPr>
                          <w:lang w:val="en-US"/>
                        </w:rPr>
                        <w:t xml:space="preserve"> costs of obtaining the</w:t>
                      </w:r>
                      <w:r w:rsidR="00FB57F0">
                        <w:rPr>
                          <w:lang w:val="en-US"/>
                        </w:rPr>
                        <w:t>m amounted to 527.6</w:t>
                      </w:r>
                      <w:r>
                        <w:rPr>
                          <w:lang w:val="en-US"/>
                        </w:rPr>
                        <w:t xml:space="preserve"> bn PLN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1503">
        <w:rPr>
          <w:rFonts w:eastAsia="Times New Roman" w:cs="Times New Roman"/>
          <w:szCs w:val="19"/>
          <w:lang w:val="en-US" w:eastAsia="pl-PL"/>
        </w:rPr>
        <w:t xml:space="preserve">In the surveyed </w:t>
      </w:r>
      <w:r w:rsidR="00023A22">
        <w:rPr>
          <w:rFonts w:eastAsia="Times New Roman" w:cs="Times New Roman"/>
          <w:szCs w:val="19"/>
          <w:lang w:val="en-US" w:eastAsia="pl-PL"/>
        </w:rPr>
        <w:t>population of enterprises with 5</w:t>
      </w:r>
      <w:r w:rsidR="00011503">
        <w:rPr>
          <w:rFonts w:eastAsia="Times New Roman" w:cs="Times New Roman"/>
          <w:szCs w:val="19"/>
          <w:lang w:val="en-US" w:eastAsia="pl-PL"/>
        </w:rPr>
        <w:t>0 and more persons employed keeping accounting ledgers</w:t>
      </w:r>
      <w:r w:rsidR="00987FC3">
        <w:rPr>
          <w:rFonts w:eastAsia="Times New Roman" w:cs="Times New Roman"/>
          <w:szCs w:val="19"/>
          <w:lang w:val="en-US" w:eastAsia="pl-PL"/>
        </w:rPr>
        <w:t>, 4,440</w:t>
      </w:r>
      <w:r w:rsidR="00011503" w:rsidRPr="00011503">
        <w:rPr>
          <w:rFonts w:eastAsia="Times New Roman" w:cs="Times New Roman"/>
          <w:szCs w:val="19"/>
          <w:lang w:val="en-US" w:eastAsia="pl-PL"/>
        </w:rPr>
        <w:t xml:space="preserve"> units had a predominant share of foreign capital.</w:t>
      </w:r>
      <w:r w:rsidR="00011503">
        <w:rPr>
          <w:rFonts w:eastAsia="Times New Roman" w:cs="Times New Roman"/>
          <w:szCs w:val="19"/>
          <w:lang w:val="en-US" w:eastAsia="pl-PL"/>
        </w:rPr>
        <w:t xml:space="preserve"> </w:t>
      </w:r>
      <w:r w:rsidR="00011503" w:rsidRPr="00011503">
        <w:rPr>
          <w:rFonts w:eastAsia="Times New Roman" w:cs="Times New Roman"/>
          <w:szCs w:val="19"/>
          <w:lang w:val="en-US" w:eastAsia="pl-PL"/>
        </w:rPr>
        <w:t>They constitu</w:t>
      </w:r>
      <w:r w:rsidR="00987FC3">
        <w:rPr>
          <w:rFonts w:eastAsia="Times New Roman" w:cs="Times New Roman"/>
          <w:szCs w:val="19"/>
          <w:lang w:val="en-US" w:eastAsia="pl-PL"/>
        </w:rPr>
        <w:t>ted 25.7</w:t>
      </w:r>
      <w:r w:rsidR="00011503">
        <w:rPr>
          <w:rFonts w:eastAsia="Times New Roman" w:cs="Times New Roman"/>
          <w:szCs w:val="19"/>
          <w:lang w:val="en-US" w:eastAsia="pl-PL"/>
        </w:rPr>
        <w:t>% of all surveyed enter</w:t>
      </w:r>
      <w:r w:rsidR="00011503" w:rsidRPr="00011503">
        <w:rPr>
          <w:rFonts w:eastAsia="Times New Roman" w:cs="Times New Roman"/>
          <w:szCs w:val="19"/>
          <w:lang w:val="en-US" w:eastAsia="pl-PL"/>
        </w:rPr>
        <w:t>prises.</w:t>
      </w:r>
      <w:r w:rsidR="005A1873">
        <w:rPr>
          <w:rFonts w:eastAsia="Times New Roman" w:cs="Times New Roman"/>
          <w:szCs w:val="19"/>
          <w:lang w:val="en-US" w:eastAsia="pl-PL"/>
        </w:rPr>
        <w:t xml:space="preserve"> </w:t>
      </w:r>
      <w:r w:rsidR="005A1873" w:rsidRPr="005A1873">
        <w:rPr>
          <w:rFonts w:eastAsia="Times New Roman" w:cs="Times New Roman"/>
          <w:szCs w:val="19"/>
          <w:lang w:val="en-US" w:eastAsia="pl-PL"/>
        </w:rPr>
        <w:t xml:space="preserve">Among these units, </w:t>
      </w:r>
      <w:r w:rsidR="00067196">
        <w:rPr>
          <w:rFonts w:eastAsia="Times New Roman" w:cs="Times New Roman"/>
          <w:szCs w:val="19"/>
          <w:lang w:val="en-US" w:eastAsia="pl-PL"/>
        </w:rPr>
        <w:t xml:space="preserve">the </w:t>
      </w:r>
      <w:r w:rsidR="005A1873" w:rsidRPr="005A1873">
        <w:rPr>
          <w:rFonts w:eastAsia="Times New Roman" w:cs="Times New Roman"/>
          <w:szCs w:val="19"/>
          <w:lang w:val="en-US" w:eastAsia="pl-PL"/>
        </w:rPr>
        <w:t xml:space="preserve">share of </w:t>
      </w:r>
      <w:r w:rsidR="005A1873">
        <w:rPr>
          <w:rFonts w:eastAsia="Times New Roman" w:cs="Times New Roman"/>
          <w:szCs w:val="19"/>
          <w:lang w:val="en-US" w:eastAsia="pl-PL"/>
        </w:rPr>
        <w:t>medium-sized entities (from 50 to 249 persons employed</w:t>
      </w:r>
      <w:r w:rsidR="00067196">
        <w:rPr>
          <w:rFonts w:eastAsia="Times New Roman" w:cs="Times New Roman"/>
          <w:szCs w:val="19"/>
          <w:lang w:val="en-US" w:eastAsia="pl-PL"/>
        </w:rPr>
        <w:t>) was 63.0</w:t>
      </w:r>
      <w:r w:rsidR="005A1873" w:rsidRPr="005A1873">
        <w:rPr>
          <w:rFonts w:eastAsia="Times New Roman" w:cs="Times New Roman"/>
          <w:szCs w:val="19"/>
          <w:lang w:val="en-US" w:eastAsia="pl-PL"/>
        </w:rPr>
        <w:t>%, and</w:t>
      </w:r>
      <w:r w:rsidR="00137355">
        <w:rPr>
          <w:rFonts w:eastAsia="Times New Roman" w:cs="Times New Roman"/>
          <w:szCs w:val="19"/>
          <w:lang w:val="en-US" w:eastAsia="pl-PL"/>
        </w:rPr>
        <w:t xml:space="preserve"> large entities (with 250 </w:t>
      </w:r>
      <w:r w:rsidR="005A1873" w:rsidRPr="005A1873">
        <w:rPr>
          <w:rFonts w:eastAsia="Times New Roman" w:cs="Times New Roman"/>
          <w:szCs w:val="19"/>
          <w:lang w:val="en-US" w:eastAsia="pl-PL"/>
        </w:rPr>
        <w:t>and more</w:t>
      </w:r>
      <w:r w:rsidR="00137355">
        <w:rPr>
          <w:rFonts w:eastAsia="Times New Roman" w:cs="Times New Roman"/>
          <w:szCs w:val="19"/>
          <w:lang w:val="en-US" w:eastAsia="pl-PL"/>
        </w:rPr>
        <w:t xml:space="preserve"> persons employed</w:t>
      </w:r>
      <w:r w:rsidR="00067196">
        <w:rPr>
          <w:rFonts w:eastAsia="Times New Roman" w:cs="Times New Roman"/>
          <w:szCs w:val="19"/>
          <w:lang w:val="en-US" w:eastAsia="pl-PL"/>
        </w:rPr>
        <w:t>) – 37.0</w:t>
      </w:r>
      <w:r w:rsidR="005A1873" w:rsidRPr="005A1873">
        <w:rPr>
          <w:rFonts w:eastAsia="Times New Roman" w:cs="Times New Roman"/>
          <w:szCs w:val="19"/>
          <w:lang w:val="en-US" w:eastAsia="pl-PL"/>
        </w:rPr>
        <w:t>%.</w:t>
      </w:r>
      <w:r w:rsidR="00377436">
        <w:rPr>
          <w:rFonts w:eastAsia="Times New Roman" w:cs="Times New Roman"/>
          <w:szCs w:val="19"/>
          <w:lang w:val="en-US" w:eastAsia="pl-PL"/>
        </w:rPr>
        <w:t xml:space="preserve"> As of March 31, 2024</w:t>
      </w:r>
      <w:r w:rsidR="0076328F">
        <w:rPr>
          <w:rFonts w:eastAsia="Times New Roman" w:cs="Times New Roman"/>
          <w:szCs w:val="19"/>
          <w:lang w:val="en-US" w:eastAsia="pl-PL"/>
        </w:rPr>
        <w:t xml:space="preserve">, </w:t>
      </w:r>
      <w:r w:rsidR="0076328F" w:rsidRPr="00F155BB">
        <w:rPr>
          <w:rFonts w:eastAsia="Times New Roman" w:cs="Times New Roman"/>
          <w:szCs w:val="19"/>
          <w:lang w:val="en-US" w:eastAsia="pl-PL"/>
        </w:rPr>
        <w:t xml:space="preserve">the enterprises </w:t>
      </w:r>
      <w:r w:rsidR="0076328F" w:rsidRPr="0076328F">
        <w:rPr>
          <w:rFonts w:eastAsia="Times New Roman" w:cs="Times New Roman"/>
          <w:szCs w:val="19"/>
          <w:lang w:val="en-US" w:eastAsia="pl-PL"/>
        </w:rPr>
        <w:t xml:space="preserve">with a predominant share of foreign capital </w:t>
      </w:r>
      <w:r w:rsidR="0076328F" w:rsidRPr="00F155BB">
        <w:rPr>
          <w:rFonts w:eastAsia="Times New Roman" w:cs="Times New Roman"/>
          <w:szCs w:val="19"/>
          <w:lang w:val="en-US" w:eastAsia="pl-PL"/>
        </w:rPr>
        <w:t>covered by the survey em</w:t>
      </w:r>
      <w:r w:rsidR="005A7D85">
        <w:rPr>
          <w:rFonts w:eastAsia="Times New Roman" w:cs="Times New Roman"/>
          <w:szCs w:val="19"/>
          <w:lang w:val="en-US" w:eastAsia="pl-PL"/>
        </w:rPr>
        <w:t>ployed 1,923.2</w:t>
      </w:r>
      <w:r w:rsidR="0076328F">
        <w:rPr>
          <w:rFonts w:eastAsia="Times New Roman" w:cs="Times New Roman"/>
          <w:szCs w:val="19"/>
          <w:lang w:val="en-US" w:eastAsia="pl-PL"/>
        </w:rPr>
        <w:t xml:space="preserve"> thousand persons. </w:t>
      </w:r>
      <w:r w:rsidR="005A7D85">
        <w:rPr>
          <w:rFonts w:eastAsia="Times New Roman" w:cs="Times New Roman"/>
          <w:szCs w:val="19"/>
          <w:lang w:val="en-US" w:eastAsia="pl-PL"/>
        </w:rPr>
        <w:t>17.2</w:t>
      </w:r>
      <w:r w:rsidR="0076328F" w:rsidRPr="0076328F">
        <w:rPr>
          <w:rFonts w:eastAsia="Times New Roman" w:cs="Times New Roman"/>
          <w:szCs w:val="19"/>
          <w:lang w:val="en-US" w:eastAsia="pl-PL"/>
        </w:rPr>
        <w:t>% in medium-</w:t>
      </w:r>
      <w:r w:rsidR="0076328F">
        <w:rPr>
          <w:rFonts w:eastAsia="Times New Roman" w:cs="Times New Roman"/>
          <w:szCs w:val="19"/>
          <w:lang w:val="en-US" w:eastAsia="pl-PL"/>
        </w:rPr>
        <w:t>sized entities (from 50 to 249 persons employed</w:t>
      </w:r>
      <w:r w:rsidR="005A7D85">
        <w:rPr>
          <w:rFonts w:eastAsia="Times New Roman" w:cs="Times New Roman"/>
          <w:szCs w:val="19"/>
          <w:lang w:val="en-US" w:eastAsia="pl-PL"/>
        </w:rPr>
        <w:t>)</w:t>
      </w:r>
      <w:r w:rsidR="0076328F" w:rsidRPr="0076328F">
        <w:rPr>
          <w:rFonts w:eastAsia="Times New Roman" w:cs="Times New Roman"/>
          <w:szCs w:val="19"/>
          <w:lang w:val="en-US" w:eastAsia="pl-PL"/>
        </w:rPr>
        <w:t xml:space="preserve"> </w:t>
      </w:r>
      <w:r w:rsidR="005A7D85">
        <w:rPr>
          <w:rFonts w:eastAsia="Times New Roman" w:cs="Times New Roman"/>
          <w:szCs w:val="19"/>
          <w:lang w:val="en-US" w:eastAsia="pl-PL"/>
        </w:rPr>
        <w:t>and 82.8</w:t>
      </w:r>
      <w:r w:rsidR="0076328F">
        <w:rPr>
          <w:rFonts w:eastAsia="Times New Roman" w:cs="Times New Roman"/>
          <w:szCs w:val="19"/>
          <w:lang w:val="en-US" w:eastAsia="pl-PL"/>
        </w:rPr>
        <w:t xml:space="preserve">% in large entities (with 250 </w:t>
      </w:r>
      <w:r w:rsidR="0076328F" w:rsidRPr="005A1873">
        <w:rPr>
          <w:rFonts w:eastAsia="Times New Roman" w:cs="Times New Roman"/>
          <w:szCs w:val="19"/>
          <w:lang w:val="en-US" w:eastAsia="pl-PL"/>
        </w:rPr>
        <w:t>and more</w:t>
      </w:r>
      <w:r w:rsidR="0076328F">
        <w:rPr>
          <w:rFonts w:eastAsia="Times New Roman" w:cs="Times New Roman"/>
          <w:szCs w:val="19"/>
          <w:lang w:val="en-US" w:eastAsia="pl-PL"/>
        </w:rPr>
        <w:t xml:space="preserve"> persons employed</w:t>
      </w:r>
      <w:r w:rsidR="0076328F" w:rsidRPr="0076328F">
        <w:rPr>
          <w:rFonts w:eastAsia="Times New Roman" w:cs="Times New Roman"/>
          <w:szCs w:val="19"/>
          <w:lang w:val="en-US" w:eastAsia="pl-PL"/>
        </w:rPr>
        <w:t>).</w:t>
      </w:r>
      <w:r w:rsidR="0076328F">
        <w:rPr>
          <w:rFonts w:eastAsia="Times New Roman" w:cs="Times New Roman"/>
          <w:szCs w:val="19"/>
          <w:lang w:val="en-US" w:eastAsia="pl-PL"/>
        </w:rPr>
        <w:t xml:space="preserve"> </w:t>
      </w:r>
      <w:r w:rsidR="0076328F" w:rsidRPr="00F0564E">
        <w:rPr>
          <w:rFonts w:eastAsia="Times New Roman" w:cs="Times New Roman"/>
          <w:szCs w:val="19"/>
          <w:lang w:val="en-US" w:eastAsia="pl-PL"/>
        </w:rPr>
        <w:t xml:space="preserve">As at the </w:t>
      </w:r>
      <w:r w:rsidR="00593A57">
        <w:rPr>
          <w:rFonts w:eastAsia="Times New Roman" w:cs="Times New Roman"/>
          <w:szCs w:val="19"/>
          <w:lang w:val="en-US" w:eastAsia="pl-PL"/>
        </w:rPr>
        <w:t>end of March 2024</w:t>
      </w:r>
      <w:r w:rsidR="0076328F">
        <w:rPr>
          <w:rFonts w:eastAsia="Times New Roman" w:cs="Times New Roman"/>
          <w:szCs w:val="19"/>
          <w:lang w:val="en-US" w:eastAsia="pl-PL"/>
        </w:rPr>
        <w:t xml:space="preserve">, the average surveyed </w:t>
      </w:r>
      <w:r w:rsidR="0076328F" w:rsidRPr="00F155BB">
        <w:rPr>
          <w:rFonts w:eastAsia="Times New Roman" w:cs="Times New Roman"/>
          <w:szCs w:val="19"/>
          <w:lang w:val="en-US" w:eastAsia="pl-PL"/>
        </w:rPr>
        <w:t xml:space="preserve">enterprises </w:t>
      </w:r>
      <w:r w:rsidR="0076328F" w:rsidRPr="0076328F">
        <w:rPr>
          <w:rFonts w:eastAsia="Times New Roman" w:cs="Times New Roman"/>
          <w:szCs w:val="19"/>
          <w:lang w:val="en-US" w:eastAsia="pl-PL"/>
        </w:rPr>
        <w:t xml:space="preserve">with a predominant share of foreign capital </w:t>
      </w:r>
      <w:r w:rsidR="0076328F" w:rsidRPr="00F0564E">
        <w:rPr>
          <w:rFonts w:eastAsia="Times New Roman" w:cs="Times New Roman"/>
          <w:szCs w:val="19"/>
          <w:lang w:val="en-US" w:eastAsia="pl-PL"/>
        </w:rPr>
        <w:t>emplo</w:t>
      </w:r>
      <w:r w:rsidR="00593A57">
        <w:rPr>
          <w:rFonts w:eastAsia="Times New Roman" w:cs="Times New Roman"/>
          <w:szCs w:val="19"/>
          <w:lang w:val="en-US" w:eastAsia="pl-PL"/>
        </w:rPr>
        <w:t>yed 433</w:t>
      </w:r>
      <w:r w:rsidR="00375880">
        <w:rPr>
          <w:rFonts w:eastAsia="Times New Roman" w:cs="Times New Roman"/>
          <w:szCs w:val="19"/>
          <w:lang w:val="en-US" w:eastAsia="pl-PL"/>
        </w:rPr>
        <w:t xml:space="preserve"> persons</w:t>
      </w:r>
      <w:r w:rsidR="0076328F">
        <w:rPr>
          <w:rFonts w:eastAsia="Times New Roman" w:cs="Times New Roman"/>
          <w:szCs w:val="19"/>
          <w:lang w:val="en-US" w:eastAsia="pl-PL"/>
        </w:rPr>
        <w:t xml:space="preserve">, a large entity </w:t>
      </w:r>
      <w:r w:rsidR="0076328F" w:rsidRPr="00FD3C79">
        <w:rPr>
          <w:rFonts w:eastAsia="Times New Roman" w:cs="Times New Roman"/>
          <w:szCs w:val="19"/>
          <w:lang w:val="en-US" w:eastAsia="pl-PL"/>
        </w:rPr>
        <w:t>–</w:t>
      </w:r>
      <w:r w:rsidR="00593A57">
        <w:rPr>
          <w:rFonts w:eastAsia="Times New Roman" w:cs="Times New Roman"/>
          <w:szCs w:val="19"/>
          <w:lang w:val="en-US" w:eastAsia="pl-PL"/>
        </w:rPr>
        <w:t xml:space="preserve"> 968</w:t>
      </w:r>
      <w:r w:rsidR="00375880">
        <w:rPr>
          <w:rFonts w:eastAsia="Times New Roman" w:cs="Times New Roman"/>
          <w:szCs w:val="19"/>
          <w:lang w:val="en-US" w:eastAsia="pl-PL"/>
        </w:rPr>
        <w:t xml:space="preserve"> persons</w:t>
      </w:r>
      <w:r w:rsidR="0076328F">
        <w:rPr>
          <w:rFonts w:eastAsia="Times New Roman" w:cs="Times New Roman"/>
          <w:szCs w:val="19"/>
          <w:lang w:val="en-US" w:eastAsia="pl-PL"/>
        </w:rPr>
        <w:t xml:space="preserve">, a medium-sized entity </w:t>
      </w:r>
      <w:r w:rsidR="0076328F" w:rsidRPr="00FD3C79">
        <w:rPr>
          <w:rFonts w:eastAsia="Times New Roman" w:cs="Times New Roman"/>
          <w:szCs w:val="19"/>
          <w:lang w:val="en-US" w:eastAsia="pl-PL"/>
        </w:rPr>
        <w:t>–</w:t>
      </w:r>
      <w:r w:rsidR="0076328F" w:rsidRPr="00F0564E">
        <w:rPr>
          <w:rFonts w:eastAsia="Times New Roman" w:cs="Times New Roman"/>
          <w:szCs w:val="19"/>
          <w:lang w:val="en-US" w:eastAsia="pl-PL"/>
        </w:rPr>
        <w:t xml:space="preserve"> </w:t>
      </w:r>
      <w:r w:rsidR="00593A57">
        <w:rPr>
          <w:rFonts w:eastAsia="Times New Roman" w:cs="Times New Roman"/>
          <w:szCs w:val="19"/>
          <w:lang w:val="en-US" w:eastAsia="pl-PL"/>
        </w:rPr>
        <w:t>119</w:t>
      </w:r>
      <w:r w:rsidR="00375880">
        <w:rPr>
          <w:rFonts w:eastAsia="Times New Roman" w:cs="Times New Roman"/>
          <w:szCs w:val="19"/>
          <w:lang w:val="en-US" w:eastAsia="pl-PL"/>
        </w:rPr>
        <w:t xml:space="preserve"> persons</w:t>
      </w:r>
      <w:r w:rsidR="00593A57">
        <w:rPr>
          <w:rFonts w:eastAsia="Times New Roman" w:cs="Times New Roman"/>
          <w:szCs w:val="19"/>
          <w:lang w:val="en-US" w:eastAsia="pl-PL"/>
        </w:rPr>
        <w:t>.</w:t>
      </w:r>
    </w:p>
    <w:p w14:paraId="200FDBC5" w14:textId="46B0A9E3" w:rsidR="002919F2" w:rsidRDefault="002919F2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T</w:t>
      </w:r>
      <w:r w:rsidRPr="002919F2">
        <w:rPr>
          <w:rFonts w:eastAsia="Times New Roman" w:cs="Times New Roman"/>
          <w:szCs w:val="19"/>
          <w:lang w:val="en-US" w:eastAsia="pl-PL"/>
        </w:rPr>
        <w:t>otal revenues of these entitie</w:t>
      </w:r>
      <w:r w:rsidR="00CB238E">
        <w:rPr>
          <w:rFonts w:eastAsia="Times New Roman" w:cs="Times New Roman"/>
          <w:szCs w:val="19"/>
          <w:lang w:val="en-US" w:eastAsia="pl-PL"/>
        </w:rPr>
        <w:t>s amounted to 544.8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szCs w:val="19"/>
          <w:lang w:val="en-US" w:eastAsia="pl-PL"/>
        </w:rPr>
        <w:t>b</w:t>
      </w:r>
      <w:r w:rsidRPr="002919F2">
        <w:rPr>
          <w:rFonts w:eastAsia="Times New Roman" w:cs="Times New Roman"/>
          <w:szCs w:val="19"/>
          <w:lang w:val="en-US" w:eastAsia="pl-PL"/>
        </w:rPr>
        <w:t>n</w:t>
      </w:r>
      <w:proofErr w:type="spellEnd"/>
      <w:r>
        <w:rPr>
          <w:rFonts w:eastAsia="Times New Roman" w:cs="Times New Roman"/>
          <w:szCs w:val="19"/>
          <w:lang w:val="en-US" w:eastAsia="pl-PL"/>
        </w:rPr>
        <w:t xml:space="preserve"> PLN</w:t>
      </w:r>
      <w:r w:rsidRPr="002919F2">
        <w:rPr>
          <w:rFonts w:eastAsia="Times New Roman" w:cs="Times New Roman"/>
          <w:szCs w:val="19"/>
          <w:lang w:val="en-US" w:eastAsia="pl-PL"/>
        </w:rPr>
        <w:t>, and the costs of</w:t>
      </w:r>
      <w:r>
        <w:rPr>
          <w:rFonts w:eastAsia="Times New Roman" w:cs="Times New Roman"/>
          <w:szCs w:val="19"/>
          <w:lang w:val="en-US" w:eastAsia="pl-PL"/>
        </w:rPr>
        <w:t xml:space="preserve"> obtaining them amounted to </w:t>
      </w:r>
      <w:r w:rsidR="00CB238E">
        <w:rPr>
          <w:rFonts w:eastAsia="Times New Roman" w:cs="Times New Roman"/>
          <w:szCs w:val="19"/>
          <w:lang w:val="en-US" w:eastAsia="pl-PL"/>
        </w:rPr>
        <w:t>527.6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szCs w:val="19"/>
          <w:lang w:val="en-US" w:eastAsia="pl-PL"/>
        </w:rPr>
        <w:t>b</w:t>
      </w:r>
      <w:r w:rsidRPr="002919F2">
        <w:rPr>
          <w:rFonts w:eastAsia="Times New Roman" w:cs="Times New Roman"/>
          <w:szCs w:val="19"/>
          <w:lang w:val="en-US" w:eastAsia="pl-PL"/>
        </w:rPr>
        <w:t>n</w:t>
      </w:r>
      <w:proofErr w:type="spellEnd"/>
      <w:r>
        <w:rPr>
          <w:rFonts w:eastAsia="Times New Roman" w:cs="Times New Roman"/>
          <w:szCs w:val="19"/>
          <w:lang w:val="en-US" w:eastAsia="pl-PL"/>
        </w:rPr>
        <w:t xml:space="preserve"> PLN</w:t>
      </w:r>
      <w:r w:rsidRPr="002919F2">
        <w:rPr>
          <w:rFonts w:eastAsia="Times New Roman" w:cs="Times New Roman"/>
          <w:szCs w:val="19"/>
          <w:lang w:val="en-US" w:eastAsia="pl-PL"/>
        </w:rPr>
        <w:t>.</w:t>
      </w:r>
      <w:r>
        <w:rPr>
          <w:rFonts w:eastAsia="Times New Roman" w:cs="Times New Roman"/>
          <w:szCs w:val="19"/>
          <w:lang w:val="en-US" w:eastAsia="pl-PL"/>
        </w:rPr>
        <w:t xml:space="preserve"> G</w:t>
      </w:r>
      <w:r w:rsidRPr="002919F2">
        <w:rPr>
          <w:rFonts w:eastAsia="Times New Roman" w:cs="Times New Roman"/>
          <w:szCs w:val="19"/>
          <w:lang w:val="en-US" w:eastAsia="pl-PL"/>
        </w:rPr>
        <w:t xml:space="preserve">ross financial result of entities with a predominant share of foreign capital in </w:t>
      </w:r>
      <w:r w:rsidR="00CB238E">
        <w:rPr>
          <w:rFonts w:eastAsia="Times New Roman" w:cs="Times New Roman"/>
          <w:szCs w:val="19"/>
          <w:lang w:val="en-US" w:eastAsia="pl-PL"/>
        </w:rPr>
        <w:t xml:space="preserve">the 1st quarter of </w:t>
      </w:r>
      <w:r w:rsidRPr="002919F2">
        <w:rPr>
          <w:rFonts w:eastAsia="Times New Roman" w:cs="Times New Roman"/>
          <w:szCs w:val="19"/>
          <w:lang w:val="en-US" w:eastAsia="pl-PL"/>
        </w:rPr>
        <w:t>2</w:t>
      </w:r>
      <w:r w:rsidR="00CB238E">
        <w:rPr>
          <w:rFonts w:eastAsia="Times New Roman" w:cs="Times New Roman"/>
          <w:szCs w:val="19"/>
          <w:lang w:val="en-US" w:eastAsia="pl-PL"/>
        </w:rPr>
        <w:t>024 amounted to 17.2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szCs w:val="19"/>
          <w:lang w:val="en-US" w:eastAsia="pl-PL"/>
        </w:rPr>
        <w:t>b</w:t>
      </w:r>
      <w:r w:rsidRPr="002919F2">
        <w:rPr>
          <w:rFonts w:eastAsia="Times New Roman" w:cs="Times New Roman"/>
          <w:szCs w:val="19"/>
          <w:lang w:val="en-US" w:eastAsia="pl-PL"/>
        </w:rPr>
        <w:t>n</w:t>
      </w:r>
      <w:proofErr w:type="spellEnd"/>
      <w:r>
        <w:rPr>
          <w:rFonts w:eastAsia="Times New Roman" w:cs="Times New Roman"/>
          <w:szCs w:val="19"/>
          <w:lang w:val="en-US" w:eastAsia="pl-PL"/>
        </w:rPr>
        <w:t xml:space="preserve"> PLN</w:t>
      </w:r>
      <w:r w:rsidRPr="002919F2">
        <w:rPr>
          <w:rFonts w:eastAsia="Times New Roman" w:cs="Times New Roman"/>
          <w:szCs w:val="19"/>
          <w:lang w:val="en-US" w:eastAsia="pl-PL"/>
        </w:rPr>
        <w:t>.</w:t>
      </w:r>
      <w:r w:rsidR="0021208A">
        <w:rPr>
          <w:rFonts w:eastAsia="Times New Roman" w:cs="Times New Roman"/>
          <w:szCs w:val="19"/>
          <w:lang w:val="en-US" w:eastAsia="pl-PL"/>
        </w:rPr>
        <w:t xml:space="preserve"> O</w:t>
      </w:r>
      <w:r w:rsidR="0021208A" w:rsidRPr="00293571">
        <w:rPr>
          <w:rFonts w:eastAsia="Times New Roman" w:cs="Times New Roman"/>
          <w:szCs w:val="19"/>
          <w:lang w:val="en-US" w:eastAsia="pl-PL"/>
        </w:rPr>
        <w:t>bligato</w:t>
      </w:r>
      <w:r w:rsidR="0021208A">
        <w:rPr>
          <w:rFonts w:eastAsia="Times New Roman" w:cs="Times New Roman"/>
          <w:szCs w:val="19"/>
          <w:lang w:val="en-US" w:eastAsia="pl-PL"/>
        </w:rPr>
        <w:t xml:space="preserve">ry encumbrances </w:t>
      </w:r>
      <w:r w:rsidR="0021208A" w:rsidRPr="005E326B">
        <w:rPr>
          <w:rFonts w:eastAsia="Times New Roman" w:cs="Times New Roman"/>
          <w:szCs w:val="19"/>
          <w:lang w:val="en-US" w:eastAsia="pl-PL"/>
        </w:rPr>
        <w:t>on the gross f</w:t>
      </w:r>
      <w:r w:rsidR="00CB238E">
        <w:rPr>
          <w:rFonts w:eastAsia="Times New Roman" w:cs="Times New Roman"/>
          <w:szCs w:val="19"/>
          <w:lang w:val="en-US" w:eastAsia="pl-PL"/>
        </w:rPr>
        <w:t>inancial result amounted to 4.7</w:t>
      </w:r>
      <w:r w:rsidR="0021208A">
        <w:rPr>
          <w:rFonts w:eastAsia="Times New Roman" w:cs="Times New Roman"/>
          <w:szCs w:val="19"/>
          <w:lang w:val="en-US" w:eastAsia="pl-PL"/>
        </w:rPr>
        <w:t xml:space="preserve"> </w:t>
      </w:r>
      <w:proofErr w:type="spellStart"/>
      <w:r w:rsidR="0021208A">
        <w:rPr>
          <w:rFonts w:eastAsia="Times New Roman" w:cs="Times New Roman"/>
          <w:szCs w:val="19"/>
          <w:lang w:val="en-US" w:eastAsia="pl-PL"/>
        </w:rPr>
        <w:t>b</w:t>
      </w:r>
      <w:r w:rsidR="0021208A" w:rsidRPr="005E326B">
        <w:rPr>
          <w:rFonts w:eastAsia="Times New Roman" w:cs="Times New Roman"/>
          <w:szCs w:val="19"/>
          <w:lang w:val="en-US" w:eastAsia="pl-PL"/>
        </w:rPr>
        <w:t>n</w:t>
      </w:r>
      <w:proofErr w:type="spellEnd"/>
      <w:r w:rsidR="0021208A">
        <w:rPr>
          <w:rFonts w:eastAsia="Times New Roman" w:cs="Times New Roman"/>
          <w:szCs w:val="19"/>
          <w:lang w:val="en-US" w:eastAsia="pl-PL"/>
        </w:rPr>
        <w:t xml:space="preserve"> PLN</w:t>
      </w:r>
      <w:r w:rsidR="0021208A" w:rsidRPr="005E326B">
        <w:rPr>
          <w:rFonts w:eastAsia="Times New Roman" w:cs="Times New Roman"/>
          <w:szCs w:val="19"/>
          <w:lang w:val="en-US" w:eastAsia="pl-PL"/>
        </w:rPr>
        <w:t>.</w:t>
      </w:r>
      <w:r w:rsidR="0021208A">
        <w:rPr>
          <w:rFonts w:eastAsia="Times New Roman" w:cs="Times New Roman"/>
          <w:szCs w:val="19"/>
          <w:lang w:val="en-US" w:eastAsia="pl-PL"/>
        </w:rPr>
        <w:t xml:space="preserve"> N</w:t>
      </w:r>
      <w:r w:rsidR="0021208A" w:rsidRPr="0021208A">
        <w:rPr>
          <w:rFonts w:eastAsia="Times New Roman" w:cs="Times New Roman"/>
          <w:szCs w:val="19"/>
          <w:lang w:val="en-US" w:eastAsia="pl-PL"/>
        </w:rPr>
        <w:t>et financial result of entities with a predominant share of foreign</w:t>
      </w:r>
      <w:r w:rsidR="00CB238E">
        <w:rPr>
          <w:rFonts w:eastAsia="Times New Roman" w:cs="Times New Roman"/>
          <w:szCs w:val="19"/>
          <w:lang w:val="en-US" w:eastAsia="pl-PL"/>
        </w:rPr>
        <w:t xml:space="preserve"> capital amounted to 12.5</w:t>
      </w:r>
      <w:r w:rsidR="0021208A">
        <w:rPr>
          <w:rFonts w:eastAsia="Times New Roman" w:cs="Times New Roman"/>
          <w:szCs w:val="19"/>
          <w:lang w:val="en-US" w:eastAsia="pl-PL"/>
        </w:rPr>
        <w:t xml:space="preserve"> </w:t>
      </w:r>
      <w:proofErr w:type="spellStart"/>
      <w:r w:rsidR="0021208A">
        <w:rPr>
          <w:rFonts w:eastAsia="Times New Roman" w:cs="Times New Roman"/>
          <w:szCs w:val="19"/>
          <w:lang w:val="en-US" w:eastAsia="pl-PL"/>
        </w:rPr>
        <w:t>b</w:t>
      </w:r>
      <w:r w:rsidR="0021208A" w:rsidRPr="0021208A">
        <w:rPr>
          <w:rFonts w:eastAsia="Times New Roman" w:cs="Times New Roman"/>
          <w:szCs w:val="19"/>
          <w:lang w:val="en-US" w:eastAsia="pl-PL"/>
        </w:rPr>
        <w:t>n</w:t>
      </w:r>
      <w:proofErr w:type="spellEnd"/>
      <w:r w:rsidR="0021208A">
        <w:rPr>
          <w:rFonts w:eastAsia="Times New Roman" w:cs="Times New Roman"/>
          <w:szCs w:val="19"/>
          <w:lang w:val="en-US" w:eastAsia="pl-PL"/>
        </w:rPr>
        <w:t xml:space="preserve"> PLN and </w:t>
      </w:r>
      <w:r w:rsidR="0021208A" w:rsidRPr="00D23E96">
        <w:rPr>
          <w:rFonts w:eastAsia="Times New Roman" w:cs="Times New Roman"/>
          <w:szCs w:val="19"/>
          <w:lang w:val="en-US" w:eastAsia="pl-PL"/>
        </w:rPr>
        <w:t>constituted</w:t>
      </w:r>
      <w:r w:rsidR="00CB238E">
        <w:rPr>
          <w:rFonts w:eastAsia="Times New Roman" w:cs="Times New Roman"/>
          <w:szCs w:val="19"/>
          <w:lang w:val="en-US" w:eastAsia="pl-PL"/>
        </w:rPr>
        <w:t xml:space="preserve"> 33.6</w:t>
      </w:r>
      <w:r w:rsidR="0021208A">
        <w:rPr>
          <w:rFonts w:eastAsia="Times New Roman" w:cs="Times New Roman"/>
          <w:szCs w:val="19"/>
          <w:lang w:val="en-US" w:eastAsia="pl-PL"/>
        </w:rPr>
        <w:t>% of</w:t>
      </w:r>
      <w:r w:rsidR="0021208A" w:rsidRPr="0021208A">
        <w:rPr>
          <w:rFonts w:eastAsia="Times New Roman" w:cs="Times New Roman"/>
          <w:szCs w:val="19"/>
          <w:lang w:val="en-US" w:eastAsia="pl-PL"/>
        </w:rPr>
        <w:t xml:space="preserve"> net financial result of all surveyed e</w:t>
      </w:r>
      <w:r w:rsidR="0021208A">
        <w:rPr>
          <w:rFonts w:eastAsia="Times New Roman" w:cs="Times New Roman"/>
          <w:szCs w:val="19"/>
          <w:lang w:val="en-US" w:eastAsia="pl-PL"/>
        </w:rPr>
        <w:t>ntities keeping accounting ledgers</w:t>
      </w:r>
      <w:r w:rsidR="00CB238E">
        <w:rPr>
          <w:rFonts w:eastAsia="Times New Roman" w:cs="Times New Roman"/>
          <w:szCs w:val="19"/>
          <w:lang w:val="en-US" w:eastAsia="pl-PL"/>
        </w:rPr>
        <w:t xml:space="preserve"> with 5</w:t>
      </w:r>
      <w:r w:rsidR="00DF6817">
        <w:rPr>
          <w:rFonts w:eastAsia="Times New Roman" w:cs="Times New Roman"/>
          <w:szCs w:val="19"/>
          <w:lang w:val="en-US" w:eastAsia="pl-PL"/>
        </w:rPr>
        <w:t>0 and</w:t>
      </w:r>
      <w:r w:rsidR="0021208A" w:rsidRPr="0021208A">
        <w:rPr>
          <w:rFonts w:eastAsia="Times New Roman" w:cs="Times New Roman"/>
          <w:szCs w:val="19"/>
          <w:lang w:val="en-US" w:eastAsia="pl-PL"/>
        </w:rPr>
        <w:t xml:space="preserve"> more </w:t>
      </w:r>
      <w:r w:rsidR="0021208A">
        <w:rPr>
          <w:rFonts w:eastAsia="Times New Roman" w:cs="Times New Roman"/>
          <w:szCs w:val="19"/>
          <w:lang w:val="en-US" w:eastAsia="pl-PL"/>
        </w:rPr>
        <w:t>persons employed</w:t>
      </w:r>
      <w:r w:rsidR="0021208A" w:rsidRPr="0021208A">
        <w:rPr>
          <w:rFonts w:eastAsia="Times New Roman" w:cs="Times New Roman"/>
          <w:szCs w:val="19"/>
          <w:lang w:val="en-US" w:eastAsia="pl-PL"/>
        </w:rPr>
        <w:t>.</w:t>
      </w:r>
    </w:p>
    <w:p w14:paraId="1E76EBA9" w14:textId="32CBA6BA" w:rsidR="00475DFE" w:rsidRDefault="00475DFE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T</w:t>
      </w:r>
      <w:r w:rsidRPr="00475DFE">
        <w:rPr>
          <w:rFonts w:eastAsia="Times New Roman" w:cs="Times New Roman"/>
          <w:szCs w:val="19"/>
          <w:lang w:val="en-US" w:eastAsia="pl-PL"/>
        </w:rPr>
        <w:t xml:space="preserve">otal investment outlays of the surveyed enterprises with a predominant share of foreign capital in </w:t>
      </w:r>
      <w:r w:rsidR="00E01812">
        <w:rPr>
          <w:rFonts w:eastAsia="Times New Roman" w:cs="Times New Roman"/>
          <w:szCs w:val="19"/>
          <w:lang w:val="en-US" w:eastAsia="pl-PL"/>
        </w:rPr>
        <w:t>the 1st quarter of 2024 amounted to 17.2</w:t>
      </w:r>
      <w:r w:rsidR="00DF6817">
        <w:rPr>
          <w:rFonts w:eastAsia="Times New Roman" w:cs="Times New Roman"/>
          <w:szCs w:val="19"/>
          <w:lang w:val="en-US" w:eastAsia="pl-PL"/>
        </w:rPr>
        <w:t xml:space="preserve"> </w:t>
      </w:r>
      <w:proofErr w:type="spellStart"/>
      <w:r w:rsidR="00DF6817">
        <w:rPr>
          <w:rFonts w:eastAsia="Times New Roman" w:cs="Times New Roman"/>
          <w:szCs w:val="19"/>
          <w:lang w:val="en-US" w:eastAsia="pl-PL"/>
        </w:rPr>
        <w:t>b</w:t>
      </w:r>
      <w:r w:rsidRPr="00475DFE">
        <w:rPr>
          <w:rFonts w:eastAsia="Times New Roman" w:cs="Times New Roman"/>
          <w:szCs w:val="19"/>
          <w:lang w:val="en-US" w:eastAsia="pl-PL"/>
        </w:rPr>
        <w:t>n</w:t>
      </w:r>
      <w:proofErr w:type="spellEnd"/>
      <w:r w:rsidR="00DF6817">
        <w:rPr>
          <w:rFonts w:eastAsia="Times New Roman" w:cs="Times New Roman"/>
          <w:szCs w:val="19"/>
          <w:lang w:val="en-US" w:eastAsia="pl-PL"/>
        </w:rPr>
        <w:t xml:space="preserve"> PLN</w:t>
      </w:r>
      <w:r w:rsidRPr="00475DFE">
        <w:rPr>
          <w:rFonts w:eastAsia="Times New Roman" w:cs="Times New Roman"/>
          <w:szCs w:val="19"/>
          <w:lang w:val="en-US" w:eastAsia="pl-PL"/>
        </w:rPr>
        <w:t xml:space="preserve"> and </w:t>
      </w:r>
      <w:r w:rsidR="00DF6817" w:rsidRPr="00D23E96">
        <w:rPr>
          <w:rFonts w:eastAsia="Times New Roman" w:cs="Times New Roman"/>
          <w:szCs w:val="19"/>
          <w:lang w:val="en-US" w:eastAsia="pl-PL"/>
        </w:rPr>
        <w:t>constituted</w:t>
      </w:r>
      <w:r w:rsidR="00DF6817" w:rsidRPr="00475DFE">
        <w:rPr>
          <w:rFonts w:eastAsia="Times New Roman" w:cs="Times New Roman"/>
          <w:szCs w:val="19"/>
          <w:lang w:val="en-US" w:eastAsia="pl-PL"/>
        </w:rPr>
        <w:t xml:space="preserve"> </w:t>
      </w:r>
      <w:r w:rsidR="00E01812">
        <w:rPr>
          <w:rFonts w:eastAsia="Times New Roman" w:cs="Times New Roman"/>
          <w:szCs w:val="19"/>
          <w:lang w:val="en-US" w:eastAsia="pl-PL"/>
        </w:rPr>
        <w:t>42.0</w:t>
      </w:r>
      <w:r w:rsidRPr="00475DFE">
        <w:rPr>
          <w:rFonts w:eastAsia="Times New Roman" w:cs="Times New Roman"/>
          <w:szCs w:val="19"/>
          <w:lang w:val="en-US" w:eastAsia="pl-PL"/>
        </w:rPr>
        <w:t>% of the total investment outlays of the surveyed</w:t>
      </w:r>
      <w:r w:rsidR="00DF6817">
        <w:rPr>
          <w:rFonts w:eastAsia="Times New Roman" w:cs="Times New Roman"/>
          <w:szCs w:val="19"/>
          <w:lang w:val="en-US" w:eastAsia="pl-PL"/>
        </w:rPr>
        <w:t xml:space="preserve"> entities keeping accounting ledgers</w:t>
      </w:r>
      <w:r w:rsidR="00E01812">
        <w:rPr>
          <w:rFonts w:eastAsia="Times New Roman" w:cs="Times New Roman"/>
          <w:szCs w:val="19"/>
          <w:lang w:val="en-US" w:eastAsia="pl-PL"/>
        </w:rPr>
        <w:t xml:space="preserve"> with 5</w:t>
      </w:r>
      <w:r w:rsidRPr="00475DFE">
        <w:rPr>
          <w:rFonts w:eastAsia="Times New Roman" w:cs="Times New Roman"/>
          <w:szCs w:val="19"/>
          <w:lang w:val="en-US" w:eastAsia="pl-PL"/>
        </w:rPr>
        <w:t xml:space="preserve">0 </w:t>
      </w:r>
      <w:r w:rsidR="00DF6817">
        <w:rPr>
          <w:rFonts w:eastAsia="Times New Roman" w:cs="Times New Roman"/>
          <w:szCs w:val="19"/>
          <w:lang w:val="en-US" w:eastAsia="pl-PL"/>
        </w:rPr>
        <w:t>and more persons employed</w:t>
      </w:r>
      <w:r w:rsidRPr="00475DFE">
        <w:rPr>
          <w:rFonts w:eastAsia="Times New Roman" w:cs="Times New Roman"/>
          <w:szCs w:val="19"/>
          <w:lang w:val="en-US" w:eastAsia="pl-PL"/>
        </w:rPr>
        <w:t>.</w:t>
      </w:r>
      <w:r w:rsidR="00392BDE">
        <w:rPr>
          <w:rFonts w:eastAsia="Times New Roman" w:cs="Times New Roman"/>
          <w:szCs w:val="19"/>
          <w:lang w:val="en-US" w:eastAsia="pl-PL"/>
        </w:rPr>
        <w:t xml:space="preserve"> </w:t>
      </w:r>
      <w:r w:rsidR="00392BDE" w:rsidRPr="00392BDE">
        <w:rPr>
          <w:rFonts w:eastAsia="Times New Roman" w:cs="Times New Roman"/>
          <w:szCs w:val="19"/>
          <w:lang w:val="en-US" w:eastAsia="pl-PL"/>
        </w:rPr>
        <w:t>The share in expenditure of large entities (</w:t>
      </w:r>
      <w:r w:rsidR="00392BDE">
        <w:rPr>
          <w:rFonts w:eastAsia="Times New Roman" w:cs="Times New Roman"/>
          <w:szCs w:val="19"/>
          <w:lang w:val="en-US" w:eastAsia="pl-PL"/>
        </w:rPr>
        <w:t>with 250 and more persons employed</w:t>
      </w:r>
      <w:r w:rsidR="00392BDE" w:rsidRPr="00392BDE">
        <w:rPr>
          <w:rFonts w:eastAsia="Times New Roman" w:cs="Times New Roman"/>
          <w:szCs w:val="19"/>
          <w:lang w:val="en-US" w:eastAsia="pl-PL"/>
        </w:rPr>
        <w:t xml:space="preserve">) was </w:t>
      </w:r>
      <w:r w:rsidR="001C2F48">
        <w:rPr>
          <w:rFonts w:eastAsia="Times New Roman" w:cs="Times New Roman"/>
          <w:szCs w:val="19"/>
          <w:lang w:val="en-US" w:eastAsia="pl-PL"/>
        </w:rPr>
        <w:t>83.8</w:t>
      </w:r>
      <w:r w:rsidR="00392BDE">
        <w:rPr>
          <w:rFonts w:eastAsia="Times New Roman" w:cs="Times New Roman"/>
          <w:szCs w:val="19"/>
          <w:lang w:val="en-US" w:eastAsia="pl-PL"/>
        </w:rPr>
        <w:t xml:space="preserve">%, </w:t>
      </w:r>
      <w:r w:rsidR="001C2F48">
        <w:rPr>
          <w:rFonts w:eastAsia="Times New Roman" w:cs="Times New Roman"/>
          <w:szCs w:val="19"/>
          <w:lang w:val="en-US" w:eastAsia="pl-PL"/>
        </w:rPr>
        <w:t xml:space="preserve">and </w:t>
      </w:r>
      <w:r w:rsidR="00392BDE">
        <w:rPr>
          <w:rFonts w:eastAsia="Times New Roman" w:cs="Times New Roman"/>
          <w:szCs w:val="19"/>
          <w:lang w:val="en-US" w:eastAsia="pl-PL"/>
        </w:rPr>
        <w:t xml:space="preserve">medium-sized entities (from 50 to 249 persons employed) </w:t>
      </w:r>
      <w:r w:rsidR="001C2F48">
        <w:rPr>
          <w:rFonts w:eastAsia="Times New Roman" w:cs="Times New Roman"/>
          <w:szCs w:val="19"/>
          <w:lang w:val="en-US" w:eastAsia="pl-PL"/>
        </w:rPr>
        <w:t>– 16.2%.</w:t>
      </w:r>
    </w:p>
    <w:p w14:paraId="25A39BC3" w14:textId="77777777" w:rsidR="001C2F48" w:rsidRDefault="001C2F48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4FD0CF48" w14:textId="77777777" w:rsidR="006B0853" w:rsidRDefault="006B0853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4F2A816C" w14:textId="77777777" w:rsidR="00011503" w:rsidRDefault="00011503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2CB3D91D" w14:textId="3A0E2E12" w:rsidR="00011503" w:rsidRPr="001B17E3" w:rsidRDefault="001B17E3" w:rsidP="00D65C1D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>
        <w:rPr>
          <w:b/>
          <w:lang w:val="en-US"/>
        </w:rPr>
        <w:lastRenderedPageBreak/>
        <w:t>Table 2</w:t>
      </w:r>
      <w:r w:rsidRPr="001B17E3">
        <w:rPr>
          <w:b/>
          <w:lang w:val="en-US"/>
        </w:rPr>
        <w:t>. Basic financial data of surveyed enterprises</w:t>
      </w:r>
      <w:r>
        <w:rPr>
          <w:b/>
          <w:lang w:val="en-US"/>
        </w:rPr>
        <w:t xml:space="preserve"> </w:t>
      </w:r>
      <w:r w:rsidRPr="00011503">
        <w:rPr>
          <w:rFonts w:eastAsia="Times New Roman" w:cs="Times New Roman"/>
          <w:b/>
          <w:szCs w:val="19"/>
          <w:lang w:val="en-US" w:eastAsia="pl-PL"/>
        </w:rPr>
        <w:t>with a predominant share of foreign capital</w:t>
      </w:r>
      <w:r w:rsidR="00474C27">
        <w:rPr>
          <w:b/>
          <w:lang w:val="en-US"/>
        </w:rPr>
        <w:t xml:space="preserve"> in the 1st quarter of 2024</w:t>
      </w:r>
    </w:p>
    <w:p w14:paraId="2A1A0AE9" w14:textId="4CCDD6C7" w:rsidR="00C36277" w:rsidRPr="002A4A78" w:rsidRDefault="00C36277" w:rsidP="00D65C1D">
      <w:pPr>
        <w:spacing w:line="288" w:lineRule="auto"/>
        <w:rPr>
          <w:rFonts w:asciiTheme="minorHAnsi" w:hAnsiTheme="minorHAnsi"/>
          <w:sz w:val="22"/>
          <w:lang w:val="en-US"/>
        </w:rPr>
      </w:pP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480"/>
        <w:gridCol w:w="1480"/>
        <w:gridCol w:w="1480"/>
      </w:tblGrid>
      <w:tr w:rsidR="00C36277" w:rsidRPr="00C36277" w14:paraId="46B2C4BE" w14:textId="77777777" w:rsidTr="00C36277">
        <w:trPr>
          <w:trHeight w:val="315"/>
        </w:trPr>
        <w:tc>
          <w:tcPr>
            <w:tcW w:w="360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2FD3985" w14:textId="77777777" w:rsidR="00C36277" w:rsidRPr="00C36277" w:rsidRDefault="00C36277" w:rsidP="00C3627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48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794A11E" w14:textId="77777777" w:rsidR="00C36277" w:rsidRPr="00C36277" w:rsidRDefault="00C36277" w:rsidP="00C3627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Total</w:t>
            </w:r>
          </w:p>
        </w:tc>
        <w:tc>
          <w:tcPr>
            <w:tcW w:w="2960" w:type="dxa"/>
            <w:gridSpan w:val="2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BF5FB34" w14:textId="55E45B7E" w:rsidR="00C36277" w:rsidRPr="00C36277" w:rsidRDefault="001B6C83" w:rsidP="00C3627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P</w:t>
            </w:r>
            <w:r w:rsidR="00C36277"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ersons</w:t>
            </w:r>
            <w:proofErr w:type="spellEnd"/>
            <w:r w:rsidR="00C36277"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="00C36277"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</w:tr>
      <w:tr w:rsidR="00C36277" w:rsidRPr="00C36277" w14:paraId="789D07D6" w14:textId="77777777" w:rsidTr="00C36277">
        <w:trPr>
          <w:trHeight w:val="315"/>
        </w:trPr>
        <w:tc>
          <w:tcPr>
            <w:tcW w:w="360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3329878" w14:textId="77777777" w:rsidR="00C36277" w:rsidRPr="00C36277" w:rsidRDefault="00C36277" w:rsidP="00C3627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7101F90" w14:textId="77777777" w:rsidR="00C36277" w:rsidRPr="00C36277" w:rsidRDefault="00C36277" w:rsidP="00C3627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097CDB4" w14:textId="77777777" w:rsidR="00C36277" w:rsidRPr="00C36277" w:rsidRDefault="00C36277" w:rsidP="00C3627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ABB2590" w14:textId="77777777" w:rsidR="00C36277" w:rsidRPr="00C36277" w:rsidRDefault="00C36277" w:rsidP="00C3627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250 and </w:t>
            </w:r>
            <w:proofErr w:type="spellStart"/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more</w:t>
            </w:r>
            <w:proofErr w:type="spellEnd"/>
          </w:p>
        </w:tc>
      </w:tr>
      <w:tr w:rsidR="00C36277" w:rsidRPr="00C36277" w14:paraId="6F6F3040" w14:textId="77777777" w:rsidTr="00C36277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B4286C4" w14:textId="77777777" w:rsidR="00C36277" w:rsidRPr="00C36277" w:rsidRDefault="00C36277" w:rsidP="00C3627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enterprises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238E7F2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4,440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C26E11D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2,796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A970A33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1,644</w:t>
            </w:r>
          </w:p>
        </w:tc>
      </w:tr>
      <w:tr w:rsidR="00C36277" w:rsidRPr="00C36277" w14:paraId="7C2DFC98" w14:textId="77777777" w:rsidTr="00C36277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79AEC68" w14:textId="77777777" w:rsidR="00C36277" w:rsidRPr="00C36277" w:rsidRDefault="00C36277" w:rsidP="00C3627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</w:t>
            </w:r>
            <w:proofErr w:type="spellStart"/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D6C0DA7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1,923,218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554782A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331,596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492BB73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1,591,622</w:t>
            </w:r>
          </w:p>
        </w:tc>
      </w:tr>
      <w:tr w:rsidR="00C36277" w:rsidRPr="00C36277" w14:paraId="0C061CDD" w14:textId="77777777" w:rsidTr="00C36277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B4060E9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44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FD290B4" w14:textId="77777777" w:rsidR="00C36277" w:rsidRPr="00C36277" w:rsidRDefault="00C36277" w:rsidP="00C3627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 </w:t>
            </w:r>
            <w:proofErr w:type="spellStart"/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million</w:t>
            </w:r>
            <w:proofErr w:type="spellEnd"/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PLN</w:t>
            </w:r>
          </w:p>
        </w:tc>
      </w:tr>
      <w:tr w:rsidR="00C36277" w:rsidRPr="00C36277" w14:paraId="640FAF94" w14:textId="77777777" w:rsidTr="00C36277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18E0B19" w14:textId="77777777" w:rsidR="00C36277" w:rsidRPr="00C36277" w:rsidRDefault="00C36277" w:rsidP="00C3627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revenues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14C9C7E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544,820.8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31C6285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128,082.2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2FC4C80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416,738.6</w:t>
            </w:r>
          </w:p>
        </w:tc>
      </w:tr>
      <w:tr w:rsidR="00C36277" w:rsidRPr="00C36277" w14:paraId="32943197" w14:textId="77777777" w:rsidTr="00C36277">
        <w:trPr>
          <w:trHeight w:val="570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8CF9BE1" w14:textId="77777777" w:rsidR="00C36277" w:rsidRPr="00C36277" w:rsidRDefault="00C36277" w:rsidP="00C3627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net revenues from sale</w:t>
            </w:r>
            <w:r w:rsidRPr="00C36277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of products, goods and materials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F9BDBC8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528,878.5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94B67B6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124,640.6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CD6AC13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404,237.8</w:t>
            </w:r>
          </w:p>
        </w:tc>
      </w:tr>
      <w:tr w:rsidR="00C36277" w:rsidRPr="00C36277" w14:paraId="33771B3D" w14:textId="77777777" w:rsidTr="00C36277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A3F3BC7" w14:textId="77777777" w:rsidR="00C36277" w:rsidRPr="00C36277" w:rsidRDefault="00C36277" w:rsidP="00C3627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costs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6E53DE6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527,638.1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3847D18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125,414.6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CBFC1B6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402,223.5</w:t>
            </w:r>
          </w:p>
        </w:tc>
      </w:tr>
      <w:tr w:rsidR="00C36277" w:rsidRPr="00C36277" w14:paraId="618E1DF6" w14:textId="77777777" w:rsidTr="00C36277">
        <w:trPr>
          <w:trHeight w:val="52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B5CCEDE" w14:textId="77777777" w:rsidR="00C36277" w:rsidRPr="00C36277" w:rsidRDefault="00C36277" w:rsidP="00C3627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cost of products,</w:t>
            </w:r>
            <w:r w:rsidRPr="00C36277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goods and materials sold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2792771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508,091.7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CEAD937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119,325.2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89BF18B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388,766.4</w:t>
            </w:r>
          </w:p>
        </w:tc>
      </w:tr>
      <w:tr w:rsidR="00C36277" w:rsidRPr="00C36277" w14:paraId="6F79984B" w14:textId="77777777" w:rsidTr="00C36277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420569D" w14:textId="77777777" w:rsidR="00C36277" w:rsidRPr="00C36277" w:rsidRDefault="00C36277" w:rsidP="00C3627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7A77C43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17,182.7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F56C4CC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2,667.6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EC89142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14,515.1</w:t>
            </w:r>
          </w:p>
        </w:tc>
      </w:tr>
      <w:tr w:rsidR="00C36277" w:rsidRPr="00C36277" w14:paraId="2149F7A5" w14:textId="77777777" w:rsidTr="00C36277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6D47740" w14:textId="77777777" w:rsidR="00C36277" w:rsidRPr="00C36277" w:rsidRDefault="00C36277" w:rsidP="00C3627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Nat </w:t>
            </w:r>
            <w:proofErr w:type="spellStart"/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FEF8B6C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12,453.9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3C47869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1,277.1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34C4D9B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11,176.8</w:t>
            </w:r>
          </w:p>
        </w:tc>
      </w:tr>
      <w:tr w:rsidR="00C36277" w:rsidRPr="00C36277" w14:paraId="70453548" w14:textId="77777777" w:rsidTr="00C36277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DAE4199" w14:textId="77777777" w:rsidR="00C36277" w:rsidRPr="00C36277" w:rsidRDefault="00C36277" w:rsidP="00C3627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Investment </w:t>
            </w:r>
            <w:proofErr w:type="spellStart"/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outlays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1174E18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17,165.4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61BBB72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2,781.6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2DE41" w14:textId="77777777" w:rsidR="00C36277" w:rsidRPr="00C36277" w:rsidRDefault="00C36277" w:rsidP="00C362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36277">
              <w:rPr>
                <w:rFonts w:eastAsia="Times New Roman" w:cs="Calibri"/>
                <w:color w:val="000000"/>
                <w:szCs w:val="19"/>
                <w:lang w:eastAsia="pl-PL"/>
              </w:rPr>
              <w:t>14,383.7</w:t>
            </w:r>
          </w:p>
        </w:tc>
      </w:tr>
    </w:tbl>
    <w:p w14:paraId="3D4DFE05" w14:textId="77777777" w:rsidR="009E3005" w:rsidRDefault="009E300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612C3C2E" w14:textId="017C6907" w:rsidR="001B17E3" w:rsidRDefault="001B17E3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 w:rsidRPr="001B17E3">
        <w:rPr>
          <w:rFonts w:eastAsia="Times New Roman" w:cs="Times New Roman"/>
          <w:szCs w:val="19"/>
          <w:lang w:val="en-US" w:eastAsia="pl-PL"/>
        </w:rPr>
        <w:t>This study presents data on revenues, costs and financial results as</w:t>
      </w:r>
      <w:r w:rsidR="000A3DA4">
        <w:rPr>
          <w:rFonts w:eastAsia="Times New Roman" w:cs="Times New Roman"/>
          <w:szCs w:val="19"/>
          <w:lang w:val="en-US" w:eastAsia="pl-PL"/>
        </w:rPr>
        <w:t xml:space="preserve"> well as investment outlays</w:t>
      </w:r>
      <w:r w:rsidRPr="001B17E3">
        <w:rPr>
          <w:rFonts w:eastAsia="Times New Roman" w:cs="Times New Roman"/>
          <w:szCs w:val="19"/>
          <w:lang w:val="en-US" w:eastAsia="pl-PL"/>
        </w:rPr>
        <w:t xml:space="preserve"> of e</w:t>
      </w:r>
      <w:r w:rsidR="000A3DA4">
        <w:rPr>
          <w:rFonts w:eastAsia="Times New Roman" w:cs="Times New Roman"/>
          <w:szCs w:val="19"/>
          <w:lang w:val="en-US" w:eastAsia="pl-PL"/>
        </w:rPr>
        <w:t xml:space="preserve">nterprises (legal entities). </w:t>
      </w:r>
      <w:r w:rsidR="000A3DA4" w:rsidRPr="000A3DA4">
        <w:rPr>
          <w:rFonts w:eastAsia="Times New Roman" w:cs="Times New Roman"/>
          <w:szCs w:val="19"/>
          <w:lang w:val="en-US" w:eastAsia="pl-PL"/>
        </w:rPr>
        <w:t xml:space="preserve">The source of information is a quarterly survey of revenues, </w:t>
      </w:r>
      <w:r w:rsidR="000A3DA4">
        <w:rPr>
          <w:rFonts w:eastAsia="Times New Roman" w:cs="Times New Roman"/>
          <w:szCs w:val="19"/>
          <w:lang w:val="en-US" w:eastAsia="pl-PL"/>
        </w:rPr>
        <w:t>costs and fin</w:t>
      </w:r>
      <w:r w:rsidR="000A3DA4" w:rsidRPr="000A3DA4">
        <w:rPr>
          <w:rFonts w:eastAsia="Times New Roman" w:cs="Times New Roman"/>
          <w:szCs w:val="19"/>
          <w:lang w:val="en-US" w:eastAsia="pl-PL"/>
        </w:rPr>
        <w:t>ancial result as well as outlays on fixed assets basing on a sta</w:t>
      </w:r>
      <w:r w:rsidR="000A3DA4">
        <w:rPr>
          <w:rFonts w:eastAsia="Times New Roman" w:cs="Times New Roman"/>
          <w:szCs w:val="19"/>
          <w:lang w:val="en-US" w:eastAsia="pl-PL"/>
        </w:rPr>
        <w:t>tistical questionnaire F-01/I-01.</w:t>
      </w:r>
    </w:p>
    <w:p w14:paraId="51335C4D" w14:textId="64ACB5EA" w:rsidR="00E7545C" w:rsidRDefault="00E7545C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The survey</w:t>
      </w:r>
      <w:r w:rsidRPr="00E7545C">
        <w:rPr>
          <w:rFonts w:eastAsia="Times New Roman" w:cs="Times New Roman"/>
          <w:szCs w:val="19"/>
          <w:lang w:val="en-US" w:eastAsia="pl-PL"/>
        </w:rPr>
        <w:t xml:space="preserve"> covers entities of the national economy:</w:t>
      </w:r>
    </w:p>
    <w:p w14:paraId="53F1B29F" w14:textId="7E95902F" w:rsidR="00881EEB" w:rsidRPr="00881EEB" w:rsidRDefault="00881EEB" w:rsidP="00EA57D9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881EEB">
        <w:rPr>
          <w:rFonts w:eastAsia="Times New Roman" w:cs="Times New Roman"/>
          <w:szCs w:val="19"/>
          <w:lang w:val="en-US" w:eastAsia="pl-PL"/>
        </w:rPr>
        <w:t xml:space="preserve">partnerships, capital companies, </w:t>
      </w:r>
      <w:r w:rsidR="00EC0E17" w:rsidRPr="00EC0E17">
        <w:rPr>
          <w:rFonts w:eastAsia="Times New Roman" w:cs="Times New Roman"/>
          <w:szCs w:val="19"/>
          <w:lang w:val="en-US" w:eastAsia="pl-PL"/>
        </w:rPr>
        <w:t>civil law partnerships conducting activities pursuant to a contract concluded on the basis of the Civil Code</w:t>
      </w:r>
      <w:r w:rsidR="00C334C0" w:rsidRPr="00C334C0">
        <w:rPr>
          <w:rFonts w:eastAsia="Times New Roman" w:cs="Times New Roman"/>
          <w:szCs w:val="19"/>
          <w:lang w:val="en-US" w:eastAsia="pl-PL"/>
        </w:rPr>
        <w:t xml:space="preserve"> (Of</w:t>
      </w:r>
      <w:r w:rsidR="00125AFF">
        <w:rPr>
          <w:rFonts w:eastAsia="Times New Roman" w:cs="Times New Roman"/>
          <w:szCs w:val="19"/>
          <w:lang w:val="en-US" w:eastAsia="pl-PL"/>
        </w:rPr>
        <w:t>ficial Journal of 2023, pos. 161</w:t>
      </w:r>
      <w:r w:rsidR="00C334C0" w:rsidRPr="00C334C0">
        <w:rPr>
          <w:rFonts w:eastAsia="Times New Roman" w:cs="Times New Roman"/>
          <w:szCs w:val="19"/>
          <w:lang w:val="en-US" w:eastAsia="pl-PL"/>
        </w:rPr>
        <w:t>0</w:t>
      </w:r>
      <w:r w:rsidR="00C334C0">
        <w:rPr>
          <w:rFonts w:eastAsia="Times New Roman" w:cs="Times New Roman"/>
          <w:szCs w:val="19"/>
          <w:lang w:val="en-US" w:eastAsia="pl-PL"/>
        </w:rPr>
        <w:t>)</w:t>
      </w:r>
      <w:r w:rsidR="00EC0E17">
        <w:rPr>
          <w:rFonts w:eastAsia="Times New Roman" w:cs="Times New Roman"/>
          <w:szCs w:val="19"/>
          <w:lang w:val="en-US" w:eastAsia="pl-PL"/>
        </w:rPr>
        <w:t xml:space="preserve">, </w:t>
      </w:r>
      <w:r w:rsidR="00EC0E17" w:rsidRPr="00EC0E17">
        <w:rPr>
          <w:rFonts w:eastAsia="Times New Roman" w:cs="Times New Roman"/>
          <w:szCs w:val="19"/>
          <w:lang w:val="en-US" w:eastAsia="pl-PL"/>
        </w:rPr>
        <w:t>companies subject to legal regulations other than the Code of Commercia</w:t>
      </w:r>
      <w:r w:rsidR="00C334C0">
        <w:rPr>
          <w:rFonts w:eastAsia="Times New Roman" w:cs="Times New Roman"/>
          <w:szCs w:val="19"/>
          <w:lang w:val="en-US" w:eastAsia="pl-PL"/>
        </w:rPr>
        <w:t>l Companies</w:t>
      </w:r>
      <w:r w:rsidR="00C334C0" w:rsidRPr="00C334C0">
        <w:rPr>
          <w:rFonts w:eastAsia="Times New Roman" w:cs="Times New Roman"/>
          <w:szCs w:val="19"/>
          <w:lang w:val="en-US" w:eastAsia="pl-PL"/>
        </w:rPr>
        <w:t xml:space="preserve"> (Official Journal of 2024, pos. 18)</w:t>
      </w:r>
      <w:r w:rsidR="00C334C0">
        <w:rPr>
          <w:rFonts w:eastAsia="Times New Roman" w:cs="Times New Roman"/>
          <w:szCs w:val="19"/>
          <w:lang w:val="en-US" w:eastAsia="pl-PL"/>
        </w:rPr>
        <w:t xml:space="preserve"> </w:t>
      </w:r>
      <w:r w:rsidR="00EC0E17" w:rsidRPr="00EC0E17">
        <w:rPr>
          <w:rFonts w:eastAsia="Times New Roman" w:cs="Times New Roman"/>
          <w:szCs w:val="19"/>
          <w:lang w:val="en-US" w:eastAsia="pl-PL"/>
        </w:rPr>
        <w:t>and the Civil Code or legal forms to whi</w:t>
      </w:r>
      <w:r w:rsidR="0041497C">
        <w:rPr>
          <w:rFonts w:eastAsia="Times New Roman" w:cs="Times New Roman"/>
          <w:szCs w:val="19"/>
          <w:lang w:val="en-US" w:eastAsia="pl-PL"/>
        </w:rPr>
        <w:t xml:space="preserve">ch the provisions on companies </w:t>
      </w:r>
      <w:r w:rsidR="00EC0E17" w:rsidRPr="00EC0E17">
        <w:rPr>
          <w:rFonts w:eastAsia="Times New Roman" w:cs="Times New Roman"/>
          <w:szCs w:val="19"/>
          <w:lang w:val="en-US" w:eastAsia="pl-PL"/>
        </w:rPr>
        <w:t>appl</w:t>
      </w:r>
      <w:r w:rsidR="00EC0E17">
        <w:rPr>
          <w:rFonts w:eastAsia="Times New Roman" w:cs="Times New Roman"/>
          <w:szCs w:val="19"/>
          <w:lang w:val="en-US" w:eastAsia="pl-PL"/>
        </w:rPr>
        <w:t>y, branches of foreign entrepre</w:t>
      </w:r>
      <w:r w:rsidR="00EC0E17" w:rsidRPr="00EC0E17">
        <w:rPr>
          <w:rFonts w:eastAsia="Times New Roman" w:cs="Times New Roman"/>
          <w:szCs w:val="19"/>
          <w:lang w:val="en-US" w:eastAsia="pl-PL"/>
        </w:rPr>
        <w:t>neurs, state-owned enterprises, cooperativ</w:t>
      </w:r>
      <w:r w:rsidR="0041497C">
        <w:rPr>
          <w:rFonts w:eastAsia="Times New Roman" w:cs="Times New Roman"/>
          <w:szCs w:val="19"/>
          <w:lang w:val="en-US" w:eastAsia="pl-PL"/>
        </w:rPr>
        <w:t xml:space="preserve">es, state organizational units </w:t>
      </w:r>
      <w:r w:rsidR="00EC0E17" w:rsidRPr="00EC0E17">
        <w:rPr>
          <w:rFonts w:eastAsia="Times New Roman" w:cs="Times New Roman"/>
          <w:szCs w:val="19"/>
          <w:lang w:val="en-US" w:eastAsia="pl-PL"/>
        </w:rPr>
        <w:t>and natural persons conducting economic activity</w:t>
      </w:r>
      <w:r w:rsidRPr="00881EEB">
        <w:rPr>
          <w:rFonts w:eastAsia="Times New Roman" w:cs="Times New Roman"/>
          <w:szCs w:val="19"/>
          <w:lang w:val="en-US" w:eastAsia="pl-PL"/>
        </w:rPr>
        <w:t>,</w:t>
      </w:r>
    </w:p>
    <w:p w14:paraId="7A5E5D8E" w14:textId="39A097D6" w:rsidR="00881EEB" w:rsidRPr="00881EEB" w:rsidRDefault="00881EEB" w:rsidP="00812F63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keeping accounting ledgers</w:t>
      </w:r>
      <w:r w:rsidRPr="00881EEB">
        <w:rPr>
          <w:rFonts w:eastAsia="Times New Roman" w:cs="Times New Roman"/>
          <w:szCs w:val="19"/>
          <w:lang w:val="en-US" w:eastAsia="pl-PL"/>
        </w:rPr>
        <w:t>,</w:t>
      </w:r>
    </w:p>
    <w:p w14:paraId="11380660" w14:textId="64E76DD8" w:rsidR="00881EEB" w:rsidRPr="00881EEB" w:rsidRDefault="00881EEB" w:rsidP="00812F63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881EEB">
        <w:rPr>
          <w:rFonts w:eastAsia="Times New Roman" w:cs="Times New Roman"/>
          <w:szCs w:val="19"/>
          <w:lang w:val="en-US" w:eastAsia="pl-PL"/>
        </w:rPr>
        <w:t>with</w:t>
      </w:r>
      <w:r>
        <w:rPr>
          <w:rFonts w:eastAsia="Times New Roman" w:cs="Times New Roman"/>
          <w:szCs w:val="19"/>
          <w:lang w:val="en-US" w:eastAsia="pl-PL"/>
        </w:rPr>
        <w:t xml:space="preserve"> 10 and more persons employed</w:t>
      </w:r>
      <w:r w:rsidRPr="00881EEB">
        <w:rPr>
          <w:rFonts w:eastAsia="Times New Roman" w:cs="Times New Roman"/>
          <w:szCs w:val="19"/>
          <w:lang w:val="en-US" w:eastAsia="pl-PL"/>
        </w:rPr>
        <w:t>,</w:t>
      </w:r>
    </w:p>
    <w:p w14:paraId="790DA6A5" w14:textId="5A9CF938" w:rsidR="001B17E3" w:rsidRPr="00C449A6" w:rsidRDefault="00EC0E17" w:rsidP="00812F63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EC0E17">
        <w:rPr>
          <w:rFonts w:eastAsia="Times New Roman" w:cs="Times New Roman"/>
          <w:szCs w:val="19"/>
          <w:lang w:val="en-US" w:eastAsia="pl-PL"/>
        </w:rPr>
        <w:t xml:space="preserve">conducting </w:t>
      </w:r>
      <w:r w:rsidR="002E6EF1">
        <w:rPr>
          <w:rFonts w:eastAsia="Times New Roman" w:cs="Times New Roman"/>
          <w:szCs w:val="19"/>
          <w:lang w:val="en-US" w:eastAsia="pl-PL"/>
        </w:rPr>
        <w:t xml:space="preserve">main </w:t>
      </w:r>
      <w:r w:rsidRPr="00EC0E17">
        <w:rPr>
          <w:rFonts w:eastAsia="Times New Roman" w:cs="Times New Roman"/>
          <w:szCs w:val="19"/>
          <w:lang w:val="en-US" w:eastAsia="pl-PL"/>
        </w:rPr>
        <w:t>economic activit</w:t>
      </w:r>
      <w:r w:rsidR="00A27736">
        <w:rPr>
          <w:rFonts w:eastAsia="Times New Roman" w:cs="Times New Roman"/>
          <w:szCs w:val="19"/>
          <w:lang w:val="en-US" w:eastAsia="pl-PL"/>
        </w:rPr>
        <w:t>y classified according to NACE r</w:t>
      </w:r>
      <w:r w:rsidRPr="00EC0E17">
        <w:rPr>
          <w:rFonts w:eastAsia="Times New Roman" w:cs="Times New Roman"/>
          <w:szCs w:val="19"/>
          <w:lang w:val="en-US" w:eastAsia="pl-PL"/>
        </w:rPr>
        <w:t>ev. 2 to the following sections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="00881EEB" w:rsidRPr="00881EEB">
        <w:rPr>
          <w:rFonts w:eastAsia="Times New Roman" w:cs="Times New Roman"/>
          <w:szCs w:val="19"/>
          <w:lang w:val="en-US" w:eastAsia="pl-PL"/>
        </w:rPr>
        <w:t>A (excluding</w:t>
      </w:r>
      <w:r w:rsidR="008065C6">
        <w:rPr>
          <w:rFonts w:eastAsia="Times New Roman" w:cs="Times New Roman"/>
          <w:szCs w:val="19"/>
          <w:lang w:val="en-US" w:eastAsia="pl-PL"/>
        </w:rPr>
        <w:t xml:space="preserve"> </w:t>
      </w:r>
      <w:r w:rsidR="008065C6" w:rsidRPr="00982D89">
        <w:rPr>
          <w:rFonts w:cs="Arial"/>
          <w:szCs w:val="19"/>
          <w:lang w:val="en-US"/>
        </w:rPr>
        <w:t>individual agricultural holdings</w:t>
      </w:r>
      <w:r w:rsidR="00881EEB" w:rsidRPr="00881EEB">
        <w:rPr>
          <w:rFonts w:eastAsia="Times New Roman" w:cs="Times New Roman"/>
          <w:szCs w:val="19"/>
          <w:lang w:val="en-US" w:eastAsia="pl-PL"/>
        </w:rPr>
        <w:t>), B, C, D, E, F, G, H, I, J (excluding</w:t>
      </w:r>
      <w:r w:rsidR="00B02E84">
        <w:rPr>
          <w:rFonts w:eastAsia="Times New Roman" w:cs="Times New Roman"/>
          <w:szCs w:val="19"/>
          <w:lang w:val="en-US" w:eastAsia="pl-PL"/>
        </w:rPr>
        <w:t xml:space="preserve"> </w:t>
      </w:r>
      <w:r w:rsidR="00B02E84" w:rsidRPr="00B02E84">
        <w:rPr>
          <w:rFonts w:eastAsia="Times New Roman" w:cs="Times New Roman"/>
          <w:szCs w:val="19"/>
          <w:lang w:val="en-US" w:eastAsia="pl-PL"/>
        </w:rPr>
        <w:t>cultural institutions with legal personality</w:t>
      </w:r>
      <w:r w:rsidR="00881EEB" w:rsidRPr="00881EEB">
        <w:rPr>
          <w:rFonts w:eastAsia="Times New Roman" w:cs="Times New Roman"/>
          <w:szCs w:val="19"/>
          <w:lang w:val="en-US" w:eastAsia="pl-PL"/>
        </w:rPr>
        <w:t>), K (excluding banks, cooperative savings and credit unions, insurance institutions, brokerage offices and houses, investment societies and funds as well as pension societies and funds), L, M, N, P (excluding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="003E2B24">
        <w:rPr>
          <w:rFonts w:eastAsia="Times New Roman" w:cs="Times New Roman"/>
          <w:szCs w:val="19"/>
          <w:lang w:val="en-US" w:eastAsia="pl-PL"/>
        </w:rPr>
        <w:t>higher education</w:t>
      </w:r>
      <w:r w:rsidR="002161A4">
        <w:rPr>
          <w:rFonts w:eastAsia="Times New Roman" w:cs="Times New Roman"/>
          <w:szCs w:val="19"/>
          <w:lang w:val="en-US" w:eastAsia="pl-PL"/>
        </w:rPr>
        <w:t xml:space="preserve"> institutions</w:t>
      </w:r>
      <w:r w:rsidR="00881EEB" w:rsidRPr="00881EEB">
        <w:rPr>
          <w:rFonts w:eastAsia="Times New Roman" w:cs="Times New Roman"/>
          <w:szCs w:val="19"/>
          <w:lang w:val="en-US" w:eastAsia="pl-PL"/>
        </w:rPr>
        <w:t>), Q (excluding independent public health care facilities), R (excluding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Pr="00EC0E17">
        <w:rPr>
          <w:rFonts w:eastAsia="Times New Roman" w:cs="Times New Roman"/>
          <w:szCs w:val="19"/>
          <w:lang w:val="en-US" w:eastAsia="pl-PL"/>
        </w:rPr>
        <w:t>cultural i</w:t>
      </w:r>
      <w:r>
        <w:rPr>
          <w:rFonts w:eastAsia="Times New Roman" w:cs="Times New Roman"/>
          <w:szCs w:val="19"/>
          <w:lang w:val="en-US" w:eastAsia="pl-PL"/>
        </w:rPr>
        <w:t>nstitutions having legal person</w:t>
      </w:r>
      <w:r w:rsidRPr="00EC0E17">
        <w:rPr>
          <w:rFonts w:eastAsia="Times New Roman" w:cs="Times New Roman"/>
          <w:szCs w:val="19"/>
          <w:lang w:val="en-US" w:eastAsia="pl-PL"/>
        </w:rPr>
        <w:t>ality</w:t>
      </w:r>
      <w:r w:rsidR="00881EEB" w:rsidRPr="00881EEB">
        <w:rPr>
          <w:rFonts w:eastAsia="Times New Roman" w:cs="Times New Roman"/>
          <w:szCs w:val="19"/>
          <w:lang w:val="en-US" w:eastAsia="pl-PL"/>
        </w:rPr>
        <w:t>), S (excluding trade unions, religious and political organizations).</w:t>
      </w:r>
    </w:p>
    <w:p w14:paraId="66EC232C" w14:textId="77777777" w:rsidR="00812F63" w:rsidRDefault="00812F63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</w:p>
    <w:p w14:paraId="5F169B18" w14:textId="7B7EF0BF" w:rsidR="00A75133" w:rsidRDefault="00010344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 w:rsidRPr="00010344">
        <w:rPr>
          <w:rFonts w:eastAsia="Times New Roman" w:cs="Times New Roman"/>
          <w:szCs w:val="19"/>
          <w:lang w:val="en-US" w:eastAsia="pl-PL"/>
        </w:rPr>
        <w:t xml:space="preserve">The subjective and objective scope of the presented data is wider than information on non-financial enterprises (legal entities) published </w:t>
      </w:r>
      <w:proofErr w:type="spellStart"/>
      <w:r w:rsidRPr="00010344">
        <w:rPr>
          <w:rFonts w:eastAsia="Times New Roman" w:cs="Times New Roman"/>
          <w:szCs w:val="19"/>
          <w:lang w:val="en-US" w:eastAsia="pl-PL"/>
        </w:rPr>
        <w:t>a.o.</w:t>
      </w:r>
      <w:proofErr w:type="spellEnd"/>
      <w:r w:rsidRPr="00010344">
        <w:rPr>
          <w:rFonts w:eastAsia="Times New Roman" w:cs="Times New Roman"/>
          <w:szCs w:val="19"/>
          <w:lang w:val="en-US" w:eastAsia="pl-PL"/>
        </w:rPr>
        <w:t xml:space="preserve"> in Statistical Bulletin, Information on socio-economic situation of the country, News releases "Financial results of non-financial enterprises" and databases. The data in this study apply to all entities preparing statistical questionnaire F-01/I-01, regardless of their main kind of activity in accordance with NACE Rev.2 and size class by number of persons employed and also cover the full scope of data collected on a statistical questionnaire F-01/I-01.</w:t>
      </w:r>
    </w:p>
    <w:p w14:paraId="1FBA5241" w14:textId="5551EAC2" w:rsidR="00B32076" w:rsidRPr="00B32076" w:rsidRDefault="00B32076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 w:rsidRPr="00B32076">
        <w:rPr>
          <w:rFonts w:eastAsia="Times New Roman" w:cs="Times New Roman"/>
          <w:szCs w:val="19"/>
          <w:lang w:val="en-US" w:eastAsia="pl-PL"/>
        </w:rPr>
        <w:t>The presented surveyed enterprises are divided into two groups acco</w:t>
      </w:r>
      <w:r>
        <w:rPr>
          <w:rFonts w:eastAsia="Times New Roman" w:cs="Times New Roman"/>
          <w:szCs w:val="19"/>
          <w:lang w:val="en-US" w:eastAsia="pl-PL"/>
        </w:rPr>
        <w:t>rding to the number of persons employed</w:t>
      </w:r>
      <w:r w:rsidRPr="00B32076">
        <w:rPr>
          <w:rFonts w:eastAsia="Times New Roman" w:cs="Times New Roman"/>
          <w:szCs w:val="19"/>
          <w:lang w:val="en-US" w:eastAsia="pl-PL"/>
        </w:rPr>
        <w:t>, according to which reporting obligations for a given period are determined:</w:t>
      </w:r>
    </w:p>
    <w:p w14:paraId="67B82CAB" w14:textId="2F0F69AC" w:rsidR="00B32076" w:rsidRDefault="00B32076" w:rsidP="00812F63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B32076">
        <w:rPr>
          <w:rFonts w:eastAsia="Times New Roman" w:cs="Times New Roman"/>
          <w:szCs w:val="19"/>
          <w:lang w:val="en-US" w:eastAsia="pl-PL"/>
        </w:rPr>
        <w:t xml:space="preserve">enterprises </w:t>
      </w:r>
      <w:r>
        <w:rPr>
          <w:rFonts w:eastAsia="Times New Roman" w:cs="Times New Roman"/>
          <w:szCs w:val="19"/>
          <w:lang w:val="en-US" w:eastAsia="pl-PL"/>
        </w:rPr>
        <w:t>with 50 and more persons employed</w:t>
      </w:r>
      <w:r w:rsidR="00BB51FD">
        <w:rPr>
          <w:rFonts w:eastAsia="Times New Roman" w:cs="Times New Roman"/>
          <w:szCs w:val="19"/>
          <w:lang w:val="en-US" w:eastAsia="pl-PL"/>
        </w:rPr>
        <w:t xml:space="preserve"> </w:t>
      </w:r>
      <w:r w:rsidR="00BB51FD" w:rsidRPr="00392BDE">
        <w:rPr>
          <w:rFonts w:eastAsia="Times New Roman" w:cs="Times New Roman"/>
          <w:szCs w:val="19"/>
          <w:lang w:val="en-US" w:eastAsia="pl-PL"/>
        </w:rPr>
        <w:t>–</w:t>
      </w:r>
      <w:r w:rsidRPr="00B32076">
        <w:rPr>
          <w:rFonts w:eastAsia="Times New Roman" w:cs="Times New Roman"/>
          <w:szCs w:val="19"/>
          <w:lang w:val="en-US" w:eastAsia="pl-PL"/>
        </w:rPr>
        <w:t xml:space="preserve"> this group is presented in the study divided into t</w:t>
      </w:r>
      <w:r w:rsidR="0013315B">
        <w:rPr>
          <w:rFonts w:eastAsia="Times New Roman" w:cs="Times New Roman"/>
          <w:szCs w:val="19"/>
          <w:lang w:val="en-US" w:eastAsia="pl-PL"/>
        </w:rPr>
        <w:t xml:space="preserve">wo subgroups: entities from 50 to 249 persons employed and entities with </w:t>
      </w:r>
      <w:r w:rsidR="0013315B">
        <w:rPr>
          <w:rFonts w:eastAsia="Times New Roman" w:cs="Times New Roman"/>
          <w:szCs w:val="19"/>
          <w:lang w:val="en-US" w:eastAsia="pl-PL"/>
        </w:rPr>
        <w:lastRenderedPageBreak/>
        <w:t>250</w:t>
      </w:r>
      <w:r w:rsidRPr="00B32076">
        <w:rPr>
          <w:rFonts w:eastAsia="Times New Roman" w:cs="Times New Roman"/>
          <w:szCs w:val="19"/>
          <w:lang w:val="en-US" w:eastAsia="pl-PL"/>
        </w:rPr>
        <w:t xml:space="preserve"> and more</w:t>
      </w:r>
      <w:r w:rsidR="0013315B">
        <w:rPr>
          <w:rFonts w:eastAsia="Times New Roman" w:cs="Times New Roman"/>
          <w:szCs w:val="19"/>
          <w:lang w:val="en-US" w:eastAsia="pl-PL"/>
        </w:rPr>
        <w:t xml:space="preserve"> persons employed</w:t>
      </w:r>
      <w:r w:rsidRPr="00B32076">
        <w:rPr>
          <w:rFonts w:eastAsia="Times New Roman" w:cs="Times New Roman"/>
          <w:szCs w:val="19"/>
          <w:lang w:val="en-US" w:eastAsia="pl-PL"/>
        </w:rPr>
        <w:t>; these units are obliged to submit statistical reports on a quarterly basis.</w:t>
      </w:r>
    </w:p>
    <w:p w14:paraId="0148CADA" w14:textId="323DAEE8" w:rsidR="00A75133" w:rsidRPr="00B32076" w:rsidRDefault="00B32076" w:rsidP="00812F63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enterprises from 10 to 49 persons employed</w:t>
      </w:r>
      <w:r w:rsidR="00BB51FD">
        <w:rPr>
          <w:rFonts w:eastAsia="Times New Roman" w:cs="Times New Roman"/>
          <w:szCs w:val="19"/>
          <w:lang w:val="en-US" w:eastAsia="pl-PL"/>
        </w:rPr>
        <w:t xml:space="preserve"> </w:t>
      </w:r>
      <w:r w:rsidR="00BB51FD" w:rsidRPr="00392BDE">
        <w:rPr>
          <w:rFonts w:eastAsia="Times New Roman" w:cs="Times New Roman"/>
          <w:szCs w:val="19"/>
          <w:lang w:val="en-US" w:eastAsia="pl-PL"/>
        </w:rPr>
        <w:t>–</w:t>
      </w:r>
      <w:r w:rsidRPr="00B32076">
        <w:rPr>
          <w:rFonts w:eastAsia="Times New Roman" w:cs="Times New Roman"/>
          <w:szCs w:val="19"/>
          <w:lang w:val="en-US" w:eastAsia="pl-PL"/>
        </w:rPr>
        <w:t xml:space="preserve"> these entities are obliged to submit reports on a semi-annual basis.</w:t>
      </w:r>
    </w:p>
    <w:p w14:paraId="1BBF0466" w14:textId="77777777" w:rsidR="001B17E3" w:rsidRDefault="001B17E3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</w:p>
    <w:p w14:paraId="2671289C" w14:textId="67A8707C" w:rsidR="001D2E71" w:rsidRDefault="001D2E71" w:rsidP="006D3717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 w:rsidRPr="00D11B1F">
        <w:rPr>
          <w:rFonts w:eastAsia="Times New Roman" w:cs="Times New Roman"/>
          <w:b/>
          <w:szCs w:val="19"/>
          <w:lang w:val="en-US" w:eastAsia="pl-PL"/>
        </w:rPr>
        <w:t>Other</w:t>
      </w:r>
      <w:r w:rsidRPr="001D2E71">
        <w:rPr>
          <w:rFonts w:eastAsia="Times New Roman" w:cs="Times New Roman"/>
          <w:szCs w:val="19"/>
          <w:lang w:val="en-US" w:eastAsia="pl-PL"/>
        </w:rPr>
        <w:t xml:space="preserve"> methodological explanat</w:t>
      </w:r>
      <w:r w:rsidR="00EA705D">
        <w:rPr>
          <w:rFonts w:eastAsia="Times New Roman" w:cs="Times New Roman"/>
          <w:szCs w:val="19"/>
          <w:lang w:val="en-US" w:eastAsia="pl-PL"/>
        </w:rPr>
        <w:t>ions and definitions of terms</w:t>
      </w:r>
      <w:r w:rsidRPr="001D2E71">
        <w:rPr>
          <w:rFonts w:eastAsia="Times New Roman" w:cs="Times New Roman"/>
          <w:szCs w:val="19"/>
          <w:lang w:val="en-US" w:eastAsia="pl-PL"/>
        </w:rPr>
        <w:t xml:space="preserve"> can be found in the </w:t>
      </w:r>
      <w:r w:rsidR="00EA705D" w:rsidRPr="00314D2F">
        <w:rPr>
          <w:lang w:val="en-GB"/>
        </w:rPr>
        <w:t>explanatory notes to the data set on revenues, costs and financial result and on outlays on fixed assets</w:t>
      </w:r>
      <w:r w:rsidR="00EA705D">
        <w:rPr>
          <w:rFonts w:eastAsia="Times New Roman" w:cs="Times New Roman"/>
          <w:szCs w:val="19"/>
          <w:lang w:val="en-US" w:eastAsia="pl-PL"/>
        </w:rPr>
        <w:t xml:space="preserve"> </w:t>
      </w:r>
      <w:r w:rsidRPr="001D2E71">
        <w:rPr>
          <w:rFonts w:eastAsia="Times New Roman" w:cs="Times New Roman"/>
          <w:szCs w:val="19"/>
          <w:lang w:val="en-US" w:eastAsia="pl-PL"/>
        </w:rPr>
        <w:t xml:space="preserve">on form </w:t>
      </w:r>
      <w:hyperlink r:id="rId10" w:history="1">
        <w:r w:rsidRPr="00FA0285">
          <w:rPr>
            <w:rStyle w:val="Hipercze"/>
            <w:rFonts w:eastAsia="Times New Roman"/>
            <w:szCs w:val="19"/>
            <w:lang w:val="en-US" w:eastAsia="pl-PL"/>
          </w:rPr>
          <w:t>F-01/I-01</w:t>
        </w:r>
      </w:hyperlink>
      <w:r w:rsidRPr="001D2E71">
        <w:rPr>
          <w:rFonts w:eastAsia="Times New Roman" w:cs="Times New Roman"/>
          <w:szCs w:val="19"/>
          <w:lang w:val="en-US" w:eastAsia="pl-PL"/>
        </w:rPr>
        <w:t xml:space="preserve"> and in the "</w:t>
      </w:r>
      <w:hyperlink r:id="rId11" w:history="1">
        <w:r w:rsidRPr="001D2E71">
          <w:rPr>
            <w:rStyle w:val="Hipercze"/>
            <w:rFonts w:eastAsia="Times New Roman"/>
            <w:szCs w:val="19"/>
            <w:lang w:val="en-US" w:eastAsia="pl-PL"/>
          </w:rPr>
          <w:t>Methodological report. Non-financial enterprises surveys 2019</w:t>
        </w:r>
      </w:hyperlink>
      <w:r>
        <w:rPr>
          <w:rFonts w:eastAsia="Times New Roman" w:cs="Times New Roman"/>
          <w:szCs w:val="19"/>
          <w:lang w:val="en-US" w:eastAsia="pl-PL"/>
        </w:rPr>
        <w:t>”.</w:t>
      </w:r>
    </w:p>
    <w:p w14:paraId="18DDD3A8" w14:textId="166F712E" w:rsidR="00893453" w:rsidRPr="00953206" w:rsidRDefault="00D11B1F" w:rsidP="00953206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 w:rsidRPr="00D11B1F">
        <w:rPr>
          <w:rFonts w:eastAsia="Times New Roman" w:cs="Times New Roman"/>
          <w:b/>
          <w:szCs w:val="19"/>
          <w:lang w:val="en-US" w:eastAsia="pl-PL"/>
        </w:rPr>
        <w:t xml:space="preserve">An integral part of this study are tables in the XLSX format </w:t>
      </w:r>
      <w:r w:rsidR="00520F14">
        <w:rPr>
          <w:rFonts w:eastAsia="Times New Roman" w:cs="Times New Roman"/>
          <w:b/>
          <w:szCs w:val="19"/>
          <w:lang w:val="en-US" w:eastAsia="pl-PL"/>
        </w:rPr>
        <w:t xml:space="preserve">as well as csv format </w:t>
      </w:r>
      <w:r w:rsidRPr="00D11B1F">
        <w:rPr>
          <w:rFonts w:eastAsia="Times New Roman" w:cs="Times New Roman"/>
          <w:b/>
          <w:szCs w:val="19"/>
          <w:lang w:val="en-US" w:eastAsia="pl-PL"/>
        </w:rPr>
        <w:t xml:space="preserve">(files for download) with a set of all data collected on the F-01/I-01 </w:t>
      </w:r>
      <w:r w:rsidRPr="00953206">
        <w:rPr>
          <w:rFonts w:eastAsia="Times New Roman" w:cs="Times New Roman"/>
          <w:b/>
          <w:szCs w:val="19"/>
          <w:lang w:val="en-US" w:eastAsia="pl-PL"/>
        </w:rPr>
        <w:t>form</w:t>
      </w:r>
      <w:r w:rsidR="00953206">
        <w:rPr>
          <w:rFonts w:eastAsia="Times New Roman" w:cs="Times New Roman"/>
          <w:b/>
          <w:szCs w:val="19"/>
          <w:lang w:val="en-US" w:eastAsia="pl-PL"/>
        </w:rPr>
        <w:t>.</w:t>
      </w:r>
    </w:p>
    <w:p w14:paraId="49855707" w14:textId="77777777" w:rsidR="00B15241" w:rsidRDefault="00B15241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613552E5" w14:textId="14F6CB30" w:rsidR="00D11B1F" w:rsidRDefault="00DE4388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E4388">
        <w:rPr>
          <w:rFonts w:eastAsia="Times New Roman" w:cs="Times New Roman"/>
          <w:szCs w:val="19"/>
          <w:lang w:val="en-US" w:eastAsia="pl-PL"/>
        </w:rPr>
        <w:t>Data prepared with statistical confidentiality in accordance with Art. 10 and art. 38 of the Act of 29 June 1995 on public statistics.</w:t>
      </w:r>
    </w:p>
    <w:p w14:paraId="3C222B0C" w14:textId="51BEC024" w:rsidR="00DA331D" w:rsidRPr="00B15241" w:rsidRDefault="005C3559" w:rsidP="00B15241">
      <w:pPr>
        <w:spacing w:line="288" w:lineRule="auto"/>
        <w:rPr>
          <w:rFonts w:eastAsia="Times New Roman" w:cs="Times New Roman"/>
          <w:szCs w:val="19"/>
          <w:lang w:val="en-US" w:eastAsia="pl-PL"/>
        </w:rPr>
        <w:sectPr w:rsidR="00DA331D" w:rsidRPr="00B15241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5C3559">
        <w:rPr>
          <w:rFonts w:eastAsia="Times New Roman" w:cs="Times New Roman"/>
          <w:szCs w:val="19"/>
          <w:lang w:val="en-US" w:eastAsia="pl-PL"/>
        </w:rPr>
        <w:t>In the case of quoting Statistics Poland data, please provide information: “Source of data: Statistics Poland” and in the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010344" w14:paraId="196D0BDA" w14:textId="77777777" w:rsidTr="009E7D31">
        <w:trPr>
          <w:trHeight w:val="1626"/>
        </w:trPr>
        <w:tc>
          <w:tcPr>
            <w:tcW w:w="4926" w:type="dxa"/>
          </w:tcPr>
          <w:p w14:paraId="05DA311F" w14:textId="094CF4F7" w:rsidR="00DE2400" w:rsidRPr="00BE16FB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</w:p>
          <w:p w14:paraId="1E9B29DC" w14:textId="09E786CB" w:rsidR="00DE2400" w:rsidRPr="00BE16FB" w:rsidRDefault="00742204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Enterprise</w:t>
            </w:r>
            <w:r w:rsidR="006C197A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41A1AE38" w14:textId="7B8CE964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742204">
              <w:rPr>
                <w:b/>
                <w:lang w:val="fi-FI"/>
              </w:rPr>
              <w:t>Katarzyna Walkowska</w:t>
            </w:r>
          </w:p>
          <w:p w14:paraId="5425F0B4" w14:textId="7777BD5C" w:rsidR="00DE2400" w:rsidRPr="00AB24E4" w:rsidRDefault="006C197A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2157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6974E422" w14:textId="77777777" w:rsidR="00B0247C" w:rsidRPr="005653EE" w:rsidRDefault="006C197A" w:rsidP="00B0247C">
            <w:pPr>
              <w:rPr>
                <w:b/>
                <w:lang w:val="en-GB"/>
              </w:rPr>
            </w:pPr>
            <w:r w:rsidRPr="00B0247C">
              <w:rPr>
                <w:rFonts w:cs="Arial"/>
                <w:sz w:val="20"/>
                <w:lang w:val="en-US"/>
              </w:rPr>
              <w:t>Issued by</w:t>
            </w:r>
            <w:r w:rsidR="00DE2400" w:rsidRPr="00B0247C">
              <w:rPr>
                <w:rFonts w:cs="Arial"/>
                <w:sz w:val="20"/>
                <w:lang w:val="en-US"/>
              </w:rPr>
              <w:t>:</w:t>
            </w:r>
            <w:r w:rsidR="00DE2400" w:rsidRPr="00B0247C">
              <w:rPr>
                <w:rFonts w:cs="Arial"/>
                <w:sz w:val="20"/>
                <w:lang w:val="en-US"/>
              </w:rPr>
              <w:br/>
            </w:r>
            <w:r w:rsidR="00B0247C" w:rsidRPr="005653EE">
              <w:rPr>
                <w:b/>
                <w:lang w:val="en-GB"/>
              </w:rPr>
              <w:t>Press Office</w:t>
            </w:r>
          </w:p>
          <w:p w14:paraId="4460D853" w14:textId="77777777" w:rsidR="00B0247C" w:rsidRPr="005653EE" w:rsidRDefault="00B0247C" w:rsidP="00B0247C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14:paraId="5257B82D" w14:textId="77777777" w:rsidR="00B0247C" w:rsidRDefault="00B0247C" w:rsidP="00B0247C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14:paraId="0A416FE4" w14:textId="77777777" w:rsidR="00B0247C" w:rsidRPr="005653EE" w:rsidRDefault="00B0247C" w:rsidP="00B0247C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14:paraId="0B6E33A1" w14:textId="77777777" w:rsidR="00B0247C" w:rsidRPr="00AE54DC" w:rsidRDefault="00B0247C" w:rsidP="00B0247C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3CC62B04" w14:textId="69CFF19C" w:rsidR="00DE2400" w:rsidRPr="00B0247C" w:rsidRDefault="00DE2400" w:rsidP="00B0247C">
            <w:pPr>
              <w:spacing w:before="0" w:line="276" w:lineRule="auto"/>
              <w:rPr>
                <w:sz w:val="18"/>
                <w:lang w:val="fi-FI"/>
              </w:rPr>
            </w:pPr>
          </w:p>
        </w:tc>
      </w:tr>
      <w:tr w:rsidR="00DE2400" w:rsidRPr="00CA0E6D" w14:paraId="28647E7C" w14:textId="77777777" w:rsidTr="009E7D31">
        <w:trPr>
          <w:trHeight w:val="418"/>
        </w:trPr>
        <w:tc>
          <w:tcPr>
            <w:tcW w:w="4926" w:type="dxa"/>
            <w:vMerge w:val="restart"/>
          </w:tcPr>
          <w:p w14:paraId="07C73DA1" w14:textId="4F8B2AFC" w:rsidR="00DE2400" w:rsidRPr="00F05FC7" w:rsidRDefault="00DE2400" w:rsidP="00747B8C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1941133" w14:textId="2EA7F020" w:rsidR="00DE2400" w:rsidRPr="00BE16FB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16FB">
              <w:rPr>
                <w:sz w:val="20"/>
                <w:lang w:val="en-US"/>
              </w:rPr>
              <w:t>stat.gov.pl</w:t>
            </w:r>
            <w:r w:rsidR="002021A6" w:rsidRPr="00BE16FB">
              <w:rPr>
                <w:sz w:val="20"/>
                <w:lang w:val="en-US"/>
              </w:rPr>
              <w:t>/</w:t>
            </w:r>
            <w:proofErr w:type="spellStart"/>
            <w:r w:rsidR="002021A6" w:rsidRPr="00BE16FB">
              <w:rPr>
                <w:sz w:val="20"/>
                <w:lang w:val="en-US"/>
              </w:rPr>
              <w:t>en</w:t>
            </w:r>
            <w:proofErr w:type="spellEnd"/>
            <w:r w:rsidR="002021A6" w:rsidRPr="00BE16FB">
              <w:rPr>
                <w:sz w:val="20"/>
                <w:lang w:val="en-US"/>
              </w:rPr>
              <w:t>/</w:t>
            </w:r>
            <w:r w:rsidRPr="00BE16FB">
              <w:rPr>
                <w:sz w:val="18"/>
                <w:lang w:val="en-US"/>
              </w:rPr>
              <w:t xml:space="preserve">     </w:t>
            </w:r>
          </w:p>
        </w:tc>
      </w:tr>
      <w:tr w:rsidR="00DE1D0A" w14:paraId="36A99721" w14:textId="77777777" w:rsidTr="009E7D31">
        <w:trPr>
          <w:trHeight w:val="418"/>
        </w:trPr>
        <w:tc>
          <w:tcPr>
            <w:tcW w:w="4926" w:type="dxa"/>
            <w:vMerge/>
          </w:tcPr>
          <w:p w14:paraId="3255344A" w14:textId="77777777" w:rsidR="00DE1D0A" w:rsidRPr="00BE16FB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9C3C6AD" w14:textId="2AFB85E9" w:rsidR="00DE1D0A" w:rsidRDefault="00CE0015" w:rsidP="00DE1D0A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0E4D175C" wp14:editId="419E64C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15875</wp:posOffset>
                  </wp:positionV>
                  <wp:extent cx="251460" cy="25146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1D0A" w:rsidRPr="003D5F42">
              <w:rPr>
                <w:sz w:val="20"/>
              </w:rPr>
              <w:t>@</w:t>
            </w:r>
            <w:proofErr w:type="spellStart"/>
            <w:r w:rsidR="00DE1D0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DE1D0A" w14:paraId="549C3B1C" w14:textId="77777777" w:rsidTr="009E7D31">
        <w:trPr>
          <w:trHeight w:val="480"/>
        </w:trPr>
        <w:tc>
          <w:tcPr>
            <w:tcW w:w="4926" w:type="dxa"/>
            <w:vMerge/>
          </w:tcPr>
          <w:p w14:paraId="231798A1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60C69F96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14:paraId="06D97269" w14:textId="77777777" w:rsidTr="009E7D31">
        <w:trPr>
          <w:trHeight w:val="480"/>
        </w:trPr>
        <w:tc>
          <w:tcPr>
            <w:tcW w:w="4926" w:type="dxa"/>
          </w:tcPr>
          <w:p w14:paraId="0DD5A4BE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1DB5EF" w14:textId="0374BF4E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14:paraId="2B34FEF8" w14:textId="77777777" w:rsidTr="009E7D31">
        <w:trPr>
          <w:trHeight w:val="480"/>
        </w:trPr>
        <w:tc>
          <w:tcPr>
            <w:tcW w:w="4926" w:type="dxa"/>
          </w:tcPr>
          <w:p w14:paraId="327B582C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0F251B2" w14:textId="699BCE57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14:paraId="16A5698A" w14:textId="77777777" w:rsidTr="009E7D31">
        <w:trPr>
          <w:trHeight w:val="953"/>
        </w:trPr>
        <w:tc>
          <w:tcPr>
            <w:tcW w:w="4926" w:type="dxa"/>
          </w:tcPr>
          <w:p w14:paraId="3605F212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245A35" w14:textId="79B26C17"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010344" w14:paraId="385E56CC" w14:textId="77777777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5427411" w14:textId="77777777" w:rsidR="008545A0" w:rsidRPr="001D108A" w:rsidRDefault="008545A0" w:rsidP="008545A0">
            <w:pPr>
              <w:shd w:val="clear" w:color="auto" w:fill="D9D9D9" w:themeFill="background1" w:themeFillShade="D9"/>
              <w:spacing w:before="360"/>
              <w:rPr>
                <w:rStyle w:val="Hipercze"/>
                <w:rFonts w:cstheme="minorBidi"/>
                <w:color w:val="auto"/>
                <w:u w:val="none"/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16B7E41" w14:textId="62898CE0" w:rsidR="008545A0" w:rsidRPr="008545A0" w:rsidRDefault="00027E98" w:rsidP="008545A0">
            <w:pPr>
              <w:rPr>
                <w:sz w:val="18"/>
                <w:szCs w:val="18"/>
                <w:lang w:val="en-US"/>
              </w:rPr>
            </w:pPr>
            <w:hyperlink r:id="rId23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revenues</w:t>
              </w:r>
            </w:hyperlink>
          </w:p>
          <w:p w14:paraId="13D7416F" w14:textId="59CC76A8" w:rsidR="008545A0" w:rsidRPr="008545A0" w:rsidRDefault="00027E98" w:rsidP="008545A0">
            <w:pPr>
              <w:rPr>
                <w:sz w:val="18"/>
                <w:szCs w:val="18"/>
                <w:lang w:val="en-US"/>
              </w:rPr>
            </w:pPr>
            <w:hyperlink r:id="rId24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costs</w:t>
              </w:r>
            </w:hyperlink>
          </w:p>
          <w:p w14:paraId="43F5ED2E" w14:textId="6BDA0ED7" w:rsidR="008545A0" w:rsidRPr="008545A0" w:rsidRDefault="00027E98" w:rsidP="008545A0">
            <w:pPr>
              <w:rPr>
                <w:sz w:val="18"/>
                <w:szCs w:val="18"/>
                <w:lang w:val="en-US"/>
              </w:rPr>
            </w:pPr>
            <w:hyperlink r:id="rId2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financial result</w:t>
              </w:r>
            </w:hyperlink>
          </w:p>
          <w:p w14:paraId="4C98E958" w14:textId="00F91835" w:rsidR="008545A0" w:rsidRPr="008545A0" w:rsidRDefault="00027E98" w:rsidP="008545A0">
            <w:pPr>
              <w:rPr>
                <w:sz w:val="18"/>
                <w:szCs w:val="18"/>
                <w:lang w:val="en-US"/>
              </w:rPr>
            </w:pPr>
            <w:hyperlink r:id="rId2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financial result</w:t>
              </w:r>
            </w:hyperlink>
          </w:p>
          <w:p w14:paraId="213CBF38" w14:textId="341D5135" w:rsidR="008545A0" w:rsidRPr="008545A0" w:rsidRDefault="00027E98" w:rsidP="008545A0">
            <w:pPr>
              <w:rPr>
                <w:sz w:val="18"/>
                <w:szCs w:val="18"/>
                <w:lang w:val="en-US"/>
              </w:rPr>
            </w:pPr>
            <w:hyperlink r:id="rId2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Cost level indicator</w:t>
              </w:r>
            </w:hyperlink>
          </w:p>
          <w:p w14:paraId="3280908D" w14:textId="0275F865" w:rsidR="008545A0" w:rsidRPr="008545A0" w:rsidRDefault="00027E98" w:rsidP="008545A0">
            <w:pPr>
              <w:rPr>
                <w:sz w:val="18"/>
                <w:szCs w:val="18"/>
                <w:lang w:val="en-US"/>
              </w:rPr>
            </w:pPr>
            <w:hyperlink r:id="rId2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turnover profitability indicator</w:t>
              </w:r>
            </w:hyperlink>
          </w:p>
          <w:p w14:paraId="09363676" w14:textId="01AD9E8B" w:rsidR="008545A0" w:rsidRPr="008545A0" w:rsidRDefault="00027E98" w:rsidP="008545A0">
            <w:pPr>
              <w:rPr>
                <w:sz w:val="18"/>
                <w:szCs w:val="18"/>
                <w:lang w:val="en-US"/>
              </w:rPr>
            </w:pPr>
            <w:hyperlink r:id="rId2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turnover profitability indicator</w:t>
              </w:r>
            </w:hyperlink>
          </w:p>
          <w:p w14:paraId="7FD3FA0C" w14:textId="6C153DA2" w:rsidR="008545A0" w:rsidRPr="008545A0" w:rsidRDefault="00027E98" w:rsidP="008545A0">
            <w:pPr>
              <w:rPr>
                <w:sz w:val="18"/>
                <w:szCs w:val="18"/>
                <w:lang w:val="en-US"/>
              </w:rPr>
            </w:pPr>
            <w:hyperlink r:id="rId3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First degree financial liquidity indicator</w:t>
              </w:r>
            </w:hyperlink>
          </w:p>
          <w:p w14:paraId="022C8C82" w14:textId="61937C64" w:rsidR="008545A0" w:rsidRPr="008545A0" w:rsidRDefault="00027E98" w:rsidP="008545A0">
            <w:pPr>
              <w:rPr>
                <w:sz w:val="18"/>
                <w:szCs w:val="18"/>
                <w:lang w:val="en-US"/>
              </w:rPr>
            </w:pPr>
            <w:hyperlink r:id="rId3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Second degree financial liquidity indicator</w:t>
              </w:r>
            </w:hyperlink>
          </w:p>
          <w:p w14:paraId="02170B4E" w14:textId="013B3520" w:rsidR="008545A0" w:rsidRPr="008545A0" w:rsidRDefault="00027E98" w:rsidP="008545A0">
            <w:pPr>
              <w:rPr>
                <w:sz w:val="18"/>
                <w:szCs w:val="18"/>
                <w:lang w:val="en-US"/>
              </w:rPr>
            </w:pPr>
            <w:hyperlink r:id="rId32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Investment outlays</w:t>
              </w:r>
            </w:hyperlink>
          </w:p>
          <w:p w14:paraId="59EB7117" w14:textId="77777777"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634A8FA" w14:textId="77777777" w:rsidR="000470AA" w:rsidRPr="00BE16FB" w:rsidRDefault="000470AA" w:rsidP="000470AA">
      <w:pPr>
        <w:rPr>
          <w:sz w:val="18"/>
          <w:lang w:val="en-US"/>
        </w:rPr>
      </w:pPr>
    </w:p>
    <w:p w14:paraId="7C19EFAE" w14:textId="5AAD912C" w:rsidR="00D261A2" w:rsidRPr="00BE16FB" w:rsidRDefault="00D261A2" w:rsidP="00AD0E56">
      <w:pPr>
        <w:rPr>
          <w:sz w:val="18"/>
          <w:lang w:val="en-US"/>
        </w:rPr>
      </w:pPr>
    </w:p>
    <w:sectPr w:rsidR="00D261A2" w:rsidRPr="00BE16F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5FF5C" w14:textId="77777777" w:rsidR="00027E98" w:rsidRDefault="00027E98" w:rsidP="000662E2">
      <w:pPr>
        <w:spacing w:after="0" w:line="240" w:lineRule="auto"/>
      </w:pPr>
      <w:r>
        <w:separator/>
      </w:r>
    </w:p>
  </w:endnote>
  <w:endnote w:type="continuationSeparator" w:id="0">
    <w:p w14:paraId="55D0AD81" w14:textId="77777777" w:rsidR="00027E98" w:rsidRDefault="00027E9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E57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E5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E57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7D238" w14:textId="77777777" w:rsidR="00027E98" w:rsidRDefault="00027E98" w:rsidP="000662E2">
      <w:pPr>
        <w:spacing w:after="0" w:line="240" w:lineRule="auto"/>
      </w:pPr>
      <w:r>
        <w:separator/>
      </w:r>
    </w:p>
  </w:footnote>
  <w:footnote w:type="continuationSeparator" w:id="0">
    <w:p w14:paraId="021582F1" w14:textId="77777777" w:rsidR="00027E98" w:rsidRDefault="00027E98" w:rsidP="000662E2">
      <w:pPr>
        <w:spacing w:after="0" w:line="240" w:lineRule="auto"/>
      </w:pPr>
      <w:r>
        <w:continuationSeparator/>
      </w:r>
    </w:p>
  </w:footnote>
  <w:footnote w:id="1">
    <w:p w14:paraId="2B565E73" w14:textId="2ADB3890" w:rsidR="00F72729" w:rsidRPr="0059542A" w:rsidRDefault="00F72729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59542A">
        <w:rPr>
          <w:lang w:val="en-US"/>
        </w:rPr>
        <w:t xml:space="preserve"> </w:t>
      </w:r>
      <w:r w:rsidR="00B269A7">
        <w:rPr>
          <w:sz w:val="16"/>
          <w:szCs w:val="16"/>
          <w:lang w:val="en-US"/>
        </w:rPr>
        <w:t>The data c</w:t>
      </w:r>
      <w:r w:rsidR="00056AD7">
        <w:rPr>
          <w:sz w:val="16"/>
          <w:szCs w:val="16"/>
          <w:lang w:val="en-US"/>
        </w:rPr>
        <w:t>on</w:t>
      </w:r>
      <w:r w:rsidR="0059542A">
        <w:rPr>
          <w:sz w:val="16"/>
          <w:szCs w:val="16"/>
          <w:lang w:val="en-US"/>
        </w:rPr>
        <w:t>cern</w:t>
      </w:r>
      <w:r w:rsidR="00B269A7">
        <w:rPr>
          <w:sz w:val="16"/>
          <w:szCs w:val="16"/>
          <w:lang w:val="en-US"/>
        </w:rPr>
        <w:t xml:space="preserve"> all sections of NACE rev.</w:t>
      </w:r>
      <w:r w:rsidR="00A27736">
        <w:rPr>
          <w:sz w:val="16"/>
          <w:szCs w:val="16"/>
          <w:lang w:val="en-US"/>
        </w:rPr>
        <w:t xml:space="preserve"> </w:t>
      </w:r>
      <w:r w:rsidR="00B269A7">
        <w:rPr>
          <w:sz w:val="16"/>
          <w:szCs w:val="16"/>
          <w:lang w:val="en-US"/>
        </w:rPr>
        <w:t>2</w:t>
      </w:r>
      <w:r w:rsidR="0059542A" w:rsidRPr="0059542A">
        <w:rPr>
          <w:sz w:val="16"/>
          <w:szCs w:val="16"/>
          <w:lang w:val="en-US"/>
        </w:rPr>
        <w:t xml:space="preserve"> covered by the study according to the F-01/I-01 data set (methodology description on page 3).</w:t>
      </w:r>
    </w:p>
  </w:footnote>
  <w:footnote w:id="2">
    <w:p w14:paraId="380382D2" w14:textId="1AC04F52" w:rsidR="00011503" w:rsidRPr="00011503" w:rsidRDefault="0001150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011503">
        <w:rPr>
          <w:lang w:val="en-US"/>
        </w:rPr>
        <w:t xml:space="preserve"> </w:t>
      </w:r>
      <w:r w:rsidRPr="00011503">
        <w:rPr>
          <w:sz w:val="16"/>
          <w:szCs w:val="16"/>
          <w:lang w:val="en-US"/>
        </w:rPr>
        <w:t>The data concerns enterprises with foreign capital consti</w:t>
      </w:r>
      <w:r w:rsidR="000974DD">
        <w:rPr>
          <w:sz w:val="16"/>
          <w:szCs w:val="16"/>
          <w:lang w:val="en-US"/>
        </w:rPr>
        <w:t>tuting more than 50% of the share</w:t>
      </w:r>
      <w:r w:rsidRPr="00011503">
        <w:rPr>
          <w:sz w:val="16"/>
          <w:szCs w:val="16"/>
          <w:lang w:val="en-US"/>
        </w:rPr>
        <w:t xml:space="preserve"> capital. The share of foreign capita</w:t>
      </w:r>
      <w:r>
        <w:rPr>
          <w:sz w:val="16"/>
          <w:szCs w:val="16"/>
          <w:lang w:val="en-US"/>
        </w:rPr>
        <w:t xml:space="preserve">l in </w:t>
      </w:r>
      <w:r w:rsidR="000974DD">
        <w:rPr>
          <w:sz w:val="16"/>
          <w:szCs w:val="16"/>
          <w:lang w:val="en-US"/>
        </w:rPr>
        <w:t>share</w:t>
      </w:r>
      <w:r>
        <w:rPr>
          <w:sz w:val="16"/>
          <w:szCs w:val="16"/>
          <w:lang w:val="en-US"/>
        </w:rPr>
        <w:t xml:space="preserve"> capital was calculated</w:t>
      </w:r>
      <w:r w:rsidRPr="00011503">
        <w:rPr>
          <w:sz w:val="16"/>
          <w:szCs w:val="16"/>
          <w:lang w:val="en-US"/>
        </w:rPr>
        <w:t xml:space="preserve"> on the basis of the annual survey of the activity of enterprises with foreign capital</w:t>
      </w:r>
      <w:r>
        <w:rPr>
          <w:sz w:val="16"/>
          <w:szCs w:val="16"/>
          <w:lang w:val="en-US"/>
        </w:rPr>
        <w:t xml:space="preserve"> </w:t>
      </w:r>
      <w:r w:rsidR="009557ED">
        <w:rPr>
          <w:sz w:val="16"/>
          <w:szCs w:val="16"/>
          <w:lang w:val="en-US"/>
        </w:rPr>
        <w:t>in 2022</w:t>
      </w:r>
      <w:r w:rsidRPr="00011503">
        <w:rPr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07DEFBE"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39BCBEE3" id="Schemat blokowy: opóźnienie 6" o:spid="_x0000_s1029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07DEFBE"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2B3C6E1A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13 June 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4645F914" w:rsidR="00F37172" w:rsidRPr="00A01B40" w:rsidRDefault="00F43ACD" w:rsidP="00F049AB">
                          <w:pPr>
                            <w:pStyle w:val="Datainformacjisygnalnej"/>
                          </w:pPr>
                          <w:r>
                            <w:t xml:space="preserve">13 </w:t>
                          </w:r>
                          <w:proofErr w:type="spellStart"/>
                          <w:r>
                            <w:t>June</w:t>
                          </w:r>
                          <w:proofErr w:type="spellEnd"/>
                          <w:r w:rsidR="00D40968">
                            <w:t xml:space="preserve"> </w:t>
                          </w:r>
                          <w:r>
                            <w:t>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13 June 2024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" filled="f" stroked="f">
              <v:textbox>
                <w:txbxContent>
                  <w:p w14:paraId="71967FEA" w14:textId="4645F914" w:rsidR="00F37172" w:rsidRPr="00A01B40" w:rsidRDefault="00F43ACD" w:rsidP="00F049AB">
                    <w:pPr>
                      <w:pStyle w:val="Datainformacjisygnalnej"/>
                    </w:pPr>
                    <w:r>
                      <w:t xml:space="preserve">13 </w:t>
                    </w:r>
                    <w:proofErr w:type="spellStart"/>
                    <w:r>
                      <w:t>June</w:t>
                    </w:r>
                    <w:proofErr w:type="spellEnd"/>
                    <w:r w:rsidR="00D40968">
                      <w:t xml:space="preserve"> </w:t>
                    </w:r>
                    <w: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04F4314F"/>
    <w:multiLevelType w:val="hybridMultilevel"/>
    <w:tmpl w:val="D36A1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EFF"/>
    <w:multiLevelType w:val="hybridMultilevel"/>
    <w:tmpl w:val="3738E7DE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DE1755"/>
    <w:multiLevelType w:val="hybridMultilevel"/>
    <w:tmpl w:val="A3D24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7574FD"/>
    <w:multiLevelType w:val="hybridMultilevel"/>
    <w:tmpl w:val="CCDA4D72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8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0" w15:restartNumberingAfterBreak="0">
    <w:nsid w:val="444544A2"/>
    <w:multiLevelType w:val="hybridMultilevel"/>
    <w:tmpl w:val="6BCCD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41BA7"/>
    <w:multiLevelType w:val="hybridMultilevel"/>
    <w:tmpl w:val="059A674C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62"/>
    <w:rsid w:val="00001C5B"/>
    <w:rsid w:val="00003437"/>
    <w:rsid w:val="000035CC"/>
    <w:rsid w:val="0000709F"/>
    <w:rsid w:val="00007B33"/>
    <w:rsid w:val="00010344"/>
    <w:rsid w:val="000108B8"/>
    <w:rsid w:val="00011503"/>
    <w:rsid w:val="0001278A"/>
    <w:rsid w:val="000134FA"/>
    <w:rsid w:val="000152F5"/>
    <w:rsid w:val="00020B93"/>
    <w:rsid w:val="00021CD0"/>
    <w:rsid w:val="00023A22"/>
    <w:rsid w:val="0002510A"/>
    <w:rsid w:val="0002724E"/>
    <w:rsid w:val="00027E98"/>
    <w:rsid w:val="000329FB"/>
    <w:rsid w:val="000345BD"/>
    <w:rsid w:val="00034649"/>
    <w:rsid w:val="0004200D"/>
    <w:rsid w:val="0004238A"/>
    <w:rsid w:val="00042884"/>
    <w:rsid w:val="0004582E"/>
    <w:rsid w:val="00045D14"/>
    <w:rsid w:val="000470AA"/>
    <w:rsid w:val="000500B3"/>
    <w:rsid w:val="00051C02"/>
    <w:rsid w:val="00052A45"/>
    <w:rsid w:val="00056AD7"/>
    <w:rsid w:val="00057CA1"/>
    <w:rsid w:val="000647A9"/>
    <w:rsid w:val="000662E2"/>
    <w:rsid w:val="00066883"/>
    <w:rsid w:val="00067196"/>
    <w:rsid w:val="00071B39"/>
    <w:rsid w:val="0007393F"/>
    <w:rsid w:val="00074DD8"/>
    <w:rsid w:val="00075759"/>
    <w:rsid w:val="000806F7"/>
    <w:rsid w:val="00087DFD"/>
    <w:rsid w:val="00094F98"/>
    <w:rsid w:val="000966AA"/>
    <w:rsid w:val="000974DD"/>
    <w:rsid w:val="00097840"/>
    <w:rsid w:val="000A3DA4"/>
    <w:rsid w:val="000A4B6B"/>
    <w:rsid w:val="000B0727"/>
    <w:rsid w:val="000B186A"/>
    <w:rsid w:val="000B3144"/>
    <w:rsid w:val="000C135D"/>
    <w:rsid w:val="000C1D73"/>
    <w:rsid w:val="000D1371"/>
    <w:rsid w:val="000D1D43"/>
    <w:rsid w:val="000D225C"/>
    <w:rsid w:val="000D2A5C"/>
    <w:rsid w:val="000D39F0"/>
    <w:rsid w:val="000D4D9A"/>
    <w:rsid w:val="000D6B79"/>
    <w:rsid w:val="000E0918"/>
    <w:rsid w:val="000E0E69"/>
    <w:rsid w:val="000E1F53"/>
    <w:rsid w:val="000E5115"/>
    <w:rsid w:val="000E79A9"/>
    <w:rsid w:val="000F098A"/>
    <w:rsid w:val="000F0BBF"/>
    <w:rsid w:val="000F23D8"/>
    <w:rsid w:val="000F569C"/>
    <w:rsid w:val="001011C3"/>
    <w:rsid w:val="00101BDF"/>
    <w:rsid w:val="00102335"/>
    <w:rsid w:val="001032FE"/>
    <w:rsid w:val="00105D72"/>
    <w:rsid w:val="00106DA3"/>
    <w:rsid w:val="00110214"/>
    <w:rsid w:val="00110D87"/>
    <w:rsid w:val="00112399"/>
    <w:rsid w:val="001128C8"/>
    <w:rsid w:val="00114DB9"/>
    <w:rsid w:val="00116087"/>
    <w:rsid w:val="00117711"/>
    <w:rsid w:val="001223CE"/>
    <w:rsid w:val="00124A93"/>
    <w:rsid w:val="00125AFF"/>
    <w:rsid w:val="00126B24"/>
    <w:rsid w:val="00127387"/>
    <w:rsid w:val="00130296"/>
    <w:rsid w:val="0013315B"/>
    <w:rsid w:val="00134145"/>
    <w:rsid w:val="00135973"/>
    <w:rsid w:val="00136736"/>
    <w:rsid w:val="00136740"/>
    <w:rsid w:val="00136D67"/>
    <w:rsid w:val="00137355"/>
    <w:rsid w:val="001423B6"/>
    <w:rsid w:val="001448A7"/>
    <w:rsid w:val="0014577D"/>
    <w:rsid w:val="00146621"/>
    <w:rsid w:val="00152DA7"/>
    <w:rsid w:val="00152F9B"/>
    <w:rsid w:val="00153D6F"/>
    <w:rsid w:val="001554F0"/>
    <w:rsid w:val="00156F04"/>
    <w:rsid w:val="001617E3"/>
    <w:rsid w:val="00162325"/>
    <w:rsid w:val="00163EB3"/>
    <w:rsid w:val="0017214F"/>
    <w:rsid w:val="001810EC"/>
    <w:rsid w:val="00183F5E"/>
    <w:rsid w:val="00185C39"/>
    <w:rsid w:val="0018695A"/>
    <w:rsid w:val="00191853"/>
    <w:rsid w:val="00192784"/>
    <w:rsid w:val="00194B3B"/>
    <w:rsid w:val="001951DA"/>
    <w:rsid w:val="001B053D"/>
    <w:rsid w:val="001B17E3"/>
    <w:rsid w:val="001B6C83"/>
    <w:rsid w:val="001C2F48"/>
    <w:rsid w:val="001C3269"/>
    <w:rsid w:val="001C6A55"/>
    <w:rsid w:val="001C6F87"/>
    <w:rsid w:val="001D19B6"/>
    <w:rsid w:val="001D1DB4"/>
    <w:rsid w:val="001D23F1"/>
    <w:rsid w:val="001D25F9"/>
    <w:rsid w:val="001D2E71"/>
    <w:rsid w:val="001D61ED"/>
    <w:rsid w:val="001D7293"/>
    <w:rsid w:val="001E5397"/>
    <w:rsid w:val="001E5B2D"/>
    <w:rsid w:val="001F1031"/>
    <w:rsid w:val="001F3139"/>
    <w:rsid w:val="001F35F9"/>
    <w:rsid w:val="001F5147"/>
    <w:rsid w:val="001F52BE"/>
    <w:rsid w:val="0020156C"/>
    <w:rsid w:val="002016A0"/>
    <w:rsid w:val="002021A6"/>
    <w:rsid w:val="00204361"/>
    <w:rsid w:val="0021208A"/>
    <w:rsid w:val="0021211E"/>
    <w:rsid w:val="002135BF"/>
    <w:rsid w:val="00214023"/>
    <w:rsid w:val="002157D3"/>
    <w:rsid w:val="002161A4"/>
    <w:rsid w:val="00216634"/>
    <w:rsid w:val="002229F7"/>
    <w:rsid w:val="00231E97"/>
    <w:rsid w:val="00242D31"/>
    <w:rsid w:val="00242D4D"/>
    <w:rsid w:val="00243CF9"/>
    <w:rsid w:val="0024534E"/>
    <w:rsid w:val="0025481E"/>
    <w:rsid w:val="002574F9"/>
    <w:rsid w:val="00260F7D"/>
    <w:rsid w:val="002628A8"/>
    <w:rsid w:val="00262B61"/>
    <w:rsid w:val="00262CC6"/>
    <w:rsid w:val="00263E08"/>
    <w:rsid w:val="002659FF"/>
    <w:rsid w:val="00271CB1"/>
    <w:rsid w:val="00276811"/>
    <w:rsid w:val="002779CE"/>
    <w:rsid w:val="00277E49"/>
    <w:rsid w:val="00282699"/>
    <w:rsid w:val="002851E1"/>
    <w:rsid w:val="002909D3"/>
    <w:rsid w:val="00291828"/>
    <w:rsid w:val="002919F2"/>
    <w:rsid w:val="0029200D"/>
    <w:rsid w:val="00292307"/>
    <w:rsid w:val="002926DF"/>
    <w:rsid w:val="00293571"/>
    <w:rsid w:val="0029487A"/>
    <w:rsid w:val="00296697"/>
    <w:rsid w:val="002A4195"/>
    <w:rsid w:val="002A4A78"/>
    <w:rsid w:val="002A7A13"/>
    <w:rsid w:val="002B0472"/>
    <w:rsid w:val="002B3DE2"/>
    <w:rsid w:val="002B43B1"/>
    <w:rsid w:val="002B45FD"/>
    <w:rsid w:val="002B4EEE"/>
    <w:rsid w:val="002B6A6F"/>
    <w:rsid w:val="002B6B12"/>
    <w:rsid w:val="002C21F0"/>
    <w:rsid w:val="002D01DF"/>
    <w:rsid w:val="002D0BDC"/>
    <w:rsid w:val="002E2973"/>
    <w:rsid w:val="002E3EB3"/>
    <w:rsid w:val="002E6140"/>
    <w:rsid w:val="002E6985"/>
    <w:rsid w:val="002E6EF1"/>
    <w:rsid w:val="002E71B6"/>
    <w:rsid w:val="002F35F6"/>
    <w:rsid w:val="002F77C8"/>
    <w:rsid w:val="00304F22"/>
    <w:rsid w:val="00305726"/>
    <w:rsid w:val="00306C7C"/>
    <w:rsid w:val="00307568"/>
    <w:rsid w:val="00314F86"/>
    <w:rsid w:val="00315658"/>
    <w:rsid w:val="00317F4D"/>
    <w:rsid w:val="00322EDD"/>
    <w:rsid w:val="00323B73"/>
    <w:rsid w:val="00324815"/>
    <w:rsid w:val="003266F6"/>
    <w:rsid w:val="0032733A"/>
    <w:rsid w:val="003309FA"/>
    <w:rsid w:val="00332320"/>
    <w:rsid w:val="00337E03"/>
    <w:rsid w:val="0034697C"/>
    <w:rsid w:val="00347D72"/>
    <w:rsid w:val="00353F45"/>
    <w:rsid w:val="00355FC7"/>
    <w:rsid w:val="003560D5"/>
    <w:rsid w:val="003560DD"/>
    <w:rsid w:val="00357611"/>
    <w:rsid w:val="00361795"/>
    <w:rsid w:val="00363681"/>
    <w:rsid w:val="0036432A"/>
    <w:rsid w:val="0036441F"/>
    <w:rsid w:val="00364AF9"/>
    <w:rsid w:val="0036669D"/>
    <w:rsid w:val="00367237"/>
    <w:rsid w:val="0037077F"/>
    <w:rsid w:val="0037122D"/>
    <w:rsid w:val="0037213D"/>
    <w:rsid w:val="00372411"/>
    <w:rsid w:val="00373882"/>
    <w:rsid w:val="00375880"/>
    <w:rsid w:val="00377436"/>
    <w:rsid w:val="0038304B"/>
    <w:rsid w:val="003843DB"/>
    <w:rsid w:val="00384453"/>
    <w:rsid w:val="00384936"/>
    <w:rsid w:val="00385CAC"/>
    <w:rsid w:val="003907BE"/>
    <w:rsid w:val="00392BDE"/>
    <w:rsid w:val="00393761"/>
    <w:rsid w:val="00394972"/>
    <w:rsid w:val="003949F3"/>
    <w:rsid w:val="00394E26"/>
    <w:rsid w:val="00396691"/>
    <w:rsid w:val="00397D18"/>
    <w:rsid w:val="003A1B36"/>
    <w:rsid w:val="003A322D"/>
    <w:rsid w:val="003A435D"/>
    <w:rsid w:val="003A5AEE"/>
    <w:rsid w:val="003B1454"/>
    <w:rsid w:val="003B18B6"/>
    <w:rsid w:val="003B3805"/>
    <w:rsid w:val="003C04C8"/>
    <w:rsid w:val="003C161B"/>
    <w:rsid w:val="003C4884"/>
    <w:rsid w:val="003C59E0"/>
    <w:rsid w:val="003C6C8D"/>
    <w:rsid w:val="003D2656"/>
    <w:rsid w:val="003D38C8"/>
    <w:rsid w:val="003D4F95"/>
    <w:rsid w:val="003D5F42"/>
    <w:rsid w:val="003D60A9"/>
    <w:rsid w:val="003E0450"/>
    <w:rsid w:val="003E2B24"/>
    <w:rsid w:val="003F0B19"/>
    <w:rsid w:val="003F299D"/>
    <w:rsid w:val="003F4C97"/>
    <w:rsid w:val="003F5E57"/>
    <w:rsid w:val="003F666D"/>
    <w:rsid w:val="003F7FE6"/>
    <w:rsid w:val="00400193"/>
    <w:rsid w:val="00402B55"/>
    <w:rsid w:val="00404BE5"/>
    <w:rsid w:val="00407124"/>
    <w:rsid w:val="0040738A"/>
    <w:rsid w:val="0041163A"/>
    <w:rsid w:val="00411874"/>
    <w:rsid w:val="004146FE"/>
    <w:rsid w:val="00414812"/>
    <w:rsid w:val="0041497C"/>
    <w:rsid w:val="004153E9"/>
    <w:rsid w:val="00416EAF"/>
    <w:rsid w:val="004212E7"/>
    <w:rsid w:val="004222BD"/>
    <w:rsid w:val="00423C88"/>
    <w:rsid w:val="0042446D"/>
    <w:rsid w:val="00424FF0"/>
    <w:rsid w:val="00425D08"/>
    <w:rsid w:val="00427BF8"/>
    <w:rsid w:val="00431C02"/>
    <w:rsid w:val="00435994"/>
    <w:rsid w:val="00437395"/>
    <w:rsid w:val="004373A5"/>
    <w:rsid w:val="004374E5"/>
    <w:rsid w:val="00443638"/>
    <w:rsid w:val="00445047"/>
    <w:rsid w:val="004450C3"/>
    <w:rsid w:val="00446749"/>
    <w:rsid w:val="00451ED0"/>
    <w:rsid w:val="00453EB7"/>
    <w:rsid w:val="004540D3"/>
    <w:rsid w:val="00463E39"/>
    <w:rsid w:val="004657FC"/>
    <w:rsid w:val="00465E17"/>
    <w:rsid w:val="00465FAA"/>
    <w:rsid w:val="00470193"/>
    <w:rsid w:val="00470554"/>
    <w:rsid w:val="004733F6"/>
    <w:rsid w:val="004739BC"/>
    <w:rsid w:val="00474C27"/>
    <w:rsid w:val="00474E69"/>
    <w:rsid w:val="00475DFE"/>
    <w:rsid w:val="00477595"/>
    <w:rsid w:val="00483E9F"/>
    <w:rsid w:val="00484982"/>
    <w:rsid w:val="00485A2C"/>
    <w:rsid w:val="00487913"/>
    <w:rsid w:val="004907EA"/>
    <w:rsid w:val="00491B76"/>
    <w:rsid w:val="00492107"/>
    <w:rsid w:val="0049621B"/>
    <w:rsid w:val="004A1C9A"/>
    <w:rsid w:val="004A1D19"/>
    <w:rsid w:val="004B6422"/>
    <w:rsid w:val="004B72C8"/>
    <w:rsid w:val="004C1895"/>
    <w:rsid w:val="004C1924"/>
    <w:rsid w:val="004C3189"/>
    <w:rsid w:val="004C38CE"/>
    <w:rsid w:val="004C5B26"/>
    <w:rsid w:val="004C6D40"/>
    <w:rsid w:val="004D024E"/>
    <w:rsid w:val="004D42AB"/>
    <w:rsid w:val="004D6768"/>
    <w:rsid w:val="004E0A2D"/>
    <w:rsid w:val="004E2D98"/>
    <w:rsid w:val="004E6AA8"/>
    <w:rsid w:val="004F0C3C"/>
    <w:rsid w:val="004F1022"/>
    <w:rsid w:val="004F2280"/>
    <w:rsid w:val="004F23BB"/>
    <w:rsid w:val="004F63FC"/>
    <w:rsid w:val="00502D43"/>
    <w:rsid w:val="00505A92"/>
    <w:rsid w:val="0050636B"/>
    <w:rsid w:val="00507F41"/>
    <w:rsid w:val="00511084"/>
    <w:rsid w:val="00511D67"/>
    <w:rsid w:val="00512E1E"/>
    <w:rsid w:val="0051392B"/>
    <w:rsid w:val="005203F1"/>
    <w:rsid w:val="00520F14"/>
    <w:rsid w:val="00521BC3"/>
    <w:rsid w:val="00524DC1"/>
    <w:rsid w:val="00533632"/>
    <w:rsid w:val="00534013"/>
    <w:rsid w:val="00535F6B"/>
    <w:rsid w:val="00537B5C"/>
    <w:rsid w:val="00540C5C"/>
    <w:rsid w:val="00541E6E"/>
    <w:rsid w:val="0054251F"/>
    <w:rsid w:val="00551198"/>
    <w:rsid w:val="005520D8"/>
    <w:rsid w:val="00554DFB"/>
    <w:rsid w:val="00555354"/>
    <w:rsid w:val="00555CFB"/>
    <w:rsid w:val="00556CF1"/>
    <w:rsid w:val="00557641"/>
    <w:rsid w:val="0056350D"/>
    <w:rsid w:val="00564C18"/>
    <w:rsid w:val="00570282"/>
    <w:rsid w:val="00571CEB"/>
    <w:rsid w:val="00573E17"/>
    <w:rsid w:val="005762A7"/>
    <w:rsid w:val="00581303"/>
    <w:rsid w:val="00584F22"/>
    <w:rsid w:val="0058647C"/>
    <w:rsid w:val="00587CEE"/>
    <w:rsid w:val="00591207"/>
    <w:rsid w:val="005916D7"/>
    <w:rsid w:val="00593A57"/>
    <w:rsid w:val="0059427F"/>
    <w:rsid w:val="0059542A"/>
    <w:rsid w:val="005A1873"/>
    <w:rsid w:val="005A2C10"/>
    <w:rsid w:val="005A698C"/>
    <w:rsid w:val="005A7D85"/>
    <w:rsid w:val="005A7E82"/>
    <w:rsid w:val="005C09D7"/>
    <w:rsid w:val="005C0CAC"/>
    <w:rsid w:val="005C3559"/>
    <w:rsid w:val="005C4593"/>
    <w:rsid w:val="005D062E"/>
    <w:rsid w:val="005D0B71"/>
    <w:rsid w:val="005D3341"/>
    <w:rsid w:val="005D62D7"/>
    <w:rsid w:val="005E0799"/>
    <w:rsid w:val="005E10F9"/>
    <w:rsid w:val="005E1200"/>
    <w:rsid w:val="005E326B"/>
    <w:rsid w:val="005F2C9B"/>
    <w:rsid w:val="005F42C9"/>
    <w:rsid w:val="005F45EE"/>
    <w:rsid w:val="005F5A80"/>
    <w:rsid w:val="006044FF"/>
    <w:rsid w:val="0060713B"/>
    <w:rsid w:val="00607CC5"/>
    <w:rsid w:val="0061179B"/>
    <w:rsid w:val="006125F9"/>
    <w:rsid w:val="00617B81"/>
    <w:rsid w:val="00624640"/>
    <w:rsid w:val="00625A2F"/>
    <w:rsid w:val="0063106A"/>
    <w:rsid w:val="00633014"/>
    <w:rsid w:val="0063437B"/>
    <w:rsid w:val="0064017E"/>
    <w:rsid w:val="00651315"/>
    <w:rsid w:val="0065193B"/>
    <w:rsid w:val="00653DC3"/>
    <w:rsid w:val="00654BB6"/>
    <w:rsid w:val="00662F88"/>
    <w:rsid w:val="00666A75"/>
    <w:rsid w:val="006673CA"/>
    <w:rsid w:val="00667B83"/>
    <w:rsid w:val="00673C26"/>
    <w:rsid w:val="00674DE5"/>
    <w:rsid w:val="006751B6"/>
    <w:rsid w:val="00677ACA"/>
    <w:rsid w:val="00680981"/>
    <w:rsid w:val="006812AF"/>
    <w:rsid w:val="0068327D"/>
    <w:rsid w:val="00691278"/>
    <w:rsid w:val="00691534"/>
    <w:rsid w:val="00693880"/>
    <w:rsid w:val="006938F9"/>
    <w:rsid w:val="0069427F"/>
    <w:rsid w:val="00694AF0"/>
    <w:rsid w:val="006A42BB"/>
    <w:rsid w:val="006A4686"/>
    <w:rsid w:val="006A55A0"/>
    <w:rsid w:val="006B017D"/>
    <w:rsid w:val="006B076F"/>
    <w:rsid w:val="006B0853"/>
    <w:rsid w:val="006B0E9E"/>
    <w:rsid w:val="006B3970"/>
    <w:rsid w:val="006B486D"/>
    <w:rsid w:val="006B5AE4"/>
    <w:rsid w:val="006B618D"/>
    <w:rsid w:val="006C197A"/>
    <w:rsid w:val="006C2517"/>
    <w:rsid w:val="006C469F"/>
    <w:rsid w:val="006C6656"/>
    <w:rsid w:val="006D1507"/>
    <w:rsid w:val="006D3717"/>
    <w:rsid w:val="006D4054"/>
    <w:rsid w:val="006D4245"/>
    <w:rsid w:val="006D6A2C"/>
    <w:rsid w:val="006D7459"/>
    <w:rsid w:val="006E02EC"/>
    <w:rsid w:val="006E3C4F"/>
    <w:rsid w:val="006E6F41"/>
    <w:rsid w:val="006E73E6"/>
    <w:rsid w:val="006F32DD"/>
    <w:rsid w:val="006F515B"/>
    <w:rsid w:val="006F644F"/>
    <w:rsid w:val="0070334D"/>
    <w:rsid w:val="007033F8"/>
    <w:rsid w:val="00707E90"/>
    <w:rsid w:val="007108C7"/>
    <w:rsid w:val="00712B90"/>
    <w:rsid w:val="0071566A"/>
    <w:rsid w:val="007211B1"/>
    <w:rsid w:val="007267B0"/>
    <w:rsid w:val="007277DA"/>
    <w:rsid w:val="00731D27"/>
    <w:rsid w:val="00737BBE"/>
    <w:rsid w:val="00742204"/>
    <w:rsid w:val="00746187"/>
    <w:rsid w:val="00753FE8"/>
    <w:rsid w:val="007562C7"/>
    <w:rsid w:val="0076139C"/>
    <w:rsid w:val="0076254F"/>
    <w:rsid w:val="0076328F"/>
    <w:rsid w:val="007671F1"/>
    <w:rsid w:val="00767EAE"/>
    <w:rsid w:val="0077201D"/>
    <w:rsid w:val="007801F5"/>
    <w:rsid w:val="0078354A"/>
    <w:rsid w:val="00783CA4"/>
    <w:rsid w:val="007842FB"/>
    <w:rsid w:val="00785FDD"/>
    <w:rsid w:val="00786124"/>
    <w:rsid w:val="00787577"/>
    <w:rsid w:val="00790059"/>
    <w:rsid w:val="00793A65"/>
    <w:rsid w:val="00794071"/>
    <w:rsid w:val="0079514B"/>
    <w:rsid w:val="00795252"/>
    <w:rsid w:val="007A2DC1"/>
    <w:rsid w:val="007C1AA4"/>
    <w:rsid w:val="007D0869"/>
    <w:rsid w:val="007D14C4"/>
    <w:rsid w:val="007D3319"/>
    <w:rsid w:val="007D335D"/>
    <w:rsid w:val="007D493C"/>
    <w:rsid w:val="007D50CD"/>
    <w:rsid w:val="007D605C"/>
    <w:rsid w:val="007E056B"/>
    <w:rsid w:val="007E1C26"/>
    <w:rsid w:val="007E3314"/>
    <w:rsid w:val="007E3514"/>
    <w:rsid w:val="007E4B03"/>
    <w:rsid w:val="007E5FD3"/>
    <w:rsid w:val="007E7186"/>
    <w:rsid w:val="007F239D"/>
    <w:rsid w:val="007F324B"/>
    <w:rsid w:val="00803031"/>
    <w:rsid w:val="0080553C"/>
    <w:rsid w:val="00805B46"/>
    <w:rsid w:val="00805DB4"/>
    <w:rsid w:val="008065C6"/>
    <w:rsid w:val="008123AA"/>
    <w:rsid w:val="00812AD6"/>
    <w:rsid w:val="00812F63"/>
    <w:rsid w:val="00815216"/>
    <w:rsid w:val="00815254"/>
    <w:rsid w:val="008225AD"/>
    <w:rsid w:val="00822FF3"/>
    <w:rsid w:val="00823593"/>
    <w:rsid w:val="00825DC2"/>
    <w:rsid w:val="00827EA1"/>
    <w:rsid w:val="00833348"/>
    <w:rsid w:val="00834AD3"/>
    <w:rsid w:val="00834E40"/>
    <w:rsid w:val="00841249"/>
    <w:rsid w:val="0084342E"/>
    <w:rsid w:val="00843795"/>
    <w:rsid w:val="00843840"/>
    <w:rsid w:val="00847F0F"/>
    <w:rsid w:val="00850B7B"/>
    <w:rsid w:val="00852448"/>
    <w:rsid w:val="008545A0"/>
    <w:rsid w:val="00854825"/>
    <w:rsid w:val="0085725B"/>
    <w:rsid w:val="00857292"/>
    <w:rsid w:val="00871074"/>
    <w:rsid w:val="008726FB"/>
    <w:rsid w:val="00872C6E"/>
    <w:rsid w:val="00872F39"/>
    <w:rsid w:val="00873FB0"/>
    <w:rsid w:val="00876326"/>
    <w:rsid w:val="00877F6C"/>
    <w:rsid w:val="00881EEB"/>
    <w:rsid w:val="0088258A"/>
    <w:rsid w:val="00886332"/>
    <w:rsid w:val="00890E04"/>
    <w:rsid w:val="008925F0"/>
    <w:rsid w:val="00893453"/>
    <w:rsid w:val="00893C6C"/>
    <w:rsid w:val="0089448A"/>
    <w:rsid w:val="00894C23"/>
    <w:rsid w:val="00895B61"/>
    <w:rsid w:val="00897877"/>
    <w:rsid w:val="008A0D96"/>
    <w:rsid w:val="008A26D9"/>
    <w:rsid w:val="008A7B5B"/>
    <w:rsid w:val="008A7C79"/>
    <w:rsid w:val="008A7E99"/>
    <w:rsid w:val="008B12D2"/>
    <w:rsid w:val="008B5654"/>
    <w:rsid w:val="008B5A0A"/>
    <w:rsid w:val="008C0C29"/>
    <w:rsid w:val="008C6440"/>
    <w:rsid w:val="008D004E"/>
    <w:rsid w:val="008D02DA"/>
    <w:rsid w:val="008D114B"/>
    <w:rsid w:val="008D34D6"/>
    <w:rsid w:val="008D74AD"/>
    <w:rsid w:val="008D76BC"/>
    <w:rsid w:val="008E29DB"/>
    <w:rsid w:val="008E6CC3"/>
    <w:rsid w:val="008E7435"/>
    <w:rsid w:val="008E7DBA"/>
    <w:rsid w:val="008F0829"/>
    <w:rsid w:val="008F3638"/>
    <w:rsid w:val="008F4441"/>
    <w:rsid w:val="008F6B20"/>
    <w:rsid w:val="008F6F31"/>
    <w:rsid w:val="008F74DF"/>
    <w:rsid w:val="00902274"/>
    <w:rsid w:val="00905F31"/>
    <w:rsid w:val="009127BA"/>
    <w:rsid w:val="00914CD4"/>
    <w:rsid w:val="00915316"/>
    <w:rsid w:val="0091761D"/>
    <w:rsid w:val="00920336"/>
    <w:rsid w:val="00920814"/>
    <w:rsid w:val="00920AAE"/>
    <w:rsid w:val="009227A6"/>
    <w:rsid w:val="009262BC"/>
    <w:rsid w:val="009302BA"/>
    <w:rsid w:val="00933EC1"/>
    <w:rsid w:val="009377DC"/>
    <w:rsid w:val="009446AD"/>
    <w:rsid w:val="0095237D"/>
    <w:rsid w:val="009523C7"/>
    <w:rsid w:val="009530DB"/>
    <w:rsid w:val="00953206"/>
    <w:rsid w:val="00953676"/>
    <w:rsid w:val="009557ED"/>
    <w:rsid w:val="00955BE0"/>
    <w:rsid w:val="00956840"/>
    <w:rsid w:val="00956F30"/>
    <w:rsid w:val="00962B00"/>
    <w:rsid w:val="00966C9A"/>
    <w:rsid w:val="009705EE"/>
    <w:rsid w:val="00972A0F"/>
    <w:rsid w:val="009744B8"/>
    <w:rsid w:val="00974C65"/>
    <w:rsid w:val="00977927"/>
    <w:rsid w:val="0098135C"/>
    <w:rsid w:val="0098156A"/>
    <w:rsid w:val="009820C8"/>
    <w:rsid w:val="00982D89"/>
    <w:rsid w:val="00987BA1"/>
    <w:rsid w:val="00987FC3"/>
    <w:rsid w:val="00991BAC"/>
    <w:rsid w:val="00993E1F"/>
    <w:rsid w:val="00994EE6"/>
    <w:rsid w:val="009950CB"/>
    <w:rsid w:val="00995408"/>
    <w:rsid w:val="009A6EA0"/>
    <w:rsid w:val="009B5280"/>
    <w:rsid w:val="009B7228"/>
    <w:rsid w:val="009C11BC"/>
    <w:rsid w:val="009C1335"/>
    <w:rsid w:val="009C1AB2"/>
    <w:rsid w:val="009C4596"/>
    <w:rsid w:val="009C7251"/>
    <w:rsid w:val="009D01CA"/>
    <w:rsid w:val="009D25F6"/>
    <w:rsid w:val="009E2E91"/>
    <w:rsid w:val="009E3005"/>
    <w:rsid w:val="009E7D31"/>
    <w:rsid w:val="009F0A66"/>
    <w:rsid w:val="009F1102"/>
    <w:rsid w:val="009F62AE"/>
    <w:rsid w:val="00A01B40"/>
    <w:rsid w:val="00A048C0"/>
    <w:rsid w:val="00A07DF1"/>
    <w:rsid w:val="00A11AA9"/>
    <w:rsid w:val="00A121B0"/>
    <w:rsid w:val="00A1229A"/>
    <w:rsid w:val="00A12968"/>
    <w:rsid w:val="00A139F5"/>
    <w:rsid w:val="00A14CDF"/>
    <w:rsid w:val="00A22031"/>
    <w:rsid w:val="00A23032"/>
    <w:rsid w:val="00A27736"/>
    <w:rsid w:val="00A32E16"/>
    <w:rsid w:val="00A34EF8"/>
    <w:rsid w:val="00A35EE8"/>
    <w:rsid w:val="00A365F4"/>
    <w:rsid w:val="00A36992"/>
    <w:rsid w:val="00A444D3"/>
    <w:rsid w:val="00A47D80"/>
    <w:rsid w:val="00A53132"/>
    <w:rsid w:val="00A563F2"/>
    <w:rsid w:val="00A566E8"/>
    <w:rsid w:val="00A57033"/>
    <w:rsid w:val="00A57375"/>
    <w:rsid w:val="00A61CC4"/>
    <w:rsid w:val="00A66347"/>
    <w:rsid w:val="00A67049"/>
    <w:rsid w:val="00A7392B"/>
    <w:rsid w:val="00A75133"/>
    <w:rsid w:val="00A77317"/>
    <w:rsid w:val="00A810F9"/>
    <w:rsid w:val="00A82D31"/>
    <w:rsid w:val="00A85E7E"/>
    <w:rsid w:val="00A86ECC"/>
    <w:rsid w:val="00A86FCC"/>
    <w:rsid w:val="00A90A6D"/>
    <w:rsid w:val="00A91617"/>
    <w:rsid w:val="00A93229"/>
    <w:rsid w:val="00A933DC"/>
    <w:rsid w:val="00A971E5"/>
    <w:rsid w:val="00A975A7"/>
    <w:rsid w:val="00AA119F"/>
    <w:rsid w:val="00AA15EA"/>
    <w:rsid w:val="00AA31B2"/>
    <w:rsid w:val="00AA710D"/>
    <w:rsid w:val="00AA74FF"/>
    <w:rsid w:val="00AB105D"/>
    <w:rsid w:val="00AB2AF4"/>
    <w:rsid w:val="00AB46E8"/>
    <w:rsid w:val="00AB64F3"/>
    <w:rsid w:val="00AB6D25"/>
    <w:rsid w:val="00AC56F7"/>
    <w:rsid w:val="00AD0507"/>
    <w:rsid w:val="00AD0E56"/>
    <w:rsid w:val="00AD1EB8"/>
    <w:rsid w:val="00AE229B"/>
    <w:rsid w:val="00AE2D4B"/>
    <w:rsid w:val="00AE42C6"/>
    <w:rsid w:val="00AE4F99"/>
    <w:rsid w:val="00AF09D5"/>
    <w:rsid w:val="00AF1109"/>
    <w:rsid w:val="00B0247C"/>
    <w:rsid w:val="00B02A22"/>
    <w:rsid w:val="00B02E84"/>
    <w:rsid w:val="00B07AA4"/>
    <w:rsid w:val="00B07AD3"/>
    <w:rsid w:val="00B07B34"/>
    <w:rsid w:val="00B11B69"/>
    <w:rsid w:val="00B129EE"/>
    <w:rsid w:val="00B14952"/>
    <w:rsid w:val="00B15241"/>
    <w:rsid w:val="00B16871"/>
    <w:rsid w:val="00B206DF"/>
    <w:rsid w:val="00B25B45"/>
    <w:rsid w:val="00B269A7"/>
    <w:rsid w:val="00B3094A"/>
    <w:rsid w:val="00B31E5A"/>
    <w:rsid w:val="00B32076"/>
    <w:rsid w:val="00B36586"/>
    <w:rsid w:val="00B46195"/>
    <w:rsid w:val="00B47359"/>
    <w:rsid w:val="00B475CF"/>
    <w:rsid w:val="00B5345C"/>
    <w:rsid w:val="00B541B2"/>
    <w:rsid w:val="00B6052A"/>
    <w:rsid w:val="00B64AEE"/>
    <w:rsid w:val="00B653AB"/>
    <w:rsid w:val="00B65F9E"/>
    <w:rsid w:val="00B66B19"/>
    <w:rsid w:val="00B736C9"/>
    <w:rsid w:val="00B76881"/>
    <w:rsid w:val="00B81B03"/>
    <w:rsid w:val="00B832BB"/>
    <w:rsid w:val="00B85FAB"/>
    <w:rsid w:val="00B87F40"/>
    <w:rsid w:val="00B914E9"/>
    <w:rsid w:val="00B956EE"/>
    <w:rsid w:val="00B97BB7"/>
    <w:rsid w:val="00BA2B2D"/>
    <w:rsid w:val="00BA2BA1"/>
    <w:rsid w:val="00BA3447"/>
    <w:rsid w:val="00BA3562"/>
    <w:rsid w:val="00BB391F"/>
    <w:rsid w:val="00BB4F09"/>
    <w:rsid w:val="00BB51FD"/>
    <w:rsid w:val="00BB54B5"/>
    <w:rsid w:val="00BC0479"/>
    <w:rsid w:val="00BC1689"/>
    <w:rsid w:val="00BD0663"/>
    <w:rsid w:val="00BD4E33"/>
    <w:rsid w:val="00BD5193"/>
    <w:rsid w:val="00BD5E4F"/>
    <w:rsid w:val="00BE16FB"/>
    <w:rsid w:val="00BE294D"/>
    <w:rsid w:val="00BE4E14"/>
    <w:rsid w:val="00BE56BB"/>
    <w:rsid w:val="00BF08A5"/>
    <w:rsid w:val="00BF471C"/>
    <w:rsid w:val="00BF6B66"/>
    <w:rsid w:val="00C030DE"/>
    <w:rsid w:val="00C051A8"/>
    <w:rsid w:val="00C07EBA"/>
    <w:rsid w:val="00C1547C"/>
    <w:rsid w:val="00C21E6F"/>
    <w:rsid w:val="00C22105"/>
    <w:rsid w:val="00C23203"/>
    <w:rsid w:val="00C244B6"/>
    <w:rsid w:val="00C250BE"/>
    <w:rsid w:val="00C263E2"/>
    <w:rsid w:val="00C27BF1"/>
    <w:rsid w:val="00C27E08"/>
    <w:rsid w:val="00C324A2"/>
    <w:rsid w:val="00C324F5"/>
    <w:rsid w:val="00C334C0"/>
    <w:rsid w:val="00C353AE"/>
    <w:rsid w:val="00C36277"/>
    <w:rsid w:val="00C3702F"/>
    <w:rsid w:val="00C40DA3"/>
    <w:rsid w:val="00C411E9"/>
    <w:rsid w:val="00C42AD2"/>
    <w:rsid w:val="00C449A6"/>
    <w:rsid w:val="00C44A65"/>
    <w:rsid w:val="00C4500A"/>
    <w:rsid w:val="00C47DC3"/>
    <w:rsid w:val="00C50055"/>
    <w:rsid w:val="00C5143B"/>
    <w:rsid w:val="00C55C5A"/>
    <w:rsid w:val="00C60504"/>
    <w:rsid w:val="00C60B05"/>
    <w:rsid w:val="00C62238"/>
    <w:rsid w:val="00C64A37"/>
    <w:rsid w:val="00C71122"/>
    <w:rsid w:val="00C7158E"/>
    <w:rsid w:val="00C72032"/>
    <w:rsid w:val="00C7250B"/>
    <w:rsid w:val="00C7346B"/>
    <w:rsid w:val="00C74675"/>
    <w:rsid w:val="00C77C0E"/>
    <w:rsid w:val="00C800D8"/>
    <w:rsid w:val="00C81004"/>
    <w:rsid w:val="00C81678"/>
    <w:rsid w:val="00C848A3"/>
    <w:rsid w:val="00C90730"/>
    <w:rsid w:val="00C90D27"/>
    <w:rsid w:val="00C91687"/>
    <w:rsid w:val="00C924A8"/>
    <w:rsid w:val="00C93522"/>
    <w:rsid w:val="00C945FE"/>
    <w:rsid w:val="00C96FAA"/>
    <w:rsid w:val="00C97A04"/>
    <w:rsid w:val="00CA0E6D"/>
    <w:rsid w:val="00CA107B"/>
    <w:rsid w:val="00CA439C"/>
    <w:rsid w:val="00CA484D"/>
    <w:rsid w:val="00CA4FB6"/>
    <w:rsid w:val="00CA784C"/>
    <w:rsid w:val="00CB1606"/>
    <w:rsid w:val="00CB238E"/>
    <w:rsid w:val="00CB2F90"/>
    <w:rsid w:val="00CB6AD4"/>
    <w:rsid w:val="00CC56CD"/>
    <w:rsid w:val="00CC739E"/>
    <w:rsid w:val="00CD04AE"/>
    <w:rsid w:val="00CD1EBB"/>
    <w:rsid w:val="00CD21DB"/>
    <w:rsid w:val="00CD28CF"/>
    <w:rsid w:val="00CD4091"/>
    <w:rsid w:val="00CD58B7"/>
    <w:rsid w:val="00CD7967"/>
    <w:rsid w:val="00CE0015"/>
    <w:rsid w:val="00CF18EE"/>
    <w:rsid w:val="00CF30BD"/>
    <w:rsid w:val="00CF4099"/>
    <w:rsid w:val="00D00796"/>
    <w:rsid w:val="00D03813"/>
    <w:rsid w:val="00D113D4"/>
    <w:rsid w:val="00D11B1F"/>
    <w:rsid w:val="00D17DA3"/>
    <w:rsid w:val="00D22385"/>
    <w:rsid w:val="00D23E96"/>
    <w:rsid w:val="00D248E5"/>
    <w:rsid w:val="00D25FC6"/>
    <w:rsid w:val="00D261A2"/>
    <w:rsid w:val="00D277B1"/>
    <w:rsid w:val="00D376F7"/>
    <w:rsid w:val="00D40968"/>
    <w:rsid w:val="00D41384"/>
    <w:rsid w:val="00D42955"/>
    <w:rsid w:val="00D50A3A"/>
    <w:rsid w:val="00D51B63"/>
    <w:rsid w:val="00D56EBA"/>
    <w:rsid w:val="00D57C6F"/>
    <w:rsid w:val="00D616D2"/>
    <w:rsid w:val="00D62B32"/>
    <w:rsid w:val="00D63B5F"/>
    <w:rsid w:val="00D64E79"/>
    <w:rsid w:val="00D65C1D"/>
    <w:rsid w:val="00D70C05"/>
    <w:rsid w:val="00D70D3A"/>
    <w:rsid w:val="00D70EF7"/>
    <w:rsid w:val="00D723E6"/>
    <w:rsid w:val="00D7346A"/>
    <w:rsid w:val="00D75968"/>
    <w:rsid w:val="00D8397C"/>
    <w:rsid w:val="00D9068F"/>
    <w:rsid w:val="00D927A4"/>
    <w:rsid w:val="00D94EED"/>
    <w:rsid w:val="00D95348"/>
    <w:rsid w:val="00D95BB4"/>
    <w:rsid w:val="00D96026"/>
    <w:rsid w:val="00D972F6"/>
    <w:rsid w:val="00DA331D"/>
    <w:rsid w:val="00DA3F4F"/>
    <w:rsid w:val="00DA5726"/>
    <w:rsid w:val="00DA7C1C"/>
    <w:rsid w:val="00DB147A"/>
    <w:rsid w:val="00DB1B7A"/>
    <w:rsid w:val="00DB3E32"/>
    <w:rsid w:val="00DB443A"/>
    <w:rsid w:val="00DB706E"/>
    <w:rsid w:val="00DC1CEA"/>
    <w:rsid w:val="00DC1F1A"/>
    <w:rsid w:val="00DC6708"/>
    <w:rsid w:val="00DD011A"/>
    <w:rsid w:val="00DD09FE"/>
    <w:rsid w:val="00DD2A25"/>
    <w:rsid w:val="00DD35C2"/>
    <w:rsid w:val="00DE1D0A"/>
    <w:rsid w:val="00DE2400"/>
    <w:rsid w:val="00DE35EF"/>
    <w:rsid w:val="00DE4388"/>
    <w:rsid w:val="00DE58F1"/>
    <w:rsid w:val="00DE6B58"/>
    <w:rsid w:val="00DF0886"/>
    <w:rsid w:val="00DF1521"/>
    <w:rsid w:val="00DF4C7D"/>
    <w:rsid w:val="00DF5E32"/>
    <w:rsid w:val="00DF6817"/>
    <w:rsid w:val="00E01436"/>
    <w:rsid w:val="00E01812"/>
    <w:rsid w:val="00E03B26"/>
    <w:rsid w:val="00E03E79"/>
    <w:rsid w:val="00E045BD"/>
    <w:rsid w:val="00E04D6C"/>
    <w:rsid w:val="00E06B6A"/>
    <w:rsid w:val="00E15169"/>
    <w:rsid w:val="00E17B77"/>
    <w:rsid w:val="00E224F3"/>
    <w:rsid w:val="00E231AB"/>
    <w:rsid w:val="00E23337"/>
    <w:rsid w:val="00E2565B"/>
    <w:rsid w:val="00E259EA"/>
    <w:rsid w:val="00E25D33"/>
    <w:rsid w:val="00E3050D"/>
    <w:rsid w:val="00E30C1D"/>
    <w:rsid w:val="00E31B21"/>
    <w:rsid w:val="00E32061"/>
    <w:rsid w:val="00E32FB5"/>
    <w:rsid w:val="00E33F48"/>
    <w:rsid w:val="00E35720"/>
    <w:rsid w:val="00E36A5D"/>
    <w:rsid w:val="00E4017A"/>
    <w:rsid w:val="00E42FF9"/>
    <w:rsid w:val="00E44790"/>
    <w:rsid w:val="00E45A79"/>
    <w:rsid w:val="00E4714C"/>
    <w:rsid w:val="00E5178D"/>
    <w:rsid w:val="00E51AEB"/>
    <w:rsid w:val="00E522A7"/>
    <w:rsid w:val="00E5349E"/>
    <w:rsid w:val="00E543FE"/>
    <w:rsid w:val="00E54452"/>
    <w:rsid w:val="00E57256"/>
    <w:rsid w:val="00E60A80"/>
    <w:rsid w:val="00E61019"/>
    <w:rsid w:val="00E63B0C"/>
    <w:rsid w:val="00E664C5"/>
    <w:rsid w:val="00E671A2"/>
    <w:rsid w:val="00E67F9B"/>
    <w:rsid w:val="00E731EF"/>
    <w:rsid w:val="00E7545C"/>
    <w:rsid w:val="00E76D26"/>
    <w:rsid w:val="00E76EE5"/>
    <w:rsid w:val="00E81D6E"/>
    <w:rsid w:val="00E81EB3"/>
    <w:rsid w:val="00E95036"/>
    <w:rsid w:val="00E955F7"/>
    <w:rsid w:val="00E9588F"/>
    <w:rsid w:val="00E95B8E"/>
    <w:rsid w:val="00E96BB8"/>
    <w:rsid w:val="00EA51DE"/>
    <w:rsid w:val="00EA57D9"/>
    <w:rsid w:val="00EA705D"/>
    <w:rsid w:val="00EB1390"/>
    <w:rsid w:val="00EB2C71"/>
    <w:rsid w:val="00EB3333"/>
    <w:rsid w:val="00EB3649"/>
    <w:rsid w:val="00EB4340"/>
    <w:rsid w:val="00EB556D"/>
    <w:rsid w:val="00EB5A7D"/>
    <w:rsid w:val="00EB5FC5"/>
    <w:rsid w:val="00EC0E17"/>
    <w:rsid w:val="00EC6B79"/>
    <w:rsid w:val="00ED11B2"/>
    <w:rsid w:val="00ED55C0"/>
    <w:rsid w:val="00ED682B"/>
    <w:rsid w:val="00ED69A1"/>
    <w:rsid w:val="00EE12E6"/>
    <w:rsid w:val="00EE16F2"/>
    <w:rsid w:val="00EE41D5"/>
    <w:rsid w:val="00EE65D8"/>
    <w:rsid w:val="00EF1164"/>
    <w:rsid w:val="00EF1F43"/>
    <w:rsid w:val="00EF5837"/>
    <w:rsid w:val="00EF5F9B"/>
    <w:rsid w:val="00EF7283"/>
    <w:rsid w:val="00F0166F"/>
    <w:rsid w:val="00F037A4"/>
    <w:rsid w:val="00F049AB"/>
    <w:rsid w:val="00F0564E"/>
    <w:rsid w:val="00F0633D"/>
    <w:rsid w:val="00F11229"/>
    <w:rsid w:val="00F142DB"/>
    <w:rsid w:val="00F155BB"/>
    <w:rsid w:val="00F16D83"/>
    <w:rsid w:val="00F16DA1"/>
    <w:rsid w:val="00F25599"/>
    <w:rsid w:val="00F25ABB"/>
    <w:rsid w:val="00F27C8F"/>
    <w:rsid w:val="00F32749"/>
    <w:rsid w:val="00F37172"/>
    <w:rsid w:val="00F43ACD"/>
    <w:rsid w:val="00F4477E"/>
    <w:rsid w:val="00F46269"/>
    <w:rsid w:val="00F50852"/>
    <w:rsid w:val="00F51D9C"/>
    <w:rsid w:val="00F532E0"/>
    <w:rsid w:val="00F560B5"/>
    <w:rsid w:val="00F60BA8"/>
    <w:rsid w:val="00F651F5"/>
    <w:rsid w:val="00F6527E"/>
    <w:rsid w:val="00F65C7A"/>
    <w:rsid w:val="00F670E2"/>
    <w:rsid w:val="00F67D8F"/>
    <w:rsid w:val="00F72729"/>
    <w:rsid w:val="00F75174"/>
    <w:rsid w:val="00F802BE"/>
    <w:rsid w:val="00F80E93"/>
    <w:rsid w:val="00F86024"/>
    <w:rsid w:val="00F8611A"/>
    <w:rsid w:val="00F92781"/>
    <w:rsid w:val="00F958D9"/>
    <w:rsid w:val="00F95951"/>
    <w:rsid w:val="00FA0285"/>
    <w:rsid w:val="00FA4D6D"/>
    <w:rsid w:val="00FA5128"/>
    <w:rsid w:val="00FA73C4"/>
    <w:rsid w:val="00FB0C7C"/>
    <w:rsid w:val="00FB163D"/>
    <w:rsid w:val="00FB42D4"/>
    <w:rsid w:val="00FB57F0"/>
    <w:rsid w:val="00FB5906"/>
    <w:rsid w:val="00FB762F"/>
    <w:rsid w:val="00FB7CA7"/>
    <w:rsid w:val="00FC242D"/>
    <w:rsid w:val="00FC2AED"/>
    <w:rsid w:val="00FC4996"/>
    <w:rsid w:val="00FC7A34"/>
    <w:rsid w:val="00FD332C"/>
    <w:rsid w:val="00FD3C79"/>
    <w:rsid w:val="00FD4EB4"/>
    <w:rsid w:val="00FD5EA7"/>
    <w:rsid w:val="00FD7008"/>
    <w:rsid w:val="00FD7D41"/>
    <w:rsid w:val="00FE36CF"/>
    <w:rsid w:val="00FE5B55"/>
    <w:rsid w:val="00FE5E06"/>
    <w:rsid w:val="00FE69BE"/>
    <w:rsid w:val="00FF024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stat.gov.pl/en/metainformation/glossary/terms-used-in-official-statistics/615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stat.gov.pl/en/metainformation/glossary/terms-used-in-official-statistics/613,term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s://stat.gov.pl/en/metainformation/glossary/terms-used-in-official-statistics/588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24" Type="http://schemas.openxmlformats.org/officeDocument/2006/relationships/hyperlink" Target="https://stat.gov.pl/en/metainformation/glossary/terms-used-in-official-statistics/158,term.html" TargetMode="External"/><Relationship Id="rId32" Type="http://schemas.openxmlformats.org/officeDocument/2006/relationships/hyperlink" Target="https://stat.gov.pl/en/metainformation/glossary/terms-used-in-official-statistics/223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metainformation/glossary/terms-used-in-official-statistics/395,term.html" TargetMode="External"/><Relationship Id="rId28" Type="http://schemas.openxmlformats.org/officeDocument/2006/relationships/hyperlink" Target="https://stat.gov.pl/en/metainformation/glossary/terms-used-in-official-statistics/587,term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form.stat.gov.pl/formularze/2024/passive/F-01_I-01.pdf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s://stat.gov.pl/en/metainformation/glossary/terms-used-in-official-statistics/58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s://stat.gov.pl/en/metainformation/glossary/terms-used-in-official-statistics/583,term.html" TargetMode="External"/><Relationship Id="rId30" Type="http://schemas.openxmlformats.org/officeDocument/2006/relationships/hyperlink" Target="https://stat.gov.pl/en/metainformation/glossary/terms-used-in-official-statistics/584,term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Informacja_sygnalna_wyniki_finansowe_przedsiębiorstw_01-03 2024 EN.docx.docx</NazwaPliku>
    <Odbiorcy2 xmlns="1E9983FF-DC4B-4F4E-A072-0441E2B88E6D" xsi:nil="true"/>
    <Osoba xmlns="1E9983FF-DC4B-4F4E-A072-0441E2B88E6D">STAT\PASIAKK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A7710-1676-4483-B105-AB8222C0D334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46505A3C-DAD6-4067-8213-6D86521EB5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5</Pages>
  <Words>1690</Words>
  <Characters>10146</Characters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enterprises</vt:lpstr>
    </vt:vector>
  </TitlesOfParts>
  <Company/>
  <LinksUpToDate>false</LinksUpToDate>
  <CharactersWithSpaces>11813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Statistics Poland</dc:creator>
  <dc:description/>
  <cp:lastPrinted>2019-02-21T09:45:00Z</cp:lastPrinted>
  <dcterms:created xsi:type="dcterms:W3CDTF">2022-03-21T11:51:00Z</dcterms:created>
  <dcterms:modified xsi:type="dcterms:W3CDTF">2024-06-11T07:17:00Z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