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1BF74" w14:textId="77777777" w:rsidR="00D153FF" w:rsidRPr="006B55C0" w:rsidRDefault="00D153FF" w:rsidP="00D153FF">
      <w:pPr>
        <w:pStyle w:val="tytuinformacji"/>
        <w:rPr>
          <w:shd w:val="clear" w:color="auto" w:fill="FFFFFF"/>
          <w:lang w:val="en-US"/>
        </w:rPr>
      </w:pPr>
      <w:bookmarkStart w:id="0" w:name="_GoBack"/>
      <w:r w:rsidRPr="006B55C0">
        <w:rPr>
          <w:shd w:val="clear" w:color="auto" w:fill="FFFFFF"/>
          <w:lang w:val="en-US"/>
        </w:rPr>
        <w:t>General go</w:t>
      </w:r>
      <w:r w:rsidR="0072384A">
        <w:rPr>
          <w:shd w:val="clear" w:color="auto" w:fill="FFFFFF"/>
          <w:lang w:val="en-US"/>
        </w:rPr>
        <w:t>vernment deficit and debt in 202</w:t>
      </w:r>
      <w:r w:rsidR="00D24980">
        <w:rPr>
          <w:shd w:val="clear" w:color="auto" w:fill="FFFFFF"/>
          <w:lang w:val="en-US"/>
        </w:rPr>
        <w:t>3</w:t>
      </w:r>
      <w:bookmarkEnd w:id="0"/>
    </w:p>
    <w:p w14:paraId="272A8BF3" w14:textId="77777777" w:rsidR="00983768" w:rsidRPr="005535A2" w:rsidRDefault="006E5848" w:rsidP="00983768">
      <w:pPr>
        <w:pStyle w:val="tytuinformacji"/>
        <w:rPr>
          <w:shd w:val="clear" w:color="auto" w:fill="FFFFFF"/>
          <w:lang w:val="en-US"/>
        </w:rPr>
      </w:pPr>
      <w:r>
        <w:rPr>
          <w:noProof/>
          <w:lang w:val="en-GB" w:eastAsia="en-GB"/>
        </w:rPr>
        <mc:AlternateContent>
          <mc:Choice Requires="wps">
            <w:drawing>
              <wp:anchor distT="45720" distB="45720" distL="114300" distR="114300" simplePos="0" relativeHeight="251653632" behindDoc="0" locked="0" layoutInCell="1" allowOverlap="1" wp14:anchorId="128B86C5" wp14:editId="737BD4A5">
                <wp:simplePos x="0" y="0"/>
                <wp:positionH relativeFrom="margin">
                  <wp:posOffset>-40005</wp:posOffset>
                </wp:positionH>
                <wp:positionV relativeFrom="paragraph">
                  <wp:posOffset>407035</wp:posOffset>
                </wp:positionV>
                <wp:extent cx="1877060" cy="1003300"/>
                <wp:effectExtent l="7620" t="8255" r="1270" b="7620"/>
                <wp:wrapSquare wrapText="bothSides"/>
                <wp:docPr id="7" name="Pole tekstowe 2" descr="Description : 5,3 %&#10;General government deficit in 2023 in relation to GD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1003300"/>
                        </a:xfrm>
                        <a:prstGeom prst="roundRect">
                          <a:avLst>
                            <a:gd name="adj" fmla="val 16667"/>
                          </a:avLst>
                        </a:prstGeom>
                        <a:solidFill>
                          <a:srgbClr val="001D7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94AAC" w14:textId="517F3CED" w:rsidR="003818AB" w:rsidRPr="00F24737" w:rsidRDefault="003818AB" w:rsidP="003818AB">
                            <w:pPr>
                              <w:spacing w:after="0" w:line="240" w:lineRule="auto"/>
                              <w:rPr>
                                <w:rFonts w:ascii="Fira Sans SemiBold" w:hAnsi="Fira Sans SemiBold"/>
                                <w:color w:val="FFFFFF"/>
                                <w:sz w:val="72"/>
                                <w:lang w:val="en-GB"/>
                              </w:rPr>
                            </w:pPr>
                            <w:bookmarkStart w:id="1" w:name="_Hlk99638553"/>
                            <w:bookmarkStart w:id="2" w:name="_Hlk99638554"/>
                            <w:bookmarkStart w:id="3" w:name="_Hlk99638558"/>
                            <w:bookmarkStart w:id="4" w:name="_Hlk99638559"/>
                            <w:bookmarkStart w:id="5" w:name="_Hlk99638560"/>
                            <w:bookmarkStart w:id="6" w:name="_Hlk99638561"/>
                            <w:bookmarkStart w:id="7" w:name="_Hlk99638562"/>
                            <w:bookmarkStart w:id="8" w:name="_Hlk99638563"/>
                            <w:r w:rsidRPr="00F24737">
                              <w:rPr>
                                <w:rFonts w:ascii="Fira Sans Light" w:hAnsi="Fira Sans Light"/>
                                <w:color w:val="001D77"/>
                                <w:sz w:val="22"/>
                                <w:lang w:val="en-GB"/>
                              </w:rPr>
                              <w:t>1</w:t>
                            </w:r>
                            <w:r w:rsidRPr="00F24737">
                              <w:rPr>
                                <w:noProof/>
                                <w:color w:val="001D77"/>
                                <w:lang w:val="en-GB" w:eastAsia="pl-PL"/>
                              </w:rPr>
                              <w:t xml:space="preserve">               </w:t>
                            </w:r>
                            <w:r w:rsidR="00D24980">
                              <w:rPr>
                                <w:rFonts w:ascii="Fira Sans SemiBold" w:hAnsi="Fira Sans SemiBold"/>
                                <w:color w:val="FFFFFF"/>
                                <w:sz w:val="40"/>
                                <w:szCs w:val="40"/>
                                <w:lang w:val="en-GB"/>
                              </w:rPr>
                              <w:t>5,</w:t>
                            </w:r>
                            <w:r w:rsidR="00520925">
                              <w:rPr>
                                <w:rFonts w:ascii="Fira Sans SemiBold" w:hAnsi="Fira Sans SemiBold"/>
                                <w:color w:val="FFFFFF"/>
                                <w:sz w:val="40"/>
                                <w:szCs w:val="40"/>
                                <w:lang w:val="en-GB"/>
                              </w:rPr>
                              <w:t>3</w:t>
                            </w:r>
                            <w:r w:rsidRPr="00F24737">
                              <w:rPr>
                                <w:rFonts w:ascii="Fira Sans SemiBold" w:hAnsi="Fira Sans SemiBold"/>
                                <w:color w:val="FFFFFF"/>
                                <w:sz w:val="40"/>
                                <w:szCs w:val="40"/>
                                <w:lang w:val="en-GB"/>
                              </w:rPr>
                              <w:t>%</w:t>
                            </w:r>
                          </w:p>
                          <w:p w14:paraId="20E28DA4" w14:textId="77777777"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D24980">
                              <w:rPr>
                                <w:sz w:val="19"/>
                                <w:szCs w:val="19"/>
                                <w:lang w:val="en-US"/>
                              </w:rPr>
                              <w:t>3</w:t>
                            </w:r>
                            <w:r>
                              <w:rPr>
                                <w:sz w:val="19"/>
                                <w:szCs w:val="19"/>
                                <w:lang w:val="en-US"/>
                              </w:rPr>
                              <w:t xml:space="preserve"> in relation to </w:t>
                            </w:r>
                            <w:r w:rsidRPr="006D3220">
                              <w:rPr>
                                <w:sz w:val="19"/>
                                <w:szCs w:val="19"/>
                                <w:lang w:val="en-US"/>
                              </w:rPr>
                              <w:t>GDP</w:t>
                            </w:r>
                          </w:p>
                          <w:bookmarkEnd w:id="1"/>
                          <w:bookmarkEnd w:id="2"/>
                          <w:bookmarkEnd w:id="3"/>
                          <w:bookmarkEnd w:id="4"/>
                          <w:bookmarkEnd w:id="5"/>
                          <w:bookmarkEnd w:id="6"/>
                          <w:bookmarkEnd w:id="7"/>
                          <w:bookmarkEnd w:id="8"/>
                          <w:p w14:paraId="2E60884C" w14:textId="77777777" w:rsidR="003818AB" w:rsidRPr="00F24737" w:rsidRDefault="003818AB" w:rsidP="003818AB">
                            <w:pPr>
                              <w:pStyle w:val="Opiswskanika"/>
                              <w:rPr>
                                <w:sz w:val="18"/>
                                <w:szCs w:val="2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28B86C5" id="Pole tekstowe 2" o:spid="_x0000_s1026" alt="Description : 5,3 %&#10;General government deficit in 2023 in relation to GDP" style="position:absolute;margin-left:-3.15pt;margin-top:32.05pt;width:147.8pt;height:79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" fillcolor="#001d77" stroked="f">
                <v:stroke joinstyle="miter"/>
                <v:textbox>
                  <w:txbxContent>
                    <w:p w14:paraId="50E94AAC" w14:textId="517F3CED" w:rsidR="003818AB" w:rsidRPr="00F24737" w:rsidRDefault="003818AB" w:rsidP="003818AB">
                      <w:pPr>
                        <w:spacing w:after="0" w:line="240" w:lineRule="auto"/>
                        <w:rPr>
                          <w:rFonts w:ascii="Fira Sans SemiBold" w:hAnsi="Fira Sans SemiBold"/>
                          <w:color w:val="FFFFFF"/>
                          <w:sz w:val="72"/>
                          <w:lang w:val="en-GB"/>
                        </w:rPr>
                      </w:pPr>
                      <w:bookmarkStart w:id="9" w:name="_Hlk99638553"/>
                      <w:bookmarkStart w:id="10" w:name="_Hlk99638554"/>
                      <w:bookmarkStart w:id="11" w:name="_Hlk99638558"/>
                      <w:bookmarkStart w:id="12" w:name="_Hlk99638559"/>
                      <w:bookmarkStart w:id="13" w:name="_Hlk99638560"/>
                      <w:bookmarkStart w:id="14" w:name="_Hlk99638561"/>
                      <w:bookmarkStart w:id="15" w:name="_Hlk99638562"/>
                      <w:bookmarkStart w:id="16" w:name="_Hlk99638563"/>
                      <w:r w:rsidRPr="00F24737">
                        <w:rPr>
                          <w:rFonts w:ascii="Fira Sans Light" w:hAnsi="Fira Sans Light"/>
                          <w:color w:val="001D77"/>
                          <w:sz w:val="22"/>
                          <w:lang w:val="en-GB"/>
                        </w:rPr>
                        <w:t>1</w:t>
                      </w:r>
                      <w:r w:rsidRPr="00F24737">
                        <w:rPr>
                          <w:noProof/>
                          <w:color w:val="001D77"/>
                          <w:lang w:val="en-GB" w:eastAsia="pl-PL"/>
                        </w:rPr>
                        <w:t xml:space="preserve">               </w:t>
                      </w:r>
                      <w:r w:rsidR="00D24980">
                        <w:rPr>
                          <w:rFonts w:ascii="Fira Sans SemiBold" w:hAnsi="Fira Sans SemiBold"/>
                          <w:color w:val="FFFFFF"/>
                          <w:sz w:val="40"/>
                          <w:szCs w:val="40"/>
                          <w:lang w:val="en-GB"/>
                        </w:rPr>
                        <w:t>5,</w:t>
                      </w:r>
                      <w:r w:rsidR="00520925">
                        <w:rPr>
                          <w:rFonts w:ascii="Fira Sans SemiBold" w:hAnsi="Fira Sans SemiBold"/>
                          <w:color w:val="FFFFFF"/>
                          <w:sz w:val="40"/>
                          <w:szCs w:val="40"/>
                          <w:lang w:val="en-GB"/>
                        </w:rPr>
                        <w:t>3</w:t>
                      </w:r>
                      <w:r w:rsidRPr="00F24737">
                        <w:rPr>
                          <w:rFonts w:ascii="Fira Sans SemiBold" w:hAnsi="Fira Sans SemiBold"/>
                          <w:color w:val="FFFFFF"/>
                          <w:sz w:val="40"/>
                          <w:szCs w:val="40"/>
                          <w:lang w:val="en-GB"/>
                        </w:rPr>
                        <w:t>%</w:t>
                      </w:r>
                    </w:p>
                    <w:p w14:paraId="20E28DA4" w14:textId="77777777" w:rsidR="003818AB" w:rsidRPr="006D3220" w:rsidRDefault="003818AB" w:rsidP="003818AB">
                      <w:pPr>
                        <w:pStyle w:val="tekstnaniebieskimtle"/>
                        <w:rPr>
                          <w:color w:val="FFFFFF"/>
                          <w:sz w:val="19"/>
                          <w:szCs w:val="19"/>
                          <w:lang w:val="en-US"/>
                        </w:rPr>
                      </w:pPr>
                      <w:r w:rsidRPr="006D3220">
                        <w:rPr>
                          <w:sz w:val="19"/>
                          <w:szCs w:val="19"/>
                          <w:lang w:val="en-US"/>
                        </w:rPr>
                        <w:t>General government defic</w:t>
                      </w:r>
                      <w:r>
                        <w:rPr>
                          <w:sz w:val="19"/>
                          <w:szCs w:val="19"/>
                          <w:lang w:val="en-US"/>
                        </w:rPr>
                        <w:t>i</w:t>
                      </w:r>
                      <w:r w:rsidRPr="006D3220">
                        <w:rPr>
                          <w:sz w:val="19"/>
                          <w:szCs w:val="19"/>
                          <w:lang w:val="en-US"/>
                        </w:rPr>
                        <w:t xml:space="preserve">t </w:t>
                      </w:r>
                      <w:r>
                        <w:rPr>
                          <w:sz w:val="19"/>
                          <w:szCs w:val="19"/>
                          <w:lang w:val="en-US"/>
                        </w:rPr>
                        <w:t>i</w:t>
                      </w:r>
                      <w:r w:rsidRPr="006D3220">
                        <w:rPr>
                          <w:sz w:val="19"/>
                          <w:szCs w:val="19"/>
                          <w:lang w:val="en-US"/>
                        </w:rPr>
                        <w:t xml:space="preserve">n </w:t>
                      </w:r>
                      <w:r>
                        <w:rPr>
                          <w:sz w:val="19"/>
                          <w:szCs w:val="19"/>
                          <w:lang w:val="en-US"/>
                        </w:rPr>
                        <w:t>202</w:t>
                      </w:r>
                      <w:r w:rsidR="00D24980">
                        <w:rPr>
                          <w:sz w:val="19"/>
                          <w:szCs w:val="19"/>
                          <w:lang w:val="en-US"/>
                        </w:rPr>
                        <w:t>3</w:t>
                      </w:r>
                      <w:r>
                        <w:rPr>
                          <w:sz w:val="19"/>
                          <w:szCs w:val="19"/>
                          <w:lang w:val="en-US"/>
                        </w:rPr>
                        <w:t xml:space="preserve"> in relation to </w:t>
                      </w:r>
                      <w:r w:rsidRPr="006D3220">
                        <w:rPr>
                          <w:sz w:val="19"/>
                          <w:szCs w:val="19"/>
                          <w:lang w:val="en-US"/>
                        </w:rPr>
                        <w:t>GDP</w:t>
                      </w:r>
                    </w:p>
                    <w:bookmarkEnd w:id="9"/>
                    <w:bookmarkEnd w:id="10"/>
                    <w:bookmarkEnd w:id="11"/>
                    <w:bookmarkEnd w:id="12"/>
                    <w:bookmarkEnd w:id="13"/>
                    <w:bookmarkEnd w:id="14"/>
                    <w:bookmarkEnd w:id="15"/>
                    <w:bookmarkEnd w:id="16"/>
                    <w:p w14:paraId="2E60884C" w14:textId="77777777" w:rsidR="003818AB" w:rsidRPr="00F24737" w:rsidRDefault="003818AB" w:rsidP="003818AB">
                      <w:pPr>
                        <w:pStyle w:val="Opiswskanika"/>
                        <w:rPr>
                          <w:sz w:val="18"/>
                          <w:szCs w:val="20"/>
                          <w:lang w:val="en-GB"/>
                        </w:rPr>
                      </w:pPr>
                    </w:p>
                  </w:txbxContent>
                </v:textbox>
                <w10:wrap type="square" anchorx="margin"/>
              </v:roundrect>
            </w:pict>
          </mc:Fallback>
        </mc:AlternateContent>
      </w:r>
    </w:p>
    <w:p w14:paraId="2647B5B5" w14:textId="69AC5D4A" w:rsidR="00847842" w:rsidRPr="00D153FF" w:rsidRDefault="006E5848" w:rsidP="001A5332">
      <w:pPr>
        <w:pStyle w:val="LID"/>
        <w:rPr>
          <w:lang w:val="en-US"/>
        </w:rPr>
      </w:pPr>
      <w:r w:rsidRPr="00847842">
        <w:rPr>
          <w:lang w:val="en-GB" w:eastAsia="en-GB"/>
        </w:rPr>
        <mc:AlternateContent>
          <mc:Choice Requires="wps">
            <w:drawing>
              <wp:anchor distT="45720" distB="45720" distL="114300" distR="114300" simplePos="0" relativeHeight="251652608" behindDoc="1" locked="0" layoutInCell="1" allowOverlap="1" wp14:anchorId="49AB9ECA" wp14:editId="57F77C3B">
                <wp:simplePos x="0" y="0"/>
                <wp:positionH relativeFrom="column">
                  <wp:posOffset>5247005</wp:posOffset>
                </wp:positionH>
                <wp:positionV relativeFrom="paragraph">
                  <wp:posOffset>320675</wp:posOffset>
                </wp:positionV>
                <wp:extent cx="1725295" cy="949960"/>
                <wp:effectExtent l="0" t="0" r="0" b="0"/>
                <wp:wrapTight wrapText="bothSides">
                  <wp:wrapPolygon edited="0">
                    <wp:start x="715" y="0"/>
                    <wp:lineTo x="715" y="21225"/>
                    <wp:lineTo x="20749" y="21225"/>
                    <wp:lineTo x="20749" y="0"/>
                    <wp:lineTo x="715"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49960"/>
                        </a:xfrm>
                        <a:prstGeom prst="rect">
                          <a:avLst/>
                        </a:prstGeom>
                        <a:noFill/>
                        <a:ln w="9525">
                          <a:noFill/>
                          <a:miter lim="800000"/>
                          <a:headEnd/>
                          <a:tailEnd/>
                        </a:ln>
                      </wps:spPr>
                      <wps:txbx>
                        <w:txbxContent>
                          <w:p w14:paraId="30D6EDD7" w14:textId="77777777" w:rsidR="00D616D2" w:rsidRPr="001036E7" w:rsidRDefault="00D616D2" w:rsidP="009C113C">
                            <w:pPr>
                              <w:spacing w:before="0" w:after="0"/>
                              <w:rPr>
                                <w:rFonts w:eastAsia="Times New Roman"/>
                                <w:bCs/>
                                <w:color w:val="001D77"/>
                                <w:sz w:val="18"/>
                                <w:szCs w:val="18"/>
                                <w:lang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AB9ECA" id="_x0000_t202" coordsize="21600,21600" o:spt="202" path="m,l,21600r21600,l21600,xe">
                <v:stroke joinstyle="miter"/>
                <v:path gradientshapeok="t" o:connecttype="rect"/>
              </v:shapetype>
              <v:shape id="_x0000_s1027" type="#_x0000_t202" style="position:absolute;margin-left:413.15pt;margin-top:25.25pt;width:135.85pt;height:74.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" filled="f" stroked="f">
                <v:textbox>
                  <w:txbxContent>
                    <w:p w14:paraId="30D6EDD7" w14:textId="77777777" w:rsidR="00D616D2" w:rsidRPr="001036E7" w:rsidRDefault="00D616D2" w:rsidP="009C113C">
                      <w:pPr>
                        <w:spacing w:before="0" w:after="0"/>
                        <w:rPr>
                          <w:rFonts w:eastAsia="Times New Roman"/>
                          <w:bCs/>
                          <w:color w:val="001D77"/>
                          <w:sz w:val="18"/>
                          <w:szCs w:val="18"/>
                          <w:lang w:eastAsia="pl-PL"/>
                        </w:rPr>
                      </w:pPr>
                    </w:p>
                  </w:txbxContent>
                </v:textbox>
                <w10:wrap type="tight"/>
              </v:shape>
            </w:pict>
          </mc:Fallback>
        </mc:AlternateContent>
      </w:r>
      <w:r w:rsidR="00D153FF" w:rsidRPr="00D153FF">
        <w:rPr>
          <w:lang w:val="en-US"/>
        </w:rPr>
        <w:t xml:space="preserve">According </w:t>
      </w:r>
      <w:r w:rsidR="009D1F87">
        <w:rPr>
          <w:lang w:val="en-US"/>
        </w:rPr>
        <w:t>to the EDP notification, in 202</w:t>
      </w:r>
      <w:r w:rsidR="00D24980">
        <w:rPr>
          <w:lang w:val="en-US"/>
        </w:rPr>
        <w:t>3</w:t>
      </w:r>
      <w:r w:rsidR="009D1F87">
        <w:rPr>
          <w:lang w:val="en-US"/>
        </w:rPr>
        <w:t xml:space="preserve"> </w:t>
      </w:r>
      <w:r w:rsidR="00D153FF" w:rsidRPr="00D153FF">
        <w:rPr>
          <w:lang w:val="en-US"/>
        </w:rPr>
        <w:t>the general government deficit</w:t>
      </w:r>
      <w:r w:rsidR="004B270C">
        <w:rPr>
          <w:lang w:val="en-US"/>
        </w:rPr>
        <w:t xml:space="preserve"> was equal</w:t>
      </w:r>
      <w:r w:rsidR="00AD6205">
        <w:rPr>
          <w:lang w:val="en-US"/>
        </w:rPr>
        <w:t xml:space="preserve"> </w:t>
      </w:r>
      <w:r w:rsidR="00D24980">
        <w:rPr>
          <w:lang w:val="en-GB"/>
        </w:rPr>
        <w:t>17</w:t>
      </w:r>
      <w:r w:rsidR="00520925">
        <w:rPr>
          <w:lang w:val="en-GB"/>
        </w:rPr>
        <w:t>9 935</w:t>
      </w:r>
      <w:r w:rsidR="004372E5" w:rsidRPr="00080771">
        <w:rPr>
          <w:lang w:val="en-GB"/>
        </w:rPr>
        <w:t xml:space="preserve"> mln </w:t>
      </w:r>
      <w:r w:rsidR="00D153FF" w:rsidRPr="00D153FF">
        <w:rPr>
          <w:lang w:val="en-US"/>
        </w:rPr>
        <w:t>zl (</w:t>
      </w:r>
      <w:r w:rsidR="00D24980">
        <w:rPr>
          <w:lang w:val="en-US"/>
        </w:rPr>
        <w:t>5,</w:t>
      </w:r>
      <w:r w:rsidR="00520925">
        <w:rPr>
          <w:lang w:val="en-US"/>
        </w:rPr>
        <w:t>3</w:t>
      </w:r>
      <w:r w:rsidR="00D153FF" w:rsidRPr="00D153FF">
        <w:rPr>
          <w:lang w:val="en-US"/>
        </w:rPr>
        <w:t xml:space="preserve">% of GDP), while the general government debt amounted to </w:t>
      </w:r>
      <w:r w:rsidR="00D153FF">
        <w:rPr>
          <w:lang w:val="en-US"/>
        </w:rPr>
        <w:t xml:space="preserve">               </w:t>
      </w:r>
      <w:r w:rsidR="00D24980">
        <w:rPr>
          <w:lang w:val="en-GB"/>
        </w:rPr>
        <w:t xml:space="preserve">1 691 </w:t>
      </w:r>
      <w:r w:rsidR="00520925">
        <w:rPr>
          <w:lang w:val="en-GB"/>
        </w:rPr>
        <w:t>216</w:t>
      </w:r>
      <w:r w:rsidR="00F04CF3">
        <w:rPr>
          <w:lang w:val="en-GB"/>
        </w:rPr>
        <w:t xml:space="preserve"> </w:t>
      </w:r>
      <w:r w:rsidR="00D153FF" w:rsidRPr="00D153FF">
        <w:rPr>
          <w:lang w:val="en-US"/>
        </w:rPr>
        <w:t xml:space="preserve">mln zl </w:t>
      </w:r>
      <w:r w:rsidR="00D153FF">
        <w:rPr>
          <w:lang w:val="en-US"/>
        </w:rPr>
        <w:t>(</w:t>
      </w:r>
      <w:r w:rsidR="00AE66C1">
        <w:rPr>
          <w:lang w:val="en-US"/>
        </w:rPr>
        <w:t>49,</w:t>
      </w:r>
      <w:r w:rsidR="00520925">
        <w:rPr>
          <w:lang w:val="en-US"/>
        </w:rPr>
        <w:t>7</w:t>
      </w:r>
      <w:r w:rsidR="00D153FF" w:rsidRPr="00D153FF">
        <w:rPr>
          <w:lang w:val="en-US"/>
        </w:rPr>
        <w:t xml:space="preserve">% of GDP). </w:t>
      </w:r>
    </w:p>
    <w:p w14:paraId="28129EB9" w14:textId="77777777" w:rsidR="00983768" w:rsidRPr="00847842" w:rsidRDefault="00983768" w:rsidP="00983768">
      <w:pPr>
        <w:pStyle w:val="LID"/>
        <w:rPr>
          <w:lang w:val="en-US"/>
        </w:rPr>
      </w:pPr>
      <w:r w:rsidRPr="00847842">
        <w:rPr>
          <w:lang w:val="en-US"/>
        </w:rPr>
        <w:t xml:space="preserve"> </w:t>
      </w:r>
    </w:p>
    <w:p w14:paraId="6D5FDAFF" w14:textId="77777777" w:rsidR="00823A6E" w:rsidRPr="00847842" w:rsidRDefault="00823A6E" w:rsidP="00823A6E">
      <w:pPr>
        <w:rPr>
          <w:lang w:val="en-US" w:eastAsia="pl-PL"/>
        </w:rPr>
      </w:pPr>
    </w:p>
    <w:p w14:paraId="116166E5" w14:textId="2C279832" w:rsidR="00686F3A" w:rsidRDefault="00686F3A" w:rsidP="0056307A">
      <w:pPr>
        <w:spacing w:before="360" w:after="0" w:line="288" w:lineRule="auto"/>
        <w:rPr>
          <w:rFonts w:cs="Arial"/>
          <w:szCs w:val="19"/>
          <w:lang w:val="en-US"/>
        </w:rPr>
      </w:pPr>
      <w:r>
        <w:rPr>
          <w:rFonts w:cs="Arial"/>
          <w:szCs w:val="19"/>
          <w:lang w:val="en-US"/>
        </w:rPr>
        <w:t xml:space="preserve">Statistics Poland presents </w:t>
      </w:r>
      <w:r w:rsidRPr="00366D5E">
        <w:rPr>
          <w:rFonts w:cs="Arial"/>
          <w:szCs w:val="19"/>
          <w:lang w:val="en-US"/>
        </w:rPr>
        <w:t xml:space="preserve">the general government deficit and debt data </w:t>
      </w:r>
      <w:r>
        <w:rPr>
          <w:rFonts w:cs="Arial"/>
          <w:szCs w:val="19"/>
          <w:lang w:val="en-US"/>
        </w:rPr>
        <w:t xml:space="preserve">for years 2020-2023 developed as part of </w:t>
      </w:r>
      <w:r w:rsidR="00520925">
        <w:rPr>
          <w:rFonts w:cs="Arial"/>
          <w:szCs w:val="19"/>
          <w:lang w:val="en-US"/>
        </w:rPr>
        <w:t>September</w:t>
      </w:r>
      <w:r>
        <w:rPr>
          <w:rFonts w:cs="Arial"/>
          <w:szCs w:val="19"/>
          <w:lang w:val="en-US"/>
        </w:rPr>
        <w:t xml:space="preserve"> EDP notification.</w:t>
      </w:r>
    </w:p>
    <w:p w14:paraId="60B51537" w14:textId="77777777" w:rsidR="00DC6668" w:rsidRDefault="004301BD" w:rsidP="0056307A">
      <w:pPr>
        <w:spacing w:line="288" w:lineRule="auto"/>
        <w:rPr>
          <w:rFonts w:cs="Arial"/>
          <w:szCs w:val="19"/>
          <w:lang w:val="en-US"/>
        </w:rPr>
      </w:pPr>
      <w:r w:rsidRPr="004301BD">
        <w:rPr>
          <w:rFonts w:cs="Arial"/>
          <w:szCs w:val="19"/>
          <w:lang w:val="en-US"/>
        </w:rPr>
        <w:t>The data have been developed in accordance with the methodology of the European System of National and Regional Accounts in the European Union introduced by the Regulation (EU) No. 549/2013 of the European Parliament and of the Council of 21 May 2013 (ESA2010)</w:t>
      </w:r>
      <w:r w:rsidR="007C0A9B">
        <w:rPr>
          <w:rFonts w:cs="Arial"/>
          <w:szCs w:val="19"/>
          <w:lang w:val="en-US"/>
        </w:rPr>
        <w:t xml:space="preserve"> </w:t>
      </w:r>
      <w:r w:rsidR="007C0A9B" w:rsidRPr="00366D5E">
        <w:rPr>
          <w:rFonts w:cs="Arial"/>
          <w:szCs w:val="19"/>
          <w:lang w:val="en-US"/>
        </w:rPr>
        <w:t>with amendments</w:t>
      </w:r>
      <w:r w:rsidRPr="004301BD">
        <w:rPr>
          <w:rFonts w:cs="Arial"/>
          <w:szCs w:val="19"/>
          <w:lang w:val="en-US"/>
        </w:rPr>
        <w:t xml:space="preserve"> and the guidelines contained in the Manual on Government Deficit and Debt, Im</w:t>
      </w:r>
      <w:r w:rsidR="00646EF1">
        <w:rPr>
          <w:rFonts w:cs="Arial"/>
          <w:szCs w:val="19"/>
          <w:lang w:val="en-US"/>
        </w:rPr>
        <w:t>plementation of ESA2010 (MGDD</w:t>
      </w:r>
      <w:r w:rsidR="00765921">
        <w:rPr>
          <w:rFonts w:cs="Arial"/>
          <w:szCs w:val="19"/>
          <w:lang w:val="en-US"/>
        </w:rPr>
        <w:t>, 20</w:t>
      </w:r>
      <w:r w:rsidR="00B62758">
        <w:rPr>
          <w:rFonts w:cs="Arial"/>
          <w:szCs w:val="19"/>
          <w:lang w:val="en-US"/>
        </w:rPr>
        <w:t>22</w:t>
      </w:r>
      <w:r w:rsidR="00765921">
        <w:rPr>
          <w:rFonts w:cs="Arial"/>
          <w:szCs w:val="19"/>
          <w:lang w:val="en-US"/>
        </w:rPr>
        <w:t xml:space="preserve"> editio</w:t>
      </w:r>
      <w:r w:rsidR="00C97DB3">
        <w:rPr>
          <w:rFonts w:cs="Arial"/>
          <w:szCs w:val="19"/>
          <w:lang w:val="en-US"/>
        </w:rPr>
        <w:t>n</w:t>
      </w:r>
      <w:r w:rsidRPr="004301BD">
        <w:rPr>
          <w:rFonts w:cs="Arial"/>
          <w:szCs w:val="19"/>
          <w:lang w:val="en-US"/>
        </w:rPr>
        <w:t>)</w:t>
      </w:r>
      <w:r w:rsidRPr="000351AF">
        <w:rPr>
          <w:szCs w:val="19"/>
          <w:vertAlign w:val="superscript"/>
        </w:rPr>
        <w:footnoteReference w:id="1"/>
      </w:r>
      <w:r w:rsidRPr="000351AF">
        <w:rPr>
          <w:rFonts w:cs="Arial"/>
          <w:szCs w:val="19"/>
          <w:lang w:val="en-US"/>
        </w:rPr>
        <w:t>.</w:t>
      </w:r>
    </w:p>
    <w:p w14:paraId="1DFBB766" w14:textId="77777777" w:rsidR="001C2F0A" w:rsidRPr="003818AB" w:rsidRDefault="001C2F0A" w:rsidP="001C2F0A">
      <w:pPr>
        <w:pStyle w:val="Nagwek1"/>
        <w:spacing w:before="360" w:line="240" w:lineRule="exact"/>
        <w:ind w:left="851" w:hanging="851"/>
        <w:rPr>
          <w:rFonts w:ascii="Fira Sans" w:hAnsi="Fira Sans"/>
          <w:b/>
          <w:noProof/>
          <w:color w:val="auto"/>
          <w:spacing w:val="-2"/>
          <w:szCs w:val="19"/>
          <w:lang w:val="en-US"/>
        </w:rPr>
      </w:pPr>
      <w:r w:rsidRPr="003818AB">
        <w:rPr>
          <w:rFonts w:ascii="Fira Sans" w:hAnsi="Fira Sans"/>
          <w:b/>
          <w:noProof/>
          <w:color w:val="auto"/>
          <w:spacing w:val="-2"/>
          <w:szCs w:val="19"/>
        </w:rPr>
        <w:t>Table 1</w:t>
      </w:r>
      <w:r w:rsidRPr="00F24737">
        <w:rPr>
          <w:rFonts w:ascii="Fira Sans" w:hAnsi="Fira Sans"/>
          <w:b/>
          <w:noProof/>
          <w:color w:val="auto"/>
          <w:spacing w:val="-2"/>
          <w:szCs w:val="19"/>
          <w:lang w:val="en-GB"/>
        </w:rPr>
        <w:t>.</w:t>
      </w:r>
      <w:r w:rsidRPr="003818AB">
        <w:rPr>
          <w:rFonts w:ascii="Fira Sans" w:hAnsi="Fira Sans"/>
          <w:b/>
          <w:noProof/>
          <w:color w:val="auto"/>
          <w:spacing w:val="-2"/>
          <w:szCs w:val="19"/>
        </w:rPr>
        <w:t xml:space="preserve"> General government deficit and debt</w:t>
      </w:r>
      <w:r w:rsidRPr="003818AB">
        <w:rPr>
          <w:rFonts w:ascii="Fira Sans" w:hAnsi="Fira Sans"/>
          <w:b/>
          <w:noProof/>
          <w:color w:val="auto"/>
          <w:spacing w:val="-2"/>
          <w:szCs w:val="19"/>
          <w:lang w:val="en-US"/>
        </w:rPr>
        <w:t xml:space="preserve"> </w:t>
      </w:r>
      <w:r w:rsidRPr="003818AB">
        <w:rPr>
          <w:rFonts w:ascii="Fira Sans" w:hAnsi="Fira Sans"/>
          <w:b/>
          <w:noProof/>
          <w:color w:val="auto"/>
          <w:spacing w:val="-2"/>
          <w:szCs w:val="19"/>
        </w:rPr>
        <w:t xml:space="preserve">in years </w:t>
      </w:r>
      <w:r w:rsidR="00D24980">
        <w:rPr>
          <w:rFonts w:ascii="Fira Sans" w:hAnsi="Fira Sans"/>
          <w:b/>
          <w:noProof/>
          <w:color w:val="auto"/>
          <w:spacing w:val="-2"/>
          <w:szCs w:val="19"/>
          <w:lang w:val="en-GB"/>
        </w:rPr>
        <w:t>2020-2023</w:t>
      </w:r>
      <w:r w:rsidRPr="003818AB">
        <w:rPr>
          <w:rFonts w:ascii="Fira Sans" w:hAnsi="Fira Sans"/>
          <w:b/>
          <w:noProof/>
          <w:color w:val="auto"/>
          <w:spacing w:val="-2"/>
          <w:szCs w:val="19"/>
          <w:lang w:val="en-US"/>
        </w:rPr>
        <w:t xml:space="preserve"> (mln zl)</w:t>
      </w:r>
    </w:p>
    <w:tbl>
      <w:tblPr>
        <w:tblpPr w:leftFromText="141" w:rightFromText="141" w:vertAnchor="text" w:horzAnchor="margin" w:tblpY="183"/>
        <w:tblW w:w="8009"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1. General government deficit and debt in years 2019-2022 (mln zl)"/>
        <w:tblDescription w:val="The table present value of the general government deficit by sectors and the value of general government debt in relation to GDP in years 2020-2023"/>
      </w:tblPr>
      <w:tblGrid>
        <w:gridCol w:w="3717"/>
        <w:gridCol w:w="1145"/>
        <w:gridCol w:w="1006"/>
        <w:gridCol w:w="1143"/>
        <w:gridCol w:w="998"/>
      </w:tblGrid>
      <w:tr w:rsidR="00D24980" w:rsidRPr="000902B0" w14:paraId="5A2288D2" w14:textId="77777777" w:rsidTr="00520925">
        <w:trPr>
          <w:trHeight w:val="568"/>
        </w:trPr>
        <w:tc>
          <w:tcPr>
            <w:tcW w:w="3779" w:type="dxa"/>
            <w:shd w:val="clear" w:color="auto" w:fill="auto"/>
            <w:vAlign w:val="center"/>
            <w:hideMark/>
          </w:tcPr>
          <w:p w14:paraId="5CB7846B" w14:textId="77777777" w:rsidR="00D24980" w:rsidRPr="003818AB" w:rsidRDefault="00D24980" w:rsidP="00D24980">
            <w:pPr>
              <w:spacing w:before="0" w:after="0"/>
              <w:jc w:val="center"/>
              <w:rPr>
                <w:rFonts w:eastAsia="Times New Roman" w:cs="Arial"/>
                <w:color w:val="000000"/>
                <w:szCs w:val="19"/>
                <w:lang w:eastAsia="pl-PL"/>
              </w:rPr>
            </w:pPr>
            <w:proofErr w:type="spellStart"/>
            <w:r w:rsidRPr="003818AB">
              <w:rPr>
                <w:rFonts w:eastAsia="Times New Roman" w:cs="Arial"/>
                <w:color w:val="000000"/>
                <w:szCs w:val="19"/>
                <w:lang w:eastAsia="pl-PL"/>
              </w:rPr>
              <w:t>Specification</w:t>
            </w:r>
            <w:proofErr w:type="spellEnd"/>
          </w:p>
        </w:tc>
        <w:tc>
          <w:tcPr>
            <w:tcW w:w="1148" w:type="dxa"/>
            <w:shd w:val="clear" w:color="auto" w:fill="auto"/>
            <w:vAlign w:val="center"/>
            <w:hideMark/>
          </w:tcPr>
          <w:p w14:paraId="075FD7D6" w14:textId="77777777"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2020</w:t>
            </w:r>
          </w:p>
        </w:tc>
        <w:tc>
          <w:tcPr>
            <w:tcW w:w="1009" w:type="dxa"/>
            <w:shd w:val="clear" w:color="auto" w:fill="auto"/>
            <w:vAlign w:val="center"/>
            <w:hideMark/>
          </w:tcPr>
          <w:p w14:paraId="02E7F3DA" w14:textId="77777777"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2021</w:t>
            </w:r>
          </w:p>
        </w:tc>
        <w:tc>
          <w:tcPr>
            <w:tcW w:w="1152" w:type="dxa"/>
            <w:shd w:val="clear" w:color="auto" w:fill="auto"/>
            <w:vAlign w:val="center"/>
            <w:hideMark/>
          </w:tcPr>
          <w:p w14:paraId="1782B423" w14:textId="77777777"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2022</w:t>
            </w:r>
          </w:p>
        </w:tc>
        <w:tc>
          <w:tcPr>
            <w:tcW w:w="921" w:type="dxa"/>
            <w:shd w:val="clear" w:color="auto" w:fill="auto"/>
            <w:vAlign w:val="center"/>
            <w:hideMark/>
          </w:tcPr>
          <w:p w14:paraId="0C455034" w14:textId="77777777" w:rsidR="00D24980" w:rsidRPr="002E01AD" w:rsidRDefault="00D24980" w:rsidP="00D24980">
            <w:pPr>
              <w:spacing w:before="0" w:after="0"/>
              <w:jc w:val="center"/>
              <w:rPr>
                <w:rFonts w:eastAsia="Times New Roman" w:cs="Arial"/>
                <w:color w:val="000000"/>
                <w:szCs w:val="19"/>
                <w:lang w:eastAsia="pl-PL"/>
              </w:rPr>
            </w:pPr>
            <w:r>
              <w:rPr>
                <w:rFonts w:eastAsia="Times New Roman" w:cs="Arial"/>
                <w:color w:val="000000"/>
                <w:szCs w:val="19"/>
                <w:lang w:eastAsia="pl-PL"/>
              </w:rPr>
              <w:t>2023</w:t>
            </w:r>
          </w:p>
        </w:tc>
      </w:tr>
      <w:tr w:rsidR="00520925" w:rsidRPr="000902B0" w14:paraId="5B021446" w14:textId="77777777" w:rsidTr="00520925">
        <w:trPr>
          <w:trHeight w:val="534"/>
        </w:trPr>
        <w:tc>
          <w:tcPr>
            <w:tcW w:w="3779" w:type="dxa"/>
            <w:shd w:val="clear" w:color="auto" w:fill="auto"/>
            <w:vAlign w:val="center"/>
            <w:hideMark/>
          </w:tcPr>
          <w:p w14:paraId="79E7C763" w14:textId="77777777" w:rsidR="00520925" w:rsidRPr="003818AB" w:rsidRDefault="00520925" w:rsidP="00520925">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Gross </w:t>
            </w:r>
            <w:proofErr w:type="spellStart"/>
            <w:r w:rsidRPr="003818AB">
              <w:rPr>
                <w:rFonts w:eastAsia="Times New Roman" w:cs="Arial"/>
                <w:color w:val="000000"/>
                <w:szCs w:val="19"/>
                <w:lang w:eastAsia="pl-PL"/>
              </w:rPr>
              <w:t>domestic</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product</w:t>
            </w:r>
            <w:proofErr w:type="spellEnd"/>
            <w:r w:rsidRPr="003818AB">
              <w:rPr>
                <w:rFonts w:eastAsia="Times New Roman" w:cs="Arial"/>
                <w:color w:val="000000"/>
                <w:szCs w:val="19"/>
                <w:lang w:eastAsia="pl-PL"/>
              </w:rPr>
              <w:t xml:space="preserve"> (GDP)</w:t>
            </w:r>
          </w:p>
        </w:tc>
        <w:tc>
          <w:tcPr>
            <w:tcW w:w="1148" w:type="dxa"/>
            <w:shd w:val="clear" w:color="auto" w:fill="auto"/>
            <w:vAlign w:val="center"/>
            <w:hideMark/>
          </w:tcPr>
          <w:p w14:paraId="4BD91EC5" w14:textId="434CE6DE" w:rsidR="00520925" w:rsidRPr="002E01AD" w:rsidRDefault="00520925" w:rsidP="00520925">
            <w:pPr>
              <w:spacing w:before="0" w:after="0" w:line="240" w:lineRule="auto"/>
              <w:ind w:left="-212" w:firstLine="142"/>
              <w:jc w:val="right"/>
              <w:rPr>
                <w:rFonts w:cs="Calibri"/>
                <w:color w:val="000000"/>
                <w:szCs w:val="19"/>
                <w:lang w:eastAsia="pl-PL"/>
              </w:rPr>
            </w:pPr>
            <w:r w:rsidRPr="002E01AD">
              <w:rPr>
                <w:rFonts w:cs="Calibri"/>
                <w:color w:val="000000"/>
                <w:szCs w:val="19"/>
              </w:rPr>
              <w:t>2</w:t>
            </w:r>
            <w:r>
              <w:rPr>
                <w:rFonts w:cs="Calibri"/>
                <w:color w:val="000000"/>
                <w:szCs w:val="19"/>
              </w:rPr>
              <w:t> </w:t>
            </w:r>
            <w:r w:rsidRPr="002E01AD">
              <w:rPr>
                <w:rFonts w:cs="Calibri"/>
                <w:color w:val="000000"/>
                <w:szCs w:val="19"/>
              </w:rPr>
              <w:t>3</w:t>
            </w:r>
            <w:r>
              <w:rPr>
                <w:rFonts w:cs="Calibri"/>
                <w:color w:val="000000"/>
                <w:szCs w:val="19"/>
              </w:rPr>
              <w:t>62 909*</w:t>
            </w:r>
          </w:p>
        </w:tc>
        <w:tc>
          <w:tcPr>
            <w:tcW w:w="1009" w:type="dxa"/>
            <w:shd w:val="clear" w:color="auto" w:fill="auto"/>
            <w:vAlign w:val="center"/>
            <w:hideMark/>
          </w:tcPr>
          <w:p w14:paraId="637E4481" w14:textId="07A8E9EF" w:rsidR="00520925" w:rsidRPr="002E01AD" w:rsidRDefault="00520925" w:rsidP="00520925">
            <w:pPr>
              <w:spacing w:before="0" w:after="0" w:line="240" w:lineRule="auto"/>
              <w:jc w:val="right"/>
              <w:rPr>
                <w:rFonts w:cs="Calibri"/>
                <w:color w:val="000000"/>
                <w:szCs w:val="19"/>
                <w:lang w:eastAsia="pl-PL"/>
              </w:rPr>
            </w:pPr>
            <w:r w:rsidRPr="00285D02">
              <w:rPr>
                <w:rFonts w:cs="Calibri"/>
                <w:color w:val="000000"/>
                <w:szCs w:val="19"/>
                <w:lang w:eastAsia="pl-PL"/>
              </w:rPr>
              <w:t>2 6</w:t>
            </w:r>
            <w:r>
              <w:rPr>
                <w:rFonts w:cs="Calibri"/>
                <w:color w:val="000000"/>
                <w:szCs w:val="19"/>
                <w:lang w:eastAsia="pl-PL"/>
              </w:rPr>
              <w:t>6</w:t>
            </w:r>
            <w:r w:rsidRPr="00285D02">
              <w:rPr>
                <w:rFonts w:cs="Calibri"/>
                <w:color w:val="000000"/>
                <w:szCs w:val="19"/>
                <w:lang w:eastAsia="pl-PL"/>
              </w:rPr>
              <w:t>1</w:t>
            </w:r>
            <w:r>
              <w:rPr>
                <w:rFonts w:cs="Calibri"/>
                <w:color w:val="000000"/>
                <w:szCs w:val="19"/>
                <w:lang w:eastAsia="pl-PL"/>
              </w:rPr>
              <w:t> 518*</w:t>
            </w:r>
          </w:p>
        </w:tc>
        <w:tc>
          <w:tcPr>
            <w:tcW w:w="1152" w:type="dxa"/>
            <w:shd w:val="clear" w:color="auto" w:fill="auto"/>
            <w:vAlign w:val="center"/>
            <w:hideMark/>
          </w:tcPr>
          <w:p w14:paraId="7E16FA00" w14:textId="3F86AE8A" w:rsidR="00520925" w:rsidRPr="002E01AD" w:rsidRDefault="00520925" w:rsidP="00520925">
            <w:pPr>
              <w:spacing w:before="0" w:after="0" w:line="240" w:lineRule="auto"/>
              <w:jc w:val="right"/>
              <w:rPr>
                <w:rFonts w:cs="Calibri"/>
                <w:color w:val="000000"/>
                <w:szCs w:val="19"/>
                <w:lang w:eastAsia="pl-PL"/>
              </w:rPr>
            </w:pPr>
            <w:r>
              <w:rPr>
                <w:rFonts w:cs="Calibri"/>
                <w:color w:val="000000"/>
                <w:szCs w:val="19"/>
                <w:lang w:eastAsia="pl-PL"/>
              </w:rPr>
              <w:t>3 100 850*</w:t>
            </w:r>
          </w:p>
        </w:tc>
        <w:tc>
          <w:tcPr>
            <w:tcW w:w="921" w:type="dxa"/>
            <w:shd w:val="clear" w:color="auto" w:fill="auto"/>
            <w:vAlign w:val="center"/>
            <w:hideMark/>
          </w:tcPr>
          <w:p w14:paraId="5281DCD7" w14:textId="1159CE3C" w:rsidR="00520925" w:rsidRPr="002E01AD" w:rsidRDefault="00520925" w:rsidP="00520925">
            <w:pPr>
              <w:spacing w:before="0" w:after="0" w:line="240" w:lineRule="auto"/>
              <w:jc w:val="right"/>
              <w:rPr>
                <w:rFonts w:cs="Calibri"/>
                <w:color w:val="000000"/>
                <w:szCs w:val="19"/>
                <w:lang w:eastAsia="pl-PL"/>
              </w:rPr>
            </w:pPr>
            <w:r>
              <w:rPr>
                <w:rFonts w:cs="Calibri"/>
                <w:color w:val="000000"/>
                <w:szCs w:val="19"/>
                <w:lang w:eastAsia="pl-PL"/>
              </w:rPr>
              <w:t>3 410 610*</w:t>
            </w:r>
          </w:p>
        </w:tc>
      </w:tr>
      <w:tr w:rsidR="00520925" w:rsidRPr="003818AB" w14:paraId="3D87731C" w14:textId="77777777" w:rsidTr="00520925">
        <w:trPr>
          <w:trHeight w:val="568"/>
        </w:trPr>
        <w:tc>
          <w:tcPr>
            <w:tcW w:w="3779" w:type="dxa"/>
            <w:shd w:val="clear" w:color="auto" w:fill="auto"/>
            <w:vAlign w:val="center"/>
            <w:hideMark/>
          </w:tcPr>
          <w:p w14:paraId="79D0980B" w14:textId="77777777" w:rsidR="00520925" w:rsidRPr="003818AB" w:rsidRDefault="00520925" w:rsidP="00520925">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14:paraId="5265DD4C" w14:textId="65323CB8" w:rsidR="00520925" w:rsidRPr="00012BDC" w:rsidRDefault="00520925" w:rsidP="00520925">
            <w:pPr>
              <w:jc w:val="right"/>
              <w:rPr>
                <w:rFonts w:cs="Calibri"/>
                <w:bCs/>
                <w:color w:val="000000"/>
                <w:szCs w:val="19"/>
              </w:rPr>
            </w:pPr>
            <w:r w:rsidRPr="00012BDC">
              <w:rPr>
                <w:rFonts w:cs="Calibri"/>
                <w:bCs/>
                <w:color w:val="000000"/>
                <w:szCs w:val="19"/>
              </w:rPr>
              <w:t>-</w:t>
            </w:r>
            <w:r>
              <w:rPr>
                <w:rFonts w:cs="Calibri"/>
                <w:bCs/>
                <w:color w:val="000000"/>
                <w:szCs w:val="19"/>
              </w:rPr>
              <w:t>161 932*</w:t>
            </w:r>
          </w:p>
        </w:tc>
        <w:tc>
          <w:tcPr>
            <w:tcW w:w="1009" w:type="dxa"/>
            <w:shd w:val="clear" w:color="auto" w:fill="auto"/>
            <w:vAlign w:val="center"/>
            <w:hideMark/>
          </w:tcPr>
          <w:p w14:paraId="28E79DD4" w14:textId="4A084750" w:rsidR="00520925" w:rsidRPr="00012BDC" w:rsidRDefault="00520925" w:rsidP="00520925">
            <w:pPr>
              <w:jc w:val="right"/>
              <w:rPr>
                <w:rFonts w:cs="Calibri"/>
                <w:bCs/>
                <w:color w:val="000000"/>
                <w:szCs w:val="19"/>
              </w:rPr>
            </w:pPr>
            <w:r>
              <w:rPr>
                <w:rFonts w:cs="Calibri"/>
                <w:bCs/>
                <w:color w:val="000000"/>
                <w:szCs w:val="19"/>
              </w:rPr>
              <w:t>-46 458*</w:t>
            </w:r>
          </w:p>
        </w:tc>
        <w:tc>
          <w:tcPr>
            <w:tcW w:w="1152" w:type="dxa"/>
            <w:shd w:val="clear" w:color="auto" w:fill="auto"/>
            <w:vAlign w:val="center"/>
            <w:hideMark/>
          </w:tcPr>
          <w:p w14:paraId="589E9319" w14:textId="57A7BAD1" w:rsidR="00520925" w:rsidRPr="00012BDC" w:rsidRDefault="00520925" w:rsidP="00520925">
            <w:pPr>
              <w:jc w:val="right"/>
              <w:rPr>
                <w:rFonts w:cs="Calibri"/>
                <w:bCs/>
                <w:color w:val="000000"/>
                <w:szCs w:val="19"/>
              </w:rPr>
            </w:pPr>
            <w:r>
              <w:rPr>
                <w:rFonts w:cs="Calibri"/>
                <w:bCs/>
                <w:color w:val="000000"/>
                <w:szCs w:val="19"/>
              </w:rPr>
              <w:t>-106 498*</w:t>
            </w:r>
          </w:p>
        </w:tc>
        <w:tc>
          <w:tcPr>
            <w:tcW w:w="921" w:type="dxa"/>
            <w:shd w:val="clear" w:color="auto" w:fill="auto"/>
            <w:vAlign w:val="center"/>
            <w:hideMark/>
          </w:tcPr>
          <w:p w14:paraId="567E120D" w14:textId="747B66CE" w:rsidR="00520925" w:rsidRPr="00012BDC" w:rsidRDefault="00520925" w:rsidP="00520925">
            <w:pPr>
              <w:jc w:val="right"/>
              <w:rPr>
                <w:rFonts w:cs="Calibri"/>
                <w:bCs/>
                <w:color w:val="000000"/>
                <w:szCs w:val="19"/>
              </w:rPr>
            </w:pPr>
            <w:r>
              <w:rPr>
                <w:rFonts w:cs="Calibri"/>
                <w:bCs/>
                <w:color w:val="000000"/>
                <w:szCs w:val="19"/>
              </w:rPr>
              <w:t>-179 935*</w:t>
            </w:r>
          </w:p>
        </w:tc>
      </w:tr>
      <w:tr w:rsidR="00520925" w:rsidRPr="003818AB" w14:paraId="0B117729" w14:textId="77777777" w:rsidTr="00520925">
        <w:trPr>
          <w:trHeight w:val="363"/>
        </w:trPr>
        <w:tc>
          <w:tcPr>
            <w:tcW w:w="3779" w:type="dxa"/>
            <w:shd w:val="clear" w:color="auto" w:fill="auto"/>
            <w:vAlign w:val="center"/>
            <w:hideMark/>
          </w:tcPr>
          <w:p w14:paraId="1057D2B7" w14:textId="77777777" w:rsidR="00520925" w:rsidRPr="003818AB" w:rsidRDefault="00520925" w:rsidP="00520925">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14:paraId="143B6C48" w14:textId="24BCBC3B" w:rsidR="00520925" w:rsidRPr="00012BDC" w:rsidRDefault="00520925" w:rsidP="00520925">
            <w:pPr>
              <w:spacing w:before="0" w:after="0"/>
              <w:jc w:val="right"/>
              <w:rPr>
                <w:rFonts w:eastAsia="Times New Roman" w:cs="Arial"/>
                <w:color w:val="000000"/>
                <w:szCs w:val="19"/>
                <w:lang w:eastAsia="pl-PL"/>
              </w:rPr>
            </w:pPr>
            <w:r w:rsidRPr="00012BDC">
              <w:rPr>
                <w:rFonts w:eastAsia="Times New Roman" w:cs="Arial"/>
                <w:color w:val="000000"/>
                <w:szCs w:val="19"/>
                <w:lang w:eastAsia="pl-PL"/>
              </w:rPr>
              <w:t>-6,9%</w:t>
            </w:r>
          </w:p>
        </w:tc>
        <w:tc>
          <w:tcPr>
            <w:tcW w:w="1009" w:type="dxa"/>
            <w:shd w:val="clear" w:color="auto" w:fill="auto"/>
            <w:vAlign w:val="center"/>
            <w:hideMark/>
          </w:tcPr>
          <w:p w14:paraId="46B5C9AB" w14:textId="1771DAB5" w:rsidR="00520925" w:rsidRPr="00012BDC"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-1,7%*</w:t>
            </w:r>
          </w:p>
        </w:tc>
        <w:tc>
          <w:tcPr>
            <w:tcW w:w="1152" w:type="dxa"/>
            <w:shd w:val="clear" w:color="auto" w:fill="auto"/>
            <w:vAlign w:val="center"/>
            <w:hideMark/>
          </w:tcPr>
          <w:p w14:paraId="470671D9" w14:textId="0001656B" w:rsidR="00520925" w:rsidRPr="00012BDC" w:rsidRDefault="00520925" w:rsidP="00520925">
            <w:pPr>
              <w:spacing w:before="0" w:after="0"/>
              <w:jc w:val="right"/>
              <w:rPr>
                <w:rFonts w:eastAsia="Times New Roman" w:cs="Arial"/>
                <w:color w:val="000000"/>
                <w:szCs w:val="19"/>
                <w:lang w:eastAsia="pl-PL"/>
              </w:rPr>
            </w:pPr>
            <w:r w:rsidRPr="00012BDC">
              <w:rPr>
                <w:rFonts w:eastAsia="Times New Roman" w:cs="Arial"/>
                <w:color w:val="000000"/>
                <w:szCs w:val="19"/>
                <w:lang w:eastAsia="pl-PL"/>
              </w:rPr>
              <w:t>-</w:t>
            </w:r>
            <w:r>
              <w:rPr>
                <w:rFonts w:eastAsia="Times New Roman" w:cs="Arial"/>
                <w:color w:val="000000"/>
                <w:szCs w:val="19"/>
                <w:lang w:eastAsia="pl-PL"/>
              </w:rPr>
              <w:t>3,4</w:t>
            </w:r>
            <w:r w:rsidRPr="00012BDC">
              <w:rPr>
                <w:rFonts w:eastAsia="Times New Roman" w:cs="Arial"/>
                <w:color w:val="000000"/>
                <w:szCs w:val="19"/>
                <w:lang w:eastAsia="pl-PL"/>
              </w:rPr>
              <w:t>%</w:t>
            </w:r>
          </w:p>
        </w:tc>
        <w:tc>
          <w:tcPr>
            <w:tcW w:w="921" w:type="dxa"/>
            <w:shd w:val="clear" w:color="auto" w:fill="auto"/>
            <w:vAlign w:val="center"/>
            <w:hideMark/>
          </w:tcPr>
          <w:p w14:paraId="5D4A6BAB" w14:textId="1AF68E33" w:rsidR="00520925" w:rsidRPr="002B2BA6" w:rsidRDefault="00520925" w:rsidP="00520925">
            <w:pPr>
              <w:spacing w:before="0" w:after="0"/>
              <w:jc w:val="right"/>
              <w:rPr>
                <w:rFonts w:eastAsia="Times New Roman" w:cs="Arial"/>
                <w:color w:val="000000"/>
                <w:szCs w:val="19"/>
                <w:lang w:eastAsia="pl-PL"/>
              </w:rPr>
            </w:pPr>
            <w:r w:rsidRPr="002B2BA6">
              <w:rPr>
                <w:rFonts w:eastAsia="Times New Roman" w:cs="Arial"/>
                <w:color w:val="000000"/>
                <w:szCs w:val="19"/>
                <w:lang w:eastAsia="pl-PL"/>
              </w:rPr>
              <w:t>-5,</w:t>
            </w:r>
            <w:r>
              <w:rPr>
                <w:rFonts w:eastAsia="Times New Roman" w:cs="Arial"/>
                <w:color w:val="000000"/>
                <w:szCs w:val="19"/>
                <w:lang w:eastAsia="pl-PL"/>
              </w:rPr>
              <w:t>3%*</w:t>
            </w:r>
          </w:p>
        </w:tc>
      </w:tr>
      <w:tr w:rsidR="00520925" w:rsidRPr="000902B0" w14:paraId="5A451684" w14:textId="77777777" w:rsidTr="00520925">
        <w:trPr>
          <w:trHeight w:val="568"/>
        </w:trPr>
        <w:tc>
          <w:tcPr>
            <w:tcW w:w="3779" w:type="dxa"/>
            <w:shd w:val="clear" w:color="auto" w:fill="auto"/>
            <w:vAlign w:val="center"/>
            <w:hideMark/>
          </w:tcPr>
          <w:p w14:paraId="381512EC" w14:textId="77777777" w:rsidR="00520925" w:rsidRPr="003818AB" w:rsidRDefault="00520925" w:rsidP="00520925">
            <w:pPr>
              <w:spacing w:before="0" w:after="0"/>
              <w:rPr>
                <w:rFonts w:eastAsia="Times New Roman" w:cs="Arial"/>
                <w:color w:val="000000"/>
                <w:szCs w:val="19"/>
                <w:lang w:eastAsia="pl-PL"/>
              </w:rPr>
            </w:pPr>
            <w:r w:rsidRPr="003818AB">
              <w:rPr>
                <w:rFonts w:eastAsia="Times New Roman" w:cs="Arial"/>
                <w:color w:val="000000"/>
                <w:szCs w:val="19"/>
                <w:lang w:eastAsia="pl-PL"/>
              </w:rPr>
              <w:t xml:space="preserve">Central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14:paraId="1B83B5F6" w14:textId="1CAFB9BC" w:rsidR="00520925" w:rsidRPr="002E01AD" w:rsidRDefault="00520925" w:rsidP="00520925">
            <w:pPr>
              <w:tabs>
                <w:tab w:val="left" w:pos="865"/>
              </w:tabs>
              <w:spacing w:before="0" w:after="0"/>
              <w:jc w:val="center"/>
              <w:rPr>
                <w:rFonts w:eastAsia="Times New Roman" w:cs="Arial"/>
                <w:color w:val="000000"/>
                <w:szCs w:val="19"/>
                <w:lang w:eastAsia="pl-PL"/>
              </w:rPr>
            </w:pPr>
            <w:r>
              <w:rPr>
                <w:rFonts w:cs="Calibri"/>
                <w:bCs/>
                <w:color w:val="000000"/>
                <w:szCs w:val="19"/>
              </w:rPr>
              <w:t xml:space="preserve">   </w:t>
            </w:r>
            <w:r w:rsidRPr="00012BDC">
              <w:rPr>
                <w:rFonts w:cs="Calibri"/>
                <w:bCs/>
                <w:color w:val="000000"/>
                <w:szCs w:val="19"/>
              </w:rPr>
              <w:t>-</w:t>
            </w:r>
            <w:r>
              <w:rPr>
                <w:rFonts w:cs="Calibri"/>
                <w:bCs/>
                <w:color w:val="000000"/>
                <w:szCs w:val="19"/>
              </w:rPr>
              <w:t>183 491*</w:t>
            </w:r>
          </w:p>
        </w:tc>
        <w:tc>
          <w:tcPr>
            <w:tcW w:w="1009" w:type="dxa"/>
            <w:shd w:val="clear" w:color="auto" w:fill="auto"/>
            <w:vAlign w:val="center"/>
            <w:hideMark/>
          </w:tcPr>
          <w:p w14:paraId="26E86A1F" w14:textId="5362B953" w:rsidR="00520925" w:rsidRPr="002E01AD" w:rsidRDefault="00520925" w:rsidP="00520925">
            <w:pPr>
              <w:spacing w:before="0" w:after="0"/>
              <w:jc w:val="right"/>
              <w:rPr>
                <w:rFonts w:eastAsia="Times New Roman" w:cs="Arial"/>
                <w:color w:val="000000"/>
                <w:szCs w:val="19"/>
                <w:lang w:eastAsia="pl-PL"/>
              </w:rPr>
            </w:pPr>
            <w:r w:rsidRPr="00285D02">
              <w:rPr>
                <w:rFonts w:eastAsia="Times New Roman" w:cs="Arial"/>
                <w:color w:val="000000"/>
                <w:szCs w:val="19"/>
                <w:lang w:eastAsia="pl-PL"/>
              </w:rPr>
              <w:t>-</w:t>
            </w:r>
            <w:r>
              <w:rPr>
                <w:rFonts w:eastAsia="Times New Roman" w:cs="Arial"/>
                <w:color w:val="000000"/>
                <w:szCs w:val="19"/>
                <w:lang w:eastAsia="pl-PL"/>
              </w:rPr>
              <w:t>47 187*</w:t>
            </w:r>
          </w:p>
        </w:tc>
        <w:tc>
          <w:tcPr>
            <w:tcW w:w="1152" w:type="dxa"/>
            <w:shd w:val="clear" w:color="auto" w:fill="auto"/>
            <w:vAlign w:val="center"/>
            <w:hideMark/>
          </w:tcPr>
          <w:p w14:paraId="3D3BF33D" w14:textId="16F76072"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92 051*</w:t>
            </w:r>
          </w:p>
        </w:tc>
        <w:tc>
          <w:tcPr>
            <w:tcW w:w="921" w:type="dxa"/>
            <w:shd w:val="clear" w:color="auto" w:fill="auto"/>
            <w:vAlign w:val="center"/>
            <w:hideMark/>
          </w:tcPr>
          <w:p w14:paraId="3FEF4C0B" w14:textId="2F265253"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-138 625*</w:t>
            </w:r>
          </w:p>
        </w:tc>
      </w:tr>
      <w:tr w:rsidR="00520925" w:rsidRPr="000902B0" w14:paraId="7E9D552D" w14:textId="77777777" w:rsidTr="00520925">
        <w:trPr>
          <w:trHeight w:val="346"/>
        </w:trPr>
        <w:tc>
          <w:tcPr>
            <w:tcW w:w="3779" w:type="dxa"/>
            <w:shd w:val="clear" w:color="auto" w:fill="auto"/>
            <w:vAlign w:val="center"/>
            <w:hideMark/>
          </w:tcPr>
          <w:p w14:paraId="277D9B99" w14:textId="77777777" w:rsidR="00520925" w:rsidRPr="003818AB" w:rsidRDefault="00520925" w:rsidP="00520925">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14:paraId="18C707AA" w14:textId="2DDF36BA"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-7,</w:t>
            </w:r>
            <w:r>
              <w:rPr>
                <w:rFonts w:eastAsia="Times New Roman" w:cs="Arial"/>
                <w:color w:val="000000"/>
                <w:szCs w:val="19"/>
                <w:lang w:eastAsia="pl-PL"/>
              </w:rPr>
              <w:t>8</w:t>
            </w:r>
            <w:r w:rsidRPr="002E01AD">
              <w:rPr>
                <w:rFonts w:eastAsia="Times New Roman" w:cs="Arial"/>
                <w:color w:val="000000"/>
                <w:szCs w:val="19"/>
                <w:lang w:eastAsia="pl-PL"/>
              </w:rPr>
              <w:t>%</w:t>
            </w:r>
            <w:r>
              <w:rPr>
                <w:rFonts w:eastAsia="Times New Roman" w:cs="Arial"/>
                <w:color w:val="000000"/>
                <w:szCs w:val="19"/>
                <w:lang w:eastAsia="pl-PL"/>
              </w:rPr>
              <w:t>*</w:t>
            </w:r>
          </w:p>
        </w:tc>
        <w:tc>
          <w:tcPr>
            <w:tcW w:w="1009" w:type="dxa"/>
            <w:shd w:val="clear" w:color="auto" w:fill="auto"/>
            <w:vAlign w:val="center"/>
            <w:hideMark/>
          </w:tcPr>
          <w:p w14:paraId="267DB863" w14:textId="1D9427C9"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-1,8%*</w:t>
            </w:r>
          </w:p>
        </w:tc>
        <w:tc>
          <w:tcPr>
            <w:tcW w:w="1152" w:type="dxa"/>
            <w:shd w:val="clear" w:color="auto" w:fill="auto"/>
            <w:vAlign w:val="center"/>
            <w:hideMark/>
          </w:tcPr>
          <w:p w14:paraId="40176736" w14:textId="08B57A47"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w:t>
            </w:r>
            <w:r>
              <w:rPr>
                <w:rFonts w:eastAsia="Times New Roman" w:cs="Arial"/>
                <w:color w:val="000000"/>
                <w:szCs w:val="19"/>
                <w:lang w:eastAsia="pl-PL"/>
              </w:rPr>
              <w:t>3,0</w:t>
            </w:r>
            <w:r w:rsidRPr="002E01AD">
              <w:rPr>
                <w:rFonts w:eastAsia="Times New Roman" w:cs="Arial"/>
                <w:color w:val="000000"/>
                <w:szCs w:val="19"/>
                <w:lang w:eastAsia="pl-PL"/>
              </w:rPr>
              <w:t>%</w:t>
            </w:r>
          </w:p>
        </w:tc>
        <w:tc>
          <w:tcPr>
            <w:tcW w:w="921" w:type="dxa"/>
            <w:shd w:val="clear" w:color="auto" w:fill="auto"/>
            <w:vAlign w:val="center"/>
            <w:hideMark/>
          </w:tcPr>
          <w:p w14:paraId="5CDF53C3" w14:textId="40751477"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-4,1%*</w:t>
            </w:r>
          </w:p>
        </w:tc>
      </w:tr>
      <w:tr w:rsidR="00520925" w:rsidRPr="000902B0" w14:paraId="641DAA7E" w14:textId="77777777" w:rsidTr="00520925">
        <w:trPr>
          <w:trHeight w:val="568"/>
        </w:trPr>
        <w:tc>
          <w:tcPr>
            <w:tcW w:w="3779" w:type="dxa"/>
            <w:shd w:val="clear" w:color="auto" w:fill="auto"/>
            <w:vAlign w:val="center"/>
            <w:hideMark/>
          </w:tcPr>
          <w:p w14:paraId="74D98A6B" w14:textId="77777777" w:rsidR="00520925" w:rsidRPr="003818AB" w:rsidRDefault="00520925" w:rsidP="00520925">
            <w:pPr>
              <w:spacing w:before="0" w:after="0"/>
              <w:rPr>
                <w:rFonts w:eastAsia="Times New Roman" w:cs="Arial"/>
                <w:color w:val="000000"/>
                <w:szCs w:val="19"/>
                <w:lang w:eastAsia="pl-PL"/>
              </w:rPr>
            </w:pPr>
            <w:proofErr w:type="spellStart"/>
            <w:r w:rsidRPr="003818AB">
              <w:rPr>
                <w:rFonts w:eastAsia="Times New Roman" w:cs="Arial"/>
                <w:color w:val="000000"/>
                <w:szCs w:val="19"/>
                <w:lang w:eastAsia="pl-PL"/>
              </w:rPr>
              <w:t>Local</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deficit</w:t>
            </w:r>
            <w:proofErr w:type="spellEnd"/>
            <w:r w:rsidRPr="003818AB">
              <w:rPr>
                <w:rFonts w:eastAsia="Times New Roman" w:cs="Arial"/>
                <w:color w:val="000000"/>
                <w:szCs w:val="19"/>
                <w:lang w:eastAsia="pl-PL"/>
              </w:rPr>
              <w:t>/</w:t>
            </w:r>
            <w:proofErr w:type="spellStart"/>
            <w:r w:rsidRPr="003818AB">
              <w:rPr>
                <w:rFonts w:eastAsia="Times New Roman" w:cs="Arial"/>
                <w:color w:val="000000"/>
                <w:szCs w:val="19"/>
                <w:lang w:eastAsia="pl-PL"/>
              </w:rPr>
              <w:t>surplus</w:t>
            </w:r>
            <w:proofErr w:type="spellEnd"/>
          </w:p>
        </w:tc>
        <w:tc>
          <w:tcPr>
            <w:tcW w:w="1148" w:type="dxa"/>
            <w:shd w:val="clear" w:color="auto" w:fill="auto"/>
            <w:vAlign w:val="center"/>
            <w:hideMark/>
          </w:tcPr>
          <w:p w14:paraId="58A01A70" w14:textId="786D2767"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4</w:t>
            </w:r>
            <w:r>
              <w:rPr>
                <w:rFonts w:eastAsia="Times New Roman" w:cs="Arial"/>
                <w:color w:val="000000"/>
                <w:szCs w:val="19"/>
                <w:lang w:eastAsia="pl-PL"/>
              </w:rPr>
              <w:t> 131</w:t>
            </w:r>
          </w:p>
        </w:tc>
        <w:tc>
          <w:tcPr>
            <w:tcW w:w="1009" w:type="dxa"/>
            <w:shd w:val="clear" w:color="auto" w:fill="auto"/>
            <w:vAlign w:val="center"/>
            <w:hideMark/>
          </w:tcPr>
          <w:p w14:paraId="1123265D" w14:textId="6607BED2"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14 836</w:t>
            </w:r>
          </w:p>
        </w:tc>
        <w:tc>
          <w:tcPr>
            <w:tcW w:w="1152" w:type="dxa"/>
            <w:shd w:val="clear" w:color="auto" w:fill="auto"/>
            <w:vAlign w:val="center"/>
            <w:hideMark/>
          </w:tcPr>
          <w:p w14:paraId="0C8371F0" w14:textId="2871A4F5"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-13 296</w:t>
            </w:r>
          </w:p>
        </w:tc>
        <w:tc>
          <w:tcPr>
            <w:tcW w:w="921" w:type="dxa"/>
            <w:shd w:val="clear" w:color="auto" w:fill="auto"/>
            <w:vAlign w:val="center"/>
            <w:hideMark/>
          </w:tcPr>
          <w:p w14:paraId="29B6C7D9" w14:textId="58444204"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-24 836*</w:t>
            </w:r>
          </w:p>
        </w:tc>
      </w:tr>
      <w:tr w:rsidR="00520925" w:rsidRPr="000902B0" w14:paraId="0CD49BBF" w14:textId="77777777" w:rsidTr="00520925">
        <w:trPr>
          <w:trHeight w:val="359"/>
        </w:trPr>
        <w:tc>
          <w:tcPr>
            <w:tcW w:w="3779" w:type="dxa"/>
            <w:shd w:val="clear" w:color="auto" w:fill="auto"/>
            <w:vAlign w:val="center"/>
            <w:hideMark/>
          </w:tcPr>
          <w:p w14:paraId="61229BBB" w14:textId="77777777" w:rsidR="00520925" w:rsidRPr="003818AB" w:rsidRDefault="00520925" w:rsidP="00520925">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14:paraId="07BD4DB9" w14:textId="5D3C54FA"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2</w:t>
            </w:r>
            <w:r w:rsidRPr="002E01AD">
              <w:rPr>
                <w:rFonts w:eastAsia="Times New Roman" w:cs="Arial"/>
                <w:color w:val="000000"/>
                <w:szCs w:val="19"/>
                <w:lang w:eastAsia="pl-PL"/>
              </w:rPr>
              <w:t>%</w:t>
            </w:r>
          </w:p>
        </w:tc>
        <w:tc>
          <w:tcPr>
            <w:tcW w:w="1009" w:type="dxa"/>
            <w:shd w:val="clear" w:color="auto" w:fill="auto"/>
            <w:vAlign w:val="center"/>
            <w:hideMark/>
          </w:tcPr>
          <w:p w14:paraId="045B5E32" w14:textId="63805195"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0,6%</w:t>
            </w:r>
          </w:p>
        </w:tc>
        <w:tc>
          <w:tcPr>
            <w:tcW w:w="1152" w:type="dxa"/>
            <w:shd w:val="clear" w:color="auto" w:fill="auto"/>
            <w:vAlign w:val="center"/>
            <w:hideMark/>
          </w:tcPr>
          <w:p w14:paraId="4039492E" w14:textId="7F69B1C1"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w:t>
            </w:r>
            <w:r w:rsidRPr="002E01AD">
              <w:rPr>
                <w:rFonts w:eastAsia="Times New Roman" w:cs="Arial"/>
                <w:color w:val="000000"/>
                <w:szCs w:val="19"/>
                <w:lang w:eastAsia="pl-PL"/>
              </w:rPr>
              <w:t>0,</w:t>
            </w:r>
            <w:r>
              <w:rPr>
                <w:rFonts w:eastAsia="Times New Roman" w:cs="Arial"/>
                <w:color w:val="000000"/>
                <w:szCs w:val="19"/>
                <w:lang w:eastAsia="pl-PL"/>
              </w:rPr>
              <w:t>4</w:t>
            </w:r>
            <w:r w:rsidRPr="002E01AD">
              <w:rPr>
                <w:rFonts w:eastAsia="Times New Roman" w:cs="Arial"/>
                <w:color w:val="000000"/>
                <w:szCs w:val="19"/>
                <w:lang w:eastAsia="pl-PL"/>
              </w:rPr>
              <w:t>%</w:t>
            </w:r>
          </w:p>
        </w:tc>
        <w:tc>
          <w:tcPr>
            <w:tcW w:w="921" w:type="dxa"/>
            <w:shd w:val="clear" w:color="auto" w:fill="auto"/>
            <w:vAlign w:val="center"/>
            <w:hideMark/>
          </w:tcPr>
          <w:p w14:paraId="70B93935" w14:textId="53D9609A"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-0,7%</w:t>
            </w:r>
          </w:p>
        </w:tc>
      </w:tr>
      <w:tr w:rsidR="00520925" w:rsidRPr="000902B0" w14:paraId="2A0803A9" w14:textId="77777777" w:rsidTr="00520925">
        <w:trPr>
          <w:trHeight w:val="568"/>
        </w:trPr>
        <w:tc>
          <w:tcPr>
            <w:tcW w:w="3779" w:type="dxa"/>
            <w:shd w:val="clear" w:color="auto" w:fill="auto"/>
            <w:vAlign w:val="center"/>
            <w:hideMark/>
          </w:tcPr>
          <w:p w14:paraId="53679AAB" w14:textId="77777777" w:rsidR="00520925" w:rsidRPr="003818AB" w:rsidRDefault="00520925" w:rsidP="00520925">
            <w:pPr>
              <w:spacing w:before="0" w:after="0"/>
              <w:rPr>
                <w:rFonts w:eastAsia="Times New Roman" w:cs="Arial"/>
                <w:color w:val="000000"/>
                <w:szCs w:val="19"/>
                <w:lang w:val="en-US" w:eastAsia="pl-PL"/>
              </w:rPr>
            </w:pPr>
            <w:r w:rsidRPr="003818AB">
              <w:rPr>
                <w:rFonts w:eastAsia="Times New Roman" w:cs="Arial"/>
                <w:color w:val="000000"/>
                <w:szCs w:val="19"/>
                <w:lang w:val="en-US" w:eastAsia="pl-PL"/>
              </w:rPr>
              <w:t>Social security funds deficit/surplus</w:t>
            </w:r>
          </w:p>
        </w:tc>
        <w:tc>
          <w:tcPr>
            <w:tcW w:w="1148" w:type="dxa"/>
            <w:shd w:val="clear" w:color="auto" w:fill="auto"/>
            <w:vAlign w:val="center"/>
            <w:hideMark/>
          </w:tcPr>
          <w:p w14:paraId="48A5795F" w14:textId="3F373B14"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17 428</w:t>
            </w:r>
          </w:p>
        </w:tc>
        <w:tc>
          <w:tcPr>
            <w:tcW w:w="1009" w:type="dxa"/>
            <w:shd w:val="clear" w:color="auto" w:fill="auto"/>
            <w:vAlign w:val="center"/>
            <w:hideMark/>
          </w:tcPr>
          <w:p w14:paraId="0F2E16E5" w14:textId="3717AF70" w:rsidR="00520925" w:rsidRPr="002E01AD" w:rsidRDefault="00520925" w:rsidP="00520925">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-14 107</w:t>
            </w:r>
          </w:p>
        </w:tc>
        <w:tc>
          <w:tcPr>
            <w:tcW w:w="1152" w:type="dxa"/>
            <w:shd w:val="clear" w:color="auto" w:fill="auto"/>
            <w:vAlign w:val="center"/>
            <w:hideMark/>
          </w:tcPr>
          <w:p w14:paraId="7630F973" w14:textId="2B3A9C84" w:rsidR="00520925" w:rsidRPr="00285D02"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-1 151</w:t>
            </w:r>
          </w:p>
        </w:tc>
        <w:tc>
          <w:tcPr>
            <w:tcW w:w="921" w:type="dxa"/>
            <w:shd w:val="clear" w:color="auto" w:fill="auto"/>
            <w:vAlign w:val="center"/>
            <w:hideMark/>
          </w:tcPr>
          <w:p w14:paraId="4FDE9BB3" w14:textId="66646A34"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-16 474*</w:t>
            </w:r>
          </w:p>
        </w:tc>
      </w:tr>
      <w:tr w:rsidR="00520925" w:rsidRPr="000902B0" w14:paraId="060310FE" w14:textId="77777777" w:rsidTr="00520925">
        <w:trPr>
          <w:trHeight w:val="382"/>
        </w:trPr>
        <w:tc>
          <w:tcPr>
            <w:tcW w:w="3779" w:type="dxa"/>
            <w:shd w:val="clear" w:color="auto" w:fill="auto"/>
            <w:vAlign w:val="center"/>
            <w:hideMark/>
          </w:tcPr>
          <w:p w14:paraId="108137E0" w14:textId="77777777" w:rsidR="00520925" w:rsidRPr="003818AB" w:rsidRDefault="00520925" w:rsidP="00520925">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14:paraId="484938CF" w14:textId="2189808C" w:rsidR="00520925" w:rsidRPr="002E01AD"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7</w:t>
            </w:r>
            <w:r w:rsidRPr="002E01AD">
              <w:rPr>
                <w:rFonts w:eastAsia="Times New Roman" w:cs="Arial"/>
                <w:color w:val="000000"/>
                <w:szCs w:val="19"/>
                <w:lang w:eastAsia="pl-PL"/>
              </w:rPr>
              <w:t>%</w:t>
            </w:r>
          </w:p>
        </w:tc>
        <w:tc>
          <w:tcPr>
            <w:tcW w:w="1009" w:type="dxa"/>
            <w:shd w:val="clear" w:color="auto" w:fill="auto"/>
            <w:vAlign w:val="center"/>
            <w:hideMark/>
          </w:tcPr>
          <w:p w14:paraId="3C152C06" w14:textId="51290DB0"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-0,5%</w:t>
            </w:r>
          </w:p>
        </w:tc>
        <w:tc>
          <w:tcPr>
            <w:tcW w:w="1152" w:type="dxa"/>
            <w:shd w:val="clear" w:color="auto" w:fill="auto"/>
            <w:vAlign w:val="center"/>
            <w:hideMark/>
          </w:tcPr>
          <w:p w14:paraId="1346BF52" w14:textId="040B211C" w:rsidR="00520925" w:rsidRDefault="00520925" w:rsidP="00520925">
            <w:pPr>
              <w:spacing w:before="0" w:after="0"/>
              <w:jc w:val="right"/>
              <w:rPr>
                <w:rFonts w:eastAsia="Times New Roman" w:cs="Arial"/>
                <w:color w:val="000000"/>
                <w:szCs w:val="19"/>
                <w:lang w:eastAsia="pl-PL"/>
              </w:rPr>
            </w:pPr>
            <w:r w:rsidRPr="002E01AD">
              <w:rPr>
                <w:rFonts w:eastAsia="Times New Roman" w:cs="Arial"/>
                <w:color w:val="000000"/>
                <w:szCs w:val="19"/>
                <w:lang w:eastAsia="pl-PL"/>
              </w:rPr>
              <w:t>0</w:t>
            </w:r>
            <w:r>
              <w:rPr>
                <w:rFonts w:eastAsia="Times New Roman" w:cs="Arial"/>
                <w:color w:val="000000"/>
                <w:szCs w:val="19"/>
                <w:lang w:eastAsia="pl-PL"/>
              </w:rPr>
              <w:t>,0</w:t>
            </w:r>
            <w:r w:rsidRPr="002E01AD">
              <w:rPr>
                <w:rFonts w:eastAsia="Times New Roman" w:cs="Arial"/>
                <w:color w:val="000000"/>
                <w:szCs w:val="19"/>
                <w:lang w:eastAsia="pl-PL"/>
              </w:rPr>
              <w:t>%</w:t>
            </w:r>
          </w:p>
        </w:tc>
        <w:tc>
          <w:tcPr>
            <w:tcW w:w="921" w:type="dxa"/>
            <w:shd w:val="clear" w:color="auto" w:fill="auto"/>
            <w:vAlign w:val="center"/>
            <w:hideMark/>
          </w:tcPr>
          <w:p w14:paraId="1C2657CD" w14:textId="74BA1379" w:rsidR="00520925" w:rsidRPr="002E01AD"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-0,5%*</w:t>
            </w:r>
          </w:p>
        </w:tc>
      </w:tr>
      <w:tr w:rsidR="00520925" w:rsidRPr="003818AB" w14:paraId="416C8E74" w14:textId="77777777" w:rsidTr="00520925">
        <w:trPr>
          <w:trHeight w:val="568"/>
        </w:trPr>
        <w:tc>
          <w:tcPr>
            <w:tcW w:w="3779" w:type="dxa"/>
            <w:shd w:val="clear" w:color="auto" w:fill="auto"/>
            <w:vAlign w:val="center"/>
            <w:hideMark/>
          </w:tcPr>
          <w:p w14:paraId="3EAF989F" w14:textId="77777777" w:rsidR="00520925" w:rsidRPr="003818AB" w:rsidRDefault="00520925" w:rsidP="00520925">
            <w:pPr>
              <w:spacing w:before="0" w:after="0"/>
              <w:rPr>
                <w:rFonts w:ascii="Arial" w:hAnsi="Arial" w:cs="Arial"/>
                <w:bCs/>
                <w:color w:val="000000"/>
                <w:szCs w:val="19"/>
              </w:rPr>
            </w:pPr>
            <w:r w:rsidRPr="003818AB">
              <w:rPr>
                <w:rFonts w:eastAsia="Times New Roman" w:cs="Arial"/>
                <w:color w:val="000000"/>
                <w:szCs w:val="19"/>
                <w:lang w:eastAsia="pl-PL"/>
              </w:rPr>
              <w:t xml:space="preserve">General </w:t>
            </w:r>
            <w:proofErr w:type="spellStart"/>
            <w:r w:rsidRPr="003818AB">
              <w:rPr>
                <w:rFonts w:eastAsia="Times New Roman" w:cs="Arial"/>
                <w:color w:val="000000"/>
                <w:szCs w:val="19"/>
                <w:lang w:eastAsia="pl-PL"/>
              </w:rPr>
              <w:t>government</w:t>
            </w:r>
            <w:proofErr w:type="spellEnd"/>
            <w:r w:rsidRPr="003818AB">
              <w:rPr>
                <w:rFonts w:eastAsia="Times New Roman" w:cs="Arial"/>
                <w:color w:val="000000"/>
                <w:szCs w:val="19"/>
                <w:lang w:eastAsia="pl-PL"/>
              </w:rPr>
              <w:t xml:space="preserve"> </w:t>
            </w:r>
            <w:proofErr w:type="spellStart"/>
            <w:r w:rsidRPr="003818AB">
              <w:rPr>
                <w:rFonts w:eastAsia="Times New Roman" w:cs="Arial"/>
                <w:color w:val="000000"/>
                <w:szCs w:val="19"/>
                <w:lang w:eastAsia="pl-PL"/>
              </w:rPr>
              <w:t>debt</w:t>
            </w:r>
            <w:proofErr w:type="spellEnd"/>
          </w:p>
        </w:tc>
        <w:tc>
          <w:tcPr>
            <w:tcW w:w="1148" w:type="dxa"/>
            <w:shd w:val="clear" w:color="auto" w:fill="auto"/>
            <w:vAlign w:val="center"/>
            <w:hideMark/>
          </w:tcPr>
          <w:p w14:paraId="717ED603" w14:textId="48D02D28" w:rsidR="00520925" w:rsidRPr="00012BDC" w:rsidRDefault="00520925" w:rsidP="00520925">
            <w:pPr>
              <w:spacing w:before="0" w:after="0"/>
              <w:ind w:right="-89"/>
              <w:jc w:val="center"/>
              <w:rPr>
                <w:rFonts w:eastAsia="Times New Roman" w:cs="Arial"/>
                <w:color w:val="000000"/>
                <w:szCs w:val="19"/>
                <w:lang w:eastAsia="pl-PL"/>
              </w:rPr>
            </w:pPr>
            <w:r>
              <w:rPr>
                <w:rFonts w:eastAsia="Times New Roman" w:cs="Arial"/>
                <w:color w:val="000000"/>
                <w:szCs w:val="19"/>
                <w:lang w:eastAsia="pl-PL"/>
              </w:rPr>
              <w:t>1 337 044*</w:t>
            </w:r>
          </w:p>
        </w:tc>
        <w:tc>
          <w:tcPr>
            <w:tcW w:w="1009" w:type="dxa"/>
            <w:shd w:val="clear" w:color="auto" w:fill="auto"/>
            <w:vAlign w:val="center"/>
            <w:hideMark/>
          </w:tcPr>
          <w:p w14:paraId="29E53185" w14:textId="2D7BF201" w:rsidR="00520925" w:rsidRPr="00012BDC" w:rsidRDefault="00520925" w:rsidP="00520925">
            <w:pPr>
              <w:spacing w:before="0" w:after="0"/>
              <w:jc w:val="right"/>
              <w:rPr>
                <w:rFonts w:eastAsia="Times New Roman" w:cs="Arial"/>
                <w:color w:val="000000"/>
                <w:szCs w:val="19"/>
                <w:lang w:eastAsia="pl-PL"/>
              </w:rPr>
            </w:pPr>
            <w:r w:rsidRPr="00285D02">
              <w:rPr>
                <w:rFonts w:eastAsia="Times New Roman" w:cs="Arial"/>
                <w:color w:val="000000"/>
                <w:szCs w:val="19"/>
                <w:lang w:eastAsia="pl-PL"/>
              </w:rPr>
              <w:t>1 410</w:t>
            </w:r>
            <w:r>
              <w:rPr>
                <w:rFonts w:eastAsia="Times New Roman" w:cs="Arial"/>
                <w:color w:val="000000"/>
                <w:szCs w:val="19"/>
                <w:lang w:eastAsia="pl-PL"/>
              </w:rPr>
              <w:t> 966*</w:t>
            </w:r>
          </w:p>
        </w:tc>
        <w:tc>
          <w:tcPr>
            <w:tcW w:w="1152" w:type="dxa"/>
            <w:shd w:val="clear" w:color="auto" w:fill="auto"/>
            <w:vAlign w:val="center"/>
            <w:hideMark/>
          </w:tcPr>
          <w:p w14:paraId="58A97BAE" w14:textId="1F1F88BA" w:rsidR="00520925" w:rsidRPr="00285D02" w:rsidRDefault="00520925" w:rsidP="00520925">
            <w:pPr>
              <w:spacing w:before="0" w:after="0"/>
              <w:ind w:left="-213" w:firstLine="213"/>
              <w:jc w:val="right"/>
              <w:rPr>
                <w:rFonts w:eastAsia="Times New Roman" w:cs="Arial"/>
                <w:color w:val="000000"/>
                <w:szCs w:val="19"/>
                <w:lang w:eastAsia="pl-PL"/>
              </w:rPr>
            </w:pPr>
            <w:r w:rsidRPr="00285D02">
              <w:rPr>
                <w:rFonts w:eastAsia="Times New Roman" w:cs="Arial"/>
                <w:color w:val="000000"/>
                <w:szCs w:val="19"/>
                <w:lang w:eastAsia="pl-PL"/>
              </w:rPr>
              <w:t>1 512</w:t>
            </w:r>
            <w:r>
              <w:rPr>
                <w:rFonts w:eastAsia="Times New Roman" w:cs="Arial"/>
                <w:color w:val="000000"/>
                <w:szCs w:val="19"/>
                <w:lang w:eastAsia="pl-PL"/>
              </w:rPr>
              <w:t> 778*</w:t>
            </w:r>
          </w:p>
        </w:tc>
        <w:tc>
          <w:tcPr>
            <w:tcW w:w="921" w:type="dxa"/>
            <w:shd w:val="clear" w:color="auto" w:fill="auto"/>
            <w:vAlign w:val="center"/>
            <w:hideMark/>
          </w:tcPr>
          <w:p w14:paraId="78FA9D2C" w14:textId="2DD34C84" w:rsidR="00520925" w:rsidRPr="00012BDC" w:rsidRDefault="00520925" w:rsidP="00520925">
            <w:pPr>
              <w:tabs>
                <w:tab w:val="left" w:pos="0"/>
              </w:tabs>
              <w:spacing w:before="0" w:after="0"/>
              <w:ind w:left="-55" w:right="-44"/>
              <w:jc w:val="right"/>
              <w:rPr>
                <w:rFonts w:eastAsia="Times New Roman" w:cs="Arial"/>
                <w:color w:val="000000"/>
                <w:szCs w:val="19"/>
                <w:lang w:eastAsia="pl-PL"/>
              </w:rPr>
            </w:pPr>
            <w:r>
              <w:rPr>
                <w:rFonts w:eastAsia="Times New Roman" w:cs="Arial"/>
                <w:color w:val="000000"/>
                <w:szCs w:val="19"/>
                <w:lang w:eastAsia="pl-PL"/>
              </w:rPr>
              <w:t>1 691 216*</w:t>
            </w:r>
          </w:p>
        </w:tc>
      </w:tr>
      <w:tr w:rsidR="00520925" w:rsidRPr="003818AB" w14:paraId="66786239" w14:textId="77777777" w:rsidTr="00520925">
        <w:trPr>
          <w:trHeight w:val="339"/>
        </w:trPr>
        <w:tc>
          <w:tcPr>
            <w:tcW w:w="3779" w:type="dxa"/>
            <w:shd w:val="clear" w:color="auto" w:fill="auto"/>
            <w:vAlign w:val="center"/>
            <w:hideMark/>
          </w:tcPr>
          <w:p w14:paraId="7CA1E083" w14:textId="77777777" w:rsidR="00520925" w:rsidRPr="003818AB" w:rsidRDefault="00520925" w:rsidP="00520925">
            <w:pPr>
              <w:spacing w:before="0" w:after="0"/>
              <w:jc w:val="right"/>
              <w:rPr>
                <w:rFonts w:eastAsia="Times New Roman" w:cs="Arial"/>
                <w:color w:val="000000"/>
                <w:szCs w:val="19"/>
                <w:lang w:eastAsia="pl-PL"/>
              </w:rPr>
            </w:pPr>
            <w:r w:rsidRPr="003818AB">
              <w:rPr>
                <w:rFonts w:eastAsia="Times New Roman" w:cs="Arial"/>
                <w:color w:val="000000"/>
                <w:szCs w:val="19"/>
                <w:lang w:eastAsia="pl-PL"/>
              </w:rPr>
              <w:t>% GDP</w:t>
            </w:r>
          </w:p>
        </w:tc>
        <w:tc>
          <w:tcPr>
            <w:tcW w:w="1148" w:type="dxa"/>
            <w:shd w:val="clear" w:color="auto" w:fill="auto"/>
            <w:vAlign w:val="center"/>
            <w:hideMark/>
          </w:tcPr>
          <w:p w14:paraId="692F02C4" w14:textId="7964C3A4" w:rsidR="00520925" w:rsidRPr="00012BDC"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56,6</w:t>
            </w:r>
            <w:r w:rsidRPr="00012BDC">
              <w:rPr>
                <w:rFonts w:eastAsia="Times New Roman" w:cs="Arial"/>
                <w:color w:val="000000"/>
                <w:szCs w:val="19"/>
                <w:lang w:eastAsia="pl-PL"/>
              </w:rPr>
              <w:t>%</w:t>
            </w:r>
            <w:r>
              <w:rPr>
                <w:rFonts w:eastAsia="Times New Roman" w:cs="Arial"/>
                <w:color w:val="000000"/>
                <w:szCs w:val="19"/>
                <w:lang w:eastAsia="pl-PL"/>
              </w:rPr>
              <w:t>*</w:t>
            </w:r>
          </w:p>
        </w:tc>
        <w:tc>
          <w:tcPr>
            <w:tcW w:w="1009" w:type="dxa"/>
            <w:shd w:val="clear" w:color="auto" w:fill="auto"/>
            <w:vAlign w:val="center"/>
            <w:hideMark/>
          </w:tcPr>
          <w:p w14:paraId="4B89F8BC" w14:textId="3E3E3AD1" w:rsidR="00520925"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53,0%*</w:t>
            </w:r>
          </w:p>
        </w:tc>
        <w:tc>
          <w:tcPr>
            <w:tcW w:w="1152" w:type="dxa"/>
            <w:shd w:val="clear" w:color="auto" w:fill="auto"/>
            <w:vAlign w:val="center"/>
            <w:hideMark/>
          </w:tcPr>
          <w:p w14:paraId="071834D8" w14:textId="1BBE96FA" w:rsidR="00520925"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48,8</w:t>
            </w:r>
            <w:r w:rsidRPr="00012BDC">
              <w:rPr>
                <w:rFonts w:eastAsia="Times New Roman" w:cs="Arial"/>
                <w:color w:val="000000"/>
                <w:szCs w:val="19"/>
                <w:lang w:eastAsia="pl-PL"/>
              </w:rPr>
              <w:t>%</w:t>
            </w:r>
            <w:r>
              <w:rPr>
                <w:rFonts w:eastAsia="Times New Roman" w:cs="Arial"/>
                <w:color w:val="000000"/>
                <w:szCs w:val="19"/>
                <w:lang w:eastAsia="pl-PL"/>
              </w:rPr>
              <w:t>*</w:t>
            </w:r>
          </w:p>
        </w:tc>
        <w:tc>
          <w:tcPr>
            <w:tcW w:w="921" w:type="dxa"/>
            <w:shd w:val="clear" w:color="auto" w:fill="auto"/>
            <w:vAlign w:val="center"/>
            <w:hideMark/>
          </w:tcPr>
          <w:p w14:paraId="46AFEF33" w14:textId="56DAF2AD" w:rsidR="00520925" w:rsidRPr="00012BDC" w:rsidRDefault="00520925" w:rsidP="00520925">
            <w:pPr>
              <w:spacing w:before="0" w:after="0"/>
              <w:jc w:val="right"/>
              <w:rPr>
                <w:rFonts w:eastAsia="Times New Roman" w:cs="Arial"/>
                <w:color w:val="000000"/>
                <w:szCs w:val="19"/>
                <w:lang w:eastAsia="pl-PL"/>
              </w:rPr>
            </w:pPr>
            <w:r>
              <w:rPr>
                <w:rFonts w:eastAsia="Times New Roman" w:cs="Arial"/>
                <w:color w:val="000000"/>
                <w:szCs w:val="19"/>
                <w:lang w:eastAsia="pl-PL"/>
              </w:rPr>
              <w:t>49,7%*</w:t>
            </w:r>
          </w:p>
        </w:tc>
      </w:tr>
    </w:tbl>
    <w:p w14:paraId="335D17B9" w14:textId="77777777" w:rsidR="00686F3A" w:rsidRDefault="00686F3A" w:rsidP="001C2F0A">
      <w:pPr>
        <w:tabs>
          <w:tab w:val="left" w:pos="6237"/>
        </w:tabs>
        <w:spacing w:before="360"/>
        <w:rPr>
          <w:b/>
          <w:bCs/>
          <w:noProof/>
          <w:spacing w:val="-2"/>
          <w:sz w:val="18"/>
          <w:szCs w:val="18"/>
          <w:lang w:val="en-US"/>
        </w:rPr>
      </w:pPr>
    </w:p>
    <w:p w14:paraId="1563E715" w14:textId="77777777" w:rsidR="001C2F0A" w:rsidRPr="00D82C77" w:rsidRDefault="001C2F0A" w:rsidP="001C2F0A">
      <w:pPr>
        <w:tabs>
          <w:tab w:val="left" w:pos="6237"/>
        </w:tabs>
        <w:spacing w:before="360"/>
        <w:rPr>
          <w:b/>
          <w:bCs/>
          <w:noProof/>
          <w:spacing w:val="-2"/>
          <w:sz w:val="18"/>
          <w:szCs w:val="18"/>
          <w:lang w:val="en-US"/>
        </w:rPr>
      </w:pPr>
      <w:r>
        <w:rPr>
          <w:b/>
          <w:bCs/>
          <w:noProof/>
          <w:spacing w:val="-2"/>
          <w:sz w:val="18"/>
          <w:szCs w:val="18"/>
          <w:lang w:val="en-US"/>
        </w:rPr>
        <w:lastRenderedPageBreak/>
        <w:t>Chart</w:t>
      </w:r>
      <w:r w:rsidRPr="00D82C77">
        <w:rPr>
          <w:b/>
          <w:bCs/>
          <w:noProof/>
          <w:spacing w:val="-2"/>
          <w:sz w:val="18"/>
          <w:szCs w:val="18"/>
          <w:lang w:val="en-US"/>
        </w:rPr>
        <w:t xml:space="preserve"> 1</w:t>
      </w:r>
      <w:r>
        <w:rPr>
          <w:b/>
          <w:bCs/>
          <w:noProof/>
          <w:spacing w:val="-2"/>
          <w:sz w:val="18"/>
          <w:szCs w:val="18"/>
          <w:lang w:val="en-US"/>
        </w:rPr>
        <w:t>.</w:t>
      </w:r>
      <w:r w:rsidRPr="00D82C77">
        <w:rPr>
          <w:b/>
          <w:bCs/>
          <w:noProof/>
          <w:spacing w:val="-2"/>
          <w:sz w:val="18"/>
          <w:szCs w:val="18"/>
          <w:lang w:val="en-US"/>
        </w:rPr>
        <w:t xml:space="preserve"> General government deficit in % of GDP</w:t>
      </w:r>
    </w:p>
    <w:p w14:paraId="34A4C00F" w14:textId="1DA9A99E" w:rsidR="004301BD" w:rsidRDefault="00520925" w:rsidP="00BA2F07">
      <w:pPr>
        <w:jc w:val="both"/>
        <w:rPr>
          <w:rFonts w:cs="Arial"/>
          <w:szCs w:val="19"/>
          <w:lang w:val="en-US"/>
        </w:rPr>
      </w:pPr>
      <w:r>
        <w:rPr>
          <w:noProof/>
          <w:lang w:val="en-GB" w:eastAsia="en-GB"/>
        </w:rPr>
        <w:drawing>
          <wp:anchor distT="0" distB="0" distL="114300" distR="114300" simplePos="0" relativeHeight="251696640" behindDoc="0" locked="0" layoutInCell="1" allowOverlap="1" wp14:anchorId="4F0FCDB5" wp14:editId="4FB8C77C">
            <wp:simplePos x="0" y="0"/>
            <wp:positionH relativeFrom="margin">
              <wp:align>center</wp:align>
            </wp:positionH>
            <wp:positionV relativeFrom="margin">
              <wp:posOffset>236220</wp:posOffset>
            </wp:positionV>
            <wp:extent cx="3070860" cy="2141220"/>
            <wp:effectExtent l="0" t="0" r="0" b="0"/>
            <wp:wrapSquare wrapText="bothSides"/>
            <wp:docPr id="17" name="Wykres 17">
              <a:extLst xmlns:a="http://schemas.openxmlformats.org/drawingml/2006/main">
                <a:ext uri="{FF2B5EF4-FFF2-40B4-BE49-F238E27FC236}">
                  <a16:creationId xmlns:a16="http://schemas.microsoft.com/office/drawing/2014/main" id="{485FAA65-CC0A-4397-AC7E-7D48D8E45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F68D877" w14:textId="4FD0F090" w:rsidR="00E430D4" w:rsidRPr="00D82C77" w:rsidRDefault="00E430D4" w:rsidP="00E430D4">
      <w:pPr>
        <w:tabs>
          <w:tab w:val="left" w:pos="6237"/>
        </w:tabs>
        <w:rPr>
          <w:b/>
          <w:bCs/>
          <w:noProof/>
          <w:spacing w:val="-2"/>
          <w:sz w:val="18"/>
          <w:szCs w:val="18"/>
          <w:lang w:val="en-US"/>
        </w:rPr>
      </w:pPr>
    </w:p>
    <w:p w14:paraId="64451EFA" w14:textId="77777777" w:rsidR="00773CA5" w:rsidRDefault="00773CA5" w:rsidP="00D82C77">
      <w:pPr>
        <w:tabs>
          <w:tab w:val="left" w:pos="6237"/>
        </w:tabs>
        <w:rPr>
          <w:b/>
          <w:bCs/>
          <w:noProof/>
          <w:spacing w:val="-2"/>
          <w:sz w:val="18"/>
          <w:szCs w:val="18"/>
          <w:lang w:val="en-US"/>
        </w:rPr>
      </w:pPr>
    </w:p>
    <w:p w14:paraId="4AC23D2E" w14:textId="77777777" w:rsidR="00773CA5" w:rsidRDefault="00773CA5" w:rsidP="00D82C77">
      <w:pPr>
        <w:tabs>
          <w:tab w:val="left" w:pos="6237"/>
        </w:tabs>
        <w:rPr>
          <w:b/>
          <w:bCs/>
          <w:noProof/>
          <w:spacing w:val="-2"/>
          <w:sz w:val="18"/>
          <w:szCs w:val="18"/>
          <w:lang w:val="en-US"/>
        </w:rPr>
      </w:pPr>
    </w:p>
    <w:p w14:paraId="18B1D7D1" w14:textId="77777777" w:rsidR="00773CA5" w:rsidRDefault="00773CA5" w:rsidP="00D82C77">
      <w:pPr>
        <w:tabs>
          <w:tab w:val="left" w:pos="6237"/>
        </w:tabs>
        <w:rPr>
          <w:b/>
          <w:bCs/>
          <w:noProof/>
          <w:spacing w:val="-2"/>
          <w:sz w:val="18"/>
          <w:szCs w:val="18"/>
          <w:lang w:val="en-US"/>
        </w:rPr>
      </w:pPr>
    </w:p>
    <w:p w14:paraId="79B1390D" w14:textId="77777777" w:rsidR="00773CA5" w:rsidRDefault="00773CA5" w:rsidP="00D82C77">
      <w:pPr>
        <w:tabs>
          <w:tab w:val="left" w:pos="6237"/>
        </w:tabs>
        <w:rPr>
          <w:b/>
          <w:bCs/>
          <w:noProof/>
          <w:spacing w:val="-2"/>
          <w:sz w:val="18"/>
          <w:szCs w:val="18"/>
          <w:lang w:val="en-US"/>
        </w:rPr>
      </w:pPr>
    </w:p>
    <w:p w14:paraId="1EE6968B" w14:textId="77777777" w:rsidR="00773CA5" w:rsidRDefault="00773CA5" w:rsidP="00D82C77">
      <w:pPr>
        <w:tabs>
          <w:tab w:val="left" w:pos="6237"/>
        </w:tabs>
        <w:rPr>
          <w:b/>
          <w:bCs/>
          <w:noProof/>
          <w:spacing w:val="-2"/>
          <w:sz w:val="18"/>
          <w:szCs w:val="18"/>
          <w:lang w:val="en-US"/>
        </w:rPr>
      </w:pPr>
    </w:p>
    <w:p w14:paraId="0F2A1EDA" w14:textId="77777777" w:rsidR="00773CA5" w:rsidRDefault="00773CA5" w:rsidP="00D82C77">
      <w:pPr>
        <w:tabs>
          <w:tab w:val="left" w:pos="6237"/>
        </w:tabs>
        <w:rPr>
          <w:b/>
          <w:bCs/>
          <w:noProof/>
          <w:spacing w:val="-2"/>
          <w:sz w:val="18"/>
          <w:szCs w:val="18"/>
          <w:lang w:val="en-US"/>
        </w:rPr>
      </w:pPr>
    </w:p>
    <w:p w14:paraId="5DEE4831" w14:textId="77777777" w:rsidR="00BC4167" w:rsidRDefault="00BC4167" w:rsidP="00F64219">
      <w:pPr>
        <w:tabs>
          <w:tab w:val="left" w:pos="6237"/>
        </w:tabs>
        <w:rPr>
          <w:b/>
          <w:bCs/>
          <w:noProof/>
          <w:spacing w:val="-2"/>
          <w:sz w:val="18"/>
          <w:szCs w:val="18"/>
          <w:lang w:val="en-US"/>
        </w:rPr>
      </w:pPr>
    </w:p>
    <w:p w14:paraId="19546615" w14:textId="77777777" w:rsidR="001C2F0A" w:rsidRDefault="001C2F0A" w:rsidP="00773CA5">
      <w:pPr>
        <w:tabs>
          <w:tab w:val="left" w:pos="6237"/>
        </w:tabs>
        <w:spacing w:before="0" w:after="0"/>
        <w:rPr>
          <w:b/>
          <w:bCs/>
          <w:noProof/>
          <w:spacing w:val="-2"/>
          <w:sz w:val="18"/>
          <w:szCs w:val="18"/>
          <w:lang w:val="en-US"/>
        </w:rPr>
      </w:pPr>
    </w:p>
    <w:p w14:paraId="55DCE4C8" w14:textId="77777777" w:rsidR="009A0AEE" w:rsidRPr="00773CA5" w:rsidRDefault="00F7518F" w:rsidP="003818AB">
      <w:pPr>
        <w:tabs>
          <w:tab w:val="left" w:pos="6237"/>
        </w:tabs>
        <w:spacing w:before="360"/>
        <w:rPr>
          <w:b/>
          <w:bCs/>
          <w:noProof/>
          <w:spacing w:val="-2"/>
          <w:sz w:val="18"/>
          <w:szCs w:val="18"/>
          <w:lang w:val="en-US"/>
        </w:rPr>
      </w:pPr>
      <w:r>
        <w:rPr>
          <w:b/>
          <w:bCs/>
          <w:noProof/>
          <w:spacing w:val="-2"/>
          <w:sz w:val="18"/>
          <w:szCs w:val="18"/>
          <w:lang w:val="en-US"/>
        </w:rPr>
        <w:t>Chart</w:t>
      </w:r>
      <w:r w:rsidR="00D82C77">
        <w:rPr>
          <w:b/>
          <w:bCs/>
          <w:noProof/>
          <w:spacing w:val="-2"/>
          <w:sz w:val="18"/>
          <w:szCs w:val="18"/>
          <w:lang w:val="en-US"/>
        </w:rPr>
        <w:t xml:space="preserve"> 2</w:t>
      </w:r>
      <w:r w:rsidR="003818AB">
        <w:rPr>
          <w:b/>
          <w:bCs/>
          <w:noProof/>
          <w:spacing w:val="-2"/>
          <w:sz w:val="18"/>
          <w:szCs w:val="18"/>
          <w:lang w:val="en-US"/>
        </w:rPr>
        <w:t>.</w:t>
      </w:r>
      <w:r w:rsidR="00D82C77">
        <w:rPr>
          <w:b/>
          <w:bCs/>
          <w:noProof/>
          <w:spacing w:val="-2"/>
          <w:sz w:val="18"/>
          <w:szCs w:val="18"/>
          <w:lang w:val="en-US"/>
        </w:rPr>
        <w:t xml:space="preserve"> </w:t>
      </w:r>
      <w:r w:rsidR="00D82C77" w:rsidRPr="00D82C77">
        <w:rPr>
          <w:b/>
          <w:bCs/>
          <w:noProof/>
          <w:spacing w:val="-2"/>
          <w:sz w:val="18"/>
          <w:szCs w:val="18"/>
          <w:lang w:val="en-US"/>
        </w:rPr>
        <w:t xml:space="preserve">General government </w:t>
      </w:r>
      <w:r w:rsidR="00D82C77">
        <w:rPr>
          <w:b/>
          <w:bCs/>
          <w:noProof/>
          <w:spacing w:val="-2"/>
          <w:sz w:val="18"/>
          <w:szCs w:val="18"/>
          <w:lang w:val="en-US"/>
        </w:rPr>
        <w:t>debt</w:t>
      </w:r>
      <w:r w:rsidR="00D82C77" w:rsidRPr="00D82C77">
        <w:rPr>
          <w:b/>
          <w:bCs/>
          <w:noProof/>
          <w:spacing w:val="-2"/>
          <w:sz w:val="18"/>
          <w:szCs w:val="18"/>
          <w:lang w:val="en-US"/>
        </w:rPr>
        <w:t xml:space="preserve"> in % of GDP</w:t>
      </w:r>
    </w:p>
    <w:p w14:paraId="1641AC7E" w14:textId="1998B61D" w:rsidR="00773CA5" w:rsidRDefault="00520925" w:rsidP="001F7382">
      <w:pPr>
        <w:spacing w:before="240" w:after="0"/>
        <w:ind w:right="129"/>
        <w:jc w:val="both"/>
        <w:rPr>
          <w:rFonts w:cs="Arial"/>
          <w:szCs w:val="19"/>
          <w:lang w:val="en-US"/>
        </w:rPr>
      </w:pPr>
      <w:r>
        <w:rPr>
          <w:noProof/>
          <w:lang w:val="en-GB" w:eastAsia="en-GB"/>
        </w:rPr>
        <w:drawing>
          <wp:anchor distT="0" distB="0" distL="114300" distR="114300" simplePos="0" relativeHeight="251698688" behindDoc="0" locked="0" layoutInCell="1" allowOverlap="1" wp14:anchorId="1D151ED2" wp14:editId="128F3BFF">
            <wp:simplePos x="0" y="0"/>
            <wp:positionH relativeFrom="margin">
              <wp:align>center</wp:align>
            </wp:positionH>
            <wp:positionV relativeFrom="margin">
              <wp:posOffset>2979420</wp:posOffset>
            </wp:positionV>
            <wp:extent cx="2948940" cy="1988820"/>
            <wp:effectExtent l="0" t="0" r="3810" b="0"/>
            <wp:wrapSquare wrapText="bothSides"/>
            <wp:docPr id="18" name="Wykres 18">
              <a:extLst xmlns:a="http://schemas.openxmlformats.org/drawingml/2006/main">
                <a:ext uri="{FF2B5EF4-FFF2-40B4-BE49-F238E27FC236}">
                  <a16:creationId xmlns:a16="http://schemas.microsoft.com/office/drawing/2014/main" id="{BCC0BE09-861C-41F6-9542-5F940A4790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0831D76" w14:textId="7A7FF2F6" w:rsidR="00773CA5" w:rsidRDefault="00773CA5" w:rsidP="001F7382">
      <w:pPr>
        <w:spacing w:before="240" w:after="0"/>
        <w:ind w:right="129"/>
        <w:jc w:val="both"/>
        <w:rPr>
          <w:rFonts w:cs="Arial"/>
          <w:szCs w:val="19"/>
          <w:lang w:val="en-US"/>
        </w:rPr>
      </w:pPr>
    </w:p>
    <w:p w14:paraId="710E20D7" w14:textId="77777777" w:rsidR="00773CA5" w:rsidRDefault="00773CA5" w:rsidP="001F7382">
      <w:pPr>
        <w:spacing w:before="240" w:after="0"/>
        <w:ind w:right="129"/>
        <w:jc w:val="both"/>
        <w:rPr>
          <w:rFonts w:cs="Arial"/>
          <w:szCs w:val="19"/>
          <w:lang w:val="en-US"/>
        </w:rPr>
      </w:pPr>
    </w:p>
    <w:p w14:paraId="460EC460" w14:textId="77777777" w:rsidR="00773CA5" w:rsidRDefault="00773CA5" w:rsidP="001F7382">
      <w:pPr>
        <w:spacing w:before="240" w:after="0"/>
        <w:ind w:right="129"/>
        <w:jc w:val="both"/>
        <w:rPr>
          <w:rFonts w:cs="Arial"/>
          <w:szCs w:val="19"/>
          <w:lang w:val="en-US"/>
        </w:rPr>
      </w:pPr>
    </w:p>
    <w:p w14:paraId="3F9082D9" w14:textId="77777777" w:rsidR="00773CA5" w:rsidRDefault="00773CA5" w:rsidP="001F7382">
      <w:pPr>
        <w:spacing w:before="240" w:after="0"/>
        <w:ind w:right="129"/>
        <w:jc w:val="both"/>
        <w:rPr>
          <w:rFonts w:cs="Arial"/>
          <w:szCs w:val="19"/>
          <w:lang w:val="en-US"/>
        </w:rPr>
      </w:pPr>
    </w:p>
    <w:p w14:paraId="25F88EDB" w14:textId="77777777" w:rsidR="00773CA5" w:rsidRDefault="00773CA5" w:rsidP="001F7382">
      <w:pPr>
        <w:spacing w:before="240" w:after="0"/>
        <w:ind w:right="129"/>
        <w:jc w:val="both"/>
        <w:rPr>
          <w:rFonts w:cs="Arial"/>
          <w:szCs w:val="19"/>
          <w:lang w:val="en-US"/>
        </w:rPr>
      </w:pPr>
    </w:p>
    <w:p w14:paraId="4B8D4119" w14:textId="77777777" w:rsidR="007C0A9B" w:rsidRDefault="007C0A9B" w:rsidP="001D25E9">
      <w:pPr>
        <w:spacing w:before="480" w:line="288" w:lineRule="auto"/>
        <w:ind w:right="130"/>
        <w:rPr>
          <w:rFonts w:cs="Arial"/>
          <w:szCs w:val="19"/>
          <w:lang w:val="en-US"/>
        </w:rPr>
      </w:pPr>
    </w:p>
    <w:p w14:paraId="0507383F" w14:textId="43004C6C" w:rsidR="006B55C0" w:rsidRDefault="002D7EFE" w:rsidP="00520925">
      <w:pPr>
        <w:spacing w:before="480" w:line="288" w:lineRule="auto"/>
        <w:ind w:right="130"/>
        <w:jc w:val="both"/>
        <w:rPr>
          <w:rFonts w:cs="Arial"/>
          <w:szCs w:val="19"/>
          <w:lang w:val="en-US"/>
        </w:rPr>
      </w:pPr>
      <w:r w:rsidRPr="002D7EFE">
        <w:rPr>
          <w:rFonts w:cs="Arial"/>
          <w:szCs w:val="19"/>
          <w:lang w:val="en-US"/>
        </w:rPr>
        <w:t xml:space="preserve">Data </w:t>
      </w:r>
      <w:r w:rsidR="00686F3A">
        <w:rPr>
          <w:rFonts w:cs="Arial"/>
          <w:szCs w:val="19"/>
          <w:lang w:val="en-US"/>
        </w:rPr>
        <w:t>for years 2020-202</w:t>
      </w:r>
      <w:r w:rsidR="00520925">
        <w:rPr>
          <w:rFonts w:cs="Arial"/>
          <w:szCs w:val="19"/>
          <w:lang w:val="en-US"/>
        </w:rPr>
        <w:t>3</w:t>
      </w:r>
      <w:r w:rsidRPr="002D7EFE">
        <w:rPr>
          <w:rFonts w:cs="Arial"/>
          <w:szCs w:val="19"/>
          <w:lang w:val="en-US"/>
        </w:rPr>
        <w:t xml:space="preserve"> have been revised in relation to the previously published (</w:t>
      </w:r>
      <w:r w:rsidR="00520925">
        <w:rPr>
          <w:rFonts w:cs="Arial"/>
          <w:szCs w:val="19"/>
          <w:lang w:val="en-US"/>
        </w:rPr>
        <w:t>April</w:t>
      </w:r>
      <w:r w:rsidR="00DE190C">
        <w:rPr>
          <w:rFonts w:cs="Arial"/>
          <w:szCs w:val="19"/>
          <w:lang w:val="en-US"/>
        </w:rPr>
        <w:t xml:space="preserve"> 202</w:t>
      </w:r>
      <w:r w:rsidR="005917EF">
        <w:rPr>
          <w:rFonts w:cs="Arial"/>
          <w:szCs w:val="19"/>
          <w:lang w:val="en-US"/>
        </w:rPr>
        <w:t>3</w:t>
      </w:r>
      <w:r w:rsidRPr="002D7EFE">
        <w:rPr>
          <w:rFonts w:cs="Arial"/>
          <w:szCs w:val="19"/>
          <w:lang w:val="en-US"/>
        </w:rPr>
        <w:t xml:space="preserve">) </w:t>
      </w:r>
      <w:r w:rsidR="00C00B05">
        <w:rPr>
          <w:rFonts w:cs="Arial"/>
          <w:szCs w:val="19"/>
          <w:lang w:val="en-US"/>
        </w:rPr>
        <w:t xml:space="preserve">mainly </w:t>
      </w:r>
      <w:r w:rsidRPr="002D7EFE">
        <w:rPr>
          <w:rFonts w:cs="Arial"/>
          <w:szCs w:val="19"/>
          <w:lang w:val="en-US"/>
        </w:rPr>
        <w:t>due to</w:t>
      </w:r>
      <w:r w:rsidR="00361913">
        <w:rPr>
          <w:rFonts w:cs="Arial"/>
          <w:szCs w:val="19"/>
          <w:lang w:val="en-US"/>
        </w:rPr>
        <w:t xml:space="preserve"> </w:t>
      </w:r>
      <w:r w:rsidR="005917EF" w:rsidRPr="00F973A9">
        <w:rPr>
          <w:rFonts w:cs="Arial"/>
          <w:szCs w:val="19"/>
          <w:lang w:val="en-US"/>
        </w:rPr>
        <w:t>updated data sources</w:t>
      </w:r>
      <w:r w:rsidR="005917EF">
        <w:rPr>
          <w:rFonts w:cs="Arial"/>
          <w:szCs w:val="19"/>
          <w:lang w:val="en-US"/>
        </w:rPr>
        <w:t xml:space="preserve"> and </w:t>
      </w:r>
      <w:r w:rsidR="008A758F" w:rsidRPr="008A758F">
        <w:rPr>
          <w:rFonts w:cs="Arial"/>
          <w:szCs w:val="19"/>
          <w:lang w:val="en-US"/>
        </w:rPr>
        <w:t>the benchmarking revision of national accounts</w:t>
      </w:r>
      <w:r w:rsidR="00160343">
        <w:rPr>
          <w:rStyle w:val="Odwoanieprzypisudolnego"/>
          <w:rFonts w:cs="Arial"/>
          <w:szCs w:val="19"/>
          <w:lang w:val="en-US"/>
        </w:rPr>
        <w:footnoteReference w:id="2"/>
      </w:r>
      <w:r w:rsidR="00100444">
        <w:rPr>
          <w:rFonts w:cs="Arial"/>
          <w:szCs w:val="19"/>
          <w:lang w:val="en-US"/>
        </w:rPr>
        <w:t>.</w:t>
      </w:r>
      <w:r w:rsidR="005917EF">
        <w:rPr>
          <w:rFonts w:cs="Arial"/>
          <w:szCs w:val="19"/>
          <w:lang w:val="en-US"/>
        </w:rPr>
        <w:t xml:space="preserve"> </w:t>
      </w:r>
    </w:p>
    <w:p w14:paraId="01058C67" w14:textId="77777777" w:rsidR="00CA4348" w:rsidRDefault="00CA4348" w:rsidP="00AE66C1">
      <w:pPr>
        <w:spacing w:line="288" w:lineRule="auto"/>
        <w:ind w:right="130"/>
        <w:rPr>
          <w:b/>
          <w:bCs/>
          <w:noProof/>
          <w:spacing w:val="-2"/>
          <w:szCs w:val="19"/>
          <w:lang w:val="en-US"/>
        </w:rPr>
      </w:pPr>
      <w:r>
        <w:rPr>
          <w:rFonts w:cs="Arial"/>
          <w:szCs w:val="19"/>
          <w:lang w:val="en-US"/>
        </w:rPr>
        <w:t xml:space="preserve">In table 2 presents </w:t>
      </w:r>
      <w:r w:rsidR="0056307A" w:rsidRPr="00AA6E24">
        <w:rPr>
          <w:rFonts w:cs="Arial"/>
          <w:szCs w:val="19"/>
          <w:lang w:val="en-US"/>
        </w:rPr>
        <w:t>data on revenues and expenditures of the general government sector divided into ESA2010 transactions</w:t>
      </w:r>
      <w:r w:rsidR="0056307A">
        <w:rPr>
          <w:rFonts w:cs="Arial"/>
          <w:szCs w:val="19"/>
          <w:lang w:val="en-US"/>
        </w:rPr>
        <w:t>, consistent with data developed as part of EDP notification.</w:t>
      </w:r>
    </w:p>
    <w:p w14:paraId="4CE7F1C8" w14:textId="77777777" w:rsidR="004C62B0" w:rsidRPr="00F93B25" w:rsidRDefault="004C62B0" w:rsidP="00AE66C1">
      <w:pPr>
        <w:tabs>
          <w:tab w:val="left" w:pos="6237"/>
        </w:tabs>
        <w:spacing w:before="360"/>
        <w:rPr>
          <w:b/>
          <w:bCs/>
          <w:noProof/>
          <w:spacing w:val="-2"/>
          <w:szCs w:val="19"/>
          <w:lang w:val="en-US"/>
        </w:rPr>
      </w:pPr>
      <w:r w:rsidRPr="00F93B25">
        <w:rPr>
          <w:b/>
          <w:bCs/>
          <w:noProof/>
          <w:spacing w:val="-2"/>
          <w:szCs w:val="19"/>
          <w:lang w:val="en-US"/>
        </w:rPr>
        <w:t>Table 2</w:t>
      </w:r>
      <w:r w:rsidR="001D25E9" w:rsidRPr="00F93B25">
        <w:rPr>
          <w:b/>
          <w:bCs/>
          <w:noProof/>
          <w:spacing w:val="-2"/>
          <w:szCs w:val="19"/>
          <w:lang w:val="en-US"/>
        </w:rPr>
        <w:t>.</w:t>
      </w:r>
      <w:r w:rsidRPr="00F93B25">
        <w:rPr>
          <w:b/>
          <w:bCs/>
          <w:noProof/>
          <w:spacing w:val="-2"/>
          <w:szCs w:val="19"/>
          <w:lang w:val="en-US"/>
        </w:rPr>
        <w:t xml:space="preserve"> Total revenues and expenditures of the general government sector according to ESA2010 in years </w:t>
      </w:r>
      <w:r w:rsidR="000F10F9">
        <w:rPr>
          <w:b/>
          <w:bCs/>
          <w:noProof/>
          <w:spacing w:val="-2"/>
          <w:szCs w:val="19"/>
          <w:lang w:val="en-US"/>
        </w:rPr>
        <w:t>2020-2023</w:t>
      </w:r>
      <w:r w:rsidRPr="00F93B25">
        <w:rPr>
          <w:b/>
          <w:bCs/>
          <w:noProof/>
          <w:spacing w:val="-2"/>
          <w:szCs w:val="19"/>
          <w:lang w:val="en-US"/>
        </w:rPr>
        <w:t xml:space="preserve"> (mln zl) </w:t>
      </w:r>
    </w:p>
    <w:tbl>
      <w:tblPr>
        <w:tblW w:w="8048" w:type="dxa"/>
        <w:tblInd w:w="60"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Caption w:val="Table 2. Total revenues and expenditures of the general government sector according to ESA2010 in years 2019-2022 (mln zl) "/>
        <w:tblDescription w:val="The table presents the value of total revenues and expenditures of the general governemnt secot and their relation to GDP in years 2020-2023"/>
      </w:tblPr>
      <w:tblGrid>
        <w:gridCol w:w="4025"/>
        <w:gridCol w:w="992"/>
        <w:gridCol w:w="991"/>
        <w:gridCol w:w="1024"/>
        <w:gridCol w:w="1016"/>
      </w:tblGrid>
      <w:tr w:rsidR="00D24980" w:rsidRPr="00560B28" w14:paraId="6CCBA93C" w14:textId="77777777" w:rsidTr="003C5CB8">
        <w:trPr>
          <w:trHeight w:val="539"/>
        </w:trPr>
        <w:tc>
          <w:tcPr>
            <w:tcW w:w="4051" w:type="dxa"/>
            <w:shd w:val="clear" w:color="auto" w:fill="auto"/>
            <w:vAlign w:val="center"/>
            <w:hideMark/>
          </w:tcPr>
          <w:p w14:paraId="79335F7E" w14:textId="77777777" w:rsidR="00D24980" w:rsidRPr="00B42F8F" w:rsidRDefault="00D24980" w:rsidP="00D24980">
            <w:pPr>
              <w:spacing w:before="0" w:after="0" w:line="240" w:lineRule="auto"/>
              <w:jc w:val="center"/>
              <w:rPr>
                <w:rFonts w:eastAsia="Times New Roman"/>
                <w:bCs/>
                <w:color w:val="000000"/>
                <w:szCs w:val="19"/>
                <w:lang w:val="en-GB" w:eastAsia="pl-PL"/>
              </w:rPr>
            </w:pPr>
            <w:r w:rsidRPr="00B42F8F">
              <w:rPr>
                <w:rFonts w:eastAsia="Times New Roman"/>
                <w:bCs/>
                <w:color w:val="000000"/>
                <w:szCs w:val="19"/>
                <w:lang w:val="en-GB" w:eastAsia="pl-PL"/>
              </w:rPr>
              <w:t>Specification</w:t>
            </w:r>
          </w:p>
        </w:tc>
        <w:tc>
          <w:tcPr>
            <w:tcW w:w="992" w:type="dxa"/>
            <w:shd w:val="clear" w:color="auto" w:fill="auto"/>
            <w:vAlign w:val="center"/>
            <w:hideMark/>
          </w:tcPr>
          <w:p w14:paraId="42E36846" w14:textId="77777777"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2020</w:t>
            </w:r>
          </w:p>
        </w:tc>
        <w:tc>
          <w:tcPr>
            <w:tcW w:w="991" w:type="dxa"/>
            <w:shd w:val="clear" w:color="auto" w:fill="auto"/>
            <w:vAlign w:val="center"/>
            <w:hideMark/>
          </w:tcPr>
          <w:p w14:paraId="292416E1" w14:textId="77777777"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2021</w:t>
            </w:r>
          </w:p>
        </w:tc>
        <w:tc>
          <w:tcPr>
            <w:tcW w:w="1025" w:type="dxa"/>
            <w:shd w:val="clear" w:color="auto" w:fill="auto"/>
            <w:vAlign w:val="center"/>
            <w:hideMark/>
          </w:tcPr>
          <w:p w14:paraId="688E7A38" w14:textId="77777777"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2022</w:t>
            </w:r>
          </w:p>
        </w:tc>
        <w:tc>
          <w:tcPr>
            <w:tcW w:w="989" w:type="dxa"/>
            <w:shd w:val="clear" w:color="auto" w:fill="auto"/>
            <w:vAlign w:val="center"/>
            <w:hideMark/>
          </w:tcPr>
          <w:p w14:paraId="3CF3B74C" w14:textId="77777777" w:rsidR="00D24980" w:rsidRPr="00E867EB" w:rsidRDefault="00D24980" w:rsidP="00D24980">
            <w:pPr>
              <w:spacing w:before="0" w:after="0" w:line="240" w:lineRule="auto"/>
              <w:jc w:val="center"/>
              <w:rPr>
                <w:rFonts w:eastAsia="Times New Roman"/>
                <w:bCs/>
                <w:color w:val="000000"/>
                <w:szCs w:val="19"/>
                <w:lang w:eastAsia="pl-PL"/>
              </w:rPr>
            </w:pPr>
            <w:r>
              <w:rPr>
                <w:rFonts w:eastAsia="Times New Roman"/>
                <w:bCs/>
                <w:color w:val="000000"/>
                <w:szCs w:val="19"/>
                <w:lang w:eastAsia="pl-PL"/>
              </w:rPr>
              <w:t>2023</w:t>
            </w:r>
          </w:p>
        </w:tc>
      </w:tr>
      <w:tr w:rsidR="00520925" w:rsidRPr="00560B28" w14:paraId="3683D35D" w14:textId="77777777" w:rsidTr="00003C62">
        <w:trPr>
          <w:trHeight w:val="344"/>
        </w:trPr>
        <w:tc>
          <w:tcPr>
            <w:tcW w:w="4051" w:type="dxa"/>
            <w:shd w:val="clear" w:color="auto" w:fill="auto"/>
            <w:vAlign w:val="center"/>
            <w:hideMark/>
          </w:tcPr>
          <w:p w14:paraId="5C285FB3" w14:textId="77777777" w:rsidR="00520925" w:rsidRPr="00B42F8F" w:rsidRDefault="00520925" w:rsidP="00520925">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 xml:space="preserve">Total revenues </w:t>
            </w:r>
          </w:p>
        </w:tc>
        <w:tc>
          <w:tcPr>
            <w:tcW w:w="992" w:type="dxa"/>
            <w:shd w:val="clear" w:color="auto" w:fill="auto"/>
            <w:vAlign w:val="center"/>
            <w:hideMark/>
          </w:tcPr>
          <w:p w14:paraId="13EC4E71" w14:textId="3A040AC3"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966 002*</w:t>
            </w:r>
          </w:p>
        </w:tc>
        <w:tc>
          <w:tcPr>
            <w:tcW w:w="991" w:type="dxa"/>
            <w:shd w:val="clear" w:color="auto" w:fill="auto"/>
            <w:vAlign w:val="center"/>
            <w:hideMark/>
          </w:tcPr>
          <w:p w14:paraId="6B89F48E" w14:textId="32CC755F"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1 113 129*</w:t>
            </w:r>
          </w:p>
        </w:tc>
        <w:tc>
          <w:tcPr>
            <w:tcW w:w="1025" w:type="dxa"/>
            <w:shd w:val="clear" w:color="auto" w:fill="auto"/>
            <w:vAlign w:val="center"/>
            <w:hideMark/>
          </w:tcPr>
          <w:p w14:paraId="2677CB92" w14:textId="18C7ED40"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1 234 644*</w:t>
            </w:r>
          </w:p>
        </w:tc>
        <w:tc>
          <w:tcPr>
            <w:tcW w:w="989" w:type="dxa"/>
            <w:shd w:val="clear" w:color="auto" w:fill="auto"/>
            <w:vAlign w:val="center"/>
          </w:tcPr>
          <w:p w14:paraId="5CC96DBD" w14:textId="24661A47"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1 420 504*</w:t>
            </w:r>
          </w:p>
        </w:tc>
      </w:tr>
      <w:tr w:rsidR="00520925" w:rsidRPr="00560B28" w14:paraId="1187389F" w14:textId="77777777" w:rsidTr="00003C62">
        <w:trPr>
          <w:trHeight w:val="362"/>
        </w:trPr>
        <w:tc>
          <w:tcPr>
            <w:tcW w:w="4051" w:type="dxa"/>
            <w:shd w:val="clear" w:color="auto" w:fill="auto"/>
            <w:vAlign w:val="center"/>
            <w:hideMark/>
          </w:tcPr>
          <w:p w14:paraId="7A50593E" w14:textId="77777777" w:rsidR="00520925" w:rsidRPr="00B42F8F" w:rsidRDefault="00520925" w:rsidP="00520925">
            <w:pPr>
              <w:spacing w:before="0" w:after="0" w:line="240" w:lineRule="auto"/>
              <w:jc w:val="right"/>
              <w:rPr>
                <w:rFonts w:eastAsia="Times New Roman"/>
                <w:bCs/>
                <w:color w:val="000000"/>
                <w:szCs w:val="19"/>
                <w:lang w:val="en-GB" w:eastAsia="pl-PL"/>
              </w:rPr>
            </w:pPr>
            <w:r w:rsidRPr="00B42F8F">
              <w:rPr>
                <w:rFonts w:eastAsia="Times New Roman"/>
                <w:bCs/>
                <w:color w:val="000000"/>
                <w:szCs w:val="19"/>
                <w:lang w:val="en-GB" w:eastAsia="pl-PL"/>
              </w:rPr>
              <w:t>%</w:t>
            </w:r>
            <w:r>
              <w:rPr>
                <w:rFonts w:eastAsia="Times New Roman"/>
                <w:bCs/>
                <w:color w:val="000000"/>
                <w:szCs w:val="19"/>
                <w:lang w:val="en-GB" w:eastAsia="pl-PL"/>
              </w:rPr>
              <w:t xml:space="preserve"> </w:t>
            </w:r>
            <w:r w:rsidRPr="00B42F8F">
              <w:rPr>
                <w:rFonts w:eastAsia="Times New Roman"/>
                <w:bCs/>
                <w:color w:val="000000"/>
                <w:szCs w:val="19"/>
                <w:lang w:val="en-GB" w:eastAsia="pl-PL"/>
              </w:rPr>
              <w:t>GDP</w:t>
            </w:r>
          </w:p>
        </w:tc>
        <w:tc>
          <w:tcPr>
            <w:tcW w:w="992" w:type="dxa"/>
            <w:shd w:val="clear" w:color="auto" w:fill="auto"/>
            <w:vAlign w:val="center"/>
            <w:hideMark/>
          </w:tcPr>
          <w:p w14:paraId="777CA425" w14:textId="47115422"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40,9*</w:t>
            </w:r>
          </w:p>
        </w:tc>
        <w:tc>
          <w:tcPr>
            <w:tcW w:w="991" w:type="dxa"/>
            <w:shd w:val="clear" w:color="auto" w:fill="auto"/>
            <w:vAlign w:val="center"/>
            <w:hideMark/>
          </w:tcPr>
          <w:p w14:paraId="03B20CC4" w14:textId="5C861A18"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41,8*</w:t>
            </w:r>
          </w:p>
        </w:tc>
        <w:tc>
          <w:tcPr>
            <w:tcW w:w="1025" w:type="dxa"/>
            <w:shd w:val="clear" w:color="auto" w:fill="auto"/>
            <w:vAlign w:val="center"/>
            <w:hideMark/>
          </w:tcPr>
          <w:p w14:paraId="60A06F47" w14:textId="702A7519"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39,8*</w:t>
            </w:r>
          </w:p>
        </w:tc>
        <w:tc>
          <w:tcPr>
            <w:tcW w:w="989" w:type="dxa"/>
            <w:shd w:val="clear" w:color="auto" w:fill="auto"/>
            <w:vAlign w:val="center"/>
          </w:tcPr>
          <w:p w14:paraId="05D9D9DA" w14:textId="1F275A53"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41,8*</w:t>
            </w:r>
          </w:p>
        </w:tc>
      </w:tr>
      <w:tr w:rsidR="00520925" w:rsidRPr="00560B28" w14:paraId="5FB85E3C" w14:textId="77777777" w:rsidTr="00003C62">
        <w:trPr>
          <w:trHeight w:val="362"/>
        </w:trPr>
        <w:tc>
          <w:tcPr>
            <w:tcW w:w="4051" w:type="dxa"/>
            <w:shd w:val="clear" w:color="auto" w:fill="auto"/>
            <w:vAlign w:val="center"/>
            <w:hideMark/>
          </w:tcPr>
          <w:p w14:paraId="0B93D6A0" w14:textId="77777777" w:rsidR="00520925" w:rsidRPr="00B42F8F" w:rsidRDefault="00520925" w:rsidP="00520925">
            <w:pPr>
              <w:spacing w:before="0" w:after="0" w:line="240" w:lineRule="auto"/>
              <w:rPr>
                <w:rFonts w:eastAsia="Times New Roman"/>
                <w:bCs/>
                <w:color w:val="000000"/>
                <w:szCs w:val="19"/>
                <w:lang w:val="en-GB" w:eastAsia="pl-PL"/>
              </w:rPr>
            </w:pPr>
            <w:r w:rsidRPr="00B42F8F">
              <w:rPr>
                <w:rFonts w:eastAsia="Times New Roman"/>
                <w:bCs/>
                <w:color w:val="000000"/>
                <w:szCs w:val="19"/>
                <w:lang w:val="en-GB" w:eastAsia="pl-PL"/>
              </w:rPr>
              <w:t>Total expenditures</w:t>
            </w:r>
          </w:p>
        </w:tc>
        <w:tc>
          <w:tcPr>
            <w:tcW w:w="992" w:type="dxa"/>
            <w:shd w:val="clear" w:color="auto" w:fill="auto"/>
            <w:vAlign w:val="center"/>
            <w:hideMark/>
          </w:tcPr>
          <w:p w14:paraId="419D67B4" w14:textId="0FB3DD96"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1 127 93</w:t>
            </w:r>
            <w:r w:rsidR="00C747F7">
              <w:rPr>
                <w:rFonts w:eastAsia="Times New Roman" w:cs="Arial"/>
                <w:color w:val="000000"/>
                <w:szCs w:val="19"/>
                <w:lang w:eastAsia="pl-PL"/>
              </w:rPr>
              <w:t>5</w:t>
            </w:r>
            <w:r>
              <w:rPr>
                <w:rFonts w:eastAsia="Times New Roman" w:cs="Arial"/>
                <w:color w:val="000000"/>
                <w:szCs w:val="19"/>
                <w:lang w:eastAsia="pl-PL"/>
              </w:rPr>
              <w:t>*</w:t>
            </w:r>
          </w:p>
        </w:tc>
        <w:tc>
          <w:tcPr>
            <w:tcW w:w="991" w:type="dxa"/>
            <w:shd w:val="clear" w:color="auto" w:fill="auto"/>
            <w:vAlign w:val="center"/>
            <w:hideMark/>
          </w:tcPr>
          <w:p w14:paraId="4EA04B57" w14:textId="5AFD204C"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1 159 58</w:t>
            </w:r>
            <w:r w:rsidR="002B6B88">
              <w:rPr>
                <w:rFonts w:eastAsia="Times New Roman" w:cs="Arial"/>
                <w:color w:val="000000"/>
                <w:szCs w:val="19"/>
                <w:lang w:eastAsia="pl-PL"/>
              </w:rPr>
              <w:t>8</w:t>
            </w:r>
            <w:r>
              <w:rPr>
                <w:rFonts w:eastAsia="Times New Roman" w:cs="Arial"/>
                <w:color w:val="000000"/>
                <w:szCs w:val="19"/>
                <w:lang w:eastAsia="pl-PL"/>
              </w:rPr>
              <w:t>*</w:t>
            </w:r>
          </w:p>
        </w:tc>
        <w:tc>
          <w:tcPr>
            <w:tcW w:w="1025" w:type="dxa"/>
            <w:shd w:val="clear" w:color="auto" w:fill="auto"/>
            <w:vAlign w:val="center"/>
            <w:hideMark/>
          </w:tcPr>
          <w:p w14:paraId="76773878" w14:textId="0EF416DB"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1 341 141*</w:t>
            </w:r>
          </w:p>
        </w:tc>
        <w:tc>
          <w:tcPr>
            <w:tcW w:w="989" w:type="dxa"/>
            <w:shd w:val="clear" w:color="auto" w:fill="auto"/>
            <w:vAlign w:val="center"/>
          </w:tcPr>
          <w:p w14:paraId="56BE5B10" w14:textId="17E565B2"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1 600 439*</w:t>
            </w:r>
          </w:p>
        </w:tc>
      </w:tr>
      <w:tr w:rsidR="00520925" w:rsidRPr="00560B28" w14:paraId="365986AF" w14:textId="77777777" w:rsidTr="00003C62">
        <w:trPr>
          <w:trHeight w:val="362"/>
        </w:trPr>
        <w:tc>
          <w:tcPr>
            <w:tcW w:w="4051" w:type="dxa"/>
            <w:shd w:val="clear" w:color="auto" w:fill="auto"/>
            <w:vAlign w:val="center"/>
            <w:hideMark/>
          </w:tcPr>
          <w:p w14:paraId="3F041371" w14:textId="77777777" w:rsidR="00520925" w:rsidRPr="00B42F8F" w:rsidRDefault="00520925" w:rsidP="00520925">
            <w:pPr>
              <w:spacing w:before="0" w:after="0" w:line="240" w:lineRule="auto"/>
              <w:jc w:val="right"/>
              <w:rPr>
                <w:rFonts w:eastAsia="Times New Roman"/>
                <w:bCs/>
                <w:color w:val="000000"/>
                <w:szCs w:val="19"/>
                <w:lang w:eastAsia="pl-PL"/>
              </w:rPr>
            </w:pPr>
            <w:r w:rsidRPr="00B42F8F">
              <w:rPr>
                <w:rFonts w:eastAsia="Times New Roman"/>
                <w:bCs/>
                <w:color w:val="000000"/>
                <w:szCs w:val="19"/>
                <w:lang w:eastAsia="pl-PL"/>
              </w:rPr>
              <w:t xml:space="preserve"> % GDP </w:t>
            </w:r>
          </w:p>
        </w:tc>
        <w:tc>
          <w:tcPr>
            <w:tcW w:w="992" w:type="dxa"/>
            <w:shd w:val="clear" w:color="auto" w:fill="auto"/>
            <w:vAlign w:val="center"/>
            <w:hideMark/>
          </w:tcPr>
          <w:p w14:paraId="1A6AA241" w14:textId="4AE5BCE5"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47,7*</w:t>
            </w:r>
          </w:p>
        </w:tc>
        <w:tc>
          <w:tcPr>
            <w:tcW w:w="991" w:type="dxa"/>
            <w:shd w:val="clear" w:color="auto" w:fill="auto"/>
            <w:vAlign w:val="center"/>
            <w:hideMark/>
          </w:tcPr>
          <w:p w14:paraId="07DF670B" w14:textId="2B714C0D"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43,6*</w:t>
            </w:r>
          </w:p>
        </w:tc>
        <w:tc>
          <w:tcPr>
            <w:tcW w:w="1025" w:type="dxa"/>
            <w:shd w:val="clear" w:color="auto" w:fill="auto"/>
            <w:vAlign w:val="center"/>
            <w:hideMark/>
          </w:tcPr>
          <w:p w14:paraId="2080B2CA" w14:textId="15851D61"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43,3*</w:t>
            </w:r>
          </w:p>
        </w:tc>
        <w:tc>
          <w:tcPr>
            <w:tcW w:w="989" w:type="dxa"/>
            <w:shd w:val="clear" w:color="auto" w:fill="auto"/>
            <w:vAlign w:val="center"/>
          </w:tcPr>
          <w:p w14:paraId="0457C627" w14:textId="4B10950F" w:rsidR="00520925" w:rsidRPr="00E867EB" w:rsidRDefault="00520925" w:rsidP="00520925">
            <w:pPr>
              <w:spacing w:before="0" w:after="0" w:line="240" w:lineRule="auto"/>
              <w:jc w:val="right"/>
              <w:rPr>
                <w:rFonts w:eastAsia="Times New Roman" w:cs="Arial"/>
                <w:color w:val="000000"/>
                <w:szCs w:val="19"/>
                <w:lang w:eastAsia="pl-PL"/>
              </w:rPr>
            </w:pPr>
            <w:r>
              <w:rPr>
                <w:rFonts w:eastAsia="Times New Roman" w:cs="Arial"/>
                <w:color w:val="000000"/>
                <w:szCs w:val="19"/>
                <w:lang w:eastAsia="pl-PL"/>
              </w:rPr>
              <w:t>47</w:t>
            </w:r>
            <w:r w:rsidR="006B7615">
              <w:rPr>
                <w:rFonts w:eastAsia="Times New Roman" w:cs="Arial"/>
                <w:color w:val="000000"/>
                <w:szCs w:val="19"/>
                <w:lang w:eastAsia="pl-PL"/>
              </w:rPr>
              <w:t>,0</w:t>
            </w:r>
            <w:r>
              <w:rPr>
                <w:rFonts w:eastAsia="Times New Roman" w:cs="Arial"/>
                <w:color w:val="000000"/>
                <w:szCs w:val="19"/>
                <w:lang w:eastAsia="pl-PL"/>
              </w:rPr>
              <w:t>*</w:t>
            </w:r>
          </w:p>
        </w:tc>
      </w:tr>
    </w:tbl>
    <w:p w14:paraId="2C33F839" w14:textId="0F5DE7D7" w:rsidR="002A6FDA" w:rsidRDefault="00F7518F" w:rsidP="006B55C0">
      <w:pPr>
        <w:tabs>
          <w:tab w:val="left" w:pos="6237"/>
        </w:tabs>
        <w:rPr>
          <w:b/>
          <w:bCs/>
          <w:noProof/>
          <w:spacing w:val="-2"/>
          <w:sz w:val="18"/>
          <w:szCs w:val="18"/>
          <w:lang w:val="en-US"/>
        </w:rPr>
      </w:pPr>
      <w:r w:rsidRPr="00F7518F">
        <w:rPr>
          <w:b/>
          <w:bCs/>
          <w:noProof/>
          <w:spacing w:val="-2"/>
          <w:sz w:val="18"/>
          <w:szCs w:val="18"/>
          <w:lang w:val="en-US"/>
        </w:rPr>
        <w:lastRenderedPageBreak/>
        <w:t>Chart</w:t>
      </w:r>
      <w:r w:rsidR="00124E9E" w:rsidRPr="002A6FDA">
        <w:rPr>
          <w:b/>
          <w:bCs/>
          <w:noProof/>
          <w:spacing w:val="-2"/>
          <w:sz w:val="18"/>
          <w:szCs w:val="18"/>
          <w:lang w:val="en-US"/>
        </w:rPr>
        <w:t xml:space="preserve"> 3</w:t>
      </w:r>
      <w:r w:rsidR="00704CED">
        <w:rPr>
          <w:b/>
          <w:bCs/>
          <w:noProof/>
          <w:spacing w:val="-2"/>
          <w:sz w:val="18"/>
          <w:szCs w:val="18"/>
          <w:lang w:val="en-US"/>
        </w:rPr>
        <w:t>.</w:t>
      </w:r>
      <w:r w:rsidR="00124E9E" w:rsidRPr="002A6FDA">
        <w:rPr>
          <w:b/>
          <w:bCs/>
          <w:noProof/>
          <w:spacing w:val="-2"/>
          <w:sz w:val="18"/>
          <w:szCs w:val="18"/>
          <w:lang w:val="en-US"/>
        </w:rPr>
        <w:t xml:space="preserve"> </w:t>
      </w:r>
      <w:r w:rsidR="002A6FDA" w:rsidRPr="002A6FDA">
        <w:rPr>
          <w:b/>
          <w:bCs/>
          <w:noProof/>
          <w:spacing w:val="-2"/>
          <w:sz w:val="18"/>
          <w:szCs w:val="18"/>
          <w:lang w:val="en-US"/>
        </w:rPr>
        <w:t>Total revenues and expenditures of the general government sector in % of GDP</w:t>
      </w:r>
    </w:p>
    <w:p w14:paraId="60C6682A" w14:textId="222A9760" w:rsidR="003D4B92" w:rsidRDefault="00160343" w:rsidP="0080765C">
      <w:pPr>
        <w:spacing w:before="240" w:after="0"/>
        <w:ind w:right="130"/>
        <w:jc w:val="both"/>
        <w:rPr>
          <w:rFonts w:cs="Arial"/>
          <w:szCs w:val="19"/>
          <w:lang w:val="en-US"/>
        </w:rPr>
      </w:pPr>
      <w:r>
        <w:rPr>
          <w:rFonts w:cs="Arial"/>
          <w:noProof/>
          <w:szCs w:val="19"/>
          <w:lang w:val="en-GB" w:eastAsia="en-GB"/>
        </w:rPr>
        <w:drawing>
          <wp:anchor distT="0" distB="0" distL="114300" distR="114300" simplePos="0" relativeHeight="251699712" behindDoc="0" locked="0" layoutInCell="1" allowOverlap="1" wp14:anchorId="36D1BEFD" wp14:editId="3FA15418">
            <wp:simplePos x="0" y="0"/>
            <wp:positionH relativeFrom="margin">
              <wp:align>center</wp:align>
            </wp:positionH>
            <wp:positionV relativeFrom="margin">
              <wp:posOffset>318135</wp:posOffset>
            </wp:positionV>
            <wp:extent cx="3486488" cy="213360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488" cy="2133600"/>
                    </a:xfrm>
                    <a:prstGeom prst="rect">
                      <a:avLst/>
                    </a:prstGeom>
                    <a:noFill/>
                  </pic:spPr>
                </pic:pic>
              </a:graphicData>
            </a:graphic>
          </wp:anchor>
        </w:drawing>
      </w:r>
    </w:p>
    <w:p w14:paraId="3696FBB5" w14:textId="17408B3E" w:rsidR="00C55C1F" w:rsidRDefault="00C55C1F" w:rsidP="0080765C">
      <w:pPr>
        <w:spacing w:before="240" w:after="0"/>
        <w:ind w:right="130"/>
        <w:jc w:val="both"/>
        <w:rPr>
          <w:rFonts w:cs="Arial"/>
          <w:szCs w:val="19"/>
          <w:lang w:val="en-US"/>
        </w:rPr>
      </w:pPr>
    </w:p>
    <w:p w14:paraId="59433089" w14:textId="23C5DE49" w:rsidR="00C55C1F" w:rsidRDefault="00C55C1F" w:rsidP="0080765C">
      <w:pPr>
        <w:spacing w:before="240" w:after="0"/>
        <w:ind w:right="130"/>
        <w:jc w:val="both"/>
        <w:rPr>
          <w:rFonts w:cs="Arial"/>
          <w:szCs w:val="19"/>
          <w:lang w:val="en-US"/>
        </w:rPr>
      </w:pPr>
    </w:p>
    <w:p w14:paraId="01A9D330" w14:textId="4D5916FC" w:rsidR="00C55C1F" w:rsidRDefault="00C55C1F" w:rsidP="0080765C">
      <w:pPr>
        <w:spacing w:before="240" w:after="0"/>
        <w:ind w:right="130"/>
        <w:jc w:val="both"/>
        <w:rPr>
          <w:rFonts w:cs="Arial"/>
          <w:szCs w:val="19"/>
          <w:lang w:val="en-US"/>
        </w:rPr>
      </w:pPr>
    </w:p>
    <w:p w14:paraId="6B177CA0" w14:textId="0633531D" w:rsidR="00C55C1F" w:rsidRDefault="00C55C1F" w:rsidP="0080765C">
      <w:pPr>
        <w:spacing w:before="240" w:after="0"/>
        <w:ind w:right="130"/>
        <w:jc w:val="both"/>
        <w:rPr>
          <w:rFonts w:cs="Arial"/>
          <w:szCs w:val="19"/>
          <w:lang w:val="en-US"/>
        </w:rPr>
      </w:pPr>
    </w:p>
    <w:p w14:paraId="6316D371" w14:textId="13843F1D" w:rsidR="005917EF" w:rsidRDefault="005917EF" w:rsidP="00AA37AC">
      <w:pPr>
        <w:spacing w:before="480" w:line="288" w:lineRule="auto"/>
        <w:ind w:right="130"/>
        <w:rPr>
          <w:rFonts w:cs="Arial"/>
          <w:szCs w:val="19"/>
          <w:lang w:val="en-US"/>
        </w:rPr>
      </w:pPr>
    </w:p>
    <w:p w14:paraId="537601D1" w14:textId="77777777" w:rsidR="005E1593" w:rsidRDefault="005E1593" w:rsidP="00AA37AC">
      <w:pPr>
        <w:spacing w:before="480" w:line="288" w:lineRule="auto"/>
        <w:ind w:right="130"/>
        <w:rPr>
          <w:rFonts w:cs="Arial"/>
          <w:szCs w:val="19"/>
          <w:lang w:val="en-US"/>
        </w:rPr>
      </w:pPr>
    </w:p>
    <w:p w14:paraId="76BB5242" w14:textId="1B7E78A0" w:rsidR="00971AA2" w:rsidRDefault="0030612E" w:rsidP="00626D2E">
      <w:pPr>
        <w:spacing w:before="0" w:line="288" w:lineRule="auto"/>
        <w:ind w:right="130"/>
        <w:jc w:val="both"/>
        <w:rPr>
          <w:rFonts w:cs="Arial"/>
          <w:szCs w:val="19"/>
          <w:lang w:val="en-US"/>
        </w:rPr>
      </w:pPr>
      <w:r w:rsidRPr="0030612E">
        <w:rPr>
          <w:rFonts w:cs="Arial"/>
          <w:szCs w:val="19"/>
          <w:lang w:val="en-US"/>
        </w:rPr>
        <w:t xml:space="preserve">Similarly, as in case of deficit and debt, data on </w:t>
      </w:r>
      <w:r w:rsidR="008202F5">
        <w:rPr>
          <w:rFonts w:cs="Arial"/>
          <w:szCs w:val="19"/>
          <w:lang w:val="en-US"/>
        </w:rPr>
        <w:t xml:space="preserve">the </w:t>
      </w:r>
      <w:r w:rsidRPr="0030612E">
        <w:rPr>
          <w:rFonts w:cs="Arial"/>
          <w:szCs w:val="19"/>
          <w:lang w:val="en-US"/>
        </w:rPr>
        <w:t>general government revenues and</w:t>
      </w:r>
      <w:r w:rsidR="001C2F0A">
        <w:rPr>
          <w:rFonts w:cs="Arial"/>
          <w:szCs w:val="19"/>
          <w:lang w:val="en-US"/>
        </w:rPr>
        <w:t xml:space="preserve"> </w:t>
      </w:r>
      <w:r w:rsidRPr="0030612E">
        <w:rPr>
          <w:rFonts w:cs="Arial"/>
          <w:szCs w:val="19"/>
          <w:lang w:val="en-US"/>
        </w:rPr>
        <w:t xml:space="preserve">expenditures </w:t>
      </w:r>
      <w:r w:rsidR="00B37D7C">
        <w:rPr>
          <w:rFonts w:cs="Arial"/>
          <w:szCs w:val="19"/>
          <w:lang w:val="en-US"/>
        </w:rPr>
        <w:t>for years 2020-</w:t>
      </w:r>
      <w:r w:rsidR="00706C85">
        <w:rPr>
          <w:rFonts w:cs="Arial"/>
          <w:szCs w:val="19"/>
          <w:lang w:val="en-US"/>
        </w:rPr>
        <w:t>202</w:t>
      </w:r>
      <w:r w:rsidR="00971AA2">
        <w:rPr>
          <w:rFonts w:cs="Arial"/>
          <w:szCs w:val="19"/>
          <w:lang w:val="en-US"/>
        </w:rPr>
        <w:t>3</w:t>
      </w:r>
      <w:r w:rsidR="00706C85">
        <w:rPr>
          <w:rFonts w:cs="Arial"/>
          <w:szCs w:val="19"/>
          <w:lang w:val="en-US"/>
        </w:rPr>
        <w:t xml:space="preserve"> </w:t>
      </w:r>
      <w:r w:rsidRPr="0030612E">
        <w:rPr>
          <w:rFonts w:cs="Arial"/>
          <w:szCs w:val="19"/>
          <w:lang w:val="en-US"/>
        </w:rPr>
        <w:t xml:space="preserve">have been revised in relation to the previously published </w:t>
      </w:r>
      <w:r>
        <w:rPr>
          <w:rFonts w:cs="Arial"/>
          <w:szCs w:val="19"/>
          <w:lang w:val="en-US"/>
        </w:rPr>
        <w:t>(</w:t>
      </w:r>
      <w:r w:rsidR="00971AA2">
        <w:rPr>
          <w:rFonts w:cs="Arial"/>
          <w:szCs w:val="19"/>
          <w:lang w:val="en-US"/>
        </w:rPr>
        <w:t>April</w:t>
      </w:r>
      <w:r w:rsidR="00996425">
        <w:rPr>
          <w:rFonts w:cs="Arial"/>
          <w:szCs w:val="19"/>
          <w:lang w:val="en-US"/>
        </w:rPr>
        <w:t xml:space="preserve"> 2</w:t>
      </w:r>
      <w:r w:rsidR="00DE190C">
        <w:rPr>
          <w:rFonts w:cs="Arial"/>
          <w:szCs w:val="19"/>
          <w:lang w:val="en-US"/>
        </w:rPr>
        <w:t>02</w:t>
      </w:r>
      <w:r w:rsidR="005917EF">
        <w:rPr>
          <w:rFonts w:cs="Arial"/>
          <w:szCs w:val="19"/>
          <w:lang w:val="en-US"/>
        </w:rPr>
        <w:t>3</w:t>
      </w:r>
      <w:r w:rsidRPr="0030612E">
        <w:rPr>
          <w:rFonts w:cs="Arial"/>
          <w:szCs w:val="19"/>
          <w:lang w:val="en-US"/>
        </w:rPr>
        <w:t>).</w:t>
      </w:r>
      <w:r w:rsidR="00971AA2">
        <w:rPr>
          <w:rFonts w:cs="Arial"/>
          <w:szCs w:val="19"/>
          <w:lang w:val="en-US"/>
        </w:rPr>
        <w:t xml:space="preserve"> </w:t>
      </w:r>
      <w:r w:rsidR="00971AA2" w:rsidRPr="00971AA2">
        <w:rPr>
          <w:rFonts w:cs="Arial"/>
          <w:szCs w:val="19"/>
          <w:lang w:val="en-US"/>
        </w:rPr>
        <w:t xml:space="preserve">The revision of general government revenues resulted in an increase in 2020-2021 </w:t>
      </w:r>
      <w:r w:rsidR="002F6367">
        <w:rPr>
          <w:rFonts w:cs="Arial"/>
          <w:szCs w:val="19"/>
          <w:lang w:val="en-US"/>
        </w:rPr>
        <w:t>of</w:t>
      </w:r>
      <w:r w:rsidR="00971AA2" w:rsidRPr="00971AA2">
        <w:rPr>
          <w:rFonts w:cs="Arial"/>
          <w:szCs w:val="19"/>
          <w:lang w:val="en-US"/>
        </w:rPr>
        <w:t xml:space="preserve"> 243 </w:t>
      </w:r>
      <w:proofErr w:type="spellStart"/>
      <w:r w:rsidR="00971AA2"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00971AA2" w:rsidRPr="00971AA2">
        <w:rPr>
          <w:rFonts w:cs="Arial"/>
          <w:szCs w:val="19"/>
          <w:lang w:val="en-US"/>
        </w:rPr>
        <w:t xml:space="preserve"> and</w:t>
      </w:r>
      <w:r w:rsidR="002F6367">
        <w:rPr>
          <w:rFonts w:cs="Arial"/>
          <w:szCs w:val="19"/>
          <w:lang w:val="en-US"/>
        </w:rPr>
        <w:t xml:space="preserve"> </w:t>
      </w:r>
      <w:r w:rsidR="00971AA2" w:rsidRPr="00971AA2">
        <w:rPr>
          <w:rFonts w:cs="Arial"/>
          <w:szCs w:val="19"/>
          <w:lang w:val="en-US"/>
        </w:rPr>
        <w:t>1</w:t>
      </w:r>
      <w:r w:rsidR="00971AA2">
        <w:rPr>
          <w:rFonts w:cs="Arial"/>
          <w:szCs w:val="19"/>
          <w:lang w:val="en-US"/>
        </w:rPr>
        <w:t xml:space="preserve"> </w:t>
      </w:r>
      <w:r w:rsidR="00971AA2" w:rsidRPr="00971AA2">
        <w:rPr>
          <w:rFonts w:cs="Arial"/>
          <w:szCs w:val="19"/>
          <w:lang w:val="en-US"/>
        </w:rPr>
        <w:t xml:space="preserve">184 </w:t>
      </w:r>
      <w:proofErr w:type="spellStart"/>
      <w:r w:rsidR="00971AA2"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00971AA2" w:rsidRPr="00971AA2">
        <w:rPr>
          <w:rFonts w:cs="Arial"/>
          <w:szCs w:val="19"/>
          <w:lang w:val="en-US"/>
        </w:rPr>
        <w:t>, respectively, and a decrease of 0</w:t>
      </w:r>
      <w:r w:rsidR="002F6367">
        <w:rPr>
          <w:rFonts w:cs="Arial"/>
          <w:szCs w:val="19"/>
          <w:lang w:val="en-US"/>
        </w:rPr>
        <w:t>,</w:t>
      </w:r>
      <w:r w:rsidR="00971AA2" w:rsidRPr="00971AA2">
        <w:rPr>
          <w:rFonts w:cs="Arial"/>
          <w:szCs w:val="19"/>
          <w:lang w:val="en-US"/>
        </w:rPr>
        <w:t>4 percentage points and 0</w:t>
      </w:r>
      <w:r w:rsidR="002F6367">
        <w:rPr>
          <w:rFonts w:cs="Arial"/>
          <w:szCs w:val="19"/>
          <w:lang w:val="en-US"/>
        </w:rPr>
        <w:t>,</w:t>
      </w:r>
      <w:r w:rsidR="00971AA2" w:rsidRPr="00971AA2">
        <w:rPr>
          <w:rFonts w:cs="Arial"/>
          <w:szCs w:val="19"/>
          <w:lang w:val="en-US"/>
        </w:rPr>
        <w:t>5 percentage points respectively in relation to GDP due to the increase of gross domestic product in these years.</w:t>
      </w:r>
      <w:r w:rsidR="00971AA2">
        <w:rPr>
          <w:rFonts w:cs="Arial"/>
          <w:szCs w:val="19"/>
          <w:lang w:val="en-US"/>
        </w:rPr>
        <w:t xml:space="preserve"> </w:t>
      </w:r>
      <w:r w:rsidR="00971AA2" w:rsidRPr="00971AA2">
        <w:rPr>
          <w:rFonts w:cs="Arial"/>
          <w:szCs w:val="19"/>
          <w:lang w:val="en-US"/>
        </w:rPr>
        <w:t xml:space="preserve">In 2023 the increase </w:t>
      </w:r>
      <w:r w:rsidR="006B7615">
        <w:rPr>
          <w:rFonts w:cs="Arial"/>
          <w:szCs w:val="19"/>
          <w:lang w:val="en-US"/>
        </w:rPr>
        <w:t>of</w:t>
      </w:r>
      <w:r w:rsidR="00971AA2" w:rsidRPr="00971AA2">
        <w:rPr>
          <w:rFonts w:cs="Arial"/>
          <w:szCs w:val="19"/>
          <w:lang w:val="en-US"/>
        </w:rPr>
        <w:t xml:space="preserve"> revenues </w:t>
      </w:r>
      <w:r w:rsidR="002F6367">
        <w:rPr>
          <w:rFonts w:cs="Arial"/>
          <w:szCs w:val="19"/>
          <w:lang w:val="en-US"/>
        </w:rPr>
        <w:t xml:space="preserve">of </w:t>
      </w:r>
      <w:r w:rsidR="00971AA2" w:rsidRPr="00971AA2">
        <w:rPr>
          <w:rFonts w:cs="Arial"/>
          <w:szCs w:val="19"/>
          <w:lang w:val="en-US"/>
        </w:rPr>
        <w:t xml:space="preserve">203 </w:t>
      </w:r>
      <w:proofErr w:type="spellStart"/>
      <w:r w:rsidR="00971AA2"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00971AA2" w:rsidRPr="00971AA2">
        <w:rPr>
          <w:rFonts w:cs="Arial"/>
          <w:szCs w:val="19"/>
          <w:lang w:val="en-US"/>
        </w:rPr>
        <w:t xml:space="preserve"> also </w:t>
      </w:r>
      <w:r w:rsidR="002F6367">
        <w:rPr>
          <w:rFonts w:cs="Arial"/>
          <w:szCs w:val="19"/>
          <w:lang w:val="en-US"/>
        </w:rPr>
        <w:t>resulted in</w:t>
      </w:r>
      <w:r w:rsidR="00971AA2" w:rsidRPr="00971AA2">
        <w:rPr>
          <w:rFonts w:cs="Arial"/>
          <w:szCs w:val="19"/>
          <w:lang w:val="en-US"/>
        </w:rPr>
        <w:t xml:space="preserve"> an increase </w:t>
      </w:r>
      <w:r w:rsidR="006B7615">
        <w:rPr>
          <w:rFonts w:cs="Arial"/>
          <w:szCs w:val="19"/>
          <w:lang w:val="en-US"/>
        </w:rPr>
        <w:t>of</w:t>
      </w:r>
      <w:r w:rsidR="00971AA2" w:rsidRPr="00971AA2">
        <w:rPr>
          <w:rFonts w:cs="Arial"/>
          <w:szCs w:val="19"/>
          <w:lang w:val="en-US"/>
        </w:rPr>
        <w:t xml:space="preserve"> revenue in relation to GDP by 0</w:t>
      </w:r>
      <w:r w:rsidR="002F6367">
        <w:rPr>
          <w:rFonts w:cs="Arial"/>
          <w:szCs w:val="19"/>
          <w:lang w:val="en-US"/>
        </w:rPr>
        <w:t>,</w:t>
      </w:r>
      <w:r w:rsidR="00971AA2" w:rsidRPr="00971AA2">
        <w:rPr>
          <w:rFonts w:cs="Arial"/>
          <w:szCs w:val="19"/>
          <w:lang w:val="en-US"/>
        </w:rPr>
        <w:t xml:space="preserve">2 percentage points. In 2022 there was a decrease </w:t>
      </w:r>
      <w:r w:rsidR="006B7615">
        <w:rPr>
          <w:rFonts w:cs="Arial"/>
          <w:szCs w:val="19"/>
          <w:lang w:val="en-US"/>
        </w:rPr>
        <w:t>of</w:t>
      </w:r>
      <w:r w:rsidR="00971AA2" w:rsidRPr="00971AA2">
        <w:rPr>
          <w:rFonts w:cs="Arial"/>
          <w:szCs w:val="19"/>
          <w:lang w:val="en-US"/>
        </w:rPr>
        <w:t xml:space="preserve"> revenue </w:t>
      </w:r>
      <w:r w:rsidR="002F6367">
        <w:rPr>
          <w:rFonts w:cs="Arial"/>
          <w:szCs w:val="19"/>
          <w:lang w:val="en-US"/>
        </w:rPr>
        <w:t xml:space="preserve">of </w:t>
      </w:r>
      <w:r w:rsidR="00971AA2" w:rsidRPr="00971AA2">
        <w:rPr>
          <w:rFonts w:cs="Arial"/>
          <w:szCs w:val="19"/>
          <w:lang w:val="en-US"/>
        </w:rPr>
        <w:t xml:space="preserve">631 </w:t>
      </w:r>
      <w:proofErr w:type="spellStart"/>
      <w:r w:rsidR="00971AA2"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00971AA2" w:rsidRPr="00971AA2">
        <w:rPr>
          <w:rFonts w:cs="Arial"/>
          <w:szCs w:val="19"/>
          <w:lang w:val="en-US"/>
        </w:rPr>
        <w:t xml:space="preserve"> (0</w:t>
      </w:r>
      <w:r w:rsidR="002F6367">
        <w:rPr>
          <w:rFonts w:cs="Arial"/>
          <w:szCs w:val="19"/>
          <w:lang w:val="en-US"/>
        </w:rPr>
        <w:t>,</w:t>
      </w:r>
      <w:r w:rsidR="00971AA2" w:rsidRPr="00971AA2">
        <w:rPr>
          <w:rFonts w:cs="Arial"/>
          <w:szCs w:val="19"/>
          <w:lang w:val="en-US"/>
        </w:rPr>
        <w:t xml:space="preserve">4 percentage points in relation to GDP). The changes mainly concerned transactions: other current transfers (in 2020-2021) and taxes </w:t>
      </w:r>
      <w:r w:rsidR="006B7615">
        <w:rPr>
          <w:rFonts w:cs="Arial"/>
          <w:szCs w:val="19"/>
          <w:lang w:val="en-US"/>
        </w:rPr>
        <w:t>on</w:t>
      </w:r>
      <w:r w:rsidR="00971AA2" w:rsidRPr="00971AA2">
        <w:rPr>
          <w:rFonts w:cs="Arial"/>
          <w:szCs w:val="19"/>
          <w:lang w:val="en-US"/>
        </w:rPr>
        <w:t xml:space="preserve"> production and imports (in 2021-2022). The largest changes in 2023 mainly concerned transactions: output and </w:t>
      </w:r>
      <w:r w:rsidR="006B7615">
        <w:rPr>
          <w:rFonts w:cs="Arial"/>
          <w:szCs w:val="19"/>
          <w:lang w:val="en-US"/>
        </w:rPr>
        <w:t>output</w:t>
      </w:r>
      <w:r w:rsidR="006B7615" w:rsidRPr="00971AA2">
        <w:rPr>
          <w:rFonts w:cs="Arial"/>
          <w:szCs w:val="19"/>
          <w:lang w:val="en-US"/>
        </w:rPr>
        <w:t xml:space="preserve"> </w:t>
      </w:r>
      <w:r w:rsidR="00971AA2" w:rsidRPr="00971AA2">
        <w:rPr>
          <w:rFonts w:cs="Arial"/>
          <w:szCs w:val="19"/>
          <w:lang w:val="en-US"/>
        </w:rPr>
        <w:t xml:space="preserve">for own final </w:t>
      </w:r>
      <w:r w:rsidR="006B7615">
        <w:rPr>
          <w:rFonts w:cs="Arial"/>
          <w:szCs w:val="19"/>
          <w:lang w:val="en-US"/>
        </w:rPr>
        <w:t>use</w:t>
      </w:r>
      <w:r w:rsidR="00971AA2" w:rsidRPr="00971AA2">
        <w:rPr>
          <w:rFonts w:cs="Arial"/>
          <w:szCs w:val="19"/>
          <w:lang w:val="en-US"/>
        </w:rPr>
        <w:t>, payments for non-market output, other current transfers and capital transfers.</w:t>
      </w:r>
    </w:p>
    <w:p w14:paraId="71D73776" w14:textId="7BB505D6" w:rsidR="00971AA2" w:rsidRDefault="00971AA2" w:rsidP="00626D2E">
      <w:pPr>
        <w:spacing w:before="0" w:line="288" w:lineRule="auto"/>
        <w:ind w:right="130"/>
        <w:jc w:val="both"/>
        <w:rPr>
          <w:rFonts w:cs="Arial"/>
          <w:szCs w:val="19"/>
          <w:lang w:val="en-US"/>
        </w:rPr>
      </w:pPr>
      <w:r w:rsidRPr="00971AA2">
        <w:rPr>
          <w:rFonts w:cs="Arial"/>
          <w:szCs w:val="19"/>
          <w:lang w:val="en-US"/>
        </w:rPr>
        <w:t xml:space="preserve">The increase in expenditure in 2020 </w:t>
      </w:r>
      <w:r w:rsidR="002F6367">
        <w:rPr>
          <w:rFonts w:cs="Arial"/>
          <w:szCs w:val="19"/>
          <w:lang w:val="en-US"/>
        </w:rPr>
        <w:t>of</w:t>
      </w:r>
      <w:r w:rsidRPr="00971AA2">
        <w:rPr>
          <w:rFonts w:cs="Arial"/>
          <w:szCs w:val="19"/>
          <w:lang w:val="en-US"/>
        </w:rPr>
        <w:t xml:space="preserve"> 70 </w:t>
      </w:r>
      <w:proofErr w:type="spellStart"/>
      <w:r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Pr="00971AA2">
        <w:rPr>
          <w:rFonts w:cs="Arial"/>
          <w:szCs w:val="19"/>
          <w:lang w:val="en-US"/>
        </w:rPr>
        <w:t xml:space="preserve"> </w:t>
      </w:r>
      <w:r w:rsidR="006B7615">
        <w:rPr>
          <w:rFonts w:cs="Arial"/>
          <w:szCs w:val="19"/>
          <w:lang w:val="en-US"/>
        </w:rPr>
        <w:t>resulted</w:t>
      </w:r>
      <w:r w:rsidR="006B7615" w:rsidRPr="00971AA2">
        <w:rPr>
          <w:rFonts w:cs="Arial"/>
          <w:szCs w:val="19"/>
          <w:lang w:val="en-US"/>
        </w:rPr>
        <w:t xml:space="preserve"> </w:t>
      </w:r>
      <w:r w:rsidRPr="00971AA2">
        <w:rPr>
          <w:rFonts w:cs="Arial"/>
          <w:szCs w:val="19"/>
          <w:lang w:val="en-US"/>
        </w:rPr>
        <w:t>into a decrease in its relation to GDP by 0</w:t>
      </w:r>
      <w:r w:rsidR="002F6367">
        <w:rPr>
          <w:rFonts w:cs="Arial"/>
          <w:szCs w:val="19"/>
          <w:lang w:val="en-US"/>
        </w:rPr>
        <w:t>,</w:t>
      </w:r>
      <w:r w:rsidRPr="00971AA2">
        <w:rPr>
          <w:rFonts w:cs="Arial"/>
          <w:szCs w:val="19"/>
          <w:lang w:val="en-US"/>
        </w:rPr>
        <w:t xml:space="preserve">5 percentage points due to the increase of gross domestic product. In 2023 there was also an increase in expenditure </w:t>
      </w:r>
      <w:r w:rsidR="002F6367">
        <w:rPr>
          <w:rFonts w:cs="Arial"/>
          <w:szCs w:val="19"/>
          <w:lang w:val="en-US"/>
        </w:rPr>
        <w:t>of</w:t>
      </w:r>
      <w:r w:rsidRPr="00971AA2">
        <w:rPr>
          <w:rFonts w:cs="Arial"/>
          <w:szCs w:val="19"/>
          <w:lang w:val="en-US"/>
        </w:rPr>
        <w:t xml:space="preserve"> 6</w:t>
      </w:r>
      <w:r w:rsidR="002F6367">
        <w:rPr>
          <w:rFonts w:cs="Arial"/>
          <w:szCs w:val="19"/>
          <w:lang w:val="en-US"/>
        </w:rPr>
        <w:t xml:space="preserve"> </w:t>
      </w:r>
      <w:r w:rsidRPr="00971AA2">
        <w:rPr>
          <w:rFonts w:cs="Arial"/>
          <w:szCs w:val="19"/>
          <w:lang w:val="en-US"/>
        </w:rPr>
        <w:t xml:space="preserve">306 </w:t>
      </w:r>
      <w:proofErr w:type="spellStart"/>
      <w:r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Pr="00971AA2">
        <w:rPr>
          <w:rFonts w:cs="Arial"/>
          <w:szCs w:val="19"/>
          <w:lang w:val="en-US"/>
        </w:rPr>
        <w:t xml:space="preserve"> (0</w:t>
      </w:r>
      <w:r w:rsidR="002F6367">
        <w:rPr>
          <w:rFonts w:cs="Arial"/>
          <w:szCs w:val="19"/>
          <w:lang w:val="en-US"/>
        </w:rPr>
        <w:t>,</w:t>
      </w:r>
      <w:r w:rsidRPr="00971AA2">
        <w:rPr>
          <w:rFonts w:cs="Arial"/>
          <w:szCs w:val="19"/>
          <w:lang w:val="en-US"/>
        </w:rPr>
        <w:t xml:space="preserve">3 percentage points in relation to GDP).  In 2021-2022 a decrease in expenditure was recorded </w:t>
      </w:r>
      <w:r w:rsidR="002F6367">
        <w:rPr>
          <w:rFonts w:cs="Arial"/>
          <w:szCs w:val="19"/>
          <w:lang w:val="en-US"/>
        </w:rPr>
        <w:t>of</w:t>
      </w:r>
      <w:r w:rsidRPr="00971AA2">
        <w:rPr>
          <w:rFonts w:cs="Arial"/>
          <w:szCs w:val="19"/>
          <w:lang w:val="en-US"/>
        </w:rPr>
        <w:t xml:space="preserve"> 601 m</w:t>
      </w:r>
      <w:r w:rsidR="002F6367">
        <w:rPr>
          <w:rFonts w:cs="Arial"/>
          <w:szCs w:val="19"/>
          <w:lang w:val="en-US"/>
        </w:rPr>
        <w:t>ln zl</w:t>
      </w:r>
      <w:r w:rsidRPr="00971AA2">
        <w:rPr>
          <w:rFonts w:cs="Arial"/>
          <w:szCs w:val="19"/>
          <w:lang w:val="en-US"/>
        </w:rPr>
        <w:t xml:space="preserve"> (0</w:t>
      </w:r>
      <w:r w:rsidR="002F6367">
        <w:rPr>
          <w:rFonts w:cs="Arial"/>
          <w:szCs w:val="19"/>
          <w:lang w:val="en-US"/>
        </w:rPr>
        <w:t>,</w:t>
      </w:r>
      <w:r w:rsidRPr="00971AA2">
        <w:rPr>
          <w:rFonts w:cs="Arial"/>
          <w:szCs w:val="19"/>
          <w:lang w:val="en-US"/>
        </w:rPr>
        <w:t xml:space="preserve">5 percentage points in relation to GDP) and 23 </w:t>
      </w:r>
      <w:proofErr w:type="spellStart"/>
      <w:r w:rsidRPr="00971AA2">
        <w:rPr>
          <w:rFonts w:cs="Arial"/>
          <w:szCs w:val="19"/>
          <w:lang w:val="en-US"/>
        </w:rPr>
        <w:t>m</w:t>
      </w:r>
      <w:r w:rsidR="002F6367">
        <w:rPr>
          <w:rFonts w:cs="Arial"/>
          <w:szCs w:val="19"/>
          <w:lang w:val="en-US"/>
        </w:rPr>
        <w:t>ln</w:t>
      </w:r>
      <w:proofErr w:type="spellEnd"/>
      <w:r w:rsidR="002F6367">
        <w:rPr>
          <w:rFonts w:cs="Arial"/>
          <w:szCs w:val="19"/>
          <w:lang w:val="en-US"/>
        </w:rPr>
        <w:t xml:space="preserve"> </w:t>
      </w:r>
      <w:proofErr w:type="spellStart"/>
      <w:r w:rsidR="002F6367">
        <w:rPr>
          <w:rFonts w:cs="Arial"/>
          <w:szCs w:val="19"/>
          <w:lang w:val="en-US"/>
        </w:rPr>
        <w:t>zl</w:t>
      </w:r>
      <w:proofErr w:type="spellEnd"/>
      <w:r w:rsidRPr="00971AA2">
        <w:rPr>
          <w:rFonts w:cs="Arial"/>
          <w:szCs w:val="19"/>
          <w:lang w:val="en-US"/>
        </w:rPr>
        <w:t xml:space="preserve"> (0</w:t>
      </w:r>
      <w:r w:rsidR="002F6367">
        <w:rPr>
          <w:rFonts w:cs="Arial"/>
          <w:szCs w:val="19"/>
          <w:lang w:val="en-US"/>
        </w:rPr>
        <w:t>,</w:t>
      </w:r>
      <w:r w:rsidRPr="00971AA2">
        <w:rPr>
          <w:rFonts w:cs="Arial"/>
          <w:szCs w:val="19"/>
          <w:lang w:val="en-US"/>
        </w:rPr>
        <w:t xml:space="preserve">4 percentage points in relation to GDP), respectively. The changes mainly concerned the transactions </w:t>
      </w:r>
      <w:r w:rsidR="006B7615">
        <w:rPr>
          <w:rFonts w:cs="Arial"/>
          <w:szCs w:val="19"/>
          <w:lang w:val="en-US"/>
        </w:rPr>
        <w:t xml:space="preserve">subsidies </w:t>
      </w:r>
      <w:r w:rsidRPr="00971AA2">
        <w:rPr>
          <w:rFonts w:cs="Arial"/>
          <w:szCs w:val="19"/>
          <w:lang w:val="en-US"/>
        </w:rPr>
        <w:t xml:space="preserve">and capital transfers (2020-2022) and intermediate consumption, </w:t>
      </w:r>
      <w:r w:rsidR="006B7615">
        <w:rPr>
          <w:rFonts w:cs="Arial"/>
          <w:szCs w:val="19"/>
          <w:lang w:val="en-US"/>
        </w:rPr>
        <w:t>c</w:t>
      </w:r>
      <w:r w:rsidR="006B7615" w:rsidRPr="006B7615">
        <w:rPr>
          <w:rFonts w:cs="Arial"/>
          <w:szCs w:val="19"/>
          <w:lang w:val="en-US"/>
        </w:rPr>
        <w:t>ompensation of employees</w:t>
      </w:r>
      <w:r w:rsidRPr="00971AA2">
        <w:rPr>
          <w:rFonts w:cs="Arial"/>
          <w:szCs w:val="19"/>
          <w:lang w:val="en-US"/>
        </w:rPr>
        <w:t xml:space="preserve">, other current transfers and gross </w:t>
      </w:r>
      <w:r w:rsidR="006B7615">
        <w:rPr>
          <w:rFonts w:cs="Arial"/>
          <w:szCs w:val="19"/>
          <w:lang w:val="en-US"/>
        </w:rPr>
        <w:t>capital formation</w:t>
      </w:r>
      <w:r w:rsidRPr="00971AA2">
        <w:rPr>
          <w:rFonts w:cs="Arial"/>
          <w:szCs w:val="19"/>
          <w:lang w:val="en-US"/>
        </w:rPr>
        <w:t>.</w:t>
      </w:r>
    </w:p>
    <w:p w14:paraId="08A5ACFE" w14:textId="77777777" w:rsidR="001A5332" w:rsidRDefault="001A5332" w:rsidP="00626D2E">
      <w:pPr>
        <w:spacing w:before="0" w:line="288" w:lineRule="auto"/>
        <w:ind w:right="130"/>
        <w:jc w:val="both"/>
        <w:rPr>
          <w:rFonts w:cs="Arial"/>
          <w:szCs w:val="19"/>
          <w:lang w:val="en-US"/>
        </w:rPr>
      </w:pPr>
      <w:r w:rsidRPr="00AA6E24">
        <w:rPr>
          <w:rFonts w:cs="Arial"/>
          <w:szCs w:val="19"/>
          <w:lang w:val="en-US"/>
        </w:rPr>
        <w:t>Detailed data on revenues and expenditures of the general government sector divided into ESA2010 transactions are presented in Annex 1.</w:t>
      </w:r>
    </w:p>
    <w:p w14:paraId="56EA516E" w14:textId="07060099" w:rsidR="00A95B33" w:rsidRPr="00A95B33" w:rsidRDefault="00A95B33" w:rsidP="00971AA2">
      <w:pPr>
        <w:spacing w:before="0" w:line="288" w:lineRule="auto"/>
        <w:ind w:right="130"/>
        <w:rPr>
          <w:rFonts w:cs="Arial"/>
          <w:szCs w:val="19"/>
          <w:lang w:val="en-US"/>
        </w:rPr>
      </w:pPr>
      <w:r w:rsidRPr="00A95B33">
        <w:rPr>
          <w:rFonts w:cs="Arial"/>
          <w:szCs w:val="19"/>
          <w:lang w:val="en-US"/>
        </w:rPr>
        <w:t>Information on</w:t>
      </w:r>
      <w:r w:rsidR="008202F5">
        <w:rPr>
          <w:rFonts w:cs="Arial"/>
          <w:szCs w:val="19"/>
          <w:lang w:val="en-US"/>
        </w:rPr>
        <w:t xml:space="preserve"> the</w:t>
      </w:r>
      <w:r w:rsidRPr="00A95B33">
        <w:rPr>
          <w:rFonts w:cs="Arial"/>
          <w:szCs w:val="19"/>
          <w:lang w:val="en-US"/>
        </w:rPr>
        <w:t xml:space="preserve"> general government deficit and debt of all EU Member States will </w:t>
      </w:r>
      <w:r w:rsidR="00116E26">
        <w:rPr>
          <w:rFonts w:cs="Arial"/>
          <w:szCs w:val="19"/>
          <w:lang w:val="en-US"/>
        </w:rPr>
        <w:t xml:space="preserve">                 </w:t>
      </w:r>
      <w:r w:rsidRPr="00A95B33">
        <w:rPr>
          <w:rFonts w:cs="Arial"/>
          <w:szCs w:val="19"/>
          <w:lang w:val="en-US"/>
        </w:rPr>
        <w:t xml:space="preserve">be available on </w:t>
      </w:r>
      <w:r w:rsidR="000F10F9">
        <w:rPr>
          <w:rFonts w:cs="Arial"/>
          <w:szCs w:val="19"/>
          <w:lang w:val="en-US"/>
        </w:rPr>
        <w:t>22</w:t>
      </w:r>
      <w:r w:rsidR="00532943" w:rsidRPr="00A95B33">
        <w:rPr>
          <w:rFonts w:cs="Arial"/>
          <w:szCs w:val="19"/>
          <w:lang w:val="en-US"/>
        </w:rPr>
        <w:t xml:space="preserve"> </w:t>
      </w:r>
      <w:r w:rsidR="00520925">
        <w:rPr>
          <w:rFonts w:cs="Arial"/>
          <w:szCs w:val="19"/>
          <w:lang w:val="en-US"/>
        </w:rPr>
        <w:t>October</w:t>
      </w:r>
      <w:r w:rsidR="002D5237">
        <w:rPr>
          <w:rFonts w:cs="Arial"/>
          <w:szCs w:val="19"/>
          <w:lang w:val="en-US"/>
        </w:rPr>
        <w:t xml:space="preserve"> </w:t>
      </w:r>
      <w:r w:rsidR="00C678E8">
        <w:rPr>
          <w:rFonts w:cs="Arial"/>
          <w:szCs w:val="19"/>
          <w:lang w:val="en-US"/>
        </w:rPr>
        <w:t>202</w:t>
      </w:r>
      <w:r w:rsidR="000F10F9">
        <w:rPr>
          <w:rFonts w:cs="Arial"/>
          <w:szCs w:val="19"/>
          <w:lang w:val="en-US"/>
        </w:rPr>
        <w:t>4</w:t>
      </w:r>
      <w:r w:rsidR="00532943" w:rsidRPr="00A95B33">
        <w:rPr>
          <w:rFonts w:cs="Arial"/>
          <w:szCs w:val="19"/>
          <w:lang w:val="en-US"/>
        </w:rPr>
        <w:t xml:space="preserve"> </w:t>
      </w:r>
      <w:r w:rsidRPr="00A95B33">
        <w:rPr>
          <w:rFonts w:cs="Arial"/>
          <w:szCs w:val="19"/>
          <w:lang w:val="en-US"/>
        </w:rPr>
        <w:t>at 11 a.m. on the Eurostat website:</w:t>
      </w:r>
    </w:p>
    <w:p w14:paraId="7642DBE6" w14:textId="77777777" w:rsidR="00A95B33" w:rsidRPr="00B632DC" w:rsidRDefault="00A617CD" w:rsidP="00971AA2">
      <w:pPr>
        <w:spacing w:before="0" w:line="288" w:lineRule="auto"/>
        <w:ind w:right="130"/>
        <w:rPr>
          <w:rStyle w:val="Hipercze"/>
          <w:color w:val="auto"/>
          <w:szCs w:val="19"/>
          <w:lang w:val="en-US"/>
        </w:rPr>
      </w:pPr>
      <w:r w:rsidRPr="00B632DC">
        <w:rPr>
          <w:szCs w:val="19"/>
          <w:lang w:val="en-US"/>
        </w:rPr>
        <w:fldChar w:fldCharType="begin"/>
      </w:r>
      <w:r w:rsidRPr="00B632DC">
        <w:rPr>
          <w:szCs w:val="19"/>
          <w:lang w:val="en-US"/>
        </w:rPr>
        <w:instrText xml:space="preserve"> HYPERLINK "http://epp.eurostat.ec.europa.eu/portal/page/portal/eurostat/home" </w:instrText>
      </w:r>
      <w:r w:rsidRPr="00B632DC">
        <w:rPr>
          <w:szCs w:val="19"/>
          <w:lang w:val="en-US"/>
        </w:rPr>
        <w:fldChar w:fldCharType="separate"/>
      </w:r>
      <w:r w:rsidR="00A95B33" w:rsidRPr="00B632DC">
        <w:rPr>
          <w:rStyle w:val="Hipercze"/>
          <w:color w:val="auto"/>
          <w:szCs w:val="19"/>
          <w:lang w:val="en-US"/>
        </w:rPr>
        <w:t xml:space="preserve">http://epp.eurostat.ec.europa.eu/portal/page/portal/eurostat/home. </w:t>
      </w:r>
    </w:p>
    <w:p w14:paraId="7DFAF8D1" w14:textId="77777777" w:rsidR="00C80397" w:rsidRPr="00C80397" w:rsidRDefault="00A617CD" w:rsidP="00971AA2">
      <w:pPr>
        <w:spacing w:before="0" w:line="288" w:lineRule="auto"/>
        <w:ind w:right="130"/>
        <w:rPr>
          <w:rFonts w:cs="Arial"/>
          <w:color w:val="FF0000"/>
          <w:szCs w:val="19"/>
          <w:lang w:val="en-US"/>
        </w:rPr>
      </w:pPr>
      <w:r w:rsidRPr="00B632DC">
        <w:rPr>
          <w:szCs w:val="19"/>
          <w:lang w:val="en-US"/>
        </w:rPr>
        <w:fldChar w:fldCharType="end"/>
      </w:r>
      <w:r w:rsidR="00A95B33" w:rsidRPr="00A95B33">
        <w:rPr>
          <w:rFonts w:cs="Arial"/>
          <w:szCs w:val="19"/>
          <w:lang w:val="en-US"/>
        </w:rPr>
        <w:t xml:space="preserve">Inventory of the methods, procedures and sources used for the compilation of deficit and debt data and the underlying government sector accounts according to ESA2010 prepared according to the European Commission’s guidelines in English version is available on Eurostat website: </w:t>
      </w:r>
      <w:r w:rsidR="008F3133">
        <w:rPr>
          <w:rFonts w:cs="Arial"/>
          <w:szCs w:val="19"/>
          <w:lang w:val="en-US"/>
        </w:rPr>
        <w:t xml:space="preserve"> </w:t>
      </w:r>
    </w:p>
    <w:p w14:paraId="20286A48" w14:textId="77777777" w:rsidR="00C80397" w:rsidRPr="004D19B3" w:rsidRDefault="00C80397" w:rsidP="00C80397">
      <w:pPr>
        <w:spacing w:line="288" w:lineRule="auto"/>
        <w:ind w:right="130"/>
        <w:rPr>
          <w:rFonts w:cs="Arial"/>
          <w:szCs w:val="19"/>
        </w:rPr>
      </w:pPr>
      <w:r w:rsidRPr="004D19B3">
        <w:rPr>
          <w:szCs w:val="19"/>
        </w:rPr>
        <w:fldChar w:fldCharType="begin"/>
      </w:r>
      <w:r w:rsidRPr="004D19B3">
        <w:rPr>
          <w:szCs w:val="19"/>
        </w:rPr>
        <w:instrText xml:space="preserve"> HYPERLINK "http://ec.europa.eu/eurostat/web/government-finance-statistics/excessive-deficit-procedure/edp-inventories</w:instrText>
      </w:r>
      <w:r w:rsidRPr="004D19B3">
        <w:rPr>
          <w:rFonts w:cs="Arial"/>
          <w:szCs w:val="19"/>
        </w:rPr>
        <w:instrText>.</w:instrText>
      </w:r>
    </w:p>
    <w:p w14:paraId="4982057A" w14:textId="77777777" w:rsidR="00C80397" w:rsidRPr="004D19B3" w:rsidRDefault="00C80397" w:rsidP="00C80397">
      <w:pPr>
        <w:spacing w:line="288" w:lineRule="auto"/>
        <w:ind w:right="130"/>
        <w:rPr>
          <w:rStyle w:val="Hipercze"/>
          <w:rFonts w:cs="Arial"/>
          <w:color w:val="auto"/>
          <w:szCs w:val="19"/>
        </w:rPr>
      </w:pPr>
      <w:r w:rsidRPr="004D19B3">
        <w:rPr>
          <w:szCs w:val="19"/>
        </w:rPr>
        <w:instrText xml:space="preserve">" </w:instrText>
      </w:r>
      <w:r w:rsidRPr="004D19B3">
        <w:rPr>
          <w:szCs w:val="19"/>
        </w:rPr>
        <w:fldChar w:fldCharType="separate"/>
      </w:r>
      <w:r w:rsidRPr="004D19B3">
        <w:rPr>
          <w:rStyle w:val="Hipercze"/>
          <w:color w:val="auto"/>
          <w:szCs w:val="19"/>
        </w:rPr>
        <w:t>http://ec.europa.eu/eurostat/web/government-finance-statistics/excessive-deficit-procedure/edp-inventories</w:t>
      </w:r>
      <w:r w:rsidRPr="004D19B3">
        <w:rPr>
          <w:rStyle w:val="Hipercze"/>
          <w:rFonts w:cs="Arial"/>
          <w:color w:val="auto"/>
          <w:szCs w:val="19"/>
        </w:rPr>
        <w:t>.</w:t>
      </w:r>
    </w:p>
    <w:p w14:paraId="1C18F170" w14:textId="77777777" w:rsidR="00C80397" w:rsidRPr="000E4937" w:rsidRDefault="00C80397" w:rsidP="00C80397">
      <w:pPr>
        <w:spacing w:line="288" w:lineRule="auto"/>
        <w:ind w:right="130"/>
        <w:rPr>
          <w:rFonts w:cs="Arial"/>
          <w:szCs w:val="19"/>
        </w:rPr>
        <w:sectPr w:rsidR="00C80397" w:rsidRPr="000E4937" w:rsidSect="004C62B0">
          <w:headerReference w:type="default" r:id="rId13"/>
          <w:headerReference w:type="first" r:id="rId14"/>
          <w:pgSz w:w="11906" w:h="16838"/>
          <w:pgMar w:top="1532" w:right="2975" w:bottom="720" w:left="720" w:header="284" w:footer="397" w:gutter="0"/>
          <w:cols w:space="708"/>
          <w:titlePg/>
          <w:docGrid w:linePitch="360"/>
        </w:sectPr>
      </w:pPr>
      <w:r w:rsidRPr="004D19B3">
        <w:rPr>
          <w:szCs w:val="19"/>
        </w:rPr>
        <w:fldChar w:fldCharType="end"/>
      </w:r>
    </w:p>
    <w:p w14:paraId="03F3208B" w14:textId="77777777" w:rsidR="00FB60FD" w:rsidRDefault="00FB60FD" w:rsidP="00704CED">
      <w:pPr>
        <w:spacing w:line="288" w:lineRule="auto"/>
        <w:rPr>
          <w:rFonts w:ascii="Calibri" w:hAnsi="Calibri"/>
          <w:sz w:val="22"/>
          <w:lang w:val="en-US"/>
        </w:rPr>
      </w:pPr>
      <w:r>
        <w:rPr>
          <w:lang w:val="en-GB"/>
        </w:rPr>
        <w:lastRenderedPageBreak/>
        <w:t>In case of quoting Statistics Poland data, please provide information: “Source of data: Statistics Poland”, and in case of publishing calculations made on data published by Statistics Poland, please include the following disclaimer: “Own study based on figures from Statistics Poland”.</w:t>
      </w:r>
    </w:p>
    <w:p w14:paraId="21343995" w14:textId="77777777" w:rsidR="00F75026" w:rsidRPr="00905C6D" w:rsidRDefault="00F75026" w:rsidP="0036643A">
      <w:pPr>
        <w:rPr>
          <w:sz w:val="18"/>
          <w:szCs w:val="18"/>
          <w:lang w:val="en-GB"/>
        </w:rPr>
      </w:pPr>
    </w:p>
    <w:p w14:paraId="6B91CEBC" w14:textId="77777777" w:rsidR="00304841" w:rsidRPr="00905C6D" w:rsidRDefault="00304841" w:rsidP="00F75026">
      <w:pPr>
        <w:rPr>
          <w:sz w:val="18"/>
          <w:lang w:val="en-GB"/>
        </w:rPr>
      </w:pPr>
    </w:p>
    <w:p w14:paraId="53B4F8AF" w14:textId="77777777" w:rsidR="00F75026" w:rsidRPr="00F24737" w:rsidRDefault="00F75026" w:rsidP="00F75026">
      <w:pPr>
        <w:rPr>
          <w:sz w:val="18"/>
          <w:lang w:val="en-GB"/>
        </w:rPr>
      </w:pPr>
    </w:p>
    <w:tbl>
      <w:tblPr>
        <w:tblW w:w="9853" w:type="dxa"/>
        <w:tblInd w:w="279" w:type="dxa"/>
        <w:tblLook w:val="04A0" w:firstRow="1" w:lastRow="0" w:firstColumn="1" w:lastColumn="0" w:noHBand="0" w:noVBand="1"/>
      </w:tblPr>
      <w:tblGrid>
        <w:gridCol w:w="4926"/>
        <w:gridCol w:w="4927"/>
      </w:tblGrid>
      <w:tr w:rsidR="0094433C" w:rsidRPr="006B7615" w14:paraId="54E51589" w14:textId="77777777" w:rsidTr="001D3F48">
        <w:trPr>
          <w:trHeight w:val="1626"/>
        </w:trPr>
        <w:tc>
          <w:tcPr>
            <w:tcW w:w="4926" w:type="dxa"/>
            <w:shd w:val="clear" w:color="auto" w:fill="auto"/>
          </w:tcPr>
          <w:p w14:paraId="60B52B1D" w14:textId="77777777" w:rsidR="0094433C" w:rsidRPr="00F24737" w:rsidRDefault="0094433C" w:rsidP="0094433C">
            <w:pPr>
              <w:spacing w:before="0" w:after="0" w:line="276" w:lineRule="auto"/>
              <w:rPr>
                <w:rFonts w:cs="Arial"/>
                <w:sz w:val="20"/>
                <w:lang w:val="en-GB"/>
              </w:rPr>
            </w:pPr>
            <w:bookmarkStart w:id="17" w:name="_Hlk101427354"/>
            <w:r w:rsidRPr="00F24737">
              <w:rPr>
                <w:rFonts w:cs="Arial"/>
                <w:sz w:val="20"/>
                <w:lang w:val="en-GB"/>
              </w:rPr>
              <w:t>Prepared by:</w:t>
            </w:r>
          </w:p>
          <w:p w14:paraId="2143D3B3" w14:textId="77777777" w:rsidR="0094433C" w:rsidRPr="00F24737" w:rsidRDefault="0094433C" w:rsidP="0094433C">
            <w:pPr>
              <w:spacing w:before="0" w:line="276" w:lineRule="auto"/>
              <w:rPr>
                <w:rFonts w:cs="Arial"/>
                <w:b/>
                <w:color w:val="000000"/>
                <w:sz w:val="20"/>
                <w:lang w:val="en-GB"/>
              </w:rPr>
            </w:pPr>
            <w:r w:rsidRPr="00F24737">
              <w:rPr>
                <w:rFonts w:cs="Arial"/>
                <w:b/>
                <w:color w:val="000000"/>
                <w:sz w:val="20"/>
                <w:lang w:val="en-GB"/>
              </w:rPr>
              <w:t>National Accounts</w:t>
            </w:r>
            <w:r w:rsidRPr="002C1A71">
              <w:rPr>
                <w:rFonts w:cs="Arial"/>
                <w:b/>
                <w:color w:val="000000"/>
                <w:sz w:val="18"/>
                <w:szCs w:val="18"/>
                <w:lang w:val="en-US"/>
              </w:rPr>
              <w:t xml:space="preserve"> </w:t>
            </w:r>
            <w:r w:rsidRPr="00F24737">
              <w:rPr>
                <w:rFonts w:cs="Arial"/>
                <w:b/>
                <w:color w:val="000000"/>
                <w:sz w:val="20"/>
                <w:lang w:val="en-GB"/>
              </w:rPr>
              <w:t>Department</w:t>
            </w:r>
          </w:p>
          <w:p w14:paraId="421D3D8A" w14:textId="77777777" w:rsidR="0094433C" w:rsidRPr="002C1A71" w:rsidRDefault="0094433C" w:rsidP="0094433C">
            <w:pPr>
              <w:spacing w:before="0" w:after="0" w:line="276" w:lineRule="auto"/>
              <w:rPr>
                <w:b/>
                <w:sz w:val="20"/>
                <w:szCs w:val="20"/>
                <w:lang w:val="fi-FI"/>
              </w:rPr>
            </w:pPr>
            <w:r w:rsidRPr="002C1A71">
              <w:rPr>
                <w:b/>
                <w:sz w:val="20"/>
                <w:szCs w:val="20"/>
                <w:lang w:val="fi-FI"/>
              </w:rPr>
              <w:t>Director Anita Perzyna</w:t>
            </w:r>
          </w:p>
          <w:p w14:paraId="76CEA3DB" w14:textId="77777777" w:rsidR="0094433C" w:rsidRPr="002C1A71" w:rsidRDefault="0094433C" w:rsidP="0094433C">
            <w:pPr>
              <w:pStyle w:val="Nagwek3"/>
              <w:spacing w:before="0" w:after="120" w:line="240" w:lineRule="auto"/>
              <w:rPr>
                <w:rFonts w:ascii="Fira Sans" w:hAnsi="Fira Sans" w:cs="Arial"/>
                <w:color w:val="000000"/>
                <w:sz w:val="20"/>
                <w:lang w:val="fi-FI"/>
              </w:rPr>
            </w:pPr>
            <w:r w:rsidRPr="002C1A71">
              <w:rPr>
                <w:rFonts w:ascii="Fira Sans" w:hAnsi="Fira Sans" w:cs="Arial"/>
                <w:color w:val="000000"/>
                <w:sz w:val="20"/>
                <w:lang w:val="fi-FI"/>
              </w:rPr>
              <w:t>Phone: (+48 22)</w:t>
            </w:r>
            <w:r w:rsidRPr="002C1A71">
              <w:rPr>
                <w:rFonts w:ascii="Fira Sans" w:hAnsi="Fira Sans" w:cs="Arial"/>
                <w:color w:val="000000"/>
                <w:sz w:val="20"/>
                <w:lang w:val="fi-FI" w:eastAsia="en-US"/>
              </w:rPr>
              <w:t> 608 31 17</w:t>
            </w:r>
          </w:p>
        </w:tc>
        <w:tc>
          <w:tcPr>
            <w:tcW w:w="4927" w:type="dxa"/>
            <w:shd w:val="clear" w:color="auto" w:fill="auto"/>
          </w:tcPr>
          <w:p w14:paraId="707108C2" w14:textId="77777777" w:rsidR="0094433C" w:rsidRPr="005653EE" w:rsidRDefault="0094433C" w:rsidP="0094433C">
            <w:pPr>
              <w:rPr>
                <w:rFonts w:ascii="Calibri" w:hAnsi="Calibri"/>
                <w:sz w:val="22"/>
                <w:lang w:val="en-GB"/>
              </w:rPr>
            </w:pPr>
            <w:r w:rsidRPr="005653EE">
              <w:rPr>
                <w:rFonts w:cs="Arial"/>
                <w:sz w:val="20"/>
                <w:lang w:val="en-GB"/>
              </w:rPr>
              <w:t>Issued by:</w:t>
            </w:r>
          </w:p>
          <w:p w14:paraId="3B69F296" w14:textId="77777777" w:rsidR="0094433C" w:rsidRPr="005653EE" w:rsidRDefault="0094433C" w:rsidP="0094433C">
            <w:pPr>
              <w:rPr>
                <w:b/>
                <w:lang w:val="en-GB"/>
              </w:rPr>
            </w:pPr>
            <w:r w:rsidRPr="005653EE">
              <w:rPr>
                <w:b/>
                <w:lang w:val="en-GB"/>
              </w:rPr>
              <w:t>Press Office</w:t>
            </w:r>
          </w:p>
          <w:p w14:paraId="6A8C44EC" w14:textId="77777777" w:rsidR="0094433C" w:rsidRPr="005653EE" w:rsidRDefault="0094433C" w:rsidP="0094433C">
            <w:pPr>
              <w:rPr>
                <w:lang w:val="en-GB"/>
              </w:rPr>
            </w:pPr>
            <w:r w:rsidRPr="005653EE">
              <w:rPr>
                <w:lang w:val="en-GB"/>
              </w:rPr>
              <w:t>Mobile +48 695 255 032</w:t>
            </w:r>
          </w:p>
          <w:p w14:paraId="223D092C" w14:textId="77777777" w:rsidR="0094433C" w:rsidRDefault="0094433C" w:rsidP="0094433C">
            <w:pPr>
              <w:spacing w:after="0"/>
              <w:rPr>
                <w:lang w:val="en-GB"/>
              </w:rPr>
            </w:pPr>
            <w:r w:rsidRPr="005653EE">
              <w:rPr>
                <w:lang w:val="en-GB"/>
              </w:rPr>
              <w:t xml:space="preserve">Phone +48 22 608 38 04, +48 22 449 41 45, </w:t>
            </w:r>
          </w:p>
          <w:p w14:paraId="1A95A4FE" w14:textId="77777777" w:rsidR="0094433C" w:rsidRPr="005653EE" w:rsidRDefault="0094433C" w:rsidP="0094433C">
            <w:pPr>
              <w:spacing w:before="0"/>
              <w:rPr>
                <w:lang w:val="en-GB"/>
              </w:rPr>
            </w:pPr>
            <w:r w:rsidRPr="005653EE">
              <w:rPr>
                <w:lang w:val="en-GB"/>
              </w:rPr>
              <w:t>+48 22 608 30 09</w:t>
            </w:r>
          </w:p>
          <w:p w14:paraId="79E76D1A" w14:textId="77777777" w:rsidR="0094433C" w:rsidRPr="005653EE" w:rsidRDefault="0094433C" w:rsidP="0094433C">
            <w:pPr>
              <w:rPr>
                <w:lang w:val="en-GB"/>
              </w:rPr>
            </w:pPr>
            <w:r w:rsidRPr="00A82D31">
              <w:rPr>
                <w:b/>
                <w:sz w:val="20"/>
                <w:lang w:val="en-GB"/>
              </w:rPr>
              <w:t>e-mail:</w:t>
            </w:r>
            <w:r w:rsidRPr="00A82D31">
              <w:rPr>
                <w:sz w:val="20"/>
                <w:lang w:val="en-GB"/>
              </w:rPr>
              <w:t xml:space="preserve"> </w:t>
            </w:r>
            <w:hyperlink r:id="rId15" w:history="1">
              <w:r w:rsidRPr="00394E26">
                <w:rPr>
                  <w:rStyle w:val="Hipercze"/>
                  <w:rFonts w:eastAsiaTheme="majorEastAsia" w:cs="Arial"/>
                  <w:b/>
                  <w:color w:val="auto"/>
                  <w:sz w:val="20"/>
                  <w:szCs w:val="20"/>
                  <w:lang w:val="en-US"/>
                </w:rPr>
                <w:t>obslugaprasowa@stat.gov.pl</w:t>
              </w:r>
            </w:hyperlink>
          </w:p>
          <w:p w14:paraId="3E516D90" w14:textId="77777777" w:rsidR="0094433C" w:rsidRPr="005653EE" w:rsidRDefault="0094433C" w:rsidP="0094433C">
            <w:pPr>
              <w:rPr>
                <w:sz w:val="18"/>
                <w:lang w:val="en-GB"/>
              </w:rPr>
            </w:pPr>
          </w:p>
        </w:tc>
      </w:tr>
      <w:tr w:rsidR="00185AD0" w:rsidRPr="00A57B83" w14:paraId="1E9DFE5F" w14:textId="77777777" w:rsidTr="001D3F48">
        <w:trPr>
          <w:trHeight w:val="418"/>
        </w:trPr>
        <w:tc>
          <w:tcPr>
            <w:tcW w:w="4926" w:type="dxa"/>
            <w:vMerge w:val="restart"/>
            <w:shd w:val="clear" w:color="auto" w:fill="auto"/>
          </w:tcPr>
          <w:p w14:paraId="73781C02" w14:textId="77777777" w:rsidR="00185AD0" w:rsidRPr="002C1A71" w:rsidRDefault="00185AD0" w:rsidP="00185AD0">
            <w:pPr>
              <w:rPr>
                <w:sz w:val="18"/>
                <w:lang w:val="en-US"/>
              </w:rPr>
            </w:pPr>
          </w:p>
        </w:tc>
        <w:tc>
          <w:tcPr>
            <w:tcW w:w="4927" w:type="dxa"/>
            <w:shd w:val="clear" w:color="auto" w:fill="auto"/>
            <w:vAlign w:val="center"/>
          </w:tcPr>
          <w:p w14:paraId="61D76080" w14:textId="77777777" w:rsidR="00185AD0" w:rsidRDefault="00185AD0" w:rsidP="00185AD0">
            <w:pPr>
              <w:ind w:firstLine="680"/>
              <w:rPr>
                <w:sz w:val="18"/>
              </w:rPr>
            </w:pPr>
            <w:r>
              <w:rPr>
                <w:noProof/>
                <w:sz w:val="20"/>
                <w:lang w:val="en-GB" w:eastAsia="en-GB"/>
              </w:rPr>
              <w:drawing>
                <wp:anchor distT="0" distB="0" distL="114300" distR="114300" simplePos="0" relativeHeight="251682304" behindDoc="0" locked="0" layoutInCell="1" allowOverlap="1" wp14:anchorId="0181A350" wp14:editId="6562ED88">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185AD0" w14:paraId="2A1FD8EA" w14:textId="77777777" w:rsidTr="001D3F48">
        <w:trPr>
          <w:trHeight w:val="418"/>
        </w:trPr>
        <w:tc>
          <w:tcPr>
            <w:tcW w:w="4926" w:type="dxa"/>
            <w:vMerge/>
            <w:shd w:val="clear" w:color="auto" w:fill="auto"/>
          </w:tcPr>
          <w:p w14:paraId="2E343D42" w14:textId="77777777" w:rsidR="00185AD0" w:rsidRPr="00F24737" w:rsidRDefault="00185AD0" w:rsidP="00185AD0">
            <w:pPr>
              <w:rPr>
                <w:b/>
                <w:sz w:val="20"/>
                <w:lang w:val="en-US"/>
              </w:rPr>
            </w:pPr>
          </w:p>
        </w:tc>
        <w:tc>
          <w:tcPr>
            <w:tcW w:w="4927" w:type="dxa"/>
            <w:shd w:val="clear" w:color="auto" w:fill="auto"/>
            <w:vAlign w:val="center"/>
          </w:tcPr>
          <w:p w14:paraId="251ED00A" w14:textId="77777777" w:rsidR="00185AD0" w:rsidRDefault="00185AD0" w:rsidP="00185AD0">
            <w:pPr>
              <w:ind w:firstLine="680"/>
              <w:rPr>
                <w:sz w:val="18"/>
              </w:rPr>
            </w:pPr>
            <w:r>
              <w:rPr>
                <w:noProof/>
                <w:sz w:val="20"/>
                <w:lang w:val="en-GB" w:eastAsia="en-GB"/>
              </w:rPr>
              <w:drawing>
                <wp:anchor distT="0" distB="0" distL="114300" distR="114300" simplePos="0" relativeHeight="251683328" behindDoc="0" locked="0" layoutInCell="1" allowOverlap="1" wp14:anchorId="1F3F6076" wp14:editId="5D645CF1">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185AD0" w14:paraId="590D1627" w14:textId="77777777" w:rsidTr="001D3F48">
        <w:trPr>
          <w:trHeight w:val="480"/>
        </w:trPr>
        <w:tc>
          <w:tcPr>
            <w:tcW w:w="4926" w:type="dxa"/>
            <w:vMerge/>
            <w:shd w:val="clear" w:color="auto" w:fill="auto"/>
          </w:tcPr>
          <w:p w14:paraId="22D15536" w14:textId="77777777" w:rsidR="00185AD0" w:rsidRPr="002C1A71" w:rsidRDefault="00185AD0" w:rsidP="00185AD0">
            <w:pPr>
              <w:rPr>
                <w:b/>
                <w:sz w:val="20"/>
              </w:rPr>
            </w:pPr>
          </w:p>
        </w:tc>
        <w:tc>
          <w:tcPr>
            <w:tcW w:w="4927" w:type="dxa"/>
            <w:shd w:val="clear" w:color="auto" w:fill="auto"/>
          </w:tcPr>
          <w:p w14:paraId="53BEC80A" w14:textId="77777777" w:rsidR="00185AD0" w:rsidRDefault="00185AD0" w:rsidP="00185AD0">
            <w:pPr>
              <w:ind w:firstLine="680"/>
              <w:rPr>
                <w:sz w:val="18"/>
              </w:rPr>
            </w:pPr>
            <w:r>
              <w:rPr>
                <w:noProof/>
                <w:sz w:val="20"/>
                <w:lang w:val="en-GB" w:eastAsia="en-GB"/>
              </w:rPr>
              <w:drawing>
                <wp:anchor distT="0" distB="0" distL="114300" distR="114300" simplePos="0" relativeHeight="251684352" behindDoc="0" locked="0" layoutInCell="1" allowOverlap="1" wp14:anchorId="6E4E6DBA" wp14:editId="51D47327">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185AD0" w14:paraId="2D9642EE" w14:textId="77777777" w:rsidTr="001D3F48">
        <w:trPr>
          <w:trHeight w:val="480"/>
        </w:trPr>
        <w:tc>
          <w:tcPr>
            <w:tcW w:w="4926" w:type="dxa"/>
            <w:shd w:val="clear" w:color="auto" w:fill="auto"/>
          </w:tcPr>
          <w:p w14:paraId="6617ACEF" w14:textId="77777777" w:rsidR="00185AD0" w:rsidRPr="002C1A71" w:rsidRDefault="00185AD0" w:rsidP="00185AD0">
            <w:pPr>
              <w:rPr>
                <w:b/>
                <w:sz w:val="20"/>
              </w:rPr>
            </w:pPr>
          </w:p>
        </w:tc>
        <w:tc>
          <w:tcPr>
            <w:tcW w:w="4927" w:type="dxa"/>
            <w:shd w:val="clear" w:color="auto" w:fill="auto"/>
          </w:tcPr>
          <w:p w14:paraId="355233B4" w14:textId="77777777" w:rsidR="00185AD0" w:rsidRPr="003D5F42" w:rsidRDefault="00185AD0" w:rsidP="00185AD0">
            <w:pPr>
              <w:ind w:firstLine="680"/>
              <w:rPr>
                <w:sz w:val="20"/>
              </w:rPr>
            </w:pPr>
            <w:r>
              <w:rPr>
                <w:noProof/>
                <w:sz w:val="20"/>
                <w:lang w:val="en-GB" w:eastAsia="en-GB"/>
              </w:rPr>
              <w:drawing>
                <wp:anchor distT="0" distB="0" distL="114300" distR="114300" simplePos="0" relativeHeight="251685376" behindDoc="0" locked="0" layoutInCell="1" allowOverlap="1" wp14:anchorId="5E527F4D" wp14:editId="1DEA888A">
                  <wp:simplePos x="0" y="0"/>
                  <wp:positionH relativeFrom="column">
                    <wp:posOffset>82550</wp:posOffset>
                  </wp:positionH>
                  <wp:positionV relativeFrom="paragraph">
                    <wp:posOffset>12700</wp:posOffset>
                  </wp:positionV>
                  <wp:extent cx="251460" cy="251460"/>
                  <wp:effectExtent l="0" t="0" r="0" b="0"/>
                  <wp:wrapNone/>
                  <wp:docPr id="10" name="Obraz 10"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185AD0" w14:paraId="5186A7D7" w14:textId="77777777" w:rsidTr="001D3F48">
        <w:trPr>
          <w:trHeight w:val="480"/>
        </w:trPr>
        <w:tc>
          <w:tcPr>
            <w:tcW w:w="4926" w:type="dxa"/>
            <w:shd w:val="clear" w:color="auto" w:fill="auto"/>
          </w:tcPr>
          <w:p w14:paraId="78926353" w14:textId="77777777" w:rsidR="00185AD0" w:rsidRPr="002C1A71" w:rsidRDefault="00185AD0" w:rsidP="00185AD0">
            <w:pPr>
              <w:rPr>
                <w:b/>
                <w:sz w:val="20"/>
              </w:rPr>
            </w:pPr>
          </w:p>
        </w:tc>
        <w:tc>
          <w:tcPr>
            <w:tcW w:w="4927" w:type="dxa"/>
            <w:shd w:val="clear" w:color="auto" w:fill="auto"/>
          </w:tcPr>
          <w:p w14:paraId="22F95034" w14:textId="77777777" w:rsidR="00185AD0" w:rsidRPr="003D5F42" w:rsidRDefault="00185AD0" w:rsidP="00185AD0">
            <w:pPr>
              <w:ind w:firstLine="680"/>
              <w:rPr>
                <w:sz w:val="20"/>
              </w:rPr>
            </w:pPr>
            <w:r>
              <w:rPr>
                <w:noProof/>
                <w:sz w:val="20"/>
                <w:lang w:val="en-GB" w:eastAsia="en-GB"/>
              </w:rPr>
              <w:drawing>
                <wp:anchor distT="0" distB="0" distL="114300" distR="114300" simplePos="0" relativeHeight="251686400" behindDoc="0" locked="0" layoutInCell="1" allowOverlap="1" wp14:anchorId="4984C842" wp14:editId="060379AD">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185AD0" w14:paraId="2DDBF861" w14:textId="77777777" w:rsidTr="001D3F48">
        <w:trPr>
          <w:trHeight w:val="953"/>
        </w:trPr>
        <w:tc>
          <w:tcPr>
            <w:tcW w:w="4926" w:type="dxa"/>
            <w:shd w:val="clear" w:color="auto" w:fill="auto"/>
          </w:tcPr>
          <w:p w14:paraId="35E1D1DA" w14:textId="77777777" w:rsidR="00185AD0" w:rsidRPr="002C1A71" w:rsidRDefault="00185AD0" w:rsidP="00185AD0">
            <w:pPr>
              <w:rPr>
                <w:b/>
                <w:sz w:val="20"/>
              </w:rPr>
            </w:pPr>
          </w:p>
        </w:tc>
        <w:tc>
          <w:tcPr>
            <w:tcW w:w="4927" w:type="dxa"/>
            <w:shd w:val="clear" w:color="auto" w:fill="auto"/>
          </w:tcPr>
          <w:p w14:paraId="333C5D81" w14:textId="77777777" w:rsidR="00185AD0" w:rsidRPr="003D5F42" w:rsidRDefault="00185AD0" w:rsidP="00185AD0">
            <w:pPr>
              <w:ind w:firstLine="680"/>
              <w:rPr>
                <w:sz w:val="20"/>
              </w:rPr>
            </w:pPr>
            <w:r w:rsidRPr="00531873">
              <w:rPr>
                <w:noProof/>
                <w:sz w:val="20"/>
                <w:lang w:eastAsia="pl-PL"/>
              </w:rPr>
              <w:t>glownyurzadstatystyczny</w:t>
            </w:r>
            <w:r>
              <w:rPr>
                <w:noProof/>
                <w:sz w:val="20"/>
                <w:lang w:val="en-GB" w:eastAsia="en-GB"/>
              </w:rPr>
              <w:drawing>
                <wp:anchor distT="0" distB="0" distL="114300" distR="114300" simplePos="0" relativeHeight="251687424" behindDoc="0" locked="0" layoutInCell="1" allowOverlap="1" wp14:anchorId="4E5F9253" wp14:editId="437D67FF">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04CED" w14:paraId="2E6F00D9" w14:textId="77777777" w:rsidTr="001D3F48">
        <w:trPr>
          <w:trHeight w:val="4114"/>
        </w:trPr>
        <w:tc>
          <w:tcPr>
            <w:tcW w:w="9853" w:type="dxa"/>
            <w:gridSpan w:val="2"/>
            <w:shd w:val="clear" w:color="auto" w:fill="D9D9D9"/>
          </w:tcPr>
          <w:p w14:paraId="6AD464E5" w14:textId="77777777" w:rsidR="00704CED" w:rsidRPr="002C1A71" w:rsidRDefault="00704CED" w:rsidP="001D3F48">
            <w:pPr>
              <w:rPr>
                <w:b/>
                <w:lang w:val="en-US"/>
              </w:rPr>
            </w:pPr>
            <w:r w:rsidRPr="002C1A71">
              <w:rPr>
                <w:b/>
                <w:lang w:val="en-US"/>
              </w:rPr>
              <w:t>Related studies</w:t>
            </w:r>
          </w:p>
          <w:p w14:paraId="712FA637" w14:textId="787C0CE2" w:rsidR="00704CED" w:rsidRPr="00F24737" w:rsidRDefault="00704CED" w:rsidP="001D3F48">
            <w:pPr>
              <w:rPr>
                <w:rStyle w:val="Hipercze"/>
                <w:rFonts w:eastAsia="Calibri"/>
                <w:lang w:val="en-GB"/>
              </w:rPr>
            </w:pPr>
            <w:r w:rsidRPr="002C1A71">
              <w:rPr>
                <w:rStyle w:val="Hipercze"/>
                <w:rFonts w:eastAsia="Calibri"/>
              </w:rPr>
              <w:fldChar w:fldCharType="begin"/>
            </w:r>
            <w:r w:rsidR="002F6367" w:rsidRPr="006B7615">
              <w:rPr>
                <w:rStyle w:val="Hipercze"/>
                <w:rFonts w:eastAsia="Calibri"/>
                <w:lang w:val="en-GB"/>
              </w:rPr>
              <w:instrText>HYPERLINK "https://stat.gov.pl/en/topics/national-accounts/general-government-statistics/general-government-deficit-and-debt-in-2023,5,38.html" \o "Website address at news release 'General government deficit and debt in 2021.'"</w:instrText>
            </w:r>
            <w:r w:rsidRPr="002C1A71">
              <w:rPr>
                <w:rStyle w:val="Hipercze"/>
                <w:rFonts w:eastAsia="Calibri"/>
              </w:rPr>
              <w:fldChar w:fldCharType="separate"/>
            </w:r>
            <w:r w:rsidRPr="00F24737">
              <w:rPr>
                <w:rStyle w:val="Hipercze"/>
                <w:rFonts w:eastAsia="Calibri"/>
                <w:lang w:val="en-GB"/>
              </w:rPr>
              <w:t>General government deficit and debt in 202</w:t>
            </w:r>
            <w:r w:rsidR="00971AA2">
              <w:rPr>
                <w:rStyle w:val="Hipercze"/>
                <w:rFonts w:eastAsia="Calibri"/>
                <w:lang w:val="en-GB"/>
              </w:rPr>
              <w:t>3</w:t>
            </w:r>
          </w:p>
          <w:p w14:paraId="4C088417" w14:textId="77777777" w:rsidR="00704CED" w:rsidRPr="002C1A71" w:rsidRDefault="00704CED" w:rsidP="001D3F48">
            <w:pPr>
              <w:rPr>
                <w:rStyle w:val="Hipercze"/>
                <w:rFonts w:cs="Arial"/>
                <w:color w:val="auto"/>
                <w:sz w:val="18"/>
                <w:szCs w:val="30"/>
                <w:shd w:val="clear" w:color="auto" w:fill="F0F0F0"/>
                <w:lang w:val="en-US"/>
              </w:rPr>
            </w:pPr>
            <w:r w:rsidRPr="002C1A71">
              <w:rPr>
                <w:rStyle w:val="Hipercze"/>
                <w:rFonts w:eastAsia="Calibri"/>
              </w:rPr>
              <w:fldChar w:fldCharType="end"/>
            </w:r>
          </w:p>
          <w:p w14:paraId="7DC046C9" w14:textId="77777777" w:rsidR="00704CED" w:rsidRPr="002C1A71" w:rsidRDefault="00704CED" w:rsidP="001D3F48">
            <w:pPr>
              <w:rPr>
                <w:rStyle w:val="shorttext"/>
                <w:b/>
                <w:lang w:val="en-GB"/>
              </w:rPr>
            </w:pPr>
            <w:r w:rsidRPr="002C1A71">
              <w:rPr>
                <w:rStyle w:val="shorttext"/>
                <w:b/>
                <w:lang w:val="en-GB"/>
              </w:rPr>
              <w:t>Subject available in databases</w:t>
            </w:r>
          </w:p>
          <w:p w14:paraId="54688474" w14:textId="77777777" w:rsidR="00704CED" w:rsidRPr="00F24737" w:rsidRDefault="004C124C" w:rsidP="001D3F48">
            <w:pPr>
              <w:rPr>
                <w:rStyle w:val="Hipercze"/>
                <w:rFonts w:eastAsia="Calibri"/>
                <w:lang w:val="en-GB"/>
              </w:rPr>
            </w:pPr>
            <w:hyperlink r:id="rId22" w:tooltip="Website address at knowledge database-national accounts is available" w:history="1">
              <w:r w:rsidR="00704CED" w:rsidRPr="00F24737">
                <w:rPr>
                  <w:rStyle w:val="Hipercze"/>
                  <w:rFonts w:eastAsia="Calibri"/>
                  <w:lang w:val="en-GB"/>
                </w:rPr>
                <w:t>Knowledge Databases – National Accounts</w:t>
              </w:r>
            </w:hyperlink>
          </w:p>
          <w:p w14:paraId="48AE44A9" w14:textId="77777777" w:rsidR="00704CED" w:rsidRPr="002C1A71" w:rsidRDefault="00704CED" w:rsidP="001D3F48">
            <w:pPr>
              <w:rPr>
                <w:b/>
                <w:szCs w:val="24"/>
                <w:highlight w:val="yellow"/>
                <w:lang w:val="en-US"/>
              </w:rPr>
            </w:pPr>
          </w:p>
          <w:p w14:paraId="608CDE29" w14:textId="77777777" w:rsidR="00704CED" w:rsidRPr="002C1A71" w:rsidRDefault="00704CED" w:rsidP="001D3F48">
            <w:pPr>
              <w:rPr>
                <w:b/>
                <w:szCs w:val="24"/>
                <w:lang w:val="en-US"/>
              </w:rPr>
            </w:pPr>
            <w:r w:rsidRPr="002C1A71">
              <w:rPr>
                <w:rStyle w:val="shorttext"/>
                <w:b/>
                <w:lang w:val="en"/>
              </w:rPr>
              <w:t>Important concepts available in the dictionary</w:t>
            </w:r>
          </w:p>
          <w:p w14:paraId="1733B1C6" w14:textId="77777777" w:rsidR="00704CED" w:rsidRPr="002C1A71" w:rsidRDefault="004C124C" w:rsidP="001D3F48">
            <w:pPr>
              <w:rPr>
                <w:rStyle w:val="Hipercze"/>
                <w:rFonts w:eastAsia="Calibri"/>
              </w:rPr>
            </w:pPr>
            <w:hyperlink r:id="rId23" w:tooltip="Website address at terms used in official statistics to define a meaning –gross domestic product is available" w:history="1">
              <w:r w:rsidR="00704CED" w:rsidRPr="002C1A71">
                <w:rPr>
                  <w:rStyle w:val="Hipercze"/>
                  <w:rFonts w:eastAsia="Calibri"/>
                </w:rPr>
                <w:t xml:space="preserve">Gross </w:t>
              </w:r>
              <w:proofErr w:type="spellStart"/>
              <w:r w:rsidR="00704CED" w:rsidRPr="002C1A71">
                <w:rPr>
                  <w:rStyle w:val="Hipercze"/>
                  <w:rFonts w:eastAsia="Calibri"/>
                </w:rPr>
                <w:t>domestic</w:t>
              </w:r>
              <w:proofErr w:type="spellEnd"/>
              <w:r w:rsidR="00704CED" w:rsidRPr="002C1A71">
                <w:rPr>
                  <w:rStyle w:val="Hipercze"/>
                  <w:rFonts w:eastAsia="Calibri"/>
                </w:rPr>
                <w:t xml:space="preserve"> </w:t>
              </w:r>
              <w:proofErr w:type="spellStart"/>
              <w:r w:rsidR="00704CED" w:rsidRPr="002C1A71">
                <w:rPr>
                  <w:rStyle w:val="Hipercze"/>
                  <w:rFonts w:eastAsia="Calibri"/>
                </w:rPr>
                <w:t>product</w:t>
              </w:r>
              <w:proofErr w:type="spellEnd"/>
            </w:hyperlink>
          </w:p>
          <w:p w14:paraId="3537BB78" w14:textId="77777777" w:rsidR="00704CED" w:rsidRPr="00417835" w:rsidRDefault="00704CED" w:rsidP="001D3F48">
            <w:pPr>
              <w:rPr>
                <w:rStyle w:val="Hipercze"/>
              </w:rPr>
            </w:pPr>
          </w:p>
          <w:p w14:paraId="361FA976" w14:textId="77777777" w:rsidR="00704CED" w:rsidRPr="002C1A71" w:rsidRDefault="00704CED" w:rsidP="001D3F48">
            <w:pPr>
              <w:rPr>
                <w:b/>
                <w:color w:val="000000"/>
                <w:szCs w:val="24"/>
                <w:lang w:val="en-GB"/>
              </w:rPr>
            </w:pPr>
          </w:p>
          <w:p w14:paraId="77B4D68D" w14:textId="77777777" w:rsidR="00704CED" w:rsidRPr="002C1A71" w:rsidRDefault="00704CED" w:rsidP="001D3F48">
            <w:pPr>
              <w:rPr>
                <w:b/>
                <w:color w:val="000000"/>
                <w:szCs w:val="24"/>
                <w:lang w:val="en-GB"/>
              </w:rPr>
            </w:pPr>
          </w:p>
          <w:p w14:paraId="6F97D263" w14:textId="77777777" w:rsidR="00704CED" w:rsidRPr="002C1A71" w:rsidRDefault="00704CED" w:rsidP="001D3F48">
            <w:pPr>
              <w:rPr>
                <w:b/>
                <w:color w:val="000000"/>
                <w:szCs w:val="24"/>
                <w:lang w:val="en-GB"/>
              </w:rPr>
            </w:pPr>
          </w:p>
        </w:tc>
      </w:tr>
      <w:bookmarkEnd w:id="17"/>
    </w:tbl>
    <w:p w14:paraId="7380596C" w14:textId="77777777" w:rsidR="00704CED" w:rsidRPr="00905C6D" w:rsidRDefault="00704CED" w:rsidP="00704CED">
      <w:pPr>
        <w:rPr>
          <w:sz w:val="18"/>
          <w:szCs w:val="18"/>
          <w:lang w:val="en-GB"/>
        </w:rPr>
      </w:pPr>
    </w:p>
    <w:p w14:paraId="1DF38736" w14:textId="77777777" w:rsidR="00704CED" w:rsidRPr="00905C6D" w:rsidRDefault="00704CED" w:rsidP="00704CED">
      <w:pPr>
        <w:rPr>
          <w:sz w:val="18"/>
          <w:lang w:val="en-GB"/>
        </w:rPr>
      </w:pPr>
    </w:p>
    <w:p w14:paraId="2296E994" w14:textId="77777777" w:rsidR="00D261A2" w:rsidRPr="00001C5B" w:rsidRDefault="00D261A2" w:rsidP="00E76D26">
      <w:pPr>
        <w:rPr>
          <w:sz w:val="18"/>
        </w:rPr>
      </w:pPr>
    </w:p>
    <w:sectPr w:rsidR="00D261A2" w:rsidRPr="00001C5B" w:rsidSect="00FF1FB2">
      <w:headerReference w:type="default" r:id="rId24"/>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A01FF" w14:textId="77777777" w:rsidR="004C124C" w:rsidRDefault="004C124C" w:rsidP="000662E2">
      <w:pPr>
        <w:spacing w:after="0" w:line="240" w:lineRule="auto"/>
      </w:pPr>
      <w:r>
        <w:separator/>
      </w:r>
    </w:p>
  </w:endnote>
  <w:endnote w:type="continuationSeparator" w:id="0">
    <w:p w14:paraId="2AD176C3" w14:textId="77777777" w:rsidR="004C124C" w:rsidRDefault="004C124C"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AAB4A" w14:textId="77777777" w:rsidR="004C124C" w:rsidRDefault="004C124C" w:rsidP="000662E2">
      <w:pPr>
        <w:spacing w:after="0" w:line="240" w:lineRule="auto"/>
      </w:pPr>
      <w:r>
        <w:separator/>
      </w:r>
    </w:p>
  </w:footnote>
  <w:footnote w:type="continuationSeparator" w:id="0">
    <w:p w14:paraId="3AF4083A" w14:textId="77777777" w:rsidR="004C124C" w:rsidRDefault="004C124C" w:rsidP="000662E2">
      <w:pPr>
        <w:spacing w:after="0" w:line="240" w:lineRule="auto"/>
      </w:pPr>
      <w:r>
        <w:continuationSeparator/>
      </w:r>
    </w:p>
  </w:footnote>
  <w:footnote w:id="1">
    <w:p w14:paraId="52096537" w14:textId="3635795B" w:rsidR="004301BD" w:rsidRPr="003818AB" w:rsidRDefault="001D3039" w:rsidP="003818AB">
      <w:pPr>
        <w:spacing w:before="0" w:after="0" w:line="240" w:lineRule="auto"/>
        <w:rPr>
          <w:rFonts w:cs="Arial"/>
          <w:szCs w:val="19"/>
          <w:lang w:val="en-US"/>
        </w:rPr>
      </w:pPr>
      <w:r w:rsidRPr="003818AB">
        <w:rPr>
          <w:rFonts w:cs="Arial"/>
          <w:szCs w:val="19"/>
          <w:lang w:val="en-US"/>
        </w:rPr>
        <w:t>* Data have</w:t>
      </w:r>
      <w:r w:rsidR="004301BD" w:rsidRPr="003818AB">
        <w:rPr>
          <w:rFonts w:cs="Arial"/>
          <w:szCs w:val="19"/>
          <w:lang w:val="en-US"/>
        </w:rPr>
        <w:t xml:space="preserve"> been revised in relation to the previously published on </w:t>
      </w:r>
      <w:r w:rsidR="00520925">
        <w:rPr>
          <w:rFonts w:cs="Arial"/>
          <w:szCs w:val="19"/>
          <w:lang w:val="en-US"/>
        </w:rPr>
        <w:t>22.04</w:t>
      </w:r>
      <w:r w:rsidR="00714E3D">
        <w:rPr>
          <w:rFonts w:cs="Arial"/>
          <w:szCs w:val="19"/>
          <w:lang w:val="en-US"/>
        </w:rPr>
        <w:t>.2023</w:t>
      </w:r>
      <w:r w:rsidR="006455CE" w:rsidRPr="003818AB">
        <w:rPr>
          <w:rFonts w:cs="Arial"/>
          <w:szCs w:val="19"/>
          <w:lang w:val="en-US"/>
        </w:rPr>
        <w:t>.</w:t>
      </w:r>
    </w:p>
    <w:p w14:paraId="4D7CDCC0" w14:textId="77777777" w:rsidR="00646EF1" w:rsidRPr="003818AB" w:rsidRDefault="00F4367F" w:rsidP="003818AB">
      <w:pPr>
        <w:spacing w:before="0" w:after="0" w:line="240" w:lineRule="auto"/>
        <w:rPr>
          <w:rFonts w:cs="Arial"/>
          <w:szCs w:val="19"/>
          <w:u w:val="single"/>
          <w:lang w:val="en-US"/>
        </w:rPr>
      </w:pPr>
      <w:r w:rsidRPr="003818AB">
        <w:rPr>
          <w:rStyle w:val="Odwoanieprzypisudolnego"/>
          <w:rFonts w:cs="Arial"/>
          <w:szCs w:val="19"/>
        </w:rPr>
        <w:footnoteRef/>
      </w:r>
      <w:r w:rsidRPr="003818AB">
        <w:rPr>
          <w:rFonts w:cs="Arial"/>
          <w:szCs w:val="19"/>
          <w:lang w:val="en-US"/>
        </w:rPr>
        <w:t xml:space="preserve"> </w:t>
      </w:r>
      <w:r w:rsidR="00646EF1" w:rsidRPr="003818AB">
        <w:rPr>
          <w:rFonts w:cs="Arial"/>
          <w:szCs w:val="19"/>
          <w:lang w:val="en-US"/>
        </w:rPr>
        <w:t>T</w:t>
      </w:r>
      <w:r w:rsidR="004301BD" w:rsidRPr="003818AB">
        <w:rPr>
          <w:rFonts w:cs="Arial"/>
          <w:szCs w:val="19"/>
          <w:lang w:val="en-US"/>
        </w:rPr>
        <w:t>he man</w:t>
      </w:r>
      <w:r w:rsidR="00765921" w:rsidRPr="003818AB">
        <w:rPr>
          <w:rFonts w:cs="Arial"/>
          <w:szCs w:val="19"/>
          <w:lang w:val="en-US"/>
        </w:rPr>
        <w:t xml:space="preserve">ual is available on the website: </w:t>
      </w:r>
      <w:r w:rsidR="00B62758" w:rsidRPr="00D221C4">
        <w:rPr>
          <w:rFonts w:cs="Arial"/>
          <w:color w:val="000000"/>
          <w:szCs w:val="19"/>
          <w:u w:val="single"/>
          <w:lang w:val="en-GB"/>
        </w:rPr>
        <w:t>https://ec.europa.eu/eurostat/documents/3859598/16029761/KS-GQ-23-002-EN-N.pdf/77a75b07-61c3-7d34-5243-70d09bc00e44?version=3.0&amp;t=1677163672121</w:t>
      </w:r>
    </w:p>
  </w:footnote>
  <w:footnote w:id="2">
    <w:p w14:paraId="7D8096B0" w14:textId="1B1F029C" w:rsidR="00160343" w:rsidRPr="006B7615" w:rsidRDefault="00160343">
      <w:pPr>
        <w:pStyle w:val="Tekstprzypisudolnego"/>
        <w:rPr>
          <w:lang w:val="en-GB"/>
        </w:rPr>
      </w:pPr>
      <w:r>
        <w:rPr>
          <w:rStyle w:val="Odwoanieprzypisudolnego"/>
        </w:rPr>
        <w:footnoteRef/>
      </w:r>
      <w:r>
        <w:t xml:space="preserve"> </w:t>
      </w:r>
      <w:proofErr w:type="spellStart"/>
      <w:r w:rsidRPr="00160343">
        <w:rPr>
          <w:rFonts w:ascii="Fira Sans" w:hAnsi="Fira Sans"/>
          <w:sz w:val="19"/>
          <w:szCs w:val="19"/>
        </w:rPr>
        <w:t>More</w:t>
      </w:r>
      <w:proofErr w:type="spellEnd"/>
      <w:r w:rsidRPr="00160343">
        <w:rPr>
          <w:rFonts w:ascii="Fira Sans" w:hAnsi="Fira Sans"/>
          <w:sz w:val="19"/>
          <w:szCs w:val="19"/>
        </w:rPr>
        <w:t xml:space="preserve"> </w:t>
      </w:r>
      <w:proofErr w:type="spellStart"/>
      <w:r w:rsidRPr="00160343">
        <w:rPr>
          <w:rFonts w:ascii="Fira Sans" w:hAnsi="Fira Sans"/>
          <w:sz w:val="19"/>
          <w:szCs w:val="19"/>
        </w:rPr>
        <w:t>information</w:t>
      </w:r>
      <w:proofErr w:type="spellEnd"/>
      <w:r w:rsidRPr="00160343">
        <w:rPr>
          <w:rFonts w:ascii="Fira Sans" w:hAnsi="Fira Sans"/>
          <w:sz w:val="19"/>
          <w:szCs w:val="19"/>
        </w:rPr>
        <w:t xml:space="preserve"> on the </w:t>
      </w:r>
      <w:proofErr w:type="spellStart"/>
      <w:r w:rsidRPr="00160343">
        <w:rPr>
          <w:rFonts w:ascii="Fira Sans" w:hAnsi="Fira Sans"/>
          <w:sz w:val="19"/>
          <w:szCs w:val="19"/>
        </w:rPr>
        <w:t>revision</w:t>
      </w:r>
      <w:proofErr w:type="spellEnd"/>
      <w:r w:rsidRPr="00160343">
        <w:rPr>
          <w:rFonts w:ascii="Fira Sans" w:hAnsi="Fira Sans"/>
          <w:sz w:val="19"/>
          <w:szCs w:val="19"/>
        </w:rPr>
        <w:t xml:space="preserve"> </w:t>
      </w:r>
      <w:proofErr w:type="spellStart"/>
      <w:r w:rsidRPr="00160343">
        <w:rPr>
          <w:rFonts w:ascii="Fira Sans" w:hAnsi="Fira Sans"/>
          <w:sz w:val="19"/>
          <w:szCs w:val="19"/>
        </w:rPr>
        <w:t>can</w:t>
      </w:r>
      <w:proofErr w:type="spellEnd"/>
      <w:r w:rsidRPr="00160343">
        <w:rPr>
          <w:rFonts w:ascii="Fira Sans" w:hAnsi="Fira Sans"/>
          <w:sz w:val="19"/>
          <w:szCs w:val="19"/>
        </w:rPr>
        <w:t xml:space="preserve"> be </w:t>
      </w:r>
      <w:proofErr w:type="spellStart"/>
      <w:r w:rsidRPr="00160343">
        <w:rPr>
          <w:rFonts w:ascii="Fira Sans" w:hAnsi="Fira Sans"/>
          <w:sz w:val="19"/>
          <w:szCs w:val="19"/>
        </w:rPr>
        <w:t>found</w:t>
      </w:r>
      <w:proofErr w:type="spellEnd"/>
      <w:r w:rsidRPr="00160343">
        <w:rPr>
          <w:rFonts w:ascii="Fira Sans" w:hAnsi="Fira Sans"/>
          <w:sz w:val="19"/>
          <w:szCs w:val="19"/>
        </w:rPr>
        <w:t xml:space="preserve"> in the </w:t>
      </w:r>
      <w:proofErr w:type="spellStart"/>
      <w:r w:rsidRPr="00160343">
        <w:rPr>
          <w:rFonts w:ascii="Fira Sans" w:hAnsi="Fira Sans"/>
          <w:sz w:val="19"/>
          <w:szCs w:val="19"/>
        </w:rPr>
        <w:t>document</w:t>
      </w:r>
      <w:proofErr w:type="spellEnd"/>
      <w:r w:rsidR="00EE6C61" w:rsidRPr="00EE6C61">
        <w:rPr>
          <w:rFonts w:ascii="Fira Sans" w:hAnsi="Fira Sans" w:cs="Arial"/>
          <w:sz w:val="19"/>
          <w:szCs w:val="19"/>
          <w:lang w:val="pl-PL" w:eastAsia="en-US"/>
        </w:rPr>
        <w:t xml:space="preserve"> </w:t>
      </w:r>
      <w:r w:rsidR="00EE6C61" w:rsidRPr="001F5CBB">
        <w:rPr>
          <w:rFonts w:ascii="Fira Sans" w:hAnsi="Fira Sans" w:cs="Arial"/>
          <w:sz w:val="19"/>
          <w:szCs w:val="19"/>
          <w:lang w:val="pl-PL" w:eastAsia="en-US"/>
        </w:rPr>
        <w:t xml:space="preserve">Informacja Głównego Urzędu Statystycznego na temat rewizji rachunków narodowych w latach </w:t>
      </w:r>
      <w:r w:rsidR="00EE6C61" w:rsidRPr="0051722E">
        <w:rPr>
          <w:rFonts w:ascii="Fira Sans" w:hAnsi="Fira Sans" w:cs="Arial"/>
          <w:sz w:val="19"/>
          <w:szCs w:val="19"/>
          <w:lang w:val="pl-PL" w:eastAsia="en-US"/>
        </w:rPr>
        <w:t>1995</w:t>
      </w:r>
      <w:r w:rsidR="00EE6C61" w:rsidRPr="001F5CBB">
        <w:rPr>
          <w:rFonts w:ascii="Fira Sans" w:hAnsi="Fira Sans" w:cs="Arial"/>
          <w:sz w:val="19"/>
          <w:szCs w:val="19"/>
          <w:lang w:val="pl-PL" w:eastAsia="en-US"/>
        </w:rPr>
        <w:t>–202</w:t>
      </w:r>
      <w:r w:rsidR="00EE6C61" w:rsidRPr="0051722E">
        <w:rPr>
          <w:rFonts w:ascii="Fira Sans" w:hAnsi="Fira Sans" w:cs="Arial"/>
          <w:sz w:val="19"/>
          <w:szCs w:val="19"/>
          <w:lang w:val="pl-PL" w:eastAsia="en-US"/>
        </w:rPr>
        <w:t>2</w:t>
      </w:r>
      <w:r w:rsidR="00EE6C61" w:rsidRPr="001F5CBB">
        <w:rPr>
          <w:rFonts w:ascii="Fira Sans" w:hAnsi="Fira Sans" w:cs="Arial"/>
          <w:sz w:val="19"/>
          <w:szCs w:val="19"/>
          <w:lang w:val="pl-PL" w:eastAsia="en-US"/>
        </w:rPr>
        <w:t>. Wpływ zmian na główne agregaty makroekonomiczne</w:t>
      </w:r>
      <w:r w:rsidR="00EE6C61">
        <w:rPr>
          <w:rFonts w:ascii="Fira Sans" w:hAnsi="Fira Sans" w:cs="Arial"/>
          <w:sz w:val="19"/>
          <w:szCs w:val="19"/>
          <w:lang w:val="pl-PL" w:eastAsia="en-US"/>
        </w:rPr>
        <w:t xml:space="preserve"> (in </w:t>
      </w:r>
      <w:proofErr w:type="spellStart"/>
      <w:r w:rsidR="00EE6C61">
        <w:rPr>
          <w:rFonts w:ascii="Fira Sans" w:hAnsi="Fira Sans" w:cs="Arial"/>
          <w:sz w:val="19"/>
          <w:szCs w:val="19"/>
          <w:lang w:val="pl-PL" w:eastAsia="en-US"/>
        </w:rPr>
        <w:t>Polish</w:t>
      </w:r>
      <w:proofErr w:type="spellEnd"/>
      <w:r w:rsidR="00EE6C61">
        <w:rPr>
          <w:rFonts w:ascii="Fira Sans" w:hAnsi="Fira Sans" w:cs="Arial"/>
          <w:sz w:val="19"/>
          <w:szCs w:val="19"/>
          <w:lang w:val="pl-PL" w:eastAsia="en-US"/>
        </w:rPr>
        <w:t xml:space="preserve"> </w:t>
      </w:r>
      <w:proofErr w:type="spellStart"/>
      <w:r w:rsidR="00EE6C61">
        <w:rPr>
          <w:rFonts w:ascii="Fira Sans" w:hAnsi="Fira Sans" w:cs="Arial"/>
          <w:sz w:val="19"/>
          <w:szCs w:val="19"/>
          <w:lang w:val="pl-PL" w:eastAsia="en-US"/>
        </w:rPr>
        <w:t>only</w:t>
      </w:r>
      <w:proofErr w:type="spellEnd"/>
      <w:r w:rsidR="00EE6C61">
        <w:rPr>
          <w:rFonts w:ascii="Fira Sans" w:hAnsi="Fira Sans" w:cs="Arial"/>
          <w:sz w:val="19"/>
          <w:szCs w:val="19"/>
          <w:lang w:val="pl-PL" w:eastAsia="en-US"/>
        </w:rPr>
        <w:t>)</w:t>
      </w:r>
      <w:r w:rsidR="006B7615" w:rsidRPr="006B7615">
        <w:rPr>
          <w:rFonts w:ascii="Fira Sans" w:hAnsi="Fira Sans"/>
          <w:sz w:val="19"/>
          <w:szCs w:val="19"/>
          <w:lang w:val="en-GB"/>
        </w:rPr>
        <w:t>,</w:t>
      </w:r>
      <w:r w:rsidRPr="00160343">
        <w:rPr>
          <w:rFonts w:ascii="Fira Sans" w:hAnsi="Fira Sans"/>
          <w:sz w:val="19"/>
          <w:szCs w:val="19"/>
        </w:rPr>
        <w:t xml:space="preserve"> </w:t>
      </w:r>
      <w:proofErr w:type="spellStart"/>
      <w:r w:rsidRPr="00160343">
        <w:rPr>
          <w:rFonts w:ascii="Fira Sans" w:hAnsi="Fira Sans"/>
          <w:sz w:val="19"/>
          <w:szCs w:val="19"/>
        </w:rPr>
        <w:t>available</w:t>
      </w:r>
      <w:proofErr w:type="spellEnd"/>
      <w:r w:rsidRPr="00160343">
        <w:rPr>
          <w:rFonts w:ascii="Fira Sans" w:hAnsi="Fira Sans"/>
          <w:sz w:val="19"/>
          <w:szCs w:val="19"/>
        </w:rPr>
        <w:t xml:space="preserve"> </w:t>
      </w:r>
      <w:r w:rsidR="00EE6C61">
        <w:rPr>
          <w:rFonts w:ascii="Fira Sans" w:hAnsi="Fira Sans"/>
          <w:sz w:val="19"/>
          <w:szCs w:val="19"/>
          <w:lang w:val="pl-PL"/>
        </w:rPr>
        <w:t xml:space="preserve">on </w:t>
      </w:r>
      <w:proofErr w:type="spellStart"/>
      <w:r w:rsidRPr="00160343">
        <w:rPr>
          <w:rFonts w:ascii="Fira Sans" w:hAnsi="Fira Sans"/>
          <w:sz w:val="19"/>
          <w:szCs w:val="19"/>
        </w:rPr>
        <w:t>website</w:t>
      </w:r>
      <w:proofErr w:type="spellEnd"/>
      <w:r w:rsidR="00EE6C61">
        <w:rPr>
          <w:rFonts w:ascii="Fira Sans" w:hAnsi="Fira Sans"/>
          <w:sz w:val="19"/>
          <w:szCs w:val="19"/>
          <w:lang w:val="pl-PL"/>
        </w:rPr>
        <w:t>:</w:t>
      </w:r>
      <w:r w:rsidR="00EE6C61">
        <w:rPr>
          <w:rFonts w:ascii="Fira Sans" w:hAnsi="Fira Sans"/>
          <w:sz w:val="19"/>
          <w:szCs w:val="19"/>
          <w:lang w:val="en-GB"/>
        </w:rPr>
        <w:t xml:space="preserve"> </w:t>
      </w:r>
      <w:hyperlink r:id="rId1" w:history="1">
        <w:r w:rsidRPr="00EE6C61">
          <w:rPr>
            <w:rStyle w:val="Hipercze"/>
            <w:rFonts w:ascii="Fira Sans" w:hAnsi="Fira Sans"/>
            <w:sz w:val="19"/>
            <w:szCs w:val="19"/>
            <w:lang w:val="en-GB"/>
          </w:rPr>
          <w:t>https://stat.gov.pl/obszary-tematyczne/rachunki-narodowe/roczne-rachunki-narodowe/informacja-glownego-urzedu-statystycznego-na-temat-rewizji-rachunkow-narodowych-w-latach-1995-2022,17,2.html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318BA" w14:textId="77777777" w:rsidR="000662E2" w:rsidRDefault="006E5848" w:rsidP="004C62B0">
    <w:pPr>
      <w:pStyle w:val="Nagwek"/>
      <w:ind w:right="-155"/>
    </w:pPr>
    <w:r>
      <w:rPr>
        <w:noProof/>
        <w:lang w:val="en-GB" w:eastAsia="en-GB"/>
      </w:rPr>
      <mc:AlternateContent>
        <mc:Choice Requires="wps">
          <w:drawing>
            <wp:anchor distT="0" distB="0" distL="114300" distR="114300" simplePos="0" relativeHeight="251655680" behindDoc="1" locked="0" layoutInCell="1" allowOverlap="1" wp14:anchorId="545A98D7" wp14:editId="32A645C0">
              <wp:simplePos x="0" y="0"/>
              <wp:positionH relativeFrom="page">
                <wp:align>right</wp:align>
              </wp:positionH>
              <wp:positionV relativeFrom="paragraph">
                <wp:posOffset>-178435</wp:posOffset>
              </wp:positionV>
              <wp:extent cx="1874520" cy="22680295"/>
              <wp:effectExtent l="3810" t="4445" r="0" b="3810"/>
              <wp:wrapNone/>
              <wp:docPr id="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2268029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68E913" id="Prostokąt 24" o:spid="_x0000_s1026" style="position:absolute;margin-left:96.4pt;margin-top:-14.05pt;width:147.6pt;height:1785.8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" fillcolor="#d8d8d8" stroked="f" strokeweight="1pt">
              <w10:wrap anchorx="page"/>
            </v:rect>
          </w:pict>
        </mc:Fallback>
      </mc:AlternateContent>
    </w:r>
  </w:p>
  <w:p w14:paraId="5258644C"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BA74" w14:textId="77777777" w:rsidR="00F32749" w:rsidRDefault="006E5848" w:rsidP="00F64219">
    <w:pPr>
      <w:pStyle w:val="Nagwek"/>
      <w:rPr>
        <w:noProof/>
        <w:lang w:eastAsia="pl-PL"/>
      </w:rPr>
    </w:pPr>
    <w:r>
      <w:rPr>
        <w:noProof/>
        <w:lang w:val="en-GB" w:eastAsia="en-GB"/>
      </w:rPr>
      <w:drawing>
        <wp:anchor distT="0" distB="0" distL="114300" distR="114300" simplePos="0" relativeHeight="251659776" behindDoc="0" locked="0" layoutInCell="1" allowOverlap="1" wp14:anchorId="2FCEA1D4" wp14:editId="25231C02">
          <wp:simplePos x="0" y="0"/>
          <wp:positionH relativeFrom="column">
            <wp:posOffset>5080</wp:posOffset>
          </wp:positionH>
          <wp:positionV relativeFrom="paragraph">
            <wp:posOffset>87630</wp:posOffset>
          </wp:positionV>
          <wp:extent cx="1838325" cy="696595"/>
          <wp:effectExtent l="0" t="0" r="0" b="0"/>
          <wp:wrapSquare wrapText="bothSides"/>
          <wp:docPr id="5"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Statistics Poland logoty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57728" behindDoc="0" locked="0" layoutInCell="1" allowOverlap="1" wp14:anchorId="4EF631F9" wp14:editId="55E7EE9A">
              <wp:simplePos x="0" y="0"/>
              <wp:positionH relativeFrom="column">
                <wp:posOffset>5036820</wp:posOffset>
              </wp:positionH>
              <wp:positionV relativeFrom="paragraph">
                <wp:posOffset>198755</wp:posOffset>
              </wp:positionV>
              <wp:extent cx="2060575" cy="357505"/>
              <wp:effectExtent l="7620" t="7620" r="8255" b="6350"/>
              <wp:wrapNone/>
              <wp:docPr id="3" name="Schemat blokowy: opóźnienie 6" descr="News releases&#10;&#10;&#10;&#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060575" cy="357505"/>
                      </a:xfrm>
                      <a:custGeom>
                        <a:avLst/>
                        <a:gdLst>
                          <a:gd name="T0" fmla="*/ 0 w 3527018"/>
                          <a:gd name="T1" fmla="*/ 0 h 612140"/>
                          <a:gd name="T2" fmla="*/ 1881761 w 3527018"/>
                          <a:gd name="T3" fmla="*/ 0 h 612140"/>
                          <a:gd name="T4" fmla="*/ 2060575 w 3527018"/>
                          <a:gd name="T5" fmla="*/ 178753 h 612140"/>
                          <a:gd name="T6" fmla="*/ 1881761 w 3527018"/>
                          <a:gd name="T7" fmla="*/ 357505 h 612140"/>
                          <a:gd name="T8" fmla="*/ 0 w 3527018"/>
                          <a:gd name="T9" fmla="*/ 357505 h 612140"/>
                          <a:gd name="T10" fmla="*/ 0 w 3527018"/>
                          <a:gd name="T11" fmla="*/ 0 h 612140"/>
                          <a:gd name="T12" fmla="*/ 0 60000 65536"/>
                          <a:gd name="T13" fmla="*/ 0 60000 65536"/>
                          <a:gd name="T14" fmla="*/ 0 60000 65536"/>
                          <a:gd name="T15" fmla="*/ 0 60000 65536"/>
                          <a:gd name="T16" fmla="*/ 0 60000 65536"/>
                          <a:gd name="T17" fmla="*/ 0 60000 65536"/>
                          <a:gd name="T18" fmla="*/ 0 w 3527018"/>
                          <a:gd name="T19" fmla="*/ 0 h 612140"/>
                          <a:gd name="T20" fmla="*/ 3527018 w 3527018"/>
                          <a:gd name="T21" fmla="*/ 612140 h 612140"/>
                        </a:gdLst>
                        <a:ahLst/>
                        <a:cxnLst>
                          <a:cxn ang="T12">
                            <a:pos x="T0" y="T1"/>
                          </a:cxn>
                          <a:cxn ang="T13">
                            <a:pos x="T2" y="T3"/>
                          </a:cxn>
                          <a:cxn ang="T14">
                            <a:pos x="T4" y="T5"/>
                          </a:cxn>
                          <a:cxn ang="T15">
                            <a:pos x="T6" y="T7"/>
                          </a:cxn>
                          <a:cxn ang="T16">
                            <a:pos x="T8" y="T9"/>
                          </a:cxn>
                          <a:cxn ang="T17">
                            <a:pos x="T10" y="T11"/>
                          </a:cxn>
                        </a:cxnLst>
                        <a:rect l="T18" t="T19" r="T20" b="T21"/>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E3189AC" w14:textId="77777777" w:rsidR="00FD626C" w:rsidRDefault="00893DFA" w:rsidP="00FD626C">
                          <w:pPr>
                            <w:spacing w:after="0" w:line="240" w:lineRule="auto"/>
                            <w:ind w:left="227"/>
                            <w:jc w:val="both"/>
                            <w:rPr>
                              <w:rStyle w:val="shorttext"/>
                              <w:lang w:val="en"/>
                            </w:rPr>
                          </w:pPr>
                          <w:r>
                            <w:rPr>
                              <w:rStyle w:val="shorttext"/>
                              <w:lang w:val="en"/>
                            </w:rPr>
                            <w:t>NEWS RELEASES</w:t>
                          </w:r>
                        </w:p>
                        <w:p w14:paraId="2D7B7A9B" w14:textId="77777777" w:rsidR="00893DFA" w:rsidRPr="003C6C8D" w:rsidRDefault="00893DFA" w:rsidP="00FD626C">
                          <w:pPr>
                            <w:spacing w:after="0" w:line="240" w:lineRule="auto"/>
                            <w:ind w:left="227"/>
                            <w:jc w:val="both"/>
                            <w:rPr>
                              <w:rFonts w:ascii="Fira Sans SemiBold" w:hAnsi="Fira Sans SemiBold"/>
                            </w:rPr>
                          </w:pPr>
                        </w:p>
                        <w:p w14:paraId="751B6519" w14:textId="77777777" w:rsidR="00F37172" w:rsidRPr="00FD626C" w:rsidRDefault="00F37172" w:rsidP="00FD626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631F9" id="Schemat blokowy: opóźnienie 6" o:spid="_x0000_s1028" alt="News releases&#10;&#10;&#10;&#10;" style="position:absolute;margin-left:396.6pt;margin-top:15.65pt;width:162.25pt;height:28.1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" adj="-11796480,,5400" path="m,l3220948,v169038,,306070,137032,306070,306070c3527018,475108,3389986,612140,3220948,612140l,612140,,xe" fillcolor="#001d77" stroked="f" strokeweight="1pt">
              <v:stroke joinstyle="miter"/>
              <v:formulas/>
              <v:path arrowok="t" o:connecttype="custom" o:connectlocs="0,0;1099373,0;1203841,104396;1099373,208792;0,208792;0,0" o:connectangles="0,0,0,0,0,0" textboxrect="0,0,3527018,612140"/>
              <v:textbox>
                <w:txbxContent>
                  <w:p w14:paraId="5E3189AC" w14:textId="77777777" w:rsidR="00FD626C" w:rsidRDefault="00893DFA" w:rsidP="00FD626C">
                    <w:pPr>
                      <w:spacing w:after="0" w:line="240" w:lineRule="auto"/>
                      <w:ind w:left="227"/>
                      <w:jc w:val="both"/>
                      <w:rPr>
                        <w:rStyle w:val="shorttext"/>
                        <w:lang w:val="en"/>
                      </w:rPr>
                    </w:pPr>
                    <w:r>
                      <w:rPr>
                        <w:rStyle w:val="shorttext"/>
                        <w:lang w:val="en"/>
                      </w:rPr>
                      <w:t>NEWS RELEASES</w:t>
                    </w:r>
                  </w:p>
                  <w:p w14:paraId="2D7B7A9B" w14:textId="77777777" w:rsidR="00893DFA" w:rsidRPr="003C6C8D" w:rsidRDefault="00893DFA" w:rsidP="00FD626C">
                    <w:pPr>
                      <w:spacing w:after="0" w:line="240" w:lineRule="auto"/>
                      <w:ind w:left="227"/>
                      <w:jc w:val="both"/>
                      <w:rPr>
                        <w:rFonts w:ascii="Fira Sans SemiBold" w:hAnsi="Fira Sans SemiBold"/>
                      </w:rPr>
                    </w:pPr>
                  </w:p>
                  <w:p w14:paraId="751B6519" w14:textId="77777777" w:rsidR="00F37172" w:rsidRPr="00FD626C" w:rsidRDefault="00F37172" w:rsidP="00FD626C"/>
                </w:txbxContent>
              </v:textbox>
            </v:shape>
          </w:pict>
        </mc:Fallback>
      </mc:AlternateContent>
    </w:r>
    <w:r>
      <w:rPr>
        <w:noProof/>
        <w:lang w:val="en-GB" w:eastAsia="en-GB"/>
      </w:rPr>
      <mc:AlternateContent>
        <mc:Choice Requires="wps">
          <w:drawing>
            <wp:anchor distT="0" distB="0" distL="114300" distR="114300" simplePos="0" relativeHeight="251656704" behindDoc="1" locked="0" layoutInCell="1" allowOverlap="1" wp14:anchorId="3DB97F49" wp14:editId="1054D83B">
              <wp:simplePos x="0" y="0"/>
              <wp:positionH relativeFrom="column">
                <wp:posOffset>5219065</wp:posOffset>
              </wp:positionH>
              <wp:positionV relativeFrom="paragraph">
                <wp:posOffset>511810</wp:posOffset>
              </wp:positionV>
              <wp:extent cx="1871980" cy="22905085"/>
              <wp:effectExtent l="0" t="0" r="0" b="2540"/>
              <wp:wrapTight wrapText="bothSides">
                <wp:wrapPolygon edited="0">
                  <wp:start x="-110" y="0"/>
                  <wp:lineTo x="-110" y="21591"/>
                  <wp:lineTo x="21600" y="21591"/>
                  <wp:lineTo x="21600" y="0"/>
                  <wp:lineTo x="-110" y="0"/>
                </wp:wrapPolygon>
              </wp:wrapTight>
              <wp:docPr id="2"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22905085"/>
                      </a:xfrm>
                      <a:prstGeom prst="rect">
                        <a:avLst/>
                      </a:prstGeom>
                      <a:solidFill>
                        <a:srgbClr val="D8D8D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16BE89" id="Prostokąt 10" o:spid="_x0000_s1026" style="position:absolute;margin-left:410.95pt;margin-top:40.3pt;width:147.4pt;height:180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" fillcolor="#d8d8d8" stroked="f" strokeweight="1pt">
              <w10:wrap type="tight"/>
            </v:rect>
          </w:pict>
        </mc:Fallback>
      </mc:AlternateContent>
    </w:r>
    <w:r>
      <w:rPr>
        <w:noProof/>
        <w:lang w:val="en-GB" w:eastAsia="en-GB"/>
      </w:rPr>
      <mc:AlternateContent>
        <mc:Choice Requires="wps">
          <w:drawing>
            <wp:anchor distT="45720" distB="45720" distL="114300" distR="114300" simplePos="0" relativeHeight="251658752" behindDoc="0" locked="0" layoutInCell="1" allowOverlap="1" wp14:anchorId="21F81891" wp14:editId="1EA915BB">
              <wp:simplePos x="0" y="0"/>
              <wp:positionH relativeFrom="column">
                <wp:posOffset>5219700</wp:posOffset>
              </wp:positionH>
              <wp:positionV relativeFrom="paragraph">
                <wp:posOffset>716915</wp:posOffset>
              </wp:positionV>
              <wp:extent cx="1432560" cy="336550"/>
              <wp:effectExtent l="0" t="1905" r="0" b="4445"/>
              <wp:wrapNone/>
              <wp:docPr id="1" name="Text Box 1" descr="Publication date,22.10.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2043D" w14:textId="1DB0C249"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22.</w:t>
                          </w:r>
                          <w:r w:rsidR="005E1593">
                            <w:rPr>
                              <w:rFonts w:ascii="Fira Sans SemiBold" w:hAnsi="Fira Sans SemiBold"/>
                              <w:color w:val="001D77"/>
                              <w:sz w:val="20"/>
                            </w:rPr>
                            <w:t>10</w:t>
                          </w:r>
                          <w:r>
                            <w:rPr>
                              <w:rFonts w:ascii="Fira Sans SemiBold" w:hAnsi="Fira Sans SemiBold"/>
                              <w:color w:val="001D77"/>
                              <w:sz w:val="20"/>
                            </w:rPr>
                            <w:t>.2024</w:t>
                          </w:r>
                        </w:p>
                        <w:p w14:paraId="52A98781" w14:textId="77777777" w:rsidR="0072384A" w:rsidRPr="00C97596" w:rsidRDefault="0072384A" w:rsidP="00F37172">
                          <w:pPr>
                            <w:jc w:val="both"/>
                            <w:rPr>
                              <w:rFonts w:ascii="Fira Sans SemiBold" w:hAnsi="Fira Sans SemiBold"/>
                              <w:color w:val="001D77"/>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F81891" id="_x0000_t202" coordsize="21600,21600" o:spt="202" path="m,l,21600r21600,l21600,xe">
              <v:stroke joinstyle="miter"/>
              <v:path gradientshapeok="t" o:connecttype="rect"/>
            </v:shapetype>
            <v:shape id="Text Box 1" o:spid="_x0000_s1029" type="#_x0000_t202" alt="Publication date,22.10.2024" style="position:absolute;margin-left:411pt;margin-top:56.45pt;width:112.8pt;height:26.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" filled="f" stroked="f">
              <v:textbox>
                <w:txbxContent>
                  <w:p w14:paraId="6F42043D" w14:textId="1DB0C249" w:rsidR="00F37172" w:rsidRPr="003818AB" w:rsidRDefault="00D24980" w:rsidP="00F37172">
                    <w:pPr>
                      <w:jc w:val="both"/>
                      <w:rPr>
                        <w:rFonts w:ascii="Fira Sans SemiBold" w:hAnsi="Fira Sans SemiBold"/>
                        <w:color w:val="001D77"/>
                        <w:sz w:val="20"/>
                      </w:rPr>
                    </w:pPr>
                    <w:r>
                      <w:rPr>
                        <w:rFonts w:ascii="Fira Sans SemiBold" w:hAnsi="Fira Sans SemiBold"/>
                        <w:color w:val="001D77"/>
                        <w:sz w:val="20"/>
                      </w:rPr>
                      <w:t>22.</w:t>
                    </w:r>
                    <w:r w:rsidR="005E1593">
                      <w:rPr>
                        <w:rFonts w:ascii="Fira Sans SemiBold" w:hAnsi="Fira Sans SemiBold"/>
                        <w:color w:val="001D77"/>
                        <w:sz w:val="20"/>
                      </w:rPr>
                      <w:t>10</w:t>
                    </w:r>
                    <w:r>
                      <w:rPr>
                        <w:rFonts w:ascii="Fira Sans SemiBold" w:hAnsi="Fira Sans SemiBold"/>
                        <w:color w:val="001D77"/>
                        <w:sz w:val="20"/>
                      </w:rPr>
                      <w:t>.2024</w:t>
                    </w:r>
                  </w:p>
                  <w:p w14:paraId="52A98781" w14:textId="77777777" w:rsidR="0072384A" w:rsidRPr="00C97596" w:rsidRDefault="0072384A" w:rsidP="00F37172">
                    <w:pPr>
                      <w:jc w:val="both"/>
                      <w:rPr>
                        <w:rFonts w:ascii="Fira Sans SemiBold" w:hAnsi="Fira Sans SemiBold"/>
                        <w:color w:val="001D77"/>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EAD9" w14:textId="77777777" w:rsidR="00607CC5" w:rsidRDefault="00607CC5">
    <w:pPr>
      <w:pStyle w:val="Nagwek"/>
    </w:pPr>
  </w:p>
  <w:p w14:paraId="4CFC5296"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5pt;height:125.5pt;visibility:visible" o:bullet="t">
        <v:imagedata r:id="rId1" o:title=""/>
      </v:shape>
    </w:pict>
  </w:numPicBullet>
  <w:numPicBullet w:numPicBulletId="1">
    <w:pict>
      <v:shape id="_x0000_i1029" type="#_x0000_t75" style="width:124pt;height:125.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autoHyphenation/>
  <w:hyphenationZone w:val="425"/>
  <w:drawingGridHorizontalSpacing w:val="57"/>
  <w:drawingGridVerticalSpacing w:val="57"/>
  <w:characterSpacingControl w:val="doNotCompress"/>
  <w:hdrShapeDefaults>
    <o:shapedefaults v:ext="edit" spidmax="2049"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3C62"/>
    <w:rsid w:val="0000709F"/>
    <w:rsid w:val="000108B8"/>
    <w:rsid w:val="000152F5"/>
    <w:rsid w:val="000166E0"/>
    <w:rsid w:val="00030B2F"/>
    <w:rsid w:val="000351AF"/>
    <w:rsid w:val="00040320"/>
    <w:rsid w:val="0004582E"/>
    <w:rsid w:val="000470AA"/>
    <w:rsid w:val="0005234C"/>
    <w:rsid w:val="00052F16"/>
    <w:rsid w:val="00057B03"/>
    <w:rsid w:val="00057CA1"/>
    <w:rsid w:val="00060050"/>
    <w:rsid w:val="00062FB3"/>
    <w:rsid w:val="000662E2"/>
    <w:rsid w:val="00066438"/>
    <w:rsid w:val="00066883"/>
    <w:rsid w:val="00067AFD"/>
    <w:rsid w:val="000700A1"/>
    <w:rsid w:val="000734F2"/>
    <w:rsid w:val="00074DD8"/>
    <w:rsid w:val="000806F7"/>
    <w:rsid w:val="00080771"/>
    <w:rsid w:val="0008133A"/>
    <w:rsid w:val="000850F3"/>
    <w:rsid w:val="000869E3"/>
    <w:rsid w:val="0009213C"/>
    <w:rsid w:val="00094689"/>
    <w:rsid w:val="000954A9"/>
    <w:rsid w:val="000A3C3C"/>
    <w:rsid w:val="000B0727"/>
    <w:rsid w:val="000B54A0"/>
    <w:rsid w:val="000C135D"/>
    <w:rsid w:val="000C57EA"/>
    <w:rsid w:val="000D13D0"/>
    <w:rsid w:val="000D1D43"/>
    <w:rsid w:val="000D20C4"/>
    <w:rsid w:val="000D225C"/>
    <w:rsid w:val="000D2A5C"/>
    <w:rsid w:val="000D3145"/>
    <w:rsid w:val="000E0918"/>
    <w:rsid w:val="000E2279"/>
    <w:rsid w:val="000E4937"/>
    <w:rsid w:val="000E6618"/>
    <w:rsid w:val="000F10F9"/>
    <w:rsid w:val="00100444"/>
    <w:rsid w:val="001011C3"/>
    <w:rsid w:val="001036E7"/>
    <w:rsid w:val="00110D87"/>
    <w:rsid w:val="00111425"/>
    <w:rsid w:val="00114DB9"/>
    <w:rsid w:val="00116087"/>
    <w:rsid w:val="0011642E"/>
    <w:rsid w:val="00116A4C"/>
    <w:rsid w:val="00116E26"/>
    <w:rsid w:val="00124E9E"/>
    <w:rsid w:val="00126D76"/>
    <w:rsid w:val="00130296"/>
    <w:rsid w:val="00131434"/>
    <w:rsid w:val="0013276F"/>
    <w:rsid w:val="001328FA"/>
    <w:rsid w:val="001377AC"/>
    <w:rsid w:val="001423B6"/>
    <w:rsid w:val="00142CA9"/>
    <w:rsid w:val="001433F1"/>
    <w:rsid w:val="001448A7"/>
    <w:rsid w:val="00146621"/>
    <w:rsid w:val="00146F51"/>
    <w:rsid w:val="001471B9"/>
    <w:rsid w:val="001478BF"/>
    <w:rsid w:val="00150391"/>
    <w:rsid w:val="00151952"/>
    <w:rsid w:val="00152273"/>
    <w:rsid w:val="001542BB"/>
    <w:rsid w:val="00154BEE"/>
    <w:rsid w:val="00160343"/>
    <w:rsid w:val="00162325"/>
    <w:rsid w:val="001733FB"/>
    <w:rsid w:val="00185AD0"/>
    <w:rsid w:val="001951DA"/>
    <w:rsid w:val="001A174B"/>
    <w:rsid w:val="001A2FC2"/>
    <w:rsid w:val="001A5332"/>
    <w:rsid w:val="001A7E95"/>
    <w:rsid w:val="001B4FC4"/>
    <w:rsid w:val="001B6F2F"/>
    <w:rsid w:val="001C2F0A"/>
    <w:rsid w:val="001C3269"/>
    <w:rsid w:val="001D187C"/>
    <w:rsid w:val="001D1DB4"/>
    <w:rsid w:val="001D25E9"/>
    <w:rsid w:val="001D3039"/>
    <w:rsid w:val="001D3F48"/>
    <w:rsid w:val="001E2B1C"/>
    <w:rsid w:val="001E3FF4"/>
    <w:rsid w:val="001E7357"/>
    <w:rsid w:val="001F0374"/>
    <w:rsid w:val="001F4767"/>
    <w:rsid w:val="001F7382"/>
    <w:rsid w:val="00202F0E"/>
    <w:rsid w:val="00220346"/>
    <w:rsid w:val="0022623B"/>
    <w:rsid w:val="0023016F"/>
    <w:rsid w:val="0023558F"/>
    <w:rsid w:val="002409EE"/>
    <w:rsid w:val="00253EC9"/>
    <w:rsid w:val="00257081"/>
    <w:rsid w:val="002574F9"/>
    <w:rsid w:val="002600BF"/>
    <w:rsid w:val="00262883"/>
    <w:rsid w:val="002631E2"/>
    <w:rsid w:val="00267DFF"/>
    <w:rsid w:val="00274706"/>
    <w:rsid w:val="00276811"/>
    <w:rsid w:val="00280C0E"/>
    <w:rsid w:val="00282699"/>
    <w:rsid w:val="0028762C"/>
    <w:rsid w:val="0029081F"/>
    <w:rsid w:val="002926DF"/>
    <w:rsid w:val="0029316F"/>
    <w:rsid w:val="0029469C"/>
    <w:rsid w:val="00296697"/>
    <w:rsid w:val="002A2947"/>
    <w:rsid w:val="002A6FDA"/>
    <w:rsid w:val="002B0472"/>
    <w:rsid w:val="002B5988"/>
    <w:rsid w:val="002B6B12"/>
    <w:rsid w:val="002B6B88"/>
    <w:rsid w:val="002C6F5F"/>
    <w:rsid w:val="002D5237"/>
    <w:rsid w:val="002D7EFE"/>
    <w:rsid w:val="002E0C25"/>
    <w:rsid w:val="002E6140"/>
    <w:rsid w:val="002E6953"/>
    <w:rsid w:val="002E6985"/>
    <w:rsid w:val="002E71B6"/>
    <w:rsid w:val="002F0491"/>
    <w:rsid w:val="002F26D7"/>
    <w:rsid w:val="002F6367"/>
    <w:rsid w:val="002F6DAE"/>
    <w:rsid w:val="002F77C8"/>
    <w:rsid w:val="0030011A"/>
    <w:rsid w:val="00304841"/>
    <w:rsid w:val="00304F22"/>
    <w:rsid w:val="0030612E"/>
    <w:rsid w:val="00306C7C"/>
    <w:rsid w:val="003071E2"/>
    <w:rsid w:val="00313055"/>
    <w:rsid w:val="00316D51"/>
    <w:rsid w:val="00322EDD"/>
    <w:rsid w:val="00322FEF"/>
    <w:rsid w:val="00326832"/>
    <w:rsid w:val="00332320"/>
    <w:rsid w:val="003344B0"/>
    <w:rsid w:val="003452E2"/>
    <w:rsid w:val="00347D72"/>
    <w:rsid w:val="003533AD"/>
    <w:rsid w:val="00353FF9"/>
    <w:rsid w:val="00357611"/>
    <w:rsid w:val="00361913"/>
    <w:rsid w:val="0036643A"/>
    <w:rsid w:val="00366D5E"/>
    <w:rsid w:val="00367237"/>
    <w:rsid w:val="0037077F"/>
    <w:rsid w:val="00373882"/>
    <w:rsid w:val="00373AD5"/>
    <w:rsid w:val="00373EDF"/>
    <w:rsid w:val="003760C5"/>
    <w:rsid w:val="0037770B"/>
    <w:rsid w:val="003818AB"/>
    <w:rsid w:val="0038292F"/>
    <w:rsid w:val="003843DB"/>
    <w:rsid w:val="00390650"/>
    <w:rsid w:val="00393761"/>
    <w:rsid w:val="00397D18"/>
    <w:rsid w:val="003A198C"/>
    <w:rsid w:val="003A1B36"/>
    <w:rsid w:val="003A35BE"/>
    <w:rsid w:val="003A3C11"/>
    <w:rsid w:val="003A4A79"/>
    <w:rsid w:val="003B1454"/>
    <w:rsid w:val="003B5FC7"/>
    <w:rsid w:val="003C1CC5"/>
    <w:rsid w:val="003C59E0"/>
    <w:rsid w:val="003C5CB8"/>
    <w:rsid w:val="003C6C8D"/>
    <w:rsid w:val="003C791F"/>
    <w:rsid w:val="003D4B92"/>
    <w:rsid w:val="003D4F95"/>
    <w:rsid w:val="003D5F42"/>
    <w:rsid w:val="003D60A9"/>
    <w:rsid w:val="003D6799"/>
    <w:rsid w:val="003D691C"/>
    <w:rsid w:val="003D7DDC"/>
    <w:rsid w:val="003E1260"/>
    <w:rsid w:val="003E2353"/>
    <w:rsid w:val="003E421F"/>
    <w:rsid w:val="003E4FD0"/>
    <w:rsid w:val="003E5607"/>
    <w:rsid w:val="003E64E5"/>
    <w:rsid w:val="003F33BD"/>
    <w:rsid w:val="003F4C97"/>
    <w:rsid w:val="003F7FE6"/>
    <w:rsid w:val="00400193"/>
    <w:rsid w:val="004046AC"/>
    <w:rsid w:val="00406983"/>
    <w:rsid w:val="00411FD8"/>
    <w:rsid w:val="00412FAE"/>
    <w:rsid w:val="00416B53"/>
    <w:rsid w:val="00417F49"/>
    <w:rsid w:val="004212E7"/>
    <w:rsid w:val="0042254A"/>
    <w:rsid w:val="0042446D"/>
    <w:rsid w:val="00427BF8"/>
    <w:rsid w:val="004301BD"/>
    <w:rsid w:val="00431C02"/>
    <w:rsid w:val="004357CF"/>
    <w:rsid w:val="00436230"/>
    <w:rsid w:val="004372E5"/>
    <w:rsid w:val="00437395"/>
    <w:rsid w:val="00444EA8"/>
    <w:rsid w:val="00445047"/>
    <w:rsid w:val="0046016E"/>
    <w:rsid w:val="00463888"/>
    <w:rsid w:val="00463E39"/>
    <w:rsid w:val="004657FC"/>
    <w:rsid w:val="00466C0E"/>
    <w:rsid w:val="00466DED"/>
    <w:rsid w:val="004733F6"/>
    <w:rsid w:val="0047454E"/>
    <w:rsid w:val="00474E69"/>
    <w:rsid w:val="004773B6"/>
    <w:rsid w:val="0048170D"/>
    <w:rsid w:val="00482124"/>
    <w:rsid w:val="0049158F"/>
    <w:rsid w:val="004916D2"/>
    <w:rsid w:val="00494E16"/>
    <w:rsid w:val="0049621B"/>
    <w:rsid w:val="004B065A"/>
    <w:rsid w:val="004B270C"/>
    <w:rsid w:val="004B4F88"/>
    <w:rsid w:val="004C124C"/>
    <w:rsid w:val="004C1895"/>
    <w:rsid w:val="004C62B0"/>
    <w:rsid w:val="004C6D40"/>
    <w:rsid w:val="004D37DF"/>
    <w:rsid w:val="004D5717"/>
    <w:rsid w:val="004E36D9"/>
    <w:rsid w:val="004E5344"/>
    <w:rsid w:val="004F0C3C"/>
    <w:rsid w:val="004F63FC"/>
    <w:rsid w:val="004F69C4"/>
    <w:rsid w:val="005026F8"/>
    <w:rsid w:val="00503152"/>
    <w:rsid w:val="00505A92"/>
    <w:rsid w:val="00513E55"/>
    <w:rsid w:val="00513E95"/>
    <w:rsid w:val="00516117"/>
    <w:rsid w:val="0051666B"/>
    <w:rsid w:val="005203F1"/>
    <w:rsid w:val="00520925"/>
    <w:rsid w:val="00521BC3"/>
    <w:rsid w:val="00521C72"/>
    <w:rsid w:val="00530DD6"/>
    <w:rsid w:val="00532943"/>
    <w:rsid w:val="00533632"/>
    <w:rsid w:val="00534A1C"/>
    <w:rsid w:val="0054251F"/>
    <w:rsid w:val="00547BE0"/>
    <w:rsid w:val="00547CF5"/>
    <w:rsid w:val="00550618"/>
    <w:rsid w:val="00551C63"/>
    <w:rsid w:val="005520D8"/>
    <w:rsid w:val="005535A2"/>
    <w:rsid w:val="00554D74"/>
    <w:rsid w:val="00556CF1"/>
    <w:rsid w:val="0056307A"/>
    <w:rsid w:val="00571BEA"/>
    <w:rsid w:val="00572E91"/>
    <w:rsid w:val="00573C80"/>
    <w:rsid w:val="00574821"/>
    <w:rsid w:val="005762A7"/>
    <w:rsid w:val="005773B0"/>
    <w:rsid w:val="00577EAC"/>
    <w:rsid w:val="00582073"/>
    <w:rsid w:val="005905E0"/>
    <w:rsid w:val="00591649"/>
    <w:rsid w:val="005916D7"/>
    <w:rsid w:val="005917EF"/>
    <w:rsid w:val="005A698C"/>
    <w:rsid w:val="005A6D3D"/>
    <w:rsid w:val="005B0A49"/>
    <w:rsid w:val="005B0BE6"/>
    <w:rsid w:val="005C35BD"/>
    <w:rsid w:val="005C3E99"/>
    <w:rsid w:val="005C49AF"/>
    <w:rsid w:val="005D0DDF"/>
    <w:rsid w:val="005D2A63"/>
    <w:rsid w:val="005E0799"/>
    <w:rsid w:val="005E1593"/>
    <w:rsid w:val="005E645F"/>
    <w:rsid w:val="005F0C9B"/>
    <w:rsid w:val="005F5A80"/>
    <w:rsid w:val="006044FF"/>
    <w:rsid w:val="00607CC5"/>
    <w:rsid w:val="00613B6D"/>
    <w:rsid w:val="00616189"/>
    <w:rsid w:val="0062390F"/>
    <w:rsid w:val="00624080"/>
    <w:rsid w:val="006240E0"/>
    <w:rsid w:val="00626676"/>
    <w:rsid w:val="00626D2E"/>
    <w:rsid w:val="006275D5"/>
    <w:rsid w:val="00633014"/>
    <w:rsid w:val="0063437B"/>
    <w:rsid w:val="00635D93"/>
    <w:rsid w:val="006455CE"/>
    <w:rsid w:val="00646EF1"/>
    <w:rsid w:val="0065389A"/>
    <w:rsid w:val="006618F5"/>
    <w:rsid w:val="006673CA"/>
    <w:rsid w:val="0067350E"/>
    <w:rsid w:val="00673C26"/>
    <w:rsid w:val="006812AF"/>
    <w:rsid w:val="006822F9"/>
    <w:rsid w:val="0068327D"/>
    <w:rsid w:val="00686F3A"/>
    <w:rsid w:val="00690893"/>
    <w:rsid w:val="00692EB6"/>
    <w:rsid w:val="00694AF0"/>
    <w:rsid w:val="00695E23"/>
    <w:rsid w:val="006A0131"/>
    <w:rsid w:val="006A0327"/>
    <w:rsid w:val="006A10BF"/>
    <w:rsid w:val="006B0E9E"/>
    <w:rsid w:val="006B55C0"/>
    <w:rsid w:val="006B5AE4"/>
    <w:rsid w:val="006B5E06"/>
    <w:rsid w:val="006B7615"/>
    <w:rsid w:val="006C4D80"/>
    <w:rsid w:val="006D3220"/>
    <w:rsid w:val="006D3E99"/>
    <w:rsid w:val="006D4054"/>
    <w:rsid w:val="006D49AB"/>
    <w:rsid w:val="006E02EC"/>
    <w:rsid w:val="006E4685"/>
    <w:rsid w:val="006E5848"/>
    <w:rsid w:val="006F3A3A"/>
    <w:rsid w:val="006F4638"/>
    <w:rsid w:val="006F569E"/>
    <w:rsid w:val="00704CED"/>
    <w:rsid w:val="00706C85"/>
    <w:rsid w:val="00714E3D"/>
    <w:rsid w:val="00717AFC"/>
    <w:rsid w:val="007211B1"/>
    <w:rsid w:val="0072170E"/>
    <w:rsid w:val="007232BE"/>
    <w:rsid w:val="0072384A"/>
    <w:rsid w:val="00741EA9"/>
    <w:rsid w:val="00742082"/>
    <w:rsid w:val="00746187"/>
    <w:rsid w:val="00747BF9"/>
    <w:rsid w:val="0076254F"/>
    <w:rsid w:val="00765921"/>
    <w:rsid w:val="00773CA5"/>
    <w:rsid w:val="007801F5"/>
    <w:rsid w:val="00783CA4"/>
    <w:rsid w:val="007842FB"/>
    <w:rsid w:val="00786124"/>
    <w:rsid w:val="00787696"/>
    <w:rsid w:val="0079514B"/>
    <w:rsid w:val="007A20C5"/>
    <w:rsid w:val="007A2DC1"/>
    <w:rsid w:val="007A2DF0"/>
    <w:rsid w:val="007A4EF4"/>
    <w:rsid w:val="007B5A2A"/>
    <w:rsid w:val="007C0A9B"/>
    <w:rsid w:val="007C2125"/>
    <w:rsid w:val="007C4817"/>
    <w:rsid w:val="007C5AEF"/>
    <w:rsid w:val="007D3319"/>
    <w:rsid w:val="007D335D"/>
    <w:rsid w:val="007D544C"/>
    <w:rsid w:val="007E173E"/>
    <w:rsid w:val="007E1968"/>
    <w:rsid w:val="007E3314"/>
    <w:rsid w:val="007E4B03"/>
    <w:rsid w:val="007E50CC"/>
    <w:rsid w:val="007E7070"/>
    <w:rsid w:val="007E7E83"/>
    <w:rsid w:val="007F324B"/>
    <w:rsid w:val="007F3F8F"/>
    <w:rsid w:val="00804313"/>
    <w:rsid w:val="0080553C"/>
    <w:rsid w:val="00805B46"/>
    <w:rsid w:val="00805E15"/>
    <w:rsid w:val="0080765C"/>
    <w:rsid w:val="00807A5D"/>
    <w:rsid w:val="00811539"/>
    <w:rsid w:val="00811D37"/>
    <w:rsid w:val="00813856"/>
    <w:rsid w:val="008202F5"/>
    <w:rsid w:val="00822919"/>
    <w:rsid w:val="00823A6E"/>
    <w:rsid w:val="00825DC2"/>
    <w:rsid w:val="0082793A"/>
    <w:rsid w:val="00831544"/>
    <w:rsid w:val="00834AD3"/>
    <w:rsid w:val="0084182C"/>
    <w:rsid w:val="00843795"/>
    <w:rsid w:val="00847842"/>
    <w:rsid w:val="00847F0F"/>
    <w:rsid w:val="00852448"/>
    <w:rsid w:val="0085527B"/>
    <w:rsid w:val="00860E59"/>
    <w:rsid w:val="00865D62"/>
    <w:rsid w:val="00871069"/>
    <w:rsid w:val="00871B59"/>
    <w:rsid w:val="008736A6"/>
    <w:rsid w:val="0087425A"/>
    <w:rsid w:val="0088258A"/>
    <w:rsid w:val="00885D71"/>
    <w:rsid w:val="00886332"/>
    <w:rsid w:val="00890179"/>
    <w:rsid w:val="00892036"/>
    <w:rsid w:val="00893DFA"/>
    <w:rsid w:val="008A05A9"/>
    <w:rsid w:val="008A26D9"/>
    <w:rsid w:val="008A462E"/>
    <w:rsid w:val="008A6E26"/>
    <w:rsid w:val="008A758F"/>
    <w:rsid w:val="008A7F13"/>
    <w:rsid w:val="008B0038"/>
    <w:rsid w:val="008B0F83"/>
    <w:rsid w:val="008B1E16"/>
    <w:rsid w:val="008B5A4B"/>
    <w:rsid w:val="008B6123"/>
    <w:rsid w:val="008C0C29"/>
    <w:rsid w:val="008C0CF3"/>
    <w:rsid w:val="008C45AE"/>
    <w:rsid w:val="008C5481"/>
    <w:rsid w:val="008D3879"/>
    <w:rsid w:val="008E2D58"/>
    <w:rsid w:val="008E3FD3"/>
    <w:rsid w:val="008E5724"/>
    <w:rsid w:val="008F3133"/>
    <w:rsid w:val="008F3638"/>
    <w:rsid w:val="008F6F31"/>
    <w:rsid w:val="008F74DF"/>
    <w:rsid w:val="009007C1"/>
    <w:rsid w:val="00905B8B"/>
    <w:rsid w:val="00905C6D"/>
    <w:rsid w:val="009127BA"/>
    <w:rsid w:val="009201A8"/>
    <w:rsid w:val="009227A6"/>
    <w:rsid w:val="0092428C"/>
    <w:rsid w:val="00930939"/>
    <w:rsid w:val="00930DBE"/>
    <w:rsid w:val="00933EC1"/>
    <w:rsid w:val="00940EED"/>
    <w:rsid w:val="0094172E"/>
    <w:rsid w:val="0094433C"/>
    <w:rsid w:val="00952EAA"/>
    <w:rsid w:val="009530DB"/>
    <w:rsid w:val="00953676"/>
    <w:rsid w:val="009637BF"/>
    <w:rsid w:val="009705EE"/>
    <w:rsid w:val="00971AA2"/>
    <w:rsid w:val="009724EC"/>
    <w:rsid w:val="00977927"/>
    <w:rsid w:val="0098135C"/>
    <w:rsid w:val="00981472"/>
    <w:rsid w:val="0098156A"/>
    <w:rsid w:val="00983768"/>
    <w:rsid w:val="00991BAC"/>
    <w:rsid w:val="00996425"/>
    <w:rsid w:val="00996CD1"/>
    <w:rsid w:val="009A0715"/>
    <w:rsid w:val="009A0AEE"/>
    <w:rsid w:val="009A62C2"/>
    <w:rsid w:val="009A6EA0"/>
    <w:rsid w:val="009B021C"/>
    <w:rsid w:val="009B7C4B"/>
    <w:rsid w:val="009C113C"/>
    <w:rsid w:val="009C1335"/>
    <w:rsid w:val="009C1AB2"/>
    <w:rsid w:val="009C33CD"/>
    <w:rsid w:val="009C70BD"/>
    <w:rsid w:val="009C71ED"/>
    <w:rsid w:val="009C7251"/>
    <w:rsid w:val="009C748C"/>
    <w:rsid w:val="009D1F87"/>
    <w:rsid w:val="009D23F3"/>
    <w:rsid w:val="009E2E91"/>
    <w:rsid w:val="009E3936"/>
    <w:rsid w:val="009F2201"/>
    <w:rsid w:val="009F76B9"/>
    <w:rsid w:val="00A02E78"/>
    <w:rsid w:val="00A075F1"/>
    <w:rsid w:val="00A11E70"/>
    <w:rsid w:val="00A12D2D"/>
    <w:rsid w:val="00A139F5"/>
    <w:rsid w:val="00A32A01"/>
    <w:rsid w:val="00A32D05"/>
    <w:rsid w:val="00A334DB"/>
    <w:rsid w:val="00A337E2"/>
    <w:rsid w:val="00A35913"/>
    <w:rsid w:val="00A365F4"/>
    <w:rsid w:val="00A3719C"/>
    <w:rsid w:val="00A377DA"/>
    <w:rsid w:val="00A40C43"/>
    <w:rsid w:val="00A41997"/>
    <w:rsid w:val="00A42D7C"/>
    <w:rsid w:val="00A46098"/>
    <w:rsid w:val="00A47D80"/>
    <w:rsid w:val="00A47F3A"/>
    <w:rsid w:val="00A53132"/>
    <w:rsid w:val="00A563F2"/>
    <w:rsid w:val="00A566E8"/>
    <w:rsid w:val="00A57B83"/>
    <w:rsid w:val="00A605CD"/>
    <w:rsid w:val="00A617CD"/>
    <w:rsid w:val="00A62678"/>
    <w:rsid w:val="00A67688"/>
    <w:rsid w:val="00A67F74"/>
    <w:rsid w:val="00A810F9"/>
    <w:rsid w:val="00A86ECC"/>
    <w:rsid w:val="00A86FCC"/>
    <w:rsid w:val="00A87F65"/>
    <w:rsid w:val="00A90146"/>
    <w:rsid w:val="00A942F9"/>
    <w:rsid w:val="00A94912"/>
    <w:rsid w:val="00A95B33"/>
    <w:rsid w:val="00A976C1"/>
    <w:rsid w:val="00AA37AC"/>
    <w:rsid w:val="00AA52F9"/>
    <w:rsid w:val="00AA710D"/>
    <w:rsid w:val="00AB004C"/>
    <w:rsid w:val="00AB317B"/>
    <w:rsid w:val="00AB4EF0"/>
    <w:rsid w:val="00AB5D92"/>
    <w:rsid w:val="00AB6D25"/>
    <w:rsid w:val="00AC0A23"/>
    <w:rsid w:val="00AC6A4B"/>
    <w:rsid w:val="00AC757E"/>
    <w:rsid w:val="00AD07F3"/>
    <w:rsid w:val="00AD0F3D"/>
    <w:rsid w:val="00AD5989"/>
    <w:rsid w:val="00AD6205"/>
    <w:rsid w:val="00AE2D4B"/>
    <w:rsid w:val="00AE4F99"/>
    <w:rsid w:val="00AE66C1"/>
    <w:rsid w:val="00AE7699"/>
    <w:rsid w:val="00AF0A5D"/>
    <w:rsid w:val="00AF6A83"/>
    <w:rsid w:val="00AF7583"/>
    <w:rsid w:val="00B119FA"/>
    <w:rsid w:val="00B141C4"/>
    <w:rsid w:val="00B14869"/>
    <w:rsid w:val="00B14952"/>
    <w:rsid w:val="00B14A55"/>
    <w:rsid w:val="00B170D5"/>
    <w:rsid w:val="00B17987"/>
    <w:rsid w:val="00B20E86"/>
    <w:rsid w:val="00B237B4"/>
    <w:rsid w:val="00B258CC"/>
    <w:rsid w:val="00B27ABB"/>
    <w:rsid w:val="00B3166E"/>
    <w:rsid w:val="00B31E5A"/>
    <w:rsid w:val="00B33B76"/>
    <w:rsid w:val="00B37D7C"/>
    <w:rsid w:val="00B42F8F"/>
    <w:rsid w:val="00B62758"/>
    <w:rsid w:val="00B632DC"/>
    <w:rsid w:val="00B63DC1"/>
    <w:rsid w:val="00B653AB"/>
    <w:rsid w:val="00B65F9E"/>
    <w:rsid w:val="00B66B19"/>
    <w:rsid w:val="00B67C46"/>
    <w:rsid w:val="00B712E6"/>
    <w:rsid w:val="00B72A6B"/>
    <w:rsid w:val="00B85636"/>
    <w:rsid w:val="00B914E9"/>
    <w:rsid w:val="00B956EE"/>
    <w:rsid w:val="00BA2BA1"/>
    <w:rsid w:val="00BA2F07"/>
    <w:rsid w:val="00BB0128"/>
    <w:rsid w:val="00BB0447"/>
    <w:rsid w:val="00BB18E8"/>
    <w:rsid w:val="00BB4F09"/>
    <w:rsid w:val="00BB52BF"/>
    <w:rsid w:val="00BC4167"/>
    <w:rsid w:val="00BC6DC1"/>
    <w:rsid w:val="00BC7B8A"/>
    <w:rsid w:val="00BD3D40"/>
    <w:rsid w:val="00BD4289"/>
    <w:rsid w:val="00BD4E33"/>
    <w:rsid w:val="00BE2DE5"/>
    <w:rsid w:val="00BE5024"/>
    <w:rsid w:val="00BF0BB4"/>
    <w:rsid w:val="00BF61FA"/>
    <w:rsid w:val="00C002F7"/>
    <w:rsid w:val="00C006F3"/>
    <w:rsid w:val="00C00B05"/>
    <w:rsid w:val="00C030DE"/>
    <w:rsid w:val="00C04CF9"/>
    <w:rsid w:val="00C07AB3"/>
    <w:rsid w:val="00C10066"/>
    <w:rsid w:val="00C17A31"/>
    <w:rsid w:val="00C22105"/>
    <w:rsid w:val="00C22198"/>
    <w:rsid w:val="00C244B6"/>
    <w:rsid w:val="00C31912"/>
    <w:rsid w:val="00C3240D"/>
    <w:rsid w:val="00C3702F"/>
    <w:rsid w:val="00C37B54"/>
    <w:rsid w:val="00C41B62"/>
    <w:rsid w:val="00C471C2"/>
    <w:rsid w:val="00C5122A"/>
    <w:rsid w:val="00C5160D"/>
    <w:rsid w:val="00C55C1F"/>
    <w:rsid w:val="00C56B97"/>
    <w:rsid w:val="00C6453E"/>
    <w:rsid w:val="00C64A37"/>
    <w:rsid w:val="00C65C10"/>
    <w:rsid w:val="00C678E8"/>
    <w:rsid w:val="00C7158E"/>
    <w:rsid w:val="00C7250B"/>
    <w:rsid w:val="00C7281A"/>
    <w:rsid w:val="00C7346B"/>
    <w:rsid w:val="00C747F7"/>
    <w:rsid w:val="00C74D9F"/>
    <w:rsid w:val="00C75F9F"/>
    <w:rsid w:val="00C778CF"/>
    <w:rsid w:val="00C77C0E"/>
    <w:rsid w:val="00C80397"/>
    <w:rsid w:val="00C85C79"/>
    <w:rsid w:val="00C91687"/>
    <w:rsid w:val="00C924A8"/>
    <w:rsid w:val="00C934F2"/>
    <w:rsid w:val="00C945FE"/>
    <w:rsid w:val="00C95D0C"/>
    <w:rsid w:val="00C96FAA"/>
    <w:rsid w:val="00C97A04"/>
    <w:rsid w:val="00C97DB3"/>
    <w:rsid w:val="00CA107B"/>
    <w:rsid w:val="00CA4348"/>
    <w:rsid w:val="00CA484D"/>
    <w:rsid w:val="00CA4A73"/>
    <w:rsid w:val="00CB3650"/>
    <w:rsid w:val="00CB62B5"/>
    <w:rsid w:val="00CC03D4"/>
    <w:rsid w:val="00CC3F28"/>
    <w:rsid w:val="00CC5264"/>
    <w:rsid w:val="00CC739E"/>
    <w:rsid w:val="00CD050F"/>
    <w:rsid w:val="00CD493A"/>
    <w:rsid w:val="00CD58B7"/>
    <w:rsid w:val="00CE5F1F"/>
    <w:rsid w:val="00CF301C"/>
    <w:rsid w:val="00CF4099"/>
    <w:rsid w:val="00D00796"/>
    <w:rsid w:val="00D02F6A"/>
    <w:rsid w:val="00D04AAE"/>
    <w:rsid w:val="00D153FF"/>
    <w:rsid w:val="00D2207F"/>
    <w:rsid w:val="00D221C4"/>
    <w:rsid w:val="00D24980"/>
    <w:rsid w:val="00D24BA1"/>
    <w:rsid w:val="00D261A2"/>
    <w:rsid w:val="00D54A72"/>
    <w:rsid w:val="00D60796"/>
    <w:rsid w:val="00D616D2"/>
    <w:rsid w:val="00D62996"/>
    <w:rsid w:val="00D63B5F"/>
    <w:rsid w:val="00D66940"/>
    <w:rsid w:val="00D70EF7"/>
    <w:rsid w:val="00D71772"/>
    <w:rsid w:val="00D7313D"/>
    <w:rsid w:val="00D77F89"/>
    <w:rsid w:val="00D82C77"/>
    <w:rsid w:val="00D8397C"/>
    <w:rsid w:val="00D86CFF"/>
    <w:rsid w:val="00D94635"/>
    <w:rsid w:val="00D94EED"/>
    <w:rsid w:val="00D9552D"/>
    <w:rsid w:val="00D96026"/>
    <w:rsid w:val="00DA12B4"/>
    <w:rsid w:val="00DA1B65"/>
    <w:rsid w:val="00DA21C6"/>
    <w:rsid w:val="00DA5837"/>
    <w:rsid w:val="00DA7768"/>
    <w:rsid w:val="00DA7C1C"/>
    <w:rsid w:val="00DB147A"/>
    <w:rsid w:val="00DB1B7A"/>
    <w:rsid w:val="00DB24F1"/>
    <w:rsid w:val="00DB42D7"/>
    <w:rsid w:val="00DB562E"/>
    <w:rsid w:val="00DC6668"/>
    <w:rsid w:val="00DC6708"/>
    <w:rsid w:val="00DD192E"/>
    <w:rsid w:val="00DD2849"/>
    <w:rsid w:val="00DD4043"/>
    <w:rsid w:val="00DE0213"/>
    <w:rsid w:val="00DE190C"/>
    <w:rsid w:val="00DF30B1"/>
    <w:rsid w:val="00DF5E19"/>
    <w:rsid w:val="00E01436"/>
    <w:rsid w:val="00E029B6"/>
    <w:rsid w:val="00E02B32"/>
    <w:rsid w:val="00E045BD"/>
    <w:rsid w:val="00E11AEE"/>
    <w:rsid w:val="00E146C4"/>
    <w:rsid w:val="00E14FE3"/>
    <w:rsid w:val="00E17B77"/>
    <w:rsid w:val="00E228B8"/>
    <w:rsid w:val="00E23337"/>
    <w:rsid w:val="00E259EA"/>
    <w:rsid w:val="00E25FC7"/>
    <w:rsid w:val="00E32061"/>
    <w:rsid w:val="00E42FF9"/>
    <w:rsid w:val="00E430D4"/>
    <w:rsid w:val="00E4714C"/>
    <w:rsid w:val="00E51AEB"/>
    <w:rsid w:val="00E522A7"/>
    <w:rsid w:val="00E54349"/>
    <w:rsid w:val="00E54452"/>
    <w:rsid w:val="00E5594F"/>
    <w:rsid w:val="00E664C5"/>
    <w:rsid w:val="00E671A2"/>
    <w:rsid w:val="00E75A6E"/>
    <w:rsid w:val="00E76D26"/>
    <w:rsid w:val="00E815A3"/>
    <w:rsid w:val="00E816C9"/>
    <w:rsid w:val="00E82CD8"/>
    <w:rsid w:val="00E97600"/>
    <w:rsid w:val="00EA089C"/>
    <w:rsid w:val="00EA25CA"/>
    <w:rsid w:val="00EA4A7E"/>
    <w:rsid w:val="00EA7439"/>
    <w:rsid w:val="00EA7C59"/>
    <w:rsid w:val="00EB1390"/>
    <w:rsid w:val="00EB1BB9"/>
    <w:rsid w:val="00EB2C71"/>
    <w:rsid w:val="00EB3163"/>
    <w:rsid w:val="00EB4340"/>
    <w:rsid w:val="00EB556D"/>
    <w:rsid w:val="00EB5A7D"/>
    <w:rsid w:val="00ED0CE4"/>
    <w:rsid w:val="00ED3432"/>
    <w:rsid w:val="00ED55C0"/>
    <w:rsid w:val="00ED682B"/>
    <w:rsid w:val="00ED73E7"/>
    <w:rsid w:val="00ED74D7"/>
    <w:rsid w:val="00ED7773"/>
    <w:rsid w:val="00EE15E2"/>
    <w:rsid w:val="00EE41D5"/>
    <w:rsid w:val="00EE6C61"/>
    <w:rsid w:val="00EF4243"/>
    <w:rsid w:val="00EF4A63"/>
    <w:rsid w:val="00EF639B"/>
    <w:rsid w:val="00EF64C0"/>
    <w:rsid w:val="00F037A4"/>
    <w:rsid w:val="00F04245"/>
    <w:rsid w:val="00F04580"/>
    <w:rsid w:val="00F04CF3"/>
    <w:rsid w:val="00F06B8D"/>
    <w:rsid w:val="00F17DA1"/>
    <w:rsid w:val="00F22B78"/>
    <w:rsid w:val="00F23BFC"/>
    <w:rsid w:val="00F24737"/>
    <w:rsid w:val="00F26745"/>
    <w:rsid w:val="00F2756D"/>
    <w:rsid w:val="00F27C8F"/>
    <w:rsid w:val="00F32749"/>
    <w:rsid w:val="00F37172"/>
    <w:rsid w:val="00F37D35"/>
    <w:rsid w:val="00F4367F"/>
    <w:rsid w:val="00F4477E"/>
    <w:rsid w:val="00F5012A"/>
    <w:rsid w:val="00F53584"/>
    <w:rsid w:val="00F64219"/>
    <w:rsid w:val="00F64508"/>
    <w:rsid w:val="00F67D8F"/>
    <w:rsid w:val="00F728FF"/>
    <w:rsid w:val="00F747CA"/>
    <w:rsid w:val="00F75026"/>
    <w:rsid w:val="00F7518F"/>
    <w:rsid w:val="00F75F92"/>
    <w:rsid w:val="00F802BE"/>
    <w:rsid w:val="00F81AE9"/>
    <w:rsid w:val="00F82F18"/>
    <w:rsid w:val="00F86024"/>
    <w:rsid w:val="00F8611A"/>
    <w:rsid w:val="00F867B1"/>
    <w:rsid w:val="00F92945"/>
    <w:rsid w:val="00F931B6"/>
    <w:rsid w:val="00F93B25"/>
    <w:rsid w:val="00F973A9"/>
    <w:rsid w:val="00FA5128"/>
    <w:rsid w:val="00FA7D66"/>
    <w:rsid w:val="00FB0534"/>
    <w:rsid w:val="00FB2597"/>
    <w:rsid w:val="00FB42D4"/>
    <w:rsid w:val="00FB4558"/>
    <w:rsid w:val="00FB5906"/>
    <w:rsid w:val="00FB60FD"/>
    <w:rsid w:val="00FB762F"/>
    <w:rsid w:val="00FC2AED"/>
    <w:rsid w:val="00FC3A17"/>
    <w:rsid w:val="00FC6054"/>
    <w:rsid w:val="00FD0C1E"/>
    <w:rsid w:val="00FD2D8B"/>
    <w:rsid w:val="00FD37CD"/>
    <w:rsid w:val="00FD5EA7"/>
    <w:rsid w:val="00FD626C"/>
    <w:rsid w:val="00FE2D63"/>
    <w:rsid w:val="00FF1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f" fillcolor="white" stroke="f">
      <v:fill color="white" on="f"/>
      <v:stroke on="f"/>
    </o:shapedefaults>
    <o:shapelayout v:ext="edit">
      <o:idmap v:ext="edit" data="1"/>
    </o:shapelayout>
  </w:shapeDefaults>
  <w:decimalSymbol w:val=","/>
  <w:listSeparator w:val=";"/>
  <w14:docId w14:val="7E727400"/>
  <w15:chartTrackingRefBased/>
  <w15:docId w15:val="{FF868038-062A-4796-9E54-08DEA9FC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val="x-none"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lang w:val="x-none" w:eastAsia="x-none"/>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lang w:val="x-none" w:eastAsia="x-none"/>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lang w:val="x-none" w:eastAsia="x-none"/>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lang w:val="x-none" w:eastAsia="x-none"/>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lang w:val="x-none" w:eastAsia="x-none"/>
    </w:rPr>
  </w:style>
  <w:style w:type="paragraph" w:styleId="Nagwek9">
    <w:name w:val="heading 9"/>
    <w:basedOn w:val="Normalny"/>
    <w:next w:val="Normalny"/>
    <w:link w:val="Nagwek9Znak"/>
    <w:uiPriority w:val="9"/>
    <w:unhideWhenUsed/>
    <w:qFormat/>
    <w:rsid w:val="007A2DC1"/>
    <w:pPr>
      <w:keepNext/>
      <w:keepLines/>
      <w:spacing w:before="40" w:after="0"/>
      <w:outlineLvl w:val="8"/>
    </w:pPr>
    <w:rPr>
      <w:rFonts w:ascii="Fira Sans Medium" w:eastAsia="Times New Roman" w:hAnsi="Fira Sans Medium"/>
      <w:i/>
      <w:iCs/>
      <w:color w:val="272727"/>
      <w:sz w:val="21"/>
      <w:szCs w:val="21"/>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rFonts w:ascii="Fira Sans Light" w:hAnsi="Fira Sans Light"/>
      <w:sz w:val="20"/>
      <w:szCs w:val="20"/>
      <w:lang w:val="x-none" w:eastAsia="x-none"/>
    </w:rPr>
  </w:style>
  <w:style w:type="character" w:customStyle="1" w:styleId="TekstprzypisudolnegoZnak">
    <w:name w:val="Tekst przypisu dolnego Znak"/>
    <w:link w:val="Tekstprzypisudolnego"/>
    <w:uiPriority w:val="99"/>
    <w:rsid w:val="001448A7"/>
    <w:rPr>
      <w:sz w:val="20"/>
      <w:szCs w:val="20"/>
    </w:rPr>
  </w:style>
  <w:style w:type="character" w:styleId="Odwoanieprzypisudolnego">
    <w:name w:val="footnote reference"/>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695E23"/>
    <w:rPr>
      <w:color w:val="954F72"/>
      <w:u w:val="single"/>
    </w:rPr>
  </w:style>
  <w:style w:type="character" w:customStyle="1" w:styleId="shorttext">
    <w:name w:val="short_text"/>
    <w:basedOn w:val="Domylnaczcionkaakapitu"/>
    <w:rsid w:val="00FD626C"/>
  </w:style>
  <w:style w:type="paragraph" w:styleId="NormalnyWeb">
    <w:name w:val="Normal (Web)"/>
    <w:basedOn w:val="Normalny"/>
    <w:uiPriority w:val="99"/>
    <w:semiHidden/>
    <w:unhideWhenUsed/>
    <w:rsid w:val="00FD626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lt-edited1">
    <w:name w:val="alt-edited1"/>
    <w:rsid w:val="006A0327"/>
    <w:rPr>
      <w:color w:val="4D90F0"/>
    </w:rPr>
  </w:style>
  <w:style w:type="paragraph" w:styleId="Tekstprzypisukocowego">
    <w:name w:val="endnote text"/>
    <w:basedOn w:val="Normalny"/>
    <w:link w:val="TekstprzypisukocowegoZnak"/>
    <w:uiPriority w:val="99"/>
    <w:semiHidden/>
    <w:unhideWhenUsed/>
    <w:rsid w:val="004301BD"/>
    <w:pPr>
      <w:spacing w:before="0" w:after="200" w:line="276" w:lineRule="auto"/>
    </w:pPr>
    <w:rPr>
      <w:rFonts w:ascii="Calibri" w:eastAsia="Times New Roman" w:hAnsi="Calibri"/>
      <w:sz w:val="20"/>
      <w:szCs w:val="20"/>
      <w:lang w:val="x-none" w:eastAsia="x-none"/>
    </w:rPr>
  </w:style>
  <w:style w:type="character" w:customStyle="1" w:styleId="TekstprzypisukocowegoZnak">
    <w:name w:val="Tekst przypisu końcowego Znak"/>
    <w:link w:val="Tekstprzypisukocowego"/>
    <w:uiPriority w:val="99"/>
    <w:semiHidden/>
    <w:rsid w:val="004301BD"/>
    <w:rPr>
      <w:rFonts w:ascii="Calibri" w:eastAsia="Times New Roman" w:hAnsi="Calibri"/>
    </w:rPr>
  </w:style>
  <w:style w:type="character" w:styleId="Odwoanieprzypisukocowego">
    <w:name w:val="endnote reference"/>
    <w:uiPriority w:val="99"/>
    <w:semiHidden/>
    <w:unhideWhenUsed/>
    <w:rsid w:val="004301BD"/>
    <w:rPr>
      <w:vertAlign w:val="superscript"/>
    </w:rPr>
  </w:style>
  <w:style w:type="character" w:styleId="Odwoaniedokomentarza">
    <w:name w:val="annotation reference"/>
    <w:uiPriority w:val="99"/>
    <w:semiHidden/>
    <w:unhideWhenUsed/>
    <w:rsid w:val="000734F2"/>
    <w:rPr>
      <w:sz w:val="16"/>
      <w:szCs w:val="16"/>
    </w:rPr>
  </w:style>
  <w:style w:type="paragraph" w:styleId="Tekstkomentarza">
    <w:name w:val="annotation text"/>
    <w:basedOn w:val="Normalny"/>
    <w:link w:val="TekstkomentarzaZnak"/>
    <w:uiPriority w:val="99"/>
    <w:semiHidden/>
    <w:unhideWhenUsed/>
    <w:rsid w:val="000734F2"/>
    <w:rPr>
      <w:sz w:val="20"/>
      <w:szCs w:val="20"/>
    </w:rPr>
  </w:style>
  <w:style w:type="character" w:customStyle="1" w:styleId="TekstkomentarzaZnak">
    <w:name w:val="Tekst komentarza Znak"/>
    <w:link w:val="Tekstkomentarza"/>
    <w:uiPriority w:val="99"/>
    <w:semiHidden/>
    <w:rsid w:val="000734F2"/>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322FEF"/>
    <w:rPr>
      <w:b/>
      <w:bCs/>
    </w:rPr>
  </w:style>
  <w:style w:type="character" w:customStyle="1" w:styleId="TematkomentarzaZnak">
    <w:name w:val="Temat komentarza Znak"/>
    <w:link w:val="Tematkomentarza"/>
    <w:uiPriority w:val="99"/>
    <w:semiHidden/>
    <w:rsid w:val="00322FEF"/>
    <w:rPr>
      <w:rFonts w:ascii="Fira Sans" w:hAnsi="Fira Sans"/>
      <w:b/>
      <w:bCs/>
      <w:lang w:eastAsia="en-US"/>
    </w:rPr>
  </w:style>
  <w:style w:type="paragraph" w:customStyle="1" w:styleId="Opiswskanika">
    <w:name w:val="Opis wskaźnika"/>
    <w:basedOn w:val="tekstnaniebieskimtle"/>
    <w:link w:val="OpiswskanikaZnak"/>
    <w:qFormat/>
    <w:rsid w:val="003818AB"/>
    <w:rPr>
      <w:color w:val="FFFFFF"/>
    </w:rPr>
  </w:style>
  <w:style w:type="character" w:customStyle="1" w:styleId="OpiswskanikaZnak">
    <w:name w:val="Opis wskaźnika Znak"/>
    <w:link w:val="Opiswskanika"/>
    <w:rsid w:val="003818AB"/>
    <w:rPr>
      <w:rFonts w:ascii="Fira Sans" w:hAnsi="Fira Sans"/>
      <w:color w:val="FFFFFF"/>
      <w:szCs w:val="22"/>
      <w:lang w:eastAsia="en-US"/>
    </w:rPr>
  </w:style>
  <w:style w:type="character" w:styleId="Nierozpoznanawzmianka">
    <w:name w:val="Unresolved Mention"/>
    <w:basedOn w:val="Domylnaczcionkaakapitu"/>
    <w:uiPriority w:val="99"/>
    <w:semiHidden/>
    <w:unhideWhenUsed/>
    <w:rsid w:val="00EE6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8260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815868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15425113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65649298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6347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obslugaprasowa@stat.gov.pl" TargetMode="External"/><Relationship Id="rId23" Type="http://schemas.openxmlformats.org/officeDocument/2006/relationships/hyperlink" Target="https://stat.gov.pl/en/metainformation/glossary/terms-used-in-official-statistics/364,term.html" TargetMode="External"/><Relationship Id="rId10" Type="http://schemas.openxmlformats.org/officeDocument/2006/relationships/chart" Target="charts/chart1.xm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aid.stat.gov.pl/EN/SitePagesDBW/RachunkiNarodowe.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at.gov.pl/obszary-tematyczne/rachunki-narodowe/roczne-rachunki-narodowe/informacja-glownego-urzedu-statystycznego-na-temat-rewizji-rachunkow-narodowych-w-latach-1995-2022,17,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vmfgus09\RN\RN-04\DANE%20NOTYFIKACJA\Bie&#380;&#261;ce\Dane%20notyfikacja%20wrzesie&#324;%202024\KOMUNIKAT\wyliczeniaa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mfgus09\RN\RN-04\DANE%20NOTYFIKACJA\Bie&#380;&#261;ce\Dane%20notyfikacja%20wrzesie&#324;%202024\KOMUNIKAT\wyliczeniaa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6179144290336"/>
          <c:y val="0.13187477727066615"/>
          <c:w val="0.82230340306174177"/>
          <c:h val="0.74856295587788302"/>
        </c:manualLayout>
      </c:layout>
      <c:lineChart>
        <c:grouping val="standard"/>
        <c:varyColors val="0"/>
        <c:ser>
          <c:idx val="0"/>
          <c:order val="0"/>
          <c:tx>
            <c:strRef>
              <c:f>IX.2024!$J$8</c:f>
              <c:strCache>
                <c:ptCount val="1"/>
                <c:pt idx="0">
                  <c:v>Deficyt sektora instytucji rządowych i samorządowych w % PKB</c:v>
                </c:pt>
              </c:strCache>
            </c:strRef>
          </c:tx>
          <c:spPr>
            <a:ln w="28575" cap="rnd">
              <a:solidFill>
                <a:srgbClr val="007AC9"/>
              </a:solidFill>
              <a:round/>
            </a:ln>
            <a:effectLst/>
          </c:spPr>
          <c:marker>
            <c:symbol val="circle"/>
            <c:size val="5"/>
            <c:spPr>
              <a:solidFill>
                <a:srgbClr val="007AC9"/>
              </a:solidFill>
              <a:ln w="9525" cap="flat">
                <a:solidFill>
                  <a:srgbClr val="007AC9"/>
                </a:solidFill>
              </a:ln>
              <a:effectLst/>
            </c:spPr>
          </c:marker>
          <c:dPt>
            <c:idx val="0"/>
            <c:bubble3D val="0"/>
            <c:spPr>
              <a:ln w="28575" cap="rnd">
                <a:solidFill>
                  <a:srgbClr val="007AC9"/>
                </a:solidFill>
                <a:round/>
              </a:ln>
              <a:effectLst/>
            </c:spPr>
            <c:extLst>
              <c:ext xmlns:c16="http://schemas.microsoft.com/office/drawing/2014/chart" uri="{C3380CC4-5D6E-409C-BE32-E72D297353CC}">
                <c16:uniqueId val="{00000001-908A-4202-BA44-7F6309544947}"/>
              </c:ext>
            </c:extLst>
          </c:dPt>
          <c:dLbls>
            <c:dLbl>
              <c:idx val="0"/>
              <c:layout>
                <c:manualLayout>
                  <c:x val="-0.12587386982903453"/>
                  <c:y val="-6.6730011799345595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8A-4202-BA44-7F6309544947}"/>
                </c:ext>
              </c:extLst>
            </c:dLbl>
            <c:dLbl>
              <c:idx val="1"/>
              <c:layout>
                <c:manualLayout>
                  <c:x val="-2.5677232235840331E-2"/>
                  <c:y val="-2.9135525010203583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8A-4202-BA44-7F6309544947}"/>
                </c:ext>
              </c:extLst>
            </c:dLbl>
            <c:dLbl>
              <c:idx val="2"/>
              <c:layout>
                <c:manualLayout>
                  <c:x val="-2.3678143395383749E-2"/>
                  <c:y val="-3.9161934995596989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8A-4202-BA44-7F6309544947}"/>
                </c:ext>
              </c:extLst>
            </c:dLbl>
            <c:dLbl>
              <c:idx val="3"/>
              <c:layout>
                <c:manualLayout>
                  <c:x val="-2.4796384653384226E-2"/>
                  <c:y val="-1.7264582425730261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8A-4202-BA44-7F6309544947}"/>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Fira Sans"/>
                    <a:ea typeface="Fira Sans"/>
                    <a:cs typeface="Fira San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IX.2024!$K$7:$N$7</c:f>
              <c:numCache>
                <c:formatCode>General</c:formatCode>
                <c:ptCount val="4"/>
                <c:pt idx="0">
                  <c:v>2020</c:v>
                </c:pt>
                <c:pt idx="1">
                  <c:v>2021</c:v>
                </c:pt>
                <c:pt idx="2">
                  <c:v>2022</c:v>
                </c:pt>
                <c:pt idx="3">
                  <c:v>2023</c:v>
                </c:pt>
              </c:numCache>
            </c:numRef>
          </c:cat>
          <c:val>
            <c:numRef>
              <c:f>IX.2024!$K$8:$N$8</c:f>
              <c:numCache>
                <c:formatCode>0.0%</c:formatCode>
                <c:ptCount val="4"/>
                <c:pt idx="0">
                  <c:v>-6.8530781337749355E-2</c:v>
                </c:pt>
                <c:pt idx="1">
                  <c:v>-1.7455452114169434E-2</c:v>
                </c:pt>
                <c:pt idx="2">
                  <c:v>-3.4344776432268569E-2</c:v>
                </c:pt>
                <c:pt idx="3">
                  <c:v>-5.2897010533247489E-2</c:v>
                </c:pt>
              </c:numCache>
            </c:numRef>
          </c:val>
          <c:smooth val="0"/>
          <c:extLst>
            <c:ext xmlns:c16="http://schemas.microsoft.com/office/drawing/2014/chart" uri="{C3380CC4-5D6E-409C-BE32-E72D297353CC}">
              <c16:uniqueId val="{00000005-908A-4202-BA44-7F6309544947}"/>
            </c:ext>
          </c:extLst>
        </c:ser>
        <c:dLbls>
          <c:showLegendKey val="0"/>
          <c:showVal val="0"/>
          <c:showCatName val="0"/>
          <c:showSerName val="0"/>
          <c:showPercent val="0"/>
          <c:showBubbleSize val="0"/>
        </c:dLbls>
        <c:marker val="1"/>
        <c:smooth val="0"/>
        <c:axId val="-1872924720"/>
        <c:axId val="-1872928528"/>
      </c:lineChart>
      <c:catAx>
        <c:axId val="-187292472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Fira Sans"/>
                <a:ea typeface="Fira Sans"/>
                <a:cs typeface="Fira Sans"/>
              </a:defRPr>
            </a:pPr>
            <a:endParaRPr lang="pl-PL"/>
          </a:p>
        </c:txPr>
        <c:crossAx val="-1872928528"/>
        <c:crosses val="autoZero"/>
        <c:auto val="1"/>
        <c:lblAlgn val="ctr"/>
        <c:lblOffset val="100"/>
        <c:noMultiLvlLbl val="0"/>
      </c:catAx>
      <c:valAx>
        <c:axId val="-1872928528"/>
        <c:scaling>
          <c:orientation val="minMax"/>
          <c:max val="0"/>
          <c:min val="-7.0000000000000007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000000"/>
                </a:solidFill>
                <a:latin typeface="Fira Sans"/>
                <a:ea typeface="Fira Sans"/>
                <a:cs typeface="Fira Sans"/>
              </a:defRPr>
            </a:pPr>
            <a:endParaRPr lang="pl-PL"/>
          </a:p>
        </c:txPr>
        <c:crossAx val="-1872924720"/>
        <c:crosses val="autoZero"/>
        <c:crossBetween val="between"/>
        <c:majorUnit val="1.0000000000000002E-2"/>
        <c:minorUnit val="2.0000000000000005E-3"/>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27528028234278"/>
          <c:y val="7.3672120116217973E-2"/>
          <c:w val="0.86640481251336332"/>
          <c:h val="0.82155560048993204"/>
        </c:manualLayout>
      </c:layout>
      <c:lineChart>
        <c:grouping val="standard"/>
        <c:varyColors val="0"/>
        <c:ser>
          <c:idx val="0"/>
          <c:order val="0"/>
          <c:tx>
            <c:strRef>
              <c:f>IX.2024!$J$23</c:f>
              <c:strCache>
                <c:ptCount val="1"/>
                <c:pt idx="0">
                  <c:v>Dług sektora instytucji rządowych i samorządowych</c:v>
                </c:pt>
              </c:strCache>
            </c:strRef>
          </c:tx>
          <c:spPr>
            <a:ln w="28575" cap="rnd">
              <a:solidFill>
                <a:srgbClr val="212492"/>
              </a:solidFill>
              <a:round/>
            </a:ln>
            <a:effectLst/>
          </c:spPr>
          <c:marker>
            <c:symbol val="circle"/>
            <c:size val="5"/>
            <c:spPr>
              <a:solidFill>
                <a:srgbClr val="212492"/>
              </a:solidFill>
              <a:ln w="9525">
                <a:solidFill>
                  <a:srgbClr val="212492"/>
                </a:solidFill>
              </a:ln>
              <a:effectLst/>
            </c:spPr>
          </c:marker>
          <c:dLbls>
            <c:dLbl>
              <c:idx val="0"/>
              <c:layout>
                <c:manualLayout>
                  <c:x val="-0.1274524059609303"/>
                  <c:y val="-2.7160674931599481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78-4C67-A471-86DDB4B9F7BE}"/>
                </c:ext>
              </c:extLst>
            </c:dLbl>
            <c:dLbl>
              <c:idx val="1"/>
              <c:layout>
                <c:manualLayout>
                  <c:x val="-1.2778809152920926E-2"/>
                  <c:y val="-2.9567065362504471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78-4C67-A471-86DDB4B9F7BE}"/>
                </c:ext>
              </c:extLst>
            </c:dLbl>
            <c:dLbl>
              <c:idx val="2"/>
              <c:layout>
                <c:manualLayout>
                  <c:x val="-4.2631738805058821E-2"/>
                  <c:y val="-6.0109951285885983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78-4C67-A471-86DDB4B9F7BE}"/>
                </c:ext>
              </c:extLst>
            </c:dLbl>
            <c:dLbl>
              <c:idx val="3"/>
              <c:layout>
                <c:manualLayout>
                  <c:x val="-3.3088531699651744E-2"/>
                  <c:y val="-4.3407849871013517E-2"/>
                </c:manualLayout>
              </c:layout>
              <c:spPr>
                <a:noFill/>
                <a:ln w="25400">
                  <a:noFill/>
                </a:ln>
              </c:spPr>
              <c:txPr>
                <a:bodyPr/>
                <a:lstStyle/>
                <a:p>
                  <a:pPr>
                    <a:defRPr sz="900" b="0" i="0" u="none" strike="noStrike" baseline="0">
                      <a:solidFill>
                        <a:srgbClr val="000000"/>
                      </a:solidFill>
                      <a:latin typeface="Fira Sans"/>
                      <a:ea typeface="Fira Sans"/>
                      <a:cs typeface="Fira Sans"/>
                    </a:defRPr>
                  </a:pPr>
                  <a:endParaRPr lang="pl-PL"/>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78-4C67-A471-86DDB4B9F7BE}"/>
                </c:ext>
              </c:extLst>
            </c:dLbl>
            <c:spPr>
              <a:noFill/>
              <a:ln w="25400">
                <a:noFill/>
              </a:ln>
            </c:spPr>
            <c:txPr>
              <a:bodyPr wrap="square" lIns="38100" tIns="19050" rIns="38100" bIns="19050" anchor="ctr">
                <a:spAutoFit/>
              </a:bodyPr>
              <a:lstStyle/>
              <a:p>
                <a:pPr>
                  <a:defRPr sz="900" b="0" i="0" u="none" strike="noStrike" baseline="0">
                    <a:solidFill>
                      <a:srgbClr val="000000"/>
                    </a:solidFill>
                    <a:latin typeface="Fira Sans"/>
                    <a:ea typeface="Fira Sans"/>
                    <a:cs typeface="Fira San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IX.2024!$K$22:$N$22</c:f>
              <c:numCache>
                <c:formatCode>General</c:formatCode>
                <c:ptCount val="4"/>
                <c:pt idx="0">
                  <c:v>2020</c:v>
                </c:pt>
                <c:pt idx="1">
                  <c:v>2021</c:v>
                </c:pt>
                <c:pt idx="2">
                  <c:v>2022</c:v>
                </c:pt>
                <c:pt idx="3">
                  <c:v>2023</c:v>
                </c:pt>
              </c:numCache>
            </c:numRef>
          </c:cat>
          <c:val>
            <c:numRef>
              <c:f>IX.2024!$K$23:$N$23</c:f>
              <c:numCache>
                <c:formatCode>0.0%</c:formatCode>
                <c:ptCount val="4"/>
                <c:pt idx="0">
                  <c:v>0.56584658994485193</c:v>
                </c:pt>
                <c:pt idx="1">
                  <c:v>0.5301358097146065</c:v>
                </c:pt>
                <c:pt idx="2">
                  <c:v>0.48785913539835851</c:v>
                </c:pt>
                <c:pt idx="3">
                  <c:v>0.49718104074247194</c:v>
                </c:pt>
              </c:numCache>
            </c:numRef>
          </c:val>
          <c:smooth val="0"/>
          <c:extLst>
            <c:ext xmlns:c16="http://schemas.microsoft.com/office/drawing/2014/chart" uri="{C3380CC4-5D6E-409C-BE32-E72D297353CC}">
              <c16:uniqueId val="{00000004-8E78-4C67-A471-86DDB4B9F7BE}"/>
            </c:ext>
          </c:extLst>
        </c:ser>
        <c:dLbls>
          <c:showLegendKey val="0"/>
          <c:showVal val="0"/>
          <c:showCatName val="0"/>
          <c:showSerName val="0"/>
          <c:showPercent val="0"/>
          <c:showBubbleSize val="0"/>
        </c:dLbls>
        <c:marker val="1"/>
        <c:smooth val="0"/>
        <c:axId val="-1872924176"/>
        <c:axId val="-1872923632"/>
      </c:lineChart>
      <c:catAx>
        <c:axId val="-187292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Fira Sans"/>
                <a:ea typeface="Fira Sans"/>
                <a:cs typeface="Fira Sans"/>
              </a:defRPr>
            </a:pPr>
            <a:endParaRPr lang="pl-PL"/>
          </a:p>
        </c:txPr>
        <c:crossAx val="-1872923632"/>
        <c:crosses val="autoZero"/>
        <c:auto val="1"/>
        <c:lblAlgn val="ctr"/>
        <c:lblOffset val="100"/>
        <c:noMultiLvlLbl val="0"/>
      </c:catAx>
      <c:valAx>
        <c:axId val="-1872923632"/>
        <c:scaling>
          <c:orientation val="minMax"/>
          <c:max val="0.59000000000000008"/>
          <c:min val="0.48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ln w="6350">
            <a:noFill/>
          </a:ln>
        </c:spPr>
        <c:txPr>
          <a:bodyPr rot="0" vert="horz"/>
          <a:lstStyle/>
          <a:p>
            <a:pPr>
              <a:defRPr sz="900" b="0" i="0" u="none" strike="noStrike" baseline="0">
                <a:solidFill>
                  <a:srgbClr val="000000"/>
                </a:solidFill>
                <a:latin typeface="Fira Sans"/>
                <a:ea typeface="Fira Sans"/>
                <a:cs typeface="Fira Sans"/>
              </a:defRPr>
            </a:pPr>
            <a:endParaRPr lang="pl-PL"/>
          </a:p>
        </c:txPr>
        <c:crossAx val="-1872924176"/>
        <c:crosses val="autoZero"/>
        <c:crossBetween val="between"/>
        <c:majorUnit val="2.0000000000000004E-2"/>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1E9983FF-DC4B-4F4E-A072-0441E2B88E6D">Komunikat_ANG 22.10.2024.docx.docx</NazwaPliku>
    <Odbiorcy2 xmlns="1E9983FF-DC4B-4F4E-A072-0441E2B88E6D" xsi:nil="true"/>
    <_SourceUrl xmlns="http://schemas.microsoft.com/sharepoint/v3" xsi:nil="true"/>
    <xd_ProgID xmlns="http://schemas.microsoft.com/sharepoint/v3" xsi:nil="true"/>
    <Osoba xmlns="1E9983FF-DC4B-4F4E-A072-0441E2B88E6D">STAT\FALKOWSKAK1</Osoba>
    <Order xmlns="http://schemas.microsoft.com/sharepoint/v3" xsi:nil="true"/>
    <_SharedFileIndex xmlns="http://schemas.microsoft.com/sharepoint/v3" xsi:nil="true"/>
    <MetaInfo xmlns="http://schemas.microsoft.com/sharepoint/v3" xsi:nil="true"/>
    <ContentTypeId xmlns="http://schemas.microsoft.com/sharepoint/v3">0x00FF83991E4BDC4E4FA0720441E2B88E6D</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0DD58-207C-4EC5-BFAB-FA79BC6CE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4C410-1BC0-41FD-9E3C-1F1A31A14B9C}">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5FCDA31C-5FC5-4094-8F38-D603F074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5657</Characters>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6586</CharactersWithSpaces>
  <SharedDoc>false</SharedDoc>
  <HLinks>
    <vt:vector size="30" baseType="variant">
      <vt:variant>
        <vt:i4>8257585</vt:i4>
      </vt:variant>
      <vt:variant>
        <vt:i4>12</vt:i4>
      </vt:variant>
      <vt:variant>
        <vt:i4>0</vt:i4>
      </vt:variant>
      <vt:variant>
        <vt:i4>5</vt:i4>
      </vt:variant>
      <vt:variant>
        <vt:lpwstr>http://stat.gov.pl/en/metainformations/glossary/terms-used-in-official-statistics/364,term.html</vt:lpwstr>
      </vt:variant>
      <vt:variant>
        <vt:lpwstr/>
      </vt:variant>
      <vt:variant>
        <vt:i4>3670060</vt:i4>
      </vt:variant>
      <vt:variant>
        <vt:i4>9</vt:i4>
      </vt:variant>
      <vt:variant>
        <vt:i4>0</vt:i4>
      </vt:variant>
      <vt:variant>
        <vt:i4>5</vt:i4>
      </vt:variant>
      <vt:variant>
        <vt:lpwstr>http://swaid.stat.gov.pl/EN/SitePagesDBW/RachunkiNarodowe.aspx</vt:lpwstr>
      </vt:variant>
      <vt:variant>
        <vt:lpwstr/>
      </vt:variant>
      <vt:variant>
        <vt:i4>8323117</vt:i4>
      </vt:variant>
      <vt:variant>
        <vt:i4>6</vt:i4>
      </vt:variant>
      <vt:variant>
        <vt:i4>0</vt:i4>
      </vt:variant>
      <vt:variant>
        <vt:i4>5</vt:i4>
      </vt:variant>
      <vt:variant>
        <vt:lpwstr>https://stat.gov.pl/en/topics/national-accounts/general-government-statistics/general-government-deficit-and-debt-in-2020,5,33.html</vt:lpwstr>
      </vt:variant>
      <vt:variant>
        <vt:lpwstr/>
      </vt:variant>
      <vt:variant>
        <vt:i4>3997761</vt:i4>
      </vt:variant>
      <vt:variant>
        <vt:i4>3</vt:i4>
      </vt:variant>
      <vt:variant>
        <vt:i4>0</vt:i4>
      </vt:variant>
      <vt:variant>
        <vt:i4>5</vt:i4>
      </vt:variant>
      <vt:variant>
        <vt:lpwstr>mailto:obslugaprasowa@stat.gov.pl</vt:lpwstr>
      </vt:variant>
      <vt:variant>
        <vt:lpwstr/>
      </vt:variant>
      <vt:variant>
        <vt:i4>5308490</vt:i4>
      </vt:variant>
      <vt:variant>
        <vt:i4>0</vt:i4>
      </vt:variant>
      <vt:variant>
        <vt:i4>0</vt:i4>
      </vt:variant>
      <vt:variant>
        <vt:i4>5</vt:i4>
      </vt:variant>
      <vt:variant>
        <vt:lpwstr>http://epp.eurostat.ec.europa.eu/portal/page/portal/eurostat/home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government deficit and debt in 2023</dc:title>
  <dc:subject>General government deficit and debt</dc:subject>
  <cp:keywords/>
  <cp:lastPrinted>2024-04-23T12:02:00Z</cp:lastPrinted>
  <dcterms:created xsi:type="dcterms:W3CDTF">2024-10-21T15:24:00Z</dcterms:created>
  <dcterms:modified xsi:type="dcterms:W3CDTF">2024-10-21T15:24:00Z</dcterms:modified>
  <cp:category>National accounts; General government statistics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