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316A" w14:textId="480EE543" w:rsidR="00F05723" w:rsidRPr="00D52680" w:rsidRDefault="00F24C65" w:rsidP="00692DC7">
      <w:pPr>
        <w:pStyle w:val="Tytuinfomacjisygnalnej"/>
        <w:rPr>
          <w:lang w:val="en-GB"/>
        </w:rPr>
      </w:pPr>
      <w:r w:rsidRPr="00D52680">
        <w:rPr>
          <w:color w:val="auto"/>
          <w:lang w:val="en-GB"/>
        </w:rPr>
        <w:t>The demand for labour in the third quarter of 2024</w:t>
      </w:r>
    </w:p>
    <w:p w14:paraId="1687BAA7" w14:textId="2273C254" w:rsidR="00FA069A" w:rsidRPr="00D52680" w:rsidRDefault="008B1E47" w:rsidP="00D52680">
      <w:pPr>
        <w:pStyle w:val="Lead"/>
        <w:spacing w:after="1280"/>
        <w:rPr>
          <w:lang w:val="en-GB"/>
        </w:rPr>
      </w:pPr>
      <w:r w:rsidRPr="008317CE">
        <w:rPr>
          <w:spacing w:val="-2"/>
        </w:rPr>
        <mc:AlternateContent>
          <mc:Choice Requires="wps">
            <w:drawing>
              <wp:anchor distT="45720" distB="45720" distL="114300" distR="114300" simplePos="0" relativeHeight="251659264" behindDoc="0" locked="0" layoutInCell="1" allowOverlap="1" wp14:anchorId="1AC4435B" wp14:editId="647D5165">
                <wp:simplePos x="0" y="0"/>
                <wp:positionH relativeFrom="margin">
                  <wp:align>left</wp:align>
                </wp:positionH>
                <wp:positionV relativeFrom="paragraph">
                  <wp:posOffset>38735</wp:posOffset>
                </wp:positionV>
                <wp:extent cx="2101850" cy="1316355"/>
                <wp:effectExtent l="0" t="0" r="0" b="0"/>
                <wp:wrapSquare wrapText="bothSides"/>
                <wp:docPr id="2" name="Pole tekstowe 2" descr="2.8% Increase in the number of job vacancies compared with the end of the third quarter of 2023.&#10;" title="Graphic l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16355"/>
                        </a:xfrm>
                        <a:prstGeom prst="roundRect">
                          <a:avLst/>
                        </a:prstGeom>
                        <a:solidFill>
                          <a:srgbClr val="001D77"/>
                        </a:solidFill>
                        <a:ln w="9525">
                          <a:noFill/>
                          <a:miter lim="800000"/>
                          <a:headEnd/>
                          <a:tailEnd/>
                        </a:ln>
                      </wps:spPr>
                      <wps:txbx>
                        <w:txbxContent>
                          <w:p w14:paraId="0B8AD420" w14:textId="3DF2CAD4" w:rsidR="00D55051" w:rsidRPr="00D52680" w:rsidRDefault="00E2404E"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1"/>
                            </w:r>
                            <w:r w:rsidR="00D55051" w:rsidRPr="00D52680">
                              <w:rPr>
                                <w:rFonts w:ascii="Fira Sans SemiBold" w:hAnsi="Fira Sans SemiBold"/>
                                <w:color w:val="FFFFFF" w:themeColor="background1"/>
                                <w:sz w:val="60"/>
                                <w:szCs w:val="60"/>
                                <w:lang w:val="en-GB"/>
                              </w:rPr>
                              <w:t xml:space="preserve"> </w:t>
                            </w:r>
                            <w:r w:rsidR="000E3006" w:rsidRPr="00D52680">
                              <w:rPr>
                                <w:rFonts w:ascii="Fira Sans SemiBold" w:hAnsi="Fira Sans SemiBold"/>
                                <w:color w:val="FFFFFF" w:themeColor="background1"/>
                                <w:sz w:val="72"/>
                                <w:szCs w:val="72"/>
                                <w:lang w:val="en-GB"/>
                              </w:rPr>
                              <w:t>2.</w:t>
                            </w:r>
                            <w:r w:rsidRPr="00D52680">
                              <w:rPr>
                                <w:rFonts w:ascii="Fira Sans SemiBold" w:hAnsi="Fira Sans SemiBold"/>
                                <w:color w:val="FFFFFF" w:themeColor="background1"/>
                                <w:sz w:val="72"/>
                                <w:szCs w:val="72"/>
                                <w:lang w:val="en-GB"/>
                              </w:rPr>
                              <w:t>8</w:t>
                            </w:r>
                            <w:r w:rsidR="00D55051" w:rsidRPr="00D52680">
                              <w:rPr>
                                <w:rStyle w:val="WartowskanikaZnak"/>
                                <w:sz w:val="72"/>
                                <w:szCs w:val="72"/>
                                <w:lang w:val="en-GB"/>
                              </w:rPr>
                              <w:t>%</w:t>
                            </w:r>
                          </w:p>
                          <w:p w14:paraId="5B0D898F" w14:textId="43FBB591" w:rsidR="00720CDD" w:rsidRPr="00D52680" w:rsidRDefault="000E3006" w:rsidP="00D55051">
                            <w:pPr>
                              <w:autoSpaceDE w:val="0"/>
                              <w:autoSpaceDN w:val="0"/>
                              <w:adjustRightInd w:val="0"/>
                              <w:spacing w:before="0" w:after="0" w:line="240" w:lineRule="auto"/>
                              <w:rPr>
                                <w:rFonts w:ascii="Fira Sans SemiBold" w:hAnsi="Fira Sans SemiBold"/>
                                <w:color w:val="FFFFFF" w:themeColor="background1"/>
                                <w:szCs w:val="19"/>
                                <w:lang w:val="en-GB"/>
                              </w:rPr>
                            </w:pPr>
                            <w:r w:rsidRPr="00D52680">
                              <w:rPr>
                                <w:lang w:val="en-GB"/>
                              </w:rPr>
                              <w:t xml:space="preserve">Increase in the number of job vacancies compared with the end of the third quarter of </w:t>
                            </w:r>
                            <w:r w:rsidRPr="00D52680">
                              <w:rPr>
                                <w:szCs w:val="19"/>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435B" id="Pole tekstowe 2" o:spid="_x0000_s1026" alt="Tytuł: Graphic lead — opis: 2.8% Increase in the number of job vacancies compared with the end of the third quarter of 2023.&#10;" style="position:absolute;margin-left:0;margin-top:3.05pt;width:165.5pt;height:10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" fillcolor="#001d77" stroked="f">
                <v:stroke joinstyle="miter"/>
                <v:textbox>
                  <w:txbxContent>
                    <w:p w14:paraId="0B8AD420" w14:textId="3DF2CAD4" w:rsidR="00D55051" w:rsidRPr="00D52680" w:rsidRDefault="00E2404E"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1"/>
                      </w:r>
                      <w:r w:rsidR="00D55051" w:rsidRPr="00D52680">
                        <w:rPr>
                          <w:rFonts w:ascii="Fira Sans SemiBold" w:hAnsi="Fira Sans SemiBold"/>
                          <w:color w:val="FFFFFF" w:themeColor="background1"/>
                          <w:sz w:val="60"/>
                          <w:szCs w:val="60"/>
                          <w:lang w:val="en-GB"/>
                        </w:rPr>
                        <w:t xml:space="preserve"> </w:t>
                      </w:r>
                      <w:r w:rsidR="000E3006" w:rsidRPr="00D52680">
                        <w:rPr>
                          <w:rFonts w:ascii="Fira Sans SemiBold" w:hAnsi="Fira Sans SemiBold"/>
                          <w:color w:val="FFFFFF" w:themeColor="background1"/>
                          <w:sz w:val="72"/>
                          <w:szCs w:val="72"/>
                          <w:lang w:val="en-GB"/>
                        </w:rPr>
                        <w:t>2.</w:t>
                      </w:r>
                      <w:r w:rsidRPr="00D52680">
                        <w:rPr>
                          <w:rFonts w:ascii="Fira Sans SemiBold" w:hAnsi="Fira Sans SemiBold"/>
                          <w:color w:val="FFFFFF" w:themeColor="background1"/>
                          <w:sz w:val="72"/>
                          <w:szCs w:val="72"/>
                          <w:lang w:val="en-GB"/>
                        </w:rPr>
                        <w:t>8</w:t>
                      </w:r>
                      <w:r w:rsidR="00D55051" w:rsidRPr="00D52680">
                        <w:rPr>
                          <w:rStyle w:val="WartowskanikaZnak"/>
                          <w:sz w:val="72"/>
                          <w:szCs w:val="72"/>
                          <w:lang w:val="en-GB"/>
                        </w:rPr>
                        <w:t>%</w:t>
                      </w:r>
                    </w:p>
                    <w:p w14:paraId="5B0D898F" w14:textId="43FBB591" w:rsidR="00720CDD" w:rsidRPr="00D52680" w:rsidRDefault="000E3006" w:rsidP="00D55051">
                      <w:pPr>
                        <w:autoSpaceDE w:val="0"/>
                        <w:autoSpaceDN w:val="0"/>
                        <w:adjustRightInd w:val="0"/>
                        <w:spacing w:before="0" w:after="0" w:line="240" w:lineRule="auto"/>
                        <w:rPr>
                          <w:rFonts w:ascii="Fira Sans SemiBold" w:hAnsi="Fira Sans SemiBold"/>
                          <w:color w:val="FFFFFF" w:themeColor="background1"/>
                          <w:szCs w:val="19"/>
                          <w:lang w:val="en-GB"/>
                        </w:rPr>
                      </w:pPr>
                      <w:r w:rsidRPr="00D52680">
                        <w:rPr>
                          <w:lang w:val="en-GB"/>
                        </w:rPr>
                        <w:t xml:space="preserve">Increase in the number of job vacancies compared with the end of the third quarter of </w:t>
                      </w:r>
                      <w:r w:rsidRPr="00D52680">
                        <w:rPr>
                          <w:szCs w:val="19"/>
                          <w:lang w:val="en-GB"/>
                        </w:rPr>
                        <w:t>2023.</w:t>
                      </w:r>
                    </w:p>
                  </w:txbxContent>
                </v:textbox>
                <w10:wrap type="square" anchorx="margin"/>
              </v:roundrect>
            </w:pict>
          </mc:Fallback>
        </mc:AlternateContent>
      </w:r>
      <w:r w:rsidR="000E3006" w:rsidRPr="00D52680">
        <w:rPr>
          <w:lang w:val="en-GB"/>
        </w:rPr>
        <w:t>In Poland,</w:t>
      </w:r>
      <w:r w:rsidR="00B24F40" w:rsidRPr="00D52680">
        <w:rPr>
          <w:lang w:val="en-GB"/>
        </w:rPr>
        <w:t xml:space="preserve"> </w:t>
      </w:r>
      <w:r w:rsidR="000E3006" w:rsidRPr="00D52680">
        <w:rPr>
          <w:lang w:val="en-GB"/>
        </w:rPr>
        <w:t xml:space="preserve">at the end of the third quarter of 2024, there were 3.1% </w:t>
      </w:r>
      <w:r w:rsidR="00B34D92" w:rsidRPr="00D52680">
        <w:rPr>
          <w:lang w:val="en-GB"/>
        </w:rPr>
        <w:t xml:space="preserve">more job vacancies than at the </w:t>
      </w:r>
      <w:r w:rsidR="000E3006" w:rsidRPr="00D52680">
        <w:rPr>
          <w:lang w:val="en-GB"/>
        </w:rPr>
        <w:t>end of the second quarter of 2024.</w:t>
      </w:r>
      <w:r w:rsidR="00A92D8A" w:rsidRPr="00D52680">
        <w:rPr>
          <w:lang w:val="en-GB"/>
        </w:rPr>
        <w:t xml:space="preserve"> </w:t>
      </w:r>
      <w:bookmarkStart w:id="0" w:name="_Hlk167096944"/>
      <w:r w:rsidR="000E3006" w:rsidRPr="00D52680">
        <w:rPr>
          <w:lang w:val="en-GB"/>
        </w:rPr>
        <w:t>The job vacancy rate increased by 0.04 percentage points (0.93%) compared with the second quarter of 2024.</w:t>
      </w:r>
      <w:bookmarkEnd w:id="0"/>
    </w:p>
    <w:p w14:paraId="21001BA8" w14:textId="53548289" w:rsidR="00E2404E" w:rsidRPr="00D52680" w:rsidRDefault="00A75D34" w:rsidP="009F1D6E">
      <w:pPr>
        <w:spacing w:line="288" w:lineRule="auto"/>
        <w:rPr>
          <w:lang w:val="en-GB"/>
        </w:rPr>
      </w:pPr>
      <w:r w:rsidRPr="00BA1134">
        <w:rPr>
          <w:b/>
          <w:strike/>
          <w:noProof/>
          <w:color w:val="000000" w:themeColor="text1"/>
          <w:lang w:eastAsia="pl-PL"/>
        </w:rPr>
        <mc:AlternateContent>
          <mc:Choice Requires="wps">
            <w:drawing>
              <wp:anchor distT="0" distB="0" distL="114300" distR="114300" simplePos="0" relativeHeight="251693056" behindDoc="0" locked="0" layoutInCell="1" allowOverlap="1" wp14:anchorId="42511A97" wp14:editId="1A136170">
                <wp:simplePos x="0" y="0"/>
                <wp:positionH relativeFrom="column">
                  <wp:posOffset>5220868</wp:posOffset>
                </wp:positionH>
                <wp:positionV relativeFrom="paragraph">
                  <wp:posOffset>12065</wp:posOffset>
                </wp:positionV>
                <wp:extent cx="1762125" cy="1019175"/>
                <wp:effectExtent l="0" t="0" r="0" b="9525"/>
                <wp:wrapNone/>
                <wp:docPr id="25" name="Text Box 23" descr="The survey covers national economy entities and their local units with 1 or more employe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B044" w14:textId="53E3E77F" w:rsidR="008A2A1F" w:rsidRPr="00D52680" w:rsidRDefault="00936DEF" w:rsidP="00936DEF">
                            <w:pPr>
                              <w:rPr>
                                <w:color w:val="001D77"/>
                                <w:sz w:val="18"/>
                                <w:szCs w:val="18"/>
                                <w:lang w:val="en-GB"/>
                              </w:rPr>
                            </w:pPr>
                            <w:r w:rsidRPr="00D52680">
                              <w:rPr>
                                <w:color w:val="001D77"/>
                                <w:sz w:val="18"/>
                                <w:szCs w:val="18"/>
                                <w:lang w:val="en-GB"/>
                              </w:rPr>
                              <w:t>The survey covers national economy entities and their local units with 1 or more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1A97" id="_x0000_t202" coordsize="21600,21600" o:spt="202" path="m,l,21600r21600,l21600,xe">
                <v:stroke joinstyle="miter"/>
                <v:path gradientshapeok="t" o:connecttype="rect"/>
              </v:shapetype>
              <v:shape id="Text Box 23" o:spid="_x0000_s1027" type="#_x0000_t202" alt="The survey covers national economy entities and their local units with 1 or more employees" style="position:absolute;margin-left:411.1pt;margin-top:.95pt;width:138.7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" filled="f" stroked="f">
                <v:textbox>
                  <w:txbxContent>
                    <w:p w14:paraId="42F3B044" w14:textId="53E3E77F" w:rsidR="008A2A1F" w:rsidRPr="00D52680" w:rsidRDefault="00936DEF" w:rsidP="00936DEF">
                      <w:pPr>
                        <w:rPr>
                          <w:color w:val="001D77"/>
                          <w:sz w:val="18"/>
                          <w:szCs w:val="18"/>
                          <w:lang w:val="en-GB"/>
                        </w:rPr>
                      </w:pPr>
                      <w:r w:rsidRPr="00D52680">
                        <w:rPr>
                          <w:color w:val="001D77"/>
                          <w:sz w:val="18"/>
                          <w:szCs w:val="18"/>
                          <w:lang w:val="en-GB"/>
                        </w:rPr>
                        <w:t>The survey covers national economy entities and their local units with 1 or more employees</w:t>
                      </w:r>
                    </w:p>
                  </w:txbxContent>
                </v:textbox>
              </v:shape>
            </w:pict>
          </mc:Fallback>
        </mc:AlternateContent>
      </w:r>
      <w:r w:rsidR="00224B71" w:rsidRPr="00D52680">
        <w:rPr>
          <w:lang w:val="en-GB"/>
        </w:rPr>
        <w:t>At the end of the third quarter of 2024, 114.</w:t>
      </w:r>
      <w:r w:rsidR="008A533F" w:rsidRPr="00D52680">
        <w:rPr>
          <w:lang w:val="en-GB"/>
        </w:rPr>
        <w:t>3</w:t>
      </w:r>
      <w:r w:rsidR="00224B71" w:rsidRPr="00D52680">
        <w:rPr>
          <w:lang w:val="en-GB"/>
        </w:rPr>
        <w:t xml:space="preserve"> thousand</w:t>
      </w:r>
      <w:r w:rsidR="00520188" w:rsidRPr="00D52680">
        <w:rPr>
          <w:lang w:val="en-GB"/>
        </w:rPr>
        <w:t xml:space="preserve"> </w:t>
      </w:r>
      <w:r w:rsidR="00224B71" w:rsidRPr="00D52680">
        <w:rPr>
          <w:b/>
          <w:lang w:val="en-GB"/>
        </w:rPr>
        <w:t>job vacancies</w:t>
      </w:r>
      <w:r w:rsidR="00224B71" w:rsidRPr="00D52680">
        <w:rPr>
          <w:b/>
          <w:bCs/>
          <w:lang w:val="en-GB"/>
        </w:rPr>
        <w:t xml:space="preserve"> </w:t>
      </w:r>
      <w:r w:rsidR="00224B71" w:rsidRPr="00D52680">
        <w:rPr>
          <w:bCs/>
          <w:lang w:val="en-GB"/>
        </w:rPr>
        <w:t>were recorded in Poland</w:t>
      </w:r>
      <w:r w:rsidR="00520188" w:rsidRPr="00D52680">
        <w:rPr>
          <w:lang w:val="en-GB"/>
        </w:rPr>
        <w:t xml:space="preserve">. </w:t>
      </w:r>
      <w:r w:rsidR="00224B71" w:rsidRPr="00D52680">
        <w:rPr>
          <w:lang w:val="en-GB"/>
        </w:rPr>
        <w:t>This was 3.</w:t>
      </w:r>
      <w:r w:rsidR="008A533F" w:rsidRPr="00D52680">
        <w:rPr>
          <w:lang w:val="en-GB"/>
        </w:rPr>
        <w:t>4</w:t>
      </w:r>
      <w:r w:rsidR="00224B71" w:rsidRPr="00D52680">
        <w:rPr>
          <w:lang w:val="en-GB"/>
        </w:rPr>
        <w:t> thousand more than in the second quarter of 2024 and 3.</w:t>
      </w:r>
      <w:r w:rsidR="008A533F" w:rsidRPr="00D52680">
        <w:rPr>
          <w:lang w:val="en-GB"/>
        </w:rPr>
        <w:t>1</w:t>
      </w:r>
      <w:r w:rsidR="00224B71" w:rsidRPr="00D52680">
        <w:rPr>
          <w:lang w:val="en-GB"/>
        </w:rPr>
        <w:t xml:space="preserve"> thousand more than in the corresponding quarter of 2023.</w:t>
      </w:r>
    </w:p>
    <w:p w14:paraId="72E801A6" w14:textId="5A1D5CD3" w:rsidR="009E6832" w:rsidRPr="00D52680" w:rsidRDefault="00936DEF" w:rsidP="00936DEF">
      <w:pPr>
        <w:spacing w:line="288" w:lineRule="auto"/>
        <w:rPr>
          <w:lang w:val="en-GB"/>
        </w:rPr>
      </w:pPr>
      <w:r w:rsidRPr="00D52680">
        <w:rPr>
          <w:lang w:val="en-GB"/>
        </w:rPr>
        <w:t xml:space="preserve">The </w:t>
      </w:r>
      <w:r w:rsidRPr="00D52680">
        <w:rPr>
          <w:b/>
          <w:lang w:val="en-GB"/>
        </w:rPr>
        <w:t>job vacancy rate</w:t>
      </w:r>
      <w:r w:rsidRPr="00D52680">
        <w:rPr>
          <w:lang w:val="en-GB"/>
        </w:rPr>
        <w:t xml:space="preserve"> can be used to assess the labour market situation in terms of reported labour demand. At the end of the third quarter of 2024, the rate was 0.</w:t>
      </w:r>
      <w:r w:rsidR="008A533F" w:rsidRPr="00D52680">
        <w:rPr>
          <w:lang w:val="en-GB"/>
        </w:rPr>
        <w:t>93</w:t>
      </w:r>
      <w:r w:rsidR="00D74F74" w:rsidRPr="00D52680">
        <w:rPr>
          <w:lang w:val="en-GB"/>
        </w:rPr>
        <w:t>%</w:t>
      </w:r>
      <w:r w:rsidRPr="00D52680">
        <w:rPr>
          <w:lang w:val="en-GB"/>
        </w:rPr>
        <w:t>, i.e.</w:t>
      </w:r>
      <w:r w:rsidR="00DC69F7" w:rsidRPr="00D52680">
        <w:rPr>
          <w:lang w:val="en-GB"/>
        </w:rPr>
        <w:t xml:space="preserve"> </w:t>
      </w:r>
      <w:r w:rsidRPr="00D52680">
        <w:rPr>
          <w:lang w:val="en-GB"/>
        </w:rPr>
        <w:t>0.04 percentage points higher than in the second quarter of 2024 and 0.04 percentage points higher than in the corresponding quarter of the previous year.</w:t>
      </w:r>
    </w:p>
    <w:p w14:paraId="4994205C" w14:textId="23FF9C5D" w:rsidR="005B27A8" w:rsidRPr="00D52680" w:rsidRDefault="00D10B58" w:rsidP="00D52680">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687936" behindDoc="0" locked="0" layoutInCell="1" allowOverlap="1" wp14:anchorId="11A1CA60" wp14:editId="2810E228">
            <wp:simplePos x="0" y="0"/>
            <wp:positionH relativeFrom="margin">
              <wp:align>left</wp:align>
            </wp:positionH>
            <wp:positionV relativeFrom="paragraph">
              <wp:posOffset>471442</wp:posOffset>
            </wp:positionV>
            <wp:extent cx="5114290" cy="2779395"/>
            <wp:effectExtent l="0" t="0" r="0" b="1905"/>
            <wp:wrapTopAndBottom/>
            <wp:docPr id="13" name="Obraz 13" descr="The chart shows the seasonally unadjusted job vacancy rate and the seasonally adjusted job vacancy rate since the first quarter of 2015 as at the end of the quarter. At the end of the third quarter of 2024, the seasonally unadjusted job vacancy rate was 0.93%, while the seasonally adjusted job vacancy rate was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544" cy="2779776"/>
                    </a:xfrm>
                    <a:prstGeom prst="rect">
                      <a:avLst/>
                    </a:prstGeom>
                  </pic:spPr>
                </pic:pic>
              </a:graphicData>
            </a:graphic>
            <wp14:sizeRelH relativeFrom="page">
              <wp14:pctWidth>0</wp14:pctWidth>
            </wp14:sizeRelH>
            <wp14:sizeRelV relativeFrom="page">
              <wp14:pctHeight>0</wp14:pctHeight>
            </wp14:sizeRelV>
          </wp:anchor>
        </w:drawing>
      </w:r>
      <w:r w:rsidR="00936DEF" w:rsidRPr="00D52680">
        <w:rPr>
          <w:b/>
          <w:noProof/>
          <w:color w:val="000000" w:themeColor="text1"/>
          <w:spacing w:val="-2"/>
          <w:szCs w:val="19"/>
          <w:lang w:val="en-GB" w:eastAsia="pl-PL"/>
        </w:rPr>
        <w:t>Chart</w:t>
      </w:r>
      <w:r w:rsidR="00C32DF8" w:rsidRPr="00D52680">
        <w:rPr>
          <w:b/>
          <w:noProof/>
          <w:color w:val="000000" w:themeColor="text1"/>
          <w:spacing w:val="-2"/>
          <w:szCs w:val="19"/>
          <w:lang w:val="en-GB" w:eastAsia="pl-PL"/>
        </w:rPr>
        <w:t xml:space="preserve"> </w:t>
      </w:r>
      <w:r w:rsidR="00261432" w:rsidRPr="00D52680">
        <w:rPr>
          <w:b/>
          <w:noProof/>
          <w:color w:val="000000" w:themeColor="text1"/>
          <w:spacing w:val="-2"/>
          <w:szCs w:val="19"/>
          <w:lang w:val="en-GB" w:eastAsia="pl-PL"/>
        </w:rPr>
        <w:t>1</w:t>
      </w:r>
      <w:r w:rsidR="00C32DF8" w:rsidRPr="00D52680">
        <w:rPr>
          <w:b/>
          <w:noProof/>
          <w:color w:val="000000" w:themeColor="text1"/>
          <w:spacing w:val="-2"/>
          <w:szCs w:val="19"/>
          <w:lang w:val="en-GB" w:eastAsia="pl-PL"/>
        </w:rPr>
        <w:t xml:space="preserve">. </w:t>
      </w:r>
      <w:r w:rsidR="00936DEF" w:rsidRPr="00D52680">
        <w:rPr>
          <w:b/>
          <w:noProof/>
          <w:color w:val="000000" w:themeColor="text1"/>
          <w:szCs w:val="19"/>
          <w:lang w:val="en-GB" w:eastAsia="pl-PL"/>
        </w:rPr>
        <w:t>Job vacancy rate</w:t>
      </w:r>
      <w:r w:rsidRPr="00D52680">
        <w:rPr>
          <w:b/>
          <w:noProof/>
          <w:color w:val="000000" w:themeColor="text1"/>
          <w:szCs w:val="19"/>
          <w:lang w:val="en-GB" w:eastAsia="pl-PL"/>
        </w:rPr>
        <w:br/>
      </w:r>
      <w:r w:rsidR="00936DEF" w:rsidRPr="00D52680">
        <w:rPr>
          <w:noProof/>
          <w:szCs w:val="19"/>
          <w:lang w:val="en-GB" w:eastAsia="pl-PL"/>
        </w:rPr>
        <w:t>As at the end of the quarter</w:t>
      </w:r>
    </w:p>
    <w:p w14:paraId="69A6AA37" w14:textId="4B32BCA8" w:rsidR="00A503D8" w:rsidRPr="00D52680" w:rsidRDefault="00BC16C8" w:rsidP="00BC16C8">
      <w:pPr>
        <w:spacing w:before="360" w:line="288" w:lineRule="auto"/>
        <w:rPr>
          <w:rFonts w:eastAsia="Times New Roman"/>
          <w:szCs w:val="19"/>
          <w:lang w:val="en-GB" w:eastAsia="pl-PL"/>
        </w:rPr>
      </w:pPr>
      <w:r w:rsidRPr="00D52680">
        <w:rPr>
          <w:noProof/>
          <w:szCs w:val="19"/>
          <w:lang w:val="en-GB" w:eastAsia="pl-PL"/>
        </w:rPr>
        <w:t>Across regions (NUTS 2), at the end of the third quarter of 2024, the highest job vacancy rate occurred in the Warszawski stołeczny region</w:t>
      </w:r>
      <w:r w:rsidR="00DC69F7" w:rsidRPr="00D52680">
        <w:rPr>
          <w:rFonts w:eastAsia="Times New Roman"/>
          <w:szCs w:val="19"/>
          <w:lang w:val="en-GB" w:eastAsia="pl-PL"/>
        </w:rPr>
        <w:t xml:space="preserve"> </w:t>
      </w:r>
      <w:r w:rsidRPr="00D52680">
        <w:rPr>
          <w:rFonts w:eastAsia="Times New Roman"/>
          <w:szCs w:val="19"/>
          <w:lang w:val="en-GB" w:eastAsia="pl-PL"/>
        </w:rPr>
        <w:t>(1.</w:t>
      </w:r>
      <w:r w:rsidR="00695CB8" w:rsidRPr="00D52680">
        <w:rPr>
          <w:rFonts w:eastAsia="Times New Roman"/>
          <w:szCs w:val="19"/>
          <w:lang w:val="en-GB" w:eastAsia="pl-PL"/>
        </w:rPr>
        <w:t>23</w:t>
      </w:r>
      <w:r w:rsidR="00A503D8" w:rsidRPr="00D52680">
        <w:rPr>
          <w:rFonts w:eastAsia="Times New Roman"/>
          <w:szCs w:val="19"/>
          <w:lang w:val="en-GB" w:eastAsia="pl-PL"/>
        </w:rPr>
        <w:t>%)</w:t>
      </w:r>
      <w:r w:rsidR="003A026F" w:rsidRPr="00D52680">
        <w:rPr>
          <w:rFonts w:eastAsia="Times New Roman"/>
          <w:szCs w:val="19"/>
          <w:lang w:val="en-GB" w:eastAsia="pl-PL"/>
        </w:rPr>
        <w:t xml:space="preserve">. </w:t>
      </w:r>
      <w:r w:rsidRPr="00D52680">
        <w:rPr>
          <w:rFonts w:eastAsia="Times New Roman"/>
          <w:szCs w:val="19"/>
          <w:lang w:val="en-GB" w:eastAsia="pl-PL"/>
        </w:rPr>
        <w:t xml:space="preserve">In contrast, the lowest job vacancy rate was recorded in the </w:t>
      </w:r>
      <w:proofErr w:type="spellStart"/>
      <w:r w:rsidRPr="00D52680">
        <w:rPr>
          <w:rFonts w:eastAsia="Times New Roman"/>
          <w:szCs w:val="19"/>
          <w:lang w:val="en-GB" w:eastAsia="pl-PL"/>
        </w:rPr>
        <w:t>Podlaskie</w:t>
      </w:r>
      <w:proofErr w:type="spellEnd"/>
      <w:r w:rsidRPr="00D52680">
        <w:rPr>
          <w:rFonts w:eastAsia="Times New Roman"/>
          <w:szCs w:val="19"/>
          <w:lang w:val="en-GB" w:eastAsia="pl-PL"/>
        </w:rPr>
        <w:t xml:space="preserve"> region (0.</w:t>
      </w:r>
      <w:r w:rsidR="00695CB8" w:rsidRPr="00D52680">
        <w:rPr>
          <w:rFonts w:eastAsia="Times New Roman"/>
          <w:szCs w:val="19"/>
          <w:lang w:val="en-GB" w:eastAsia="pl-PL"/>
        </w:rPr>
        <w:t>43</w:t>
      </w:r>
      <w:r w:rsidR="00A503D8" w:rsidRPr="00D52680">
        <w:rPr>
          <w:rFonts w:eastAsia="Times New Roman"/>
          <w:szCs w:val="19"/>
          <w:lang w:val="en-GB" w:eastAsia="pl-PL"/>
        </w:rPr>
        <w:t>%)</w:t>
      </w:r>
      <w:r w:rsidR="00A2691B" w:rsidRPr="00D52680">
        <w:rPr>
          <w:rFonts w:eastAsia="Times New Roman"/>
          <w:szCs w:val="19"/>
          <w:lang w:val="en-GB" w:eastAsia="pl-PL"/>
        </w:rPr>
        <w:t>.</w:t>
      </w:r>
    </w:p>
    <w:p w14:paraId="39DCF40C" w14:textId="4AB429AF" w:rsidR="009D206C" w:rsidRPr="00D52680" w:rsidRDefault="00D52680" w:rsidP="00474B43">
      <w:pPr>
        <w:pStyle w:val="Datainformacjisygnalnej"/>
        <w:spacing w:before="360" w:line="240" w:lineRule="auto"/>
        <w:ind w:left="680" w:hanging="680"/>
        <w:jc w:val="left"/>
        <w:rPr>
          <w:rFonts w:ascii="Fira Sans" w:hAnsi="Fira Sans"/>
          <w:color w:val="auto"/>
          <w:sz w:val="19"/>
          <w:szCs w:val="19"/>
          <w:lang w:val="en-GB"/>
        </w:rPr>
      </w:pPr>
      <w:r>
        <w:rPr>
          <w:rFonts w:ascii="Fira Sans" w:hAnsi="Fira Sans"/>
          <w:noProof/>
          <w:color w:val="auto"/>
          <w:sz w:val="19"/>
          <w:szCs w:val="19"/>
          <w:lang w:eastAsia="pl-PL"/>
        </w:rPr>
        <w:lastRenderedPageBreak/>
        <w:drawing>
          <wp:anchor distT="0" distB="0" distL="114300" distR="114300" simplePos="0" relativeHeight="251688960" behindDoc="0" locked="0" layoutInCell="1" allowOverlap="1" wp14:anchorId="71CE6578" wp14:editId="23E41536">
            <wp:simplePos x="0" y="0"/>
            <wp:positionH relativeFrom="margin">
              <wp:posOffset>10795</wp:posOffset>
            </wp:positionH>
            <wp:positionV relativeFrom="paragraph">
              <wp:posOffset>342900</wp:posOffset>
            </wp:positionV>
            <wp:extent cx="5112385" cy="2988310"/>
            <wp:effectExtent l="0" t="0" r="0" b="2540"/>
            <wp:wrapTopAndBottom/>
            <wp:docPr id="16" name="Obraz 16" descr="The map shows the job vacancy rate by region, as at the end of the third quarter of 2024. The highest job vacancy rate was in the Warszawski stołeczny region and amounted to 1.23%. The lowest job vacancy rate was recorded in the Podlaskie region and amounted to 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2385" cy="2988310"/>
                    </a:xfrm>
                    <a:prstGeom prst="rect">
                      <a:avLst/>
                    </a:prstGeom>
                  </pic:spPr>
                </pic:pic>
              </a:graphicData>
            </a:graphic>
            <wp14:sizeRelH relativeFrom="page">
              <wp14:pctWidth>0</wp14:pctWidth>
            </wp14:sizeRelH>
            <wp14:sizeRelV relativeFrom="page">
              <wp14:pctHeight>0</wp14:pctHeight>
            </wp14:sizeRelV>
          </wp:anchor>
        </w:drawing>
      </w:r>
      <w:r w:rsidR="00F75A33" w:rsidRPr="00D10B58">
        <w:rPr>
          <w:b/>
          <w:noProof/>
          <w:highlight w:val="yellow"/>
          <w:lang w:eastAsia="pl-PL"/>
        </w:rPr>
        <mc:AlternateContent>
          <mc:Choice Requires="wps">
            <w:drawing>
              <wp:anchor distT="0" distB="0" distL="114300" distR="114300" simplePos="0" relativeHeight="251684864" behindDoc="0" locked="0" layoutInCell="1" allowOverlap="1" wp14:anchorId="21562D96" wp14:editId="580CDA8A">
                <wp:simplePos x="0" y="0"/>
                <wp:positionH relativeFrom="page">
                  <wp:posOffset>5676595</wp:posOffset>
                </wp:positionH>
                <wp:positionV relativeFrom="paragraph">
                  <wp:posOffset>870001</wp:posOffset>
                </wp:positionV>
                <wp:extent cx="1484986" cy="1085850"/>
                <wp:effectExtent l="0" t="0" r="0" b="0"/>
                <wp:wrapNone/>
                <wp:docPr id="18" name="Text Box 23" descr="The job vacancy rate measures the share of job vacancies in the total number of jobs (i.e. occupied and vacant job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986"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1D8" w14:textId="41B6D7F8" w:rsidR="004C1642" w:rsidRPr="00D52680" w:rsidRDefault="00BC16C8" w:rsidP="00BC16C8">
                            <w:pPr>
                              <w:spacing w:before="0" w:after="0"/>
                              <w:rPr>
                                <w:bCs/>
                                <w:color w:val="001D77"/>
                                <w:sz w:val="18"/>
                                <w:szCs w:val="18"/>
                                <w:lang w:val="en-GB"/>
                              </w:rPr>
                            </w:pPr>
                            <w:r w:rsidRPr="00D52680">
                              <w:rPr>
                                <w:bCs/>
                                <w:color w:val="001D77"/>
                                <w:sz w:val="18"/>
                                <w:szCs w:val="18"/>
                                <w:lang w:val="en-GB"/>
                              </w:rPr>
                              <w:t>The job vacancy rate</w:t>
                            </w:r>
                            <w:r w:rsidR="00D52680">
                              <w:rPr>
                                <w:bCs/>
                                <w:color w:val="001D77"/>
                                <w:sz w:val="18"/>
                                <w:szCs w:val="18"/>
                                <w:lang w:val="en-GB"/>
                              </w:rPr>
                              <w:t xml:space="preserve"> </w:t>
                            </w:r>
                            <w:r w:rsidRPr="00D52680">
                              <w:rPr>
                                <w:bCs/>
                                <w:color w:val="001D77"/>
                                <w:sz w:val="18"/>
                                <w:szCs w:val="18"/>
                                <w:lang w:val="en-GB"/>
                              </w:rPr>
                              <w:t xml:space="preserve">measures the share </w:t>
                            </w:r>
                            <w:r w:rsidR="00D52680">
                              <w:rPr>
                                <w:bCs/>
                                <w:color w:val="001D77"/>
                                <w:sz w:val="18"/>
                                <w:szCs w:val="18"/>
                                <w:lang w:val="en-GB"/>
                              </w:rPr>
                              <w:br/>
                            </w:r>
                            <w:r w:rsidRPr="00D52680">
                              <w:rPr>
                                <w:bCs/>
                                <w:color w:val="001D77"/>
                                <w:sz w:val="18"/>
                                <w:szCs w:val="18"/>
                                <w:lang w:val="en-GB"/>
                              </w:rPr>
                              <w:t>of</w:t>
                            </w:r>
                            <w:r w:rsidR="00D52680">
                              <w:rPr>
                                <w:bCs/>
                                <w:color w:val="001D77"/>
                                <w:sz w:val="18"/>
                                <w:szCs w:val="18"/>
                                <w:lang w:val="en-GB"/>
                              </w:rPr>
                              <w:t xml:space="preserve"> </w:t>
                            </w:r>
                            <w:r w:rsidRPr="00D52680">
                              <w:rPr>
                                <w:bCs/>
                                <w:color w:val="001D77"/>
                                <w:sz w:val="18"/>
                                <w:szCs w:val="18"/>
                                <w:lang w:val="en-GB"/>
                              </w:rPr>
                              <w:t>job vacancies in the total</w:t>
                            </w:r>
                            <w:r w:rsidR="00D52680">
                              <w:rPr>
                                <w:bCs/>
                                <w:color w:val="001D77"/>
                                <w:sz w:val="18"/>
                                <w:szCs w:val="18"/>
                                <w:lang w:val="en-GB"/>
                              </w:rPr>
                              <w:t xml:space="preserve"> </w:t>
                            </w:r>
                            <w:r w:rsidRPr="00D52680">
                              <w:rPr>
                                <w:bCs/>
                                <w:color w:val="001D77"/>
                                <w:sz w:val="18"/>
                                <w:szCs w:val="18"/>
                                <w:lang w:val="en-GB"/>
                              </w:rPr>
                              <w:t xml:space="preserve">number of jobs </w:t>
                            </w:r>
                            <w:r w:rsidR="00D52680">
                              <w:rPr>
                                <w:bCs/>
                                <w:color w:val="001D77"/>
                                <w:sz w:val="18"/>
                                <w:szCs w:val="18"/>
                                <w:lang w:val="en-GB"/>
                              </w:rPr>
                              <w:br/>
                            </w:r>
                            <w:r w:rsidRPr="00D52680">
                              <w:rPr>
                                <w:bCs/>
                                <w:color w:val="001D77"/>
                                <w:sz w:val="18"/>
                                <w:szCs w:val="18"/>
                                <w:lang w:val="en-GB"/>
                              </w:rPr>
                              <w:t>(i.e.</w:t>
                            </w:r>
                            <w:r w:rsidR="00D52680">
                              <w:rPr>
                                <w:bCs/>
                                <w:color w:val="001D77"/>
                                <w:sz w:val="18"/>
                                <w:szCs w:val="18"/>
                                <w:lang w:val="en-GB"/>
                              </w:rPr>
                              <w:t xml:space="preserve"> </w:t>
                            </w:r>
                            <w:r w:rsidRPr="00D52680">
                              <w:rPr>
                                <w:bCs/>
                                <w:color w:val="001D77"/>
                                <w:sz w:val="18"/>
                                <w:szCs w:val="18"/>
                                <w:lang w:val="en-GB"/>
                              </w:rPr>
                              <w:t>occupied and vacant</w:t>
                            </w:r>
                            <w:r w:rsidR="00D52680">
                              <w:rPr>
                                <w:bCs/>
                                <w:color w:val="001D77"/>
                                <w:sz w:val="18"/>
                                <w:szCs w:val="18"/>
                                <w:lang w:val="en-GB"/>
                              </w:rPr>
                              <w:t xml:space="preserve"> </w:t>
                            </w:r>
                            <w:r w:rsidRPr="00D52680">
                              <w:rPr>
                                <w:bCs/>
                                <w:color w:val="001D77"/>
                                <w:sz w:val="18"/>
                                <w:szCs w:val="18"/>
                                <w:lang w:val="en-GB"/>
                              </w:rPr>
                              <w:t>jobs)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2D96" id="_x0000_s1028" type="#_x0000_t202" alt="The job vacancy rate measures the share of job vacancies in the total number of jobs (i.e. occupied and vacant jobs)&#10;" style="position:absolute;left:0;text-align:left;margin-left:447pt;margin-top:68.5pt;width:116.95pt;height:8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" filled="f" stroked="f">
                <v:textbox>
                  <w:txbxContent>
                    <w:p w14:paraId="623371D8" w14:textId="41B6D7F8" w:rsidR="004C1642" w:rsidRPr="00D52680" w:rsidRDefault="00BC16C8" w:rsidP="00BC16C8">
                      <w:pPr>
                        <w:spacing w:before="0" w:after="0"/>
                        <w:rPr>
                          <w:bCs/>
                          <w:color w:val="001D77"/>
                          <w:sz w:val="18"/>
                          <w:szCs w:val="18"/>
                          <w:lang w:val="en-GB"/>
                        </w:rPr>
                      </w:pPr>
                      <w:r w:rsidRPr="00D52680">
                        <w:rPr>
                          <w:bCs/>
                          <w:color w:val="001D77"/>
                          <w:sz w:val="18"/>
                          <w:szCs w:val="18"/>
                          <w:lang w:val="en-GB"/>
                        </w:rPr>
                        <w:t>The job vacancy rate</w:t>
                      </w:r>
                      <w:r w:rsidR="00D52680">
                        <w:rPr>
                          <w:bCs/>
                          <w:color w:val="001D77"/>
                          <w:sz w:val="18"/>
                          <w:szCs w:val="18"/>
                          <w:lang w:val="en-GB"/>
                        </w:rPr>
                        <w:t xml:space="preserve"> </w:t>
                      </w:r>
                      <w:r w:rsidRPr="00D52680">
                        <w:rPr>
                          <w:bCs/>
                          <w:color w:val="001D77"/>
                          <w:sz w:val="18"/>
                          <w:szCs w:val="18"/>
                          <w:lang w:val="en-GB"/>
                        </w:rPr>
                        <w:t xml:space="preserve">measures the share </w:t>
                      </w:r>
                      <w:r w:rsidR="00D52680">
                        <w:rPr>
                          <w:bCs/>
                          <w:color w:val="001D77"/>
                          <w:sz w:val="18"/>
                          <w:szCs w:val="18"/>
                          <w:lang w:val="en-GB"/>
                        </w:rPr>
                        <w:br/>
                      </w:r>
                      <w:r w:rsidRPr="00D52680">
                        <w:rPr>
                          <w:bCs/>
                          <w:color w:val="001D77"/>
                          <w:sz w:val="18"/>
                          <w:szCs w:val="18"/>
                          <w:lang w:val="en-GB"/>
                        </w:rPr>
                        <w:t>of</w:t>
                      </w:r>
                      <w:r w:rsidR="00D52680">
                        <w:rPr>
                          <w:bCs/>
                          <w:color w:val="001D77"/>
                          <w:sz w:val="18"/>
                          <w:szCs w:val="18"/>
                          <w:lang w:val="en-GB"/>
                        </w:rPr>
                        <w:t xml:space="preserve"> </w:t>
                      </w:r>
                      <w:r w:rsidRPr="00D52680">
                        <w:rPr>
                          <w:bCs/>
                          <w:color w:val="001D77"/>
                          <w:sz w:val="18"/>
                          <w:szCs w:val="18"/>
                          <w:lang w:val="en-GB"/>
                        </w:rPr>
                        <w:t>job vacancies in the total</w:t>
                      </w:r>
                      <w:r w:rsidR="00D52680">
                        <w:rPr>
                          <w:bCs/>
                          <w:color w:val="001D77"/>
                          <w:sz w:val="18"/>
                          <w:szCs w:val="18"/>
                          <w:lang w:val="en-GB"/>
                        </w:rPr>
                        <w:t xml:space="preserve"> </w:t>
                      </w:r>
                      <w:r w:rsidRPr="00D52680">
                        <w:rPr>
                          <w:bCs/>
                          <w:color w:val="001D77"/>
                          <w:sz w:val="18"/>
                          <w:szCs w:val="18"/>
                          <w:lang w:val="en-GB"/>
                        </w:rPr>
                        <w:t xml:space="preserve">number of jobs </w:t>
                      </w:r>
                      <w:r w:rsidR="00D52680">
                        <w:rPr>
                          <w:bCs/>
                          <w:color w:val="001D77"/>
                          <w:sz w:val="18"/>
                          <w:szCs w:val="18"/>
                          <w:lang w:val="en-GB"/>
                        </w:rPr>
                        <w:br/>
                      </w:r>
                      <w:r w:rsidRPr="00D52680">
                        <w:rPr>
                          <w:bCs/>
                          <w:color w:val="001D77"/>
                          <w:sz w:val="18"/>
                          <w:szCs w:val="18"/>
                          <w:lang w:val="en-GB"/>
                        </w:rPr>
                        <w:t>(i.e.</w:t>
                      </w:r>
                      <w:r w:rsidR="00D52680">
                        <w:rPr>
                          <w:bCs/>
                          <w:color w:val="001D77"/>
                          <w:sz w:val="18"/>
                          <w:szCs w:val="18"/>
                          <w:lang w:val="en-GB"/>
                        </w:rPr>
                        <w:t xml:space="preserve"> </w:t>
                      </w:r>
                      <w:r w:rsidRPr="00D52680">
                        <w:rPr>
                          <w:bCs/>
                          <w:color w:val="001D77"/>
                          <w:sz w:val="18"/>
                          <w:szCs w:val="18"/>
                          <w:lang w:val="en-GB"/>
                        </w:rPr>
                        <w:t>occupied and vacant</w:t>
                      </w:r>
                      <w:r w:rsidR="00D52680">
                        <w:rPr>
                          <w:bCs/>
                          <w:color w:val="001D77"/>
                          <w:sz w:val="18"/>
                          <w:szCs w:val="18"/>
                          <w:lang w:val="en-GB"/>
                        </w:rPr>
                        <w:t xml:space="preserve"> </w:t>
                      </w:r>
                      <w:r w:rsidRPr="00D52680">
                        <w:rPr>
                          <w:bCs/>
                          <w:color w:val="001D77"/>
                          <w:sz w:val="18"/>
                          <w:szCs w:val="18"/>
                          <w:lang w:val="en-GB"/>
                        </w:rPr>
                        <w:t>jobs)</w:t>
                      </w:r>
                    </w:p>
                  </w:txbxContent>
                </v:textbox>
                <w10:wrap anchorx="page"/>
              </v:shape>
            </w:pict>
          </mc:Fallback>
        </mc:AlternateContent>
      </w:r>
      <w:r w:rsidR="00BC16C8" w:rsidRPr="00D52680">
        <w:rPr>
          <w:rFonts w:ascii="Fira Sans" w:hAnsi="Fira Sans"/>
          <w:b/>
          <w:color w:val="000000" w:themeColor="text1"/>
          <w:sz w:val="19"/>
          <w:szCs w:val="19"/>
          <w:lang w:val="en-GB" w:eastAsia="pl-PL"/>
        </w:rPr>
        <w:t xml:space="preserve">Map 1. </w:t>
      </w:r>
      <w:r w:rsidR="00BC16C8" w:rsidRPr="00D52680">
        <w:rPr>
          <w:rFonts w:ascii="Fira Sans" w:hAnsi="Fira Sans"/>
          <w:b/>
          <w:color w:val="auto"/>
          <w:sz w:val="19"/>
          <w:szCs w:val="19"/>
          <w:lang w:val="en-GB" w:eastAsia="pl-PL"/>
        </w:rPr>
        <w:t>Job vacancy rate in regions (NUTS 2) in the third quarter of 2024</w:t>
      </w:r>
      <w:r w:rsidR="00D10B58" w:rsidRPr="00D52680">
        <w:rPr>
          <w:rFonts w:ascii="Fira Sans" w:hAnsi="Fira Sans"/>
          <w:b/>
          <w:color w:val="auto"/>
          <w:sz w:val="19"/>
          <w:szCs w:val="19"/>
          <w:lang w:val="en-GB" w:eastAsia="pl-PL"/>
        </w:rPr>
        <w:br/>
      </w:r>
      <w:r w:rsidR="00BC16C8" w:rsidRPr="00D52680">
        <w:rPr>
          <w:rFonts w:ascii="Fira Sans" w:hAnsi="Fira Sans"/>
          <w:color w:val="auto"/>
          <w:sz w:val="19"/>
          <w:szCs w:val="19"/>
          <w:lang w:val="en-GB"/>
        </w:rPr>
        <w:t>As at the end of the quarter</w:t>
      </w:r>
    </w:p>
    <w:p w14:paraId="32FE627D" w14:textId="02DEE78F" w:rsidR="00DD3D0A" w:rsidRPr="00D52680" w:rsidRDefault="00230453" w:rsidP="00230453">
      <w:pPr>
        <w:spacing w:before="360" w:line="288" w:lineRule="auto"/>
        <w:rPr>
          <w:lang w:val="en-GB"/>
        </w:rPr>
      </w:pPr>
      <w:r w:rsidRPr="00D52680">
        <w:rPr>
          <w:lang w:val="en-GB"/>
        </w:rPr>
        <w:t xml:space="preserve">Taking into account the </w:t>
      </w:r>
      <w:r w:rsidRPr="00D52680">
        <w:rPr>
          <w:b/>
          <w:lang w:val="en-GB"/>
        </w:rPr>
        <w:t>kind of activity conducted</w:t>
      </w:r>
      <w:r w:rsidRPr="00D52680">
        <w:rPr>
          <w:lang w:val="en-GB"/>
        </w:rPr>
        <w:t>, the highest job vacancy rate was recorded in the Construction section</w:t>
      </w:r>
      <w:r w:rsidR="00EF0641" w:rsidRPr="00D52680">
        <w:rPr>
          <w:lang w:val="en-GB"/>
        </w:rPr>
        <w:t xml:space="preserve"> </w:t>
      </w:r>
      <w:r w:rsidRPr="00D52680">
        <w:rPr>
          <w:lang w:val="en-GB"/>
        </w:rPr>
        <w:t>(1.</w:t>
      </w:r>
      <w:r w:rsidR="00695CB8" w:rsidRPr="00D52680">
        <w:rPr>
          <w:lang w:val="en-GB"/>
        </w:rPr>
        <w:t>80</w:t>
      </w:r>
      <w:r w:rsidR="003A1620" w:rsidRPr="00D52680">
        <w:rPr>
          <w:lang w:val="en-GB"/>
        </w:rPr>
        <w:t xml:space="preserve">%). </w:t>
      </w:r>
      <w:r w:rsidR="00E93D91" w:rsidRPr="00D52680">
        <w:rPr>
          <w:lang w:val="en-GB"/>
        </w:rPr>
        <w:t>The largest</w:t>
      </w:r>
      <w:r w:rsidRPr="00D52680">
        <w:rPr>
          <w:lang w:val="en-GB"/>
        </w:rPr>
        <w:t xml:space="preserve"> increase in the job vacancy rate compared with the</w:t>
      </w:r>
      <w:r w:rsidR="00E93D91" w:rsidRPr="00D52680">
        <w:rPr>
          <w:lang w:val="en-GB"/>
        </w:rPr>
        <w:t xml:space="preserve"> third quarter of 2023 was recorded</w:t>
      </w:r>
      <w:r w:rsidRPr="00D52680">
        <w:rPr>
          <w:lang w:val="en-GB"/>
        </w:rPr>
        <w:t xml:space="preserve"> in the Professional, scientific and technical activities section (an increase of 0.49 percentage points to 1.56%). At the end </w:t>
      </w:r>
      <w:r w:rsidR="00977A4E">
        <w:rPr>
          <w:lang w:val="en-GB"/>
        </w:rPr>
        <w:br/>
      </w:r>
      <w:r w:rsidRPr="00D52680">
        <w:rPr>
          <w:lang w:val="en-GB"/>
        </w:rPr>
        <w:t xml:space="preserve">of the third quarter of 2024, the largest decrease in the job vacancy rate compared with </w:t>
      </w:r>
      <w:r w:rsidR="00977A4E">
        <w:rPr>
          <w:lang w:val="en-GB"/>
        </w:rPr>
        <w:br/>
      </w:r>
      <w:r w:rsidRPr="00D52680">
        <w:rPr>
          <w:lang w:val="en-GB"/>
        </w:rPr>
        <w:t xml:space="preserve">the corresponding quarter of 2023 was in the Information and communication section </w:t>
      </w:r>
      <w:r w:rsidR="00977A4E">
        <w:rPr>
          <w:lang w:val="en-GB"/>
        </w:rPr>
        <w:br/>
      </w:r>
      <w:r w:rsidRPr="00D52680">
        <w:rPr>
          <w:lang w:val="en-GB"/>
        </w:rPr>
        <w:t xml:space="preserve">(i.e. by 0.40 percentage points to 1.49%). </w:t>
      </w:r>
    </w:p>
    <w:p w14:paraId="641533BE" w14:textId="28D0AA41" w:rsidR="001A0361" w:rsidRPr="00D52680" w:rsidRDefault="00D52680" w:rsidP="00D52680">
      <w:pPr>
        <w:pStyle w:val="tytuwykresu"/>
        <w:spacing w:before="360" w:line="240" w:lineRule="auto"/>
        <w:ind w:left="680" w:hanging="680"/>
        <w:rPr>
          <w:color w:val="000000" w:themeColor="text1"/>
          <w:sz w:val="19"/>
          <w:szCs w:val="19"/>
          <w:lang w:val="en-GB"/>
        </w:rPr>
      </w:pPr>
      <w:bookmarkStart w:id="1" w:name="_GoBack"/>
      <w:r w:rsidRPr="00ED5017">
        <w:rPr>
          <w:noProof/>
          <w:color w:val="000000" w:themeColor="text1"/>
          <w:sz w:val="19"/>
          <w:szCs w:val="19"/>
          <w:lang w:eastAsia="pl-PL"/>
        </w:rPr>
        <w:drawing>
          <wp:anchor distT="0" distB="0" distL="114300" distR="114300" simplePos="0" relativeHeight="251691008" behindDoc="0" locked="0" layoutInCell="1" allowOverlap="1" wp14:anchorId="101937CB" wp14:editId="34E0D63C">
            <wp:simplePos x="0" y="0"/>
            <wp:positionH relativeFrom="margin">
              <wp:posOffset>208915</wp:posOffset>
            </wp:positionH>
            <wp:positionV relativeFrom="paragraph">
              <wp:posOffset>626745</wp:posOffset>
            </wp:positionV>
            <wp:extent cx="4707890" cy="2287270"/>
            <wp:effectExtent l="0" t="0" r="0" b="0"/>
            <wp:wrapTopAndBottom/>
            <wp:docPr id="19" name="Obraz 19" descr="The chart shows job vacancies and the job vacancy rate in selected PKD/NACE sections as at the end of the third quarter of 2024. The largest number of job vacancies were recorded in the Manufacturing section and amounted to 22.2 thousand. The highest job vacancy rate was recorded in the Construction section and amounted to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7890" cy="2287270"/>
                    </a:xfrm>
                    <a:prstGeom prst="rect">
                      <a:avLst/>
                    </a:prstGeom>
                  </pic:spPr>
                </pic:pic>
              </a:graphicData>
            </a:graphic>
            <wp14:sizeRelH relativeFrom="page">
              <wp14:pctWidth>0</wp14:pctWidth>
            </wp14:sizeRelH>
            <wp14:sizeRelV relativeFrom="page">
              <wp14:pctHeight>0</wp14:pctHeight>
            </wp14:sizeRelV>
          </wp:anchor>
        </w:drawing>
      </w:r>
      <w:bookmarkEnd w:id="1"/>
      <w:r w:rsidR="00140656" w:rsidRPr="00D52680">
        <w:rPr>
          <w:noProof/>
          <w:color w:val="000000" w:themeColor="text1"/>
          <w:sz w:val="19"/>
          <w:szCs w:val="19"/>
          <w:lang w:val="en-GB" w:eastAsia="pl-PL"/>
        </w:rPr>
        <w:t>Chart</w:t>
      </w:r>
      <w:r w:rsidR="00CF6104" w:rsidRPr="00D52680">
        <w:rPr>
          <w:noProof/>
          <w:color w:val="000000" w:themeColor="text1"/>
          <w:sz w:val="19"/>
          <w:szCs w:val="19"/>
          <w:lang w:val="en-GB" w:eastAsia="pl-PL"/>
        </w:rPr>
        <w:t xml:space="preserve"> </w:t>
      </w:r>
      <w:r w:rsidR="00982F8C" w:rsidRPr="00D52680">
        <w:rPr>
          <w:noProof/>
          <w:color w:val="000000" w:themeColor="text1"/>
          <w:sz w:val="19"/>
          <w:szCs w:val="19"/>
          <w:lang w:val="en-GB" w:eastAsia="pl-PL"/>
        </w:rPr>
        <w:t>2</w:t>
      </w:r>
      <w:r w:rsidR="00720CDD" w:rsidRPr="00D52680">
        <w:rPr>
          <w:noProof/>
          <w:color w:val="000000" w:themeColor="text1"/>
          <w:sz w:val="19"/>
          <w:szCs w:val="19"/>
          <w:lang w:val="en-GB" w:eastAsia="pl-PL"/>
        </w:rPr>
        <w:t xml:space="preserve">. </w:t>
      </w:r>
      <w:r w:rsidR="00140656" w:rsidRPr="00D52680">
        <w:rPr>
          <w:noProof/>
          <w:color w:val="000000" w:themeColor="text1"/>
          <w:sz w:val="19"/>
          <w:szCs w:val="19"/>
          <w:lang w:val="en-GB" w:eastAsia="pl-PL"/>
        </w:rPr>
        <w:t>Job vacancies and the job vacancy rate in selected PKD/NACE sections in the third</w:t>
      </w:r>
      <w:r>
        <w:rPr>
          <w:noProof/>
          <w:color w:val="000000" w:themeColor="text1"/>
          <w:sz w:val="19"/>
          <w:szCs w:val="19"/>
          <w:lang w:val="en-GB" w:eastAsia="pl-PL"/>
        </w:rPr>
        <w:t xml:space="preserve"> </w:t>
      </w:r>
      <w:r w:rsidR="00140656" w:rsidRPr="00D52680">
        <w:rPr>
          <w:noProof/>
          <w:color w:val="000000" w:themeColor="text1"/>
          <w:sz w:val="19"/>
          <w:szCs w:val="19"/>
          <w:lang w:val="en-GB" w:eastAsia="pl-PL"/>
        </w:rPr>
        <w:t>quarter of 2024</w:t>
      </w:r>
      <w:r w:rsidR="00D10B58" w:rsidRPr="00D52680">
        <w:rPr>
          <w:noProof/>
          <w:color w:val="000000" w:themeColor="text1"/>
          <w:sz w:val="19"/>
          <w:szCs w:val="19"/>
          <w:lang w:val="en-GB" w:eastAsia="pl-PL"/>
        </w:rPr>
        <w:br/>
      </w:r>
      <w:r w:rsidR="00140656" w:rsidRPr="00D52680">
        <w:rPr>
          <w:b w:val="0"/>
          <w:sz w:val="19"/>
          <w:szCs w:val="19"/>
          <w:lang w:val="en-GB"/>
        </w:rPr>
        <w:t>As at the end of the quarter</w:t>
      </w:r>
    </w:p>
    <w:p w14:paraId="1C6EF42A" w14:textId="58AE4535" w:rsidR="00982F8C" w:rsidRPr="00D52680" w:rsidRDefault="00140656" w:rsidP="00140656">
      <w:pPr>
        <w:spacing w:before="360" w:line="288" w:lineRule="auto"/>
        <w:rPr>
          <w:szCs w:val="19"/>
          <w:lang w:val="en-GB"/>
        </w:rPr>
      </w:pPr>
      <w:r w:rsidRPr="00D52680">
        <w:rPr>
          <w:szCs w:val="19"/>
          <w:lang w:val="en-GB"/>
        </w:rPr>
        <w:t xml:space="preserve">The Labour Demand Survey also allows to determine the demand for employees across </w:t>
      </w:r>
      <w:r w:rsidRPr="00D52680">
        <w:rPr>
          <w:b/>
          <w:szCs w:val="19"/>
          <w:lang w:val="en-GB"/>
        </w:rPr>
        <w:t>major occupational groups</w:t>
      </w:r>
      <w:r w:rsidRPr="00D52680">
        <w:rPr>
          <w:szCs w:val="19"/>
          <w:lang w:val="en-GB"/>
        </w:rPr>
        <w:t>. Of the 22.2 thousand job vacancies in national economy entities in the Manufacturing</w:t>
      </w:r>
      <w:r w:rsidR="00D20CDE" w:rsidRPr="00D52680">
        <w:rPr>
          <w:szCs w:val="19"/>
          <w:lang w:val="en-GB"/>
        </w:rPr>
        <w:t xml:space="preserve"> section at the end of the third</w:t>
      </w:r>
      <w:r w:rsidRPr="00D52680">
        <w:rPr>
          <w:szCs w:val="19"/>
          <w:lang w:val="en-GB"/>
        </w:rPr>
        <w:t xml:space="preserve"> quarter of 2024, the most job vacancies were available for occupations belonging to the major occupational group of Craft and related trades workers </w:t>
      </w:r>
      <w:r w:rsidR="00FB3352" w:rsidRPr="00D52680">
        <w:rPr>
          <w:szCs w:val="19"/>
          <w:lang w:val="en-GB"/>
        </w:rPr>
        <w:t>(</w:t>
      </w:r>
      <w:r w:rsidRPr="00D52680">
        <w:rPr>
          <w:szCs w:val="19"/>
          <w:lang w:val="en-GB"/>
        </w:rPr>
        <w:t>9.</w:t>
      </w:r>
      <w:r w:rsidR="00450BB1" w:rsidRPr="00D52680">
        <w:rPr>
          <w:szCs w:val="19"/>
          <w:lang w:val="en-GB"/>
        </w:rPr>
        <w:t>2</w:t>
      </w:r>
      <w:r w:rsidRPr="00D52680">
        <w:rPr>
          <w:szCs w:val="19"/>
          <w:lang w:val="en-GB"/>
        </w:rPr>
        <w:t xml:space="preserve"> thousand</w:t>
      </w:r>
      <w:r w:rsidR="002263EB" w:rsidRPr="00D52680">
        <w:rPr>
          <w:szCs w:val="19"/>
          <w:lang w:val="en-GB"/>
        </w:rPr>
        <w:t xml:space="preserve">). </w:t>
      </w:r>
      <w:r w:rsidRPr="00D52680">
        <w:rPr>
          <w:szCs w:val="19"/>
          <w:lang w:val="en-GB"/>
        </w:rPr>
        <w:t>In entities in the Construction section, job vacancies were most often intended for occupations belonging to the major occupational</w:t>
      </w:r>
      <w:r w:rsidR="00D52680">
        <w:rPr>
          <w:szCs w:val="19"/>
          <w:lang w:val="en-GB"/>
        </w:rPr>
        <w:t xml:space="preserve"> </w:t>
      </w:r>
      <w:r w:rsidRPr="00D52680">
        <w:rPr>
          <w:szCs w:val="19"/>
          <w:lang w:val="en-GB"/>
        </w:rPr>
        <w:t>group of Craft and related trades workers (9.5 thousand out of 13.</w:t>
      </w:r>
      <w:r w:rsidR="00450BB1" w:rsidRPr="00D52680">
        <w:rPr>
          <w:szCs w:val="19"/>
          <w:lang w:val="en-GB"/>
        </w:rPr>
        <w:t>6</w:t>
      </w:r>
      <w:r w:rsidRPr="00D52680">
        <w:rPr>
          <w:szCs w:val="19"/>
          <w:lang w:val="en-GB"/>
        </w:rPr>
        <w:t xml:space="preserve"> thousand job vacancies</w:t>
      </w:r>
      <w:r w:rsidR="002A17F3" w:rsidRPr="00D52680">
        <w:rPr>
          <w:szCs w:val="19"/>
          <w:lang w:val="en-GB"/>
        </w:rPr>
        <w:t xml:space="preserve">). </w:t>
      </w:r>
      <w:r w:rsidRPr="00D52680">
        <w:rPr>
          <w:szCs w:val="19"/>
          <w:lang w:val="en-GB"/>
        </w:rPr>
        <w:t>The majority of job vacancies in the Trade; repair of motor vehicles</w:t>
      </w:r>
      <w:r w:rsidRPr="00140656">
        <w:rPr>
          <w:szCs w:val="19"/>
          <w:vertAlign w:val="superscript"/>
        </w:rPr>
        <w:t>Δ</w:t>
      </w:r>
      <w:r w:rsidRPr="00D52680">
        <w:rPr>
          <w:szCs w:val="19"/>
          <w:lang w:val="en-GB"/>
        </w:rPr>
        <w:t xml:space="preserve"> section were for occupations belonging to the major occupational group of Service and sales workers (7.</w:t>
      </w:r>
      <w:r w:rsidR="00450BB1" w:rsidRPr="00D52680">
        <w:rPr>
          <w:szCs w:val="19"/>
          <w:lang w:val="en-GB"/>
        </w:rPr>
        <w:t>3</w:t>
      </w:r>
      <w:r w:rsidR="00470248" w:rsidRPr="00D52680">
        <w:rPr>
          <w:szCs w:val="19"/>
          <w:lang w:val="en-GB"/>
        </w:rPr>
        <w:t xml:space="preserve"> </w:t>
      </w:r>
      <w:r w:rsidRPr="00D52680">
        <w:rPr>
          <w:szCs w:val="19"/>
          <w:lang w:val="en-GB"/>
        </w:rPr>
        <w:t xml:space="preserve">thousand out of </w:t>
      </w:r>
      <w:r w:rsidR="000120DF" w:rsidRPr="00D52680">
        <w:rPr>
          <w:szCs w:val="19"/>
          <w:lang w:val="en-GB"/>
        </w:rPr>
        <w:t>1</w:t>
      </w:r>
      <w:r w:rsidRPr="00D52680">
        <w:rPr>
          <w:szCs w:val="19"/>
          <w:lang w:val="en-GB"/>
        </w:rPr>
        <w:t>9.</w:t>
      </w:r>
      <w:r w:rsidR="00450BB1" w:rsidRPr="00D52680">
        <w:rPr>
          <w:szCs w:val="19"/>
          <w:lang w:val="en-GB"/>
        </w:rPr>
        <w:t>1</w:t>
      </w:r>
      <w:r w:rsidRPr="00D52680">
        <w:rPr>
          <w:szCs w:val="19"/>
          <w:lang w:val="en-GB"/>
        </w:rPr>
        <w:t xml:space="preserve"> thousand job vacancies</w:t>
      </w:r>
      <w:r w:rsidR="00370BB7" w:rsidRPr="00D52680">
        <w:rPr>
          <w:szCs w:val="19"/>
          <w:lang w:val="en-GB"/>
        </w:rPr>
        <w:t>).</w:t>
      </w:r>
    </w:p>
    <w:p w14:paraId="6799B790" w14:textId="1C504987" w:rsidR="00982F8C" w:rsidRPr="00D52680" w:rsidRDefault="000D2297" w:rsidP="00D52680">
      <w:pPr>
        <w:pStyle w:val="tytuwykresu"/>
        <w:spacing w:before="360" w:line="240" w:lineRule="auto"/>
        <w:ind w:left="709" w:hanging="709"/>
        <w:rPr>
          <w:color w:val="000000" w:themeColor="text1"/>
          <w:sz w:val="19"/>
          <w:szCs w:val="19"/>
          <w:lang w:val="en-GB"/>
        </w:rPr>
      </w:pPr>
      <w:r w:rsidRPr="00474B43">
        <w:rPr>
          <w:noProof/>
          <w:sz w:val="19"/>
          <w:szCs w:val="19"/>
          <w:lang w:eastAsia="pl-PL"/>
        </w:rPr>
        <w:lastRenderedPageBreak/>
        <w:drawing>
          <wp:anchor distT="0" distB="0" distL="114300" distR="114300" simplePos="0" relativeHeight="251694080" behindDoc="1" locked="0" layoutInCell="1" allowOverlap="1" wp14:anchorId="2B1441A2" wp14:editId="301036BF">
            <wp:simplePos x="0" y="0"/>
            <wp:positionH relativeFrom="margin">
              <wp:posOffset>3175</wp:posOffset>
            </wp:positionH>
            <wp:positionV relativeFrom="paragraph">
              <wp:posOffset>548005</wp:posOffset>
            </wp:positionV>
            <wp:extent cx="5113655" cy="3470275"/>
            <wp:effectExtent l="0" t="0" r="0" b="0"/>
            <wp:wrapTight wrapText="bothSides">
              <wp:wrapPolygon edited="0">
                <wp:start x="0" y="0"/>
                <wp:lineTo x="0" y="21462"/>
                <wp:lineTo x="21485" y="21462"/>
                <wp:lineTo x="21485" y="0"/>
                <wp:lineTo x="0" y="0"/>
              </wp:wrapPolygon>
            </wp:wrapTight>
            <wp:docPr id="5" name="Obraz 5" descr="The chart presents the structure of job vacancies in selected PKD/NACE sections by major occupational group, as at the end of the third quarter of 2024. In the Manufacturing section, the largest number of job vacancies were available for occupations from the major occupational group of Craft and related trades workers and constituted 41.4%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3655" cy="3470275"/>
                    </a:xfrm>
                    <a:prstGeom prst="rect">
                      <a:avLst/>
                    </a:prstGeom>
                  </pic:spPr>
                </pic:pic>
              </a:graphicData>
            </a:graphic>
            <wp14:sizeRelH relativeFrom="page">
              <wp14:pctWidth>0</wp14:pctWidth>
            </wp14:sizeRelH>
            <wp14:sizeRelV relativeFrom="page">
              <wp14:pctHeight>0</wp14:pctHeight>
            </wp14:sizeRelV>
          </wp:anchor>
        </w:drawing>
      </w:r>
      <w:r w:rsidR="00052AF4" w:rsidRPr="00D52680">
        <w:rPr>
          <w:noProof/>
          <w:color w:val="000000" w:themeColor="text1"/>
          <w:sz w:val="19"/>
          <w:szCs w:val="19"/>
          <w:lang w:val="en-GB" w:eastAsia="pl-PL"/>
        </w:rPr>
        <w:t>Chart</w:t>
      </w:r>
      <w:r w:rsidR="00982F8C" w:rsidRPr="00D52680">
        <w:rPr>
          <w:noProof/>
          <w:color w:val="000000" w:themeColor="text1"/>
          <w:sz w:val="19"/>
          <w:szCs w:val="19"/>
          <w:lang w:val="en-GB" w:eastAsia="pl-PL"/>
        </w:rPr>
        <w:t xml:space="preserve"> </w:t>
      </w:r>
      <w:r w:rsidR="00052AF4" w:rsidRPr="00D52680">
        <w:rPr>
          <w:noProof/>
          <w:color w:val="000000" w:themeColor="text1"/>
          <w:sz w:val="19"/>
          <w:szCs w:val="19"/>
          <w:lang w:val="en-GB" w:eastAsia="pl-PL"/>
        </w:rPr>
        <w:t>3. Structure of job vacancies in selected PKD/NACE sections by major occupational group</w:t>
      </w:r>
      <w:r w:rsidR="00D52680">
        <w:rPr>
          <w:noProof/>
          <w:color w:val="000000" w:themeColor="text1"/>
          <w:sz w:val="19"/>
          <w:szCs w:val="19"/>
          <w:lang w:val="en-GB" w:eastAsia="pl-PL"/>
        </w:rPr>
        <w:t xml:space="preserve"> </w:t>
      </w:r>
      <w:r w:rsidR="00052AF4" w:rsidRPr="00D52680">
        <w:rPr>
          <w:noProof/>
          <w:color w:val="000000" w:themeColor="text1"/>
          <w:sz w:val="19"/>
          <w:szCs w:val="19"/>
          <w:lang w:val="en-GB" w:eastAsia="pl-PL"/>
        </w:rPr>
        <w:t>in the third quarter of 2024</w:t>
      </w:r>
      <w:r w:rsidR="00982F8C" w:rsidRPr="00D52680">
        <w:rPr>
          <w:noProof/>
          <w:color w:val="000000" w:themeColor="text1"/>
          <w:sz w:val="19"/>
          <w:szCs w:val="19"/>
          <w:lang w:val="en-GB" w:eastAsia="pl-PL"/>
        </w:rPr>
        <w:br/>
      </w:r>
      <w:r w:rsidR="00052AF4" w:rsidRPr="00D52680">
        <w:rPr>
          <w:b w:val="0"/>
          <w:sz w:val="19"/>
          <w:szCs w:val="19"/>
          <w:lang w:val="en-GB"/>
        </w:rPr>
        <w:t>As at the end of the quarter</w:t>
      </w:r>
    </w:p>
    <w:p w14:paraId="130F4C8D" w14:textId="2E4D63C3" w:rsidR="00172FB2" w:rsidRPr="00D52680" w:rsidRDefault="00052AF4" w:rsidP="00052AF4">
      <w:pPr>
        <w:spacing w:before="840" w:line="288" w:lineRule="auto"/>
        <w:rPr>
          <w:color w:val="000000" w:themeColor="text1"/>
          <w:lang w:val="en-GB" w:eastAsia="pl-PL"/>
        </w:rPr>
      </w:pPr>
      <w:r w:rsidRPr="00D52680">
        <w:rPr>
          <w:color w:val="000000" w:themeColor="text1"/>
          <w:szCs w:val="19"/>
          <w:lang w:val="en-GB"/>
        </w:rPr>
        <w:t>In this news release abbreviated names of NACE, Rev. 2 sections were used. Abbreviations are marked with a ‘</w:t>
      </w:r>
      <w:r w:rsidRPr="00052AF4">
        <w:rPr>
          <w:color w:val="000000" w:themeColor="text1"/>
          <w:szCs w:val="19"/>
        </w:rPr>
        <w:t>Δ</w:t>
      </w:r>
      <w:r w:rsidRPr="00D52680">
        <w:rPr>
          <w:color w:val="000000" w:themeColor="text1"/>
          <w:szCs w:val="19"/>
          <w:lang w:val="en-GB"/>
        </w:rPr>
        <w:t xml:space="preserve">’ symbol. Full names are available on the Eurostat website at: </w:t>
      </w:r>
      <w:hyperlink r:id="rId11" w:history="1">
        <w:r w:rsidRPr="00D52680">
          <w:rPr>
            <w:rStyle w:val="Hipercze"/>
            <w:rFonts w:cstheme="minorBidi"/>
            <w:szCs w:val="19"/>
            <w:lang w:val="en-GB"/>
          </w:rPr>
          <w:t>https://ec.europa.eu/eurostat/web/metadata/classifications</w:t>
        </w:r>
      </w:hyperlink>
      <w:r w:rsidRPr="00D52680">
        <w:rPr>
          <w:color w:val="000000" w:themeColor="text1"/>
          <w:szCs w:val="19"/>
          <w:lang w:val="en-GB"/>
        </w:rPr>
        <w:t xml:space="preserve"> </w:t>
      </w:r>
      <w:r w:rsidR="00982F8C" w:rsidRPr="00D52680">
        <w:rPr>
          <w:rStyle w:val="Hipercze"/>
          <w:color w:val="000000" w:themeColor="text1"/>
          <w:szCs w:val="19"/>
          <w:lang w:val="en-GB"/>
        </w:rPr>
        <w:br/>
      </w:r>
      <w:r w:rsidRPr="00D52680">
        <w:rPr>
          <w:color w:val="000000" w:themeColor="text1"/>
          <w:lang w:val="en-GB" w:eastAsia="pl-PL"/>
        </w:rPr>
        <w:t>Relative numbers (rates, percentages) were calculated on the basis of absolute data expressed with greater accuracy than given in the publication.</w:t>
      </w:r>
    </w:p>
    <w:p w14:paraId="692361A4" w14:textId="0F35C250" w:rsidR="00720CDD" w:rsidRPr="00D52680" w:rsidRDefault="00052AF4" w:rsidP="00052AF4">
      <w:pPr>
        <w:spacing w:before="5160" w:line="288" w:lineRule="auto"/>
        <w:rPr>
          <w:color w:val="000000" w:themeColor="text1"/>
          <w:lang w:val="en-GB"/>
        </w:rPr>
        <w:sectPr w:rsidR="00720CDD" w:rsidRPr="00D52680"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D52680">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52AF4" w:rsidRPr="00D52680" w14:paraId="0989ED9D" w14:textId="77777777" w:rsidTr="00F66EE7">
        <w:trPr>
          <w:trHeight w:val="1626"/>
        </w:trPr>
        <w:tc>
          <w:tcPr>
            <w:tcW w:w="4926" w:type="dxa"/>
          </w:tcPr>
          <w:p w14:paraId="59212D28" w14:textId="77777777" w:rsidR="00052AF4" w:rsidRPr="00451DC8" w:rsidRDefault="00052AF4" w:rsidP="00F66EE7">
            <w:pPr>
              <w:spacing w:before="0" w:after="0" w:line="276" w:lineRule="auto"/>
              <w:rPr>
                <w:rFonts w:cs="Arial"/>
                <w:sz w:val="20"/>
                <w:lang w:val="en-GB"/>
              </w:rPr>
            </w:pPr>
            <w:r w:rsidRPr="00451DC8">
              <w:rPr>
                <w:rFonts w:cs="Arial"/>
                <w:sz w:val="20"/>
                <w:lang w:val="en-GB"/>
              </w:rPr>
              <w:lastRenderedPageBreak/>
              <w:t>Prepared by:</w:t>
            </w:r>
          </w:p>
          <w:p w14:paraId="68CE4FCA" w14:textId="77777777" w:rsidR="00052AF4" w:rsidRPr="00451DC8" w:rsidRDefault="00052AF4" w:rsidP="00F66EE7">
            <w:pPr>
              <w:spacing w:before="0" w:line="276" w:lineRule="auto"/>
              <w:rPr>
                <w:rFonts w:cs="Arial"/>
                <w:b/>
                <w:color w:val="000000" w:themeColor="text1"/>
                <w:sz w:val="20"/>
                <w:lang w:val="en-GB"/>
              </w:rPr>
            </w:pPr>
            <w:r w:rsidRPr="00451DC8">
              <w:rPr>
                <w:rFonts w:cs="Arial"/>
                <w:b/>
                <w:sz w:val="20"/>
                <w:lang w:val="en-GB"/>
              </w:rPr>
              <w:t>Statistical Office in Bydgoszcz</w:t>
            </w:r>
          </w:p>
          <w:p w14:paraId="4DD7E6AD" w14:textId="77777777" w:rsidR="00052AF4" w:rsidRPr="004B6985" w:rsidRDefault="00052AF4" w:rsidP="00F66EE7">
            <w:pPr>
              <w:spacing w:before="0" w:after="0" w:line="276" w:lineRule="auto"/>
              <w:rPr>
                <w:b/>
                <w:sz w:val="20"/>
                <w:szCs w:val="20"/>
                <w:lang w:val="fi-FI"/>
              </w:rPr>
            </w:pPr>
            <w:r w:rsidRPr="004B6985">
              <w:rPr>
                <w:b/>
                <w:sz w:val="20"/>
                <w:szCs w:val="20"/>
                <w:lang w:val="fi-FI"/>
              </w:rPr>
              <w:t>Director Wiesława Gierańczyk, Ph.D.</w:t>
            </w:r>
          </w:p>
          <w:p w14:paraId="6EB96312" w14:textId="77777777" w:rsidR="00052AF4" w:rsidRPr="00AB24E4" w:rsidRDefault="00052AF4" w:rsidP="00F66EE7">
            <w:pPr>
              <w:pStyle w:val="Nagwek3"/>
              <w:spacing w:before="0" w:after="120" w:line="240" w:lineRule="auto"/>
              <w:outlineLvl w:val="2"/>
              <w:rPr>
                <w:rFonts w:ascii="Fira Sans" w:hAnsi="Fira Sans" w:cs="Arial"/>
                <w:color w:val="000000" w:themeColor="text1"/>
                <w:sz w:val="20"/>
                <w:lang w:val="fi-FI"/>
              </w:rPr>
            </w:pPr>
            <w:r w:rsidRPr="004B6985">
              <w:rPr>
                <w:rFonts w:ascii="Fira Sans" w:hAnsi="Fira Sans" w:cs="Arial"/>
                <w:color w:val="000000" w:themeColor="text1"/>
                <w:sz w:val="20"/>
                <w:szCs w:val="20"/>
                <w:lang w:val="fi-FI"/>
              </w:rPr>
              <w:t>Phone: (+48 52) 366 93 90</w:t>
            </w:r>
          </w:p>
        </w:tc>
        <w:tc>
          <w:tcPr>
            <w:tcW w:w="4927" w:type="dxa"/>
          </w:tcPr>
          <w:p w14:paraId="591A9CC7" w14:textId="77777777" w:rsidR="00052AF4" w:rsidRPr="004B6985" w:rsidRDefault="00052AF4" w:rsidP="00F66EE7">
            <w:pPr>
              <w:spacing w:before="0" w:line="276" w:lineRule="auto"/>
              <w:rPr>
                <w:rFonts w:cs="Arial"/>
                <w:b/>
                <w:sz w:val="20"/>
                <w:szCs w:val="20"/>
                <w:lang w:val="en-GB"/>
              </w:rPr>
            </w:pPr>
            <w:r w:rsidRPr="004B6985">
              <w:rPr>
                <w:rFonts w:cs="Arial"/>
                <w:sz w:val="20"/>
                <w:szCs w:val="20"/>
                <w:lang w:val="en-GB"/>
              </w:rPr>
              <w:t>Issued by:</w:t>
            </w:r>
            <w:r w:rsidRPr="004B6985">
              <w:rPr>
                <w:rFonts w:cs="Arial"/>
                <w:sz w:val="20"/>
                <w:szCs w:val="20"/>
                <w:lang w:val="en-GB"/>
              </w:rPr>
              <w:br/>
            </w:r>
            <w:r w:rsidRPr="004B6985">
              <w:rPr>
                <w:rFonts w:cs="Arial"/>
                <w:b/>
                <w:color w:val="000000" w:themeColor="text1"/>
                <w:sz w:val="20"/>
                <w:szCs w:val="20"/>
                <w:lang w:val="en-GB"/>
              </w:rPr>
              <w:t>Press Office</w:t>
            </w:r>
          </w:p>
          <w:p w14:paraId="6CFD6637" w14:textId="77777777" w:rsidR="00052AF4" w:rsidRPr="004B6985" w:rsidRDefault="00052AF4" w:rsidP="00F66EE7">
            <w:pPr>
              <w:rPr>
                <w:sz w:val="20"/>
                <w:szCs w:val="20"/>
                <w:lang w:val="en-GB"/>
              </w:rPr>
            </w:pPr>
            <w:r w:rsidRPr="004B6985">
              <w:rPr>
                <w:sz w:val="20"/>
                <w:szCs w:val="20"/>
                <w:lang w:val="en-GB"/>
              </w:rPr>
              <w:t>Mobile phone: +48 695 255 032</w:t>
            </w:r>
          </w:p>
          <w:p w14:paraId="504749B6" w14:textId="77777777" w:rsidR="00052AF4" w:rsidRPr="004B6985" w:rsidRDefault="00052AF4" w:rsidP="00F66EE7">
            <w:pPr>
              <w:ind w:left="1610" w:hanging="1610"/>
              <w:rPr>
                <w:sz w:val="20"/>
                <w:szCs w:val="20"/>
                <w:lang w:val="en-GB"/>
              </w:rPr>
            </w:pPr>
            <w:r w:rsidRPr="004B6985">
              <w:rPr>
                <w:sz w:val="20"/>
                <w:szCs w:val="20"/>
                <w:lang w:val="en-GB"/>
              </w:rPr>
              <w:t>Landline phones: +48 22 608 38 04, +48 22 449 41 45, +48 22 608 30 09</w:t>
            </w:r>
          </w:p>
          <w:p w14:paraId="59E39D2A" w14:textId="77777777" w:rsidR="00052AF4" w:rsidRPr="004B6985" w:rsidRDefault="00052AF4" w:rsidP="00F66EE7">
            <w:pPr>
              <w:rPr>
                <w:rStyle w:val="Hipercze"/>
                <w:rFonts w:eastAsiaTheme="majorEastAsia" w:cs="Arial"/>
                <w:b/>
                <w:color w:val="auto"/>
                <w:sz w:val="20"/>
                <w:szCs w:val="20"/>
                <w:lang w:val="en-GB"/>
              </w:rPr>
            </w:pPr>
            <w:r w:rsidRPr="004B6985">
              <w:rPr>
                <w:b/>
                <w:sz w:val="20"/>
                <w:szCs w:val="20"/>
                <w:lang w:val="en-GB"/>
              </w:rPr>
              <w:t>e-mail:</w:t>
            </w:r>
            <w:r w:rsidRPr="004B6985">
              <w:rPr>
                <w:sz w:val="20"/>
                <w:szCs w:val="20"/>
                <w:lang w:val="en-GB"/>
              </w:rPr>
              <w:t xml:space="preserve"> </w:t>
            </w:r>
            <w:hyperlink r:id="rId16" w:history="1">
              <w:r w:rsidRPr="004B6985">
                <w:rPr>
                  <w:rStyle w:val="Hipercze"/>
                  <w:rFonts w:eastAsiaTheme="majorEastAsia" w:cs="Arial"/>
                  <w:b/>
                  <w:color w:val="auto"/>
                  <w:sz w:val="20"/>
                  <w:szCs w:val="20"/>
                  <w:lang w:val="en-GB"/>
                </w:rPr>
                <w:t>obslugaprasowa@stat.gov.pl</w:t>
              </w:r>
            </w:hyperlink>
          </w:p>
          <w:p w14:paraId="0C112A21" w14:textId="77777777" w:rsidR="00052AF4" w:rsidRPr="00451DC8" w:rsidRDefault="00052AF4" w:rsidP="00F66EE7">
            <w:pPr>
              <w:rPr>
                <w:sz w:val="18"/>
                <w:lang w:val="en-GB"/>
              </w:rPr>
            </w:pPr>
          </w:p>
        </w:tc>
      </w:tr>
      <w:tr w:rsidR="00052AF4" w14:paraId="2C3A698E" w14:textId="77777777" w:rsidTr="00F66EE7">
        <w:trPr>
          <w:trHeight w:val="418"/>
        </w:trPr>
        <w:tc>
          <w:tcPr>
            <w:tcW w:w="4926" w:type="dxa"/>
            <w:vMerge w:val="restart"/>
          </w:tcPr>
          <w:p w14:paraId="0B6D474D" w14:textId="77777777" w:rsidR="00052AF4" w:rsidRPr="00F05FC7" w:rsidRDefault="00052AF4" w:rsidP="00F66EE7">
            <w:pPr>
              <w:rPr>
                <w:sz w:val="18"/>
                <w:lang w:val="en-US"/>
              </w:rPr>
            </w:pPr>
          </w:p>
        </w:tc>
        <w:tc>
          <w:tcPr>
            <w:tcW w:w="4927" w:type="dxa"/>
            <w:vAlign w:val="center"/>
          </w:tcPr>
          <w:p w14:paraId="7A550F57" w14:textId="77777777" w:rsidR="00052AF4" w:rsidRDefault="00052AF4" w:rsidP="00F66EE7">
            <w:pPr>
              <w:ind w:firstLine="680"/>
              <w:rPr>
                <w:sz w:val="18"/>
              </w:rPr>
            </w:pPr>
            <w:r w:rsidRPr="002F3A13">
              <w:rPr>
                <w:sz w:val="18"/>
              </w:rPr>
              <w:t>stat.gov.pl/en/</w:t>
            </w:r>
            <w:r w:rsidRPr="006533D1">
              <w:rPr>
                <w:strike/>
                <w:noProof/>
                <w:sz w:val="20"/>
                <w:lang w:eastAsia="pl-PL"/>
              </w:rPr>
              <w:drawing>
                <wp:anchor distT="0" distB="0" distL="114300" distR="114300" simplePos="0" relativeHeight="251698176" behindDoc="0" locked="0" layoutInCell="1" allowOverlap="1" wp14:anchorId="1BB898ED" wp14:editId="13CF8142">
                  <wp:simplePos x="0" y="0"/>
                  <wp:positionH relativeFrom="column">
                    <wp:posOffset>78740</wp:posOffset>
                  </wp:positionH>
                  <wp:positionV relativeFrom="paragraph">
                    <wp:posOffset>21590</wp:posOffset>
                  </wp:positionV>
                  <wp:extent cx="251460" cy="251460"/>
                  <wp:effectExtent l="0" t="0" r="0" b="0"/>
                  <wp:wrapNone/>
                  <wp:docPr id="4" name="Obraz 4"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052AF4" w14:paraId="0460B351" w14:textId="77777777" w:rsidTr="00F66EE7">
        <w:trPr>
          <w:trHeight w:val="418"/>
        </w:trPr>
        <w:tc>
          <w:tcPr>
            <w:tcW w:w="4926" w:type="dxa"/>
            <w:vMerge/>
          </w:tcPr>
          <w:p w14:paraId="57F02442" w14:textId="77777777" w:rsidR="00052AF4" w:rsidRPr="00C91687" w:rsidRDefault="00052AF4" w:rsidP="00F66EE7">
            <w:pPr>
              <w:rPr>
                <w:b/>
                <w:sz w:val="20"/>
              </w:rPr>
            </w:pPr>
          </w:p>
        </w:tc>
        <w:tc>
          <w:tcPr>
            <w:tcW w:w="4927" w:type="dxa"/>
            <w:vAlign w:val="center"/>
          </w:tcPr>
          <w:p w14:paraId="32ABD03E" w14:textId="77777777" w:rsidR="00052AF4" w:rsidRDefault="00052AF4" w:rsidP="00F66EE7">
            <w:pPr>
              <w:ind w:firstLine="680"/>
              <w:rPr>
                <w:sz w:val="18"/>
              </w:rPr>
            </w:pPr>
            <w:r w:rsidRPr="002F3A13">
              <w:rPr>
                <w:sz w:val="18"/>
              </w:rPr>
              <w:t>@</w:t>
            </w:r>
            <w:proofErr w:type="spellStart"/>
            <w:r w:rsidRPr="002F3A13">
              <w:rPr>
                <w:sz w:val="18"/>
              </w:rPr>
              <w:t>StatPoland</w:t>
            </w:r>
            <w:proofErr w:type="spellEnd"/>
            <w:r>
              <w:rPr>
                <w:noProof/>
                <w:sz w:val="20"/>
                <w:lang w:eastAsia="pl-PL"/>
              </w:rPr>
              <w:drawing>
                <wp:anchor distT="0" distB="0" distL="114300" distR="114300" simplePos="0" relativeHeight="251699200" behindDoc="0" locked="0" layoutInCell="1" allowOverlap="1" wp14:anchorId="1A9E8D8E" wp14:editId="4FA94C7D">
                  <wp:simplePos x="0" y="0"/>
                  <wp:positionH relativeFrom="column">
                    <wp:posOffset>83820</wp:posOffset>
                  </wp:positionH>
                  <wp:positionV relativeFrom="paragraph">
                    <wp:posOffset>22860</wp:posOffset>
                  </wp:positionV>
                  <wp:extent cx="251460" cy="251460"/>
                  <wp:effectExtent l="0" t="0" r="0" b="0"/>
                  <wp:wrapNone/>
                  <wp:docPr id="6" name="Obraz 6"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052AF4" w14:paraId="4F740694" w14:textId="77777777" w:rsidTr="00F66EE7">
        <w:trPr>
          <w:trHeight w:val="476"/>
        </w:trPr>
        <w:tc>
          <w:tcPr>
            <w:tcW w:w="4926" w:type="dxa"/>
            <w:vMerge/>
          </w:tcPr>
          <w:p w14:paraId="0CCBE745" w14:textId="77777777" w:rsidR="00052AF4" w:rsidRPr="00C91687" w:rsidRDefault="00052AF4" w:rsidP="00F66EE7">
            <w:pPr>
              <w:rPr>
                <w:b/>
                <w:sz w:val="20"/>
              </w:rPr>
            </w:pPr>
          </w:p>
        </w:tc>
        <w:tc>
          <w:tcPr>
            <w:tcW w:w="4927" w:type="dxa"/>
          </w:tcPr>
          <w:p w14:paraId="0574086E" w14:textId="77777777" w:rsidR="00052AF4" w:rsidRDefault="00052AF4" w:rsidP="00F66EE7">
            <w:pPr>
              <w:ind w:firstLine="680"/>
              <w:rPr>
                <w:sz w:val="18"/>
              </w:rPr>
            </w:pPr>
            <w:r>
              <w:rPr>
                <w:noProof/>
                <w:sz w:val="20"/>
                <w:lang w:eastAsia="pl-PL"/>
              </w:rPr>
              <w:drawing>
                <wp:anchor distT="0" distB="0" distL="114300" distR="114300" simplePos="0" relativeHeight="251700224" behindDoc="0" locked="0" layoutInCell="1" allowOverlap="1" wp14:anchorId="2CE83153" wp14:editId="62B915CA">
                  <wp:simplePos x="0" y="0"/>
                  <wp:positionH relativeFrom="column">
                    <wp:posOffset>80645</wp:posOffset>
                  </wp:positionH>
                  <wp:positionV relativeFrom="paragraph">
                    <wp:posOffset>13970</wp:posOffset>
                  </wp:positionV>
                  <wp:extent cx="251460" cy="251460"/>
                  <wp:effectExtent l="0" t="0" r="0" b="0"/>
                  <wp:wrapNone/>
                  <wp:docPr id="7" name="Obraz 7"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052AF4" w:rsidRPr="003D5F42" w14:paraId="40FEB32A" w14:textId="77777777" w:rsidTr="00F66EE7">
        <w:trPr>
          <w:trHeight w:val="476"/>
        </w:trPr>
        <w:tc>
          <w:tcPr>
            <w:tcW w:w="4926" w:type="dxa"/>
          </w:tcPr>
          <w:p w14:paraId="312D3275" w14:textId="77777777" w:rsidR="00052AF4" w:rsidRPr="00C91687" w:rsidRDefault="00052AF4" w:rsidP="00F66EE7">
            <w:pPr>
              <w:rPr>
                <w:b/>
                <w:sz w:val="20"/>
              </w:rPr>
            </w:pPr>
          </w:p>
        </w:tc>
        <w:tc>
          <w:tcPr>
            <w:tcW w:w="4927" w:type="dxa"/>
          </w:tcPr>
          <w:p w14:paraId="2DF5926A" w14:textId="77777777" w:rsidR="00052AF4" w:rsidRPr="003D5F42" w:rsidRDefault="00052AF4" w:rsidP="00F66EE7">
            <w:pPr>
              <w:ind w:firstLine="680"/>
              <w:rPr>
                <w:sz w:val="20"/>
              </w:rPr>
            </w:pPr>
            <w:r>
              <w:rPr>
                <w:noProof/>
                <w:sz w:val="20"/>
                <w:lang w:eastAsia="pl-PL"/>
              </w:rPr>
              <w:drawing>
                <wp:anchor distT="0" distB="0" distL="114300" distR="114300" simplePos="0" relativeHeight="251701248" behindDoc="0" locked="0" layoutInCell="1" allowOverlap="1" wp14:anchorId="7185E203" wp14:editId="383C820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052AF4" w:rsidRPr="003D5F42" w14:paraId="01276F6F" w14:textId="77777777" w:rsidTr="00F66EE7">
        <w:trPr>
          <w:trHeight w:val="476"/>
        </w:trPr>
        <w:tc>
          <w:tcPr>
            <w:tcW w:w="4926" w:type="dxa"/>
          </w:tcPr>
          <w:p w14:paraId="062C371D" w14:textId="77777777" w:rsidR="00052AF4" w:rsidRPr="00C91687" w:rsidRDefault="00052AF4" w:rsidP="00F66EE7">
            <w:pPr>
              <w:rPr>
                <w:b/>
                <w:sz w:val="20"/>
              </w:rPr>
            </w:pPr>
          </w:p>
        </w:tc>
        <w:tc>
          <w:tcPr>
            <w:tcW w:w="4927" w:type="dxa"/>
          </w:tcPr>
          <w:p w14:paraId="694B19BE" w14:textId="77777777" w:rsidR="00052AF4" w:rsidRPr="003D5F42" w:rsidRDefault="00052AF4" w:rsidP="00F66EE7">
            <w:pPr>
              <w:ind w:firstLine="680"/>
              <w:rPr>
                <w:sz w:val="20"/>
              </w:rPr>
            </w:pPr>
            <w:r>
              <w:rPr>
                <w:noProof/>
                <w:sz w:val="20"/>
                <w:lang w:eastAsia="pl-PL"/>
              </w:rPr>
              <w:drawing>
                <wp:anchor distT="0" distB="0" distL="114300" distR="114300" simplePos="0" relativeHeight="251702272" behindDoc="0" locked="0" layoutInCell="1" allowOverlap="1" wp14:anchorId="04561B65" wp14:editId="7665B007">
                  <wp:simplePos x="0" y="0"/>
                  <wp:positionH relativeFrom="column">
                    <wp:posOffset>82550</wp:posOffset>
                  </wp:positionH>
                  <wp:positionV relativeFrom="paragraph">
                    <wp:posOffset>13970</wp:posOffset>
                  </wp:positionV>
                  <wp:extent cx="251460" cy="251460"/>
                  <wp:effectExtent l="0" t="0" r="0" b="0"/>
                  <wp:wrapNone/>
                  <wp:docPr id="20" name="Obraz 20"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052AF4" w:rsidRPr="003D5F42" w14:paraId="69599ADC" w14:textId="77777777" w:rsidTr="00F66EE7">
        <w:trPr>
          <w:trHeight w:val="953"/>
        </w:trPr>
        <w:tc>
          <w:tcPr>
            <w:tcW w:w="4926" w:type="dxa"/>
          </w:tcPr>
          <w:p w14:paraId="60EAADE5" w14:textId="77777777" w:rsidR="00052AF4" w:rsidRPr="00C91687" w:rsidRDefault="00052AF4" w:rsidP="00F66EE7">
            <w:pPr>
              <w:rPr>
                <w:b/>
                <w:sz w:val="20"/>
              </w:rPr>
            </w:pPr>
          </w:p>
        </w:tc>
        <w:tc>
          <w:tcPr>
            <w:tcW w:w="4927" w:type="dxa"/>
          </w:tcPr>
          <w:p w14:paraId="261E095A" w14:textId="77777777" w:rsidR="00052AF4" w:rsidRPr="003D5F42" w:rsidRDefault="00052AF4" w:rsidP="00F66EE7">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03296" behindDoc="0" locked="0" layoutInCell="1" allowOverlap="1" wp14:anchorId="361F018B" wp14:editId="5E8AF4DB">
                  <wp:simplePos x="0" y="0"/>
                  <wp:positionH relativeFrom="column">
                    <wp:posOffset>82550</wp:posOffset>
                  </wp:positionH>
                  <wp:positionV relativeFrom="paragraph">
                    <wp:posOffset>15240</wp:posOffset>
                  </wp:positionV>
                  <wp:extent cx="251460" cy="251460"/>
                  <wp:effectExtent l="0" t="0" r="0" b="0"/>
                  <wp:wrapNone/>
                  <wp:docPr id="24" name="Obraz 2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052AF4" w:rsidRPr="00876479" w14:paraId="0C4DB229" w14:textId="77777777" w:rsidTr="00F66EE7">
        <w:trPr>
          <w:trHeight w:val="4114"/>
        </w:trPr>
        <w:tc>
          <w:tcPr>
            <w:tcW w:w="9853" w:type="dxa"/>
            <w:gridSpan w:val="2"/>
            <w:shd w:val="clear" w:color="auto" w:fill="D9D9D9" w:themeFill="background1" w:themeFillShade="D9"/>
          </w:tcPr>
          <w:p w14:paraId="2D96C99B" w14:textId="77777777" w:rsidR="00052AF4" w:rsidRPr="00451DC8" w:rsidRDefault="00052AF4" w:rsidP="00F66EE7">
            <w:pPr>
              <w:shd w:val="clear" w:color="auto" w:fill="D9D9D9" w:themeFill="background1" w:themeFillShade="D9"/>
              <w:rPr>
                <w:b/>
                <w:lang w:val="en-GB"/>
              </w:rPr>
            </w:pPr>
            <w:r w:rsidRPr="00451DC8">
              <w:rPr>
                <w:b/>
                <w:lang w:val="en-GB"/>
              </w:rPr>
              <w:t>Related information</w:t>
            </w:r>
          </w:p>
          <w:p w14:paraId="0CC1176D" w14:textId="77777777" w:rsidR="00052AF4" w:rsidRPr="00451DC8" w:rsidRDefault="00052AF4" w:rsidP="00F66EE7">
            <w:pPr>
              <w:pStyle w:val="tekstzboku"/>
              <w:rPr>
                <w:rStyle w:val="Hipercze"/>
                <w:lang w:val="en-GB"/>
              </w:rPr>
            </w:pPr>
            <w:r w:rsidRPr="002457CC">
              <w:rPr>
                <w:u w:val="single"/>
              </w:rPr>
              <w:fldChar w:fldCharType="begin"/>
            </w:r>
            <w:r w:rsidRPr="00451DC8">
              <w:rPr>
                <w:u w:val="single"/>
                <w:lang w:val="en-GB"/>
              </w:rPr>
              <w:instrText>HYPERLINK "https://stat.gov.pl/en/topics/labour-market/demand-for-labor/the-demand-for-labour-in-2023,1,18.html" \o "Link to the publication The demand for labour in 2023"</w:instrText>
            </w:r>
            <w:r w:rsidRPr="002457CC">
              <w:rPr>
                <w:u w:val="single"/>
              </w:rPr>
              <w:fldChar w:fldCharType="separate"/>
            </w:r>
            <w:r w:rsidRPr="00451DC8">
              <w:rPr>
                <w:rStyle w:val="Hipercze"/>
                <w:lang w:val="en-GB"/>
              </w:rPr>
              <w:t>The demand for labour in 2023 – annual publication</w:t>
            </w:r>
          </w:p>
          <w:p w14:paraId="66AC7B73" w14:textId="1F204163" w:rsidR="00052AF4" w:rsidRPr="00451DC8" w:rsidRDefault="00052AF4" w:rsidP="00F66EE7">
            <w:pPr>
              <w:pStyle w:val="tekstzboku"/>
              <w:rPr>
                <w:rStyle w:val="Hipercze"/>
                <w:lang w:val="en-GB"/>
              </w:rPr>
            </w:pPr>
            <w:r w:rsidRPr="002457CC">
              <w:rPr>
                <w:u w:val="single"/>
              </w:rPr>
              <w:fldChar w:fldCharType="end"/>
            </w:r>
            <w:r w:rsidRPr="002457CC">
              <w:rPr>
                <w:rStyle w:val="Hipercze"/>
              </w:rPr>
              <w:fldChar w:fldCharType="begin"/>
            </w:r>
            <w:r w:rsidR="00D52680" w:rsidRPr="00D52680">
              <w:rPr>
                <w:rStyle w:val="Hipercze"/>
                <w:lang w:val="en-GB"/>
              </w:rPr>
              <w:instrText>HYPERLINK "https://stat.gov.pl/en/topics/labour-market/demand-for-labor/the-demand-for-labour-in-the-second-quarter-of-2024,2,54.html" \o "Link to the publication The demand for labour in the second quarter of 2024 - news release"</w:instrText>
            </w:r>
            <w:r w:rsidRPr="002457CC">
              <w:rPr>
                <w:rStyle w:val="Hipercze"/>
              </w:rPr>
              <w:fldChar w:fldCharType="separate"/>
            </w:r>
            <w:r w:rsidRPr="00451DC8">
              <w:rPr>
                <w:rStyle w:val="Hipercze"/>
                <w:lang w:val="en-GB"/>
              </w:rPr>
              <w:t>Th</w:t>
            </w:r>
            <w:r>
              <w:rPr>
                <w:rStyle w:val="Hipercze"/>
                <w:lang w:val="en-GB"/>
              </w:rPr>
              <w:t>e demand for labour in the second</w:t>
            </w:r>
            <w:r w:rsidRPr="00451DC8">
              <w:rPr>
                <w:rStyle w:val="Hipercze"/>
                <w:lang w:val="en-GB"/>
              </w:rPr>
              <w:t xml:space="preserve"> quarter of 2024 — news release</w:t>
            </w:r>
          </w:p>
          <w:p w14:paraId="0208D63B" w14:textId="77777777" w:rsidR="00052AF4" w:rsidRPr="00451DC8" w:rsidRDefault="00052AF4" w:rsidP="00F66EE7">
            <w:pPr>
              <w:pStyle w:val="tekstzboku"/>
              <w:rPr>
                <w:rStyle w:val="Hipercze"/>
                <w:lang w:val="en-GB"/>
              </w:rPr>
            </w:pPr>
            <w:r w:rsidRPr="002457CC">
              <w:rPr>
                <w:rStyle w:val="Hipercze"/>
                <w:bCs w:val="0"/>
              </w:rPr>
              <w:fldChar w:fldCharType="end"/>
            </w:r>
            <w:hyperlink r:id="rId23" w:tooltip="Link to other publications that contain the results of these surveys" w:history="1">
              <w:r w:rsidRPr="00451DC8">
                <w:rPr>
                  <w:rStyle w:val="Hipercze"/>
                  <w:lang w:val="en-GB"/>
                </w:rPr>
                <w:t>Other publications that contain the results of these surveys: stat.gov.pl → Topics → Labour Market</w:t>
              </w:r>
            </w:hyperlink>
            <w:r w:rsidRPr="00451DC8">
              <w:rPr>
                <w:rStyle w:val="Hipercze"/>
                <w:lang w:val="en-GB"/>
              </w:rPr>
              <w:t xml:space="preserve"> </w:t>
            </w:r>
          </w:p>
          <w:p w14:paraId="280F34AE" w14:textId="77777777" w:rsidR="00052AF4" w:rsidRPr="00451DC8" w:rsidRDefault="00052AF4" w:rsidP="00F66EE7">
            <w:pPr>
              <w:pStyle w:val="tekstzboku"/>
              <w:rPr>
                <w:rStyle w:val="Hipercze"/>
                <w:lang w:val="en-GB"/>
              </w:rPr>
            </w:pPr>
            <w:r w:rsidRPr="002457CC">
              <w:rPr>
                <w:rStyle w:val="Hipercze"/>
              </w:rPr>
              <w:fldChar w:fldCharType="begin"/>
            </w:r>
            <w:r w:rsidRPr="00451DC8">
              <w:rPr>
                <w:rStyle w:val="Hipercze"/>
                <w:lang w:val="en-GB"/>
              </w:rPr>
              <w:instrText>HYPERLINK "https://stat.gov.pl/en/topics/labour-market/demand-for-labor/methodological-report-the-demand-for-labour,4,1.html" \o "Link to the publication Methodological report. The demand for labour"</w:instrText>
            </w:r>
            <w:r w:rsidRPr="002457CC">
              <w:rPr>
                <w:rStyle w:val="Hipercze"/>
              </w:rPr>
              <w:fldChar w:fldCharType="separate"/>
            </w:r>
            <w:r w:rsidRPr="00451DC8">
              <w:rPr>
                <w:rStyle w:val="Hipercze"/>
                <w:lang w:val="en-GB"/>
              </w:rPr>
              <w:t>Methodological report. The demand for labour</w:t>
            </w:r>
          </w:p>
          <w:p w14:paraId="6A64C73C" w14:textId="77777777" w:rsidR="00052AF4" w:rsidRPr="00451DC8" w:rsidRDefault="00052AF4" w:rsidP="00F66EE7">
            <w:pPr>
              <w:shd w:val="clear" w:color="auto" w:fill="D9D9D9" w:themeFill="background1" w:themeFillShade="D9"/>
              <w:spacing w:before="360"/>
              <w:rPr>
                <w:b/>
                <w:color w:val="000000" w:themeColor="text1"/>
                <w:szCs w:val="24"/>
                <w:lang w:val="en-GB"/>
              </w:rPr>
            </w:pPr>
            <w:r w:rsidRPr="002457CC">
              <w:rPr>
                <w:rStyle w:val="Hipercze"/>
                <w:color w:val="001D77"/>
              </w:rPr>
              <w:fldChar w:fldCharType="end"/>
            </w:r>
            <w:r w:rsidRPr="00451DC8">
              <w:rPr>
                <w:b/>
                <w:color w:val="000000" w:themeColor="text1"/>
                <w:szCs w:val="24"/>
                <w:lang w:val="en-GB"/>
              </w:rPr>
              <w:t>Data available in databases</w:t>
            </w:r>
          </w:p>
          <w:p w14:paraId="373C3957" w14:textId="77777777" w:rsidR="00052AF4" w:rsidRPr="00451DC8" w:rsidRDefault="00052AF4" w:rsidP="00F66EE7">
            <w:pPr>
              <w:rPr>
                <w:rStyle w:val="Hipercze"/>
                <w:rFonts w:cs="Arial"/>
                <w:sz w:val="18"/>
                <w:szCs w:val="30"/>
                <w:shd w:val="clear" w:color="auto" w:fill="F0F0F0"/>
                <w:lang w:val="en-GB"/>
              </w:rPr>
            </w:pPr>
            <w:r w:rsidRPr="001A7684">
              <w:rPr>
                <w:rFonts w:eastAsia="Fira Sans Light" w:cs="Arial"/>
                <w:color w:val="0000FF"/>
                <w:sz w:val="18"/>
                <w:szCs w:val="30"/>
                <w:shd w:val="clear" w:color="auto" w:fill="F0F0F0"/>
              </w:rPr>
              <w:fldChar w:fldCharType="begin"/>
            </w:r>
            <w:r w:rsidRPr="00451DC8">
              <w:rPr>
                <w:rFonts w:eastAsia="Fira Sans Light" w:cs="Arial"/>
                <w:color w:val="0000FF"/>
                <w:sz w:val="18"/>
                <w:szCs w:val="30"/>
                <w:shd w:val="clear" w:color="auto" w:fill="F0F0F0"/>
                <w:lang w:val="en-GB"/>
              </w:rPr>
              <w:instrText>HYPERLINK "https://dbw.stat.gov.pl/en/baza-danych" \o "Link to Knowledge Databases. Theme Labour market"</w:instrText>
            </w:r>
            <w:r w:rsidRPr="001A7684">
              <w:rPr>
                <w:rFonts w:eastAsia="Fira Sans Light" w:cs="Arial"/>
                <w:color w:val="0000FF"/>
                <w:sz w:val="18"/>
                <w:szCs w:val="30"/>
                <w:shd w:val="clear" w:color="auto" w:fill="F0F0F0"/>
              </w:rPr>
              <w:fldChar w:fldCharType="separate"/>
            </w:r>
            <w:r w:rsidRPr="00451DC8">
              <w:rPr>
                <w:rStyle w:val="Hipercze"/>
                <w:lang w:val="en-GB"/>
              </w:rPr>
              <w:t>Knowledge Databases</w:t>
            </w:r>
            <w:r w:rsidRPr="00451DC8">
              <w:rPr>
                <w:rStyle w:val="Hipercze"/>
                <w:rFonts w:cs="Arial"/>
                <w:sz w:val="18"/>
                <w:szCs w:val="30"/>
                <w:lang w:val="en-GB"/>
              </w:rPr>
              <w:t xml:space="preserve"> → Search for data → Society → Labour market </w:t>
            </w:r>
          </w:p>
          <w:p w14:paraId="1C7091B4" w14:textId="77777777" w:rsidR="00052AF4" w:rsidRPr="00451DC8" w:rsidRDefault="00052AF4" w:rsidP="00F66EE7">
            <w:pPr>
              <w:rPr>
                <w:rStyle w:val="Hipercze"/>
                <w:rFonts w:cs="Arial"/>
                <w:sz w:val="18"/>
                <w:szCs w:val="30"/>
                <w:shd w:val="clear" w:color="auto" w:fill="F0F0F0"/>
                <w:lang w:val="en-GB"/>
              </w:rPr>
            </w:pPr>
            <w:r w:rsidRPr="001A7684">
              <w:rPr>
                <w:color w:val="0000FF"/>
                <w:shd w:val="clear" w:color="auto" w:fill="F0F0F0"/>
              </w:rPr>
              <w:fldChar w:fldCharType="end"/>
            </w:r>
            <w:r w:rsidRPr="001A7684">
              <w:rPr>
                <w:rFonts w:eastAsia="Fira Sans Light" w:cs="Arial"/>
                <w:color w:val="0000FF"/>
                <w:sz w:val="18"/>
                <w:szCs w:val="30"/>
                <w:shd w:val="clear" w:color="auto" w:fill="F0F0F0"/>
              </w:rPr>
              <w:fldChar w:fldCharType="begin"/>
            </w:r>
            <w:r w:rsidRPr="00451DC8">
              <w:rPr>
                <w:rFonts w:eastAsia="Fira Sans Light" w:cs="Arial"/>
                <w:color w:val="0000FF"/>
                <w:sz w:val="18"/>
                <w:szCs w:val="30"/>
                <w:shd w:val="clear" w:color="auto" w:fill="F0F0F0"/>
                <w:lang w:val="en-GB"/>
              </w:rPr>
              <w:instrText>HYPERLINK "https://strateg.stat.gov.pl/" \l "/" \o "Link to Strateg database. Theme Labour market"</w:instrText>
            </w:r>
            <w:r w:rsidRPr="001A7684">
              <w:rPr>
                <w:rFonts w:eastAsia="Fira Sans Light" w:cs="Arial"/>
                <w:color w:val="0000FF"/>
                <w:sz w:val="18"/>
                <w:szCs w:val="30"/>
                <w:shd w:val="clear" w:color="auto" w:fill="F0F0F0"/>
              </w:rPr>
              <w:fldChar w:fldCharType="separate"/>
            </w:r>
            <w:proofErr w:type="spellStart"/>
            <w:r w:rsidRPr="00451DC8">
              <w:rPr>
                <w:rStyle w:val="Hipercze"/>
                <w:rFonts w:cs="Arial"/>
                <w:sz w:val="18"/>
                <w:szCs w:val="30"/>
                <w:lang w:val="en-GB"/>
              </w:rPr>
              <w:t>Strateg</w:t>
            </w:r>
            <w:proofErr w:type="spellEnd"/>
            <w:r w:rsidRPr="00451DC8">
              <w:rPr>
                <w:rStyle w:val="Hipercze"/>
                <w:rFonts w:cs="Arial"/>
                <w:sz w:val="18"/>
                <w:szCs w:val="30"/>
                <w:lang w:val="en-GB"/>
              </w:rPr>
              <w:t xml:space="preserve"> → Statistics by theme → Labour market</w:t>
            </w:r>
          </w:p>
          <w:p w14:paraId="25926ABA" w14:textId="77777777" w:rsidR="00052AF4" w:rsidRPr="00451DC8" w:rsidRDefault="00052AF4" w:rsidP="00F66EE7">
            <w:pPr>
              <w:pStyle w:val="tekstzboku"/>
              <w:rPr>
                <w:rStyle w:val="Hipercze"/>
                <w:lang w:val="en-GB"/>
              </w:rPr>
            </w:pPr>
            <w:r w:rsidRPr="001A7684">
              <w:rPr>
                <w:color w:val="0000FF"/>
                <w:shd w:val="clear" w:color="auto" w:fill="F0F0F0"/>
              </w:rPr>
              <w:fldChar w:fldCharType="end"/>
            </w:r>
            <w:r w:rsidRPr="002457CC">
              <w:rPr>
                <w:rStyle w:val="Hipercze"/>
              </w:rPr>
              <w:fldChar w:fldCharType="begin"/>
            </w:r>
            <w:r w:rsidRPr="00451DC8">
              <w:rPr>
                <w:rStyle w:val="Hipercze"/>
                <w:lang w:val="en-GB"/>
              </w:rPr>
              <w:instrText>HYPERLINK "https://bdl.stat.gov.pl/BDL/dane/podgrup/temat" \o "Link to Local Data Bank. Domain Labour market"</w:instrText>
            </w:r>
            <w:r w:rsidRPr="002457CC">
              <w:rPr>
                <w:rStyle w:val="Hipercze"/>
              </w:rPr>
              <w:fldChar w:fldCharType="separate"/>
            </w:r>
            <w:r w:rsidRPr="00451DC8">
              <w:rPr>
                <w:rStyle w:val="Hipercze"/>
                <w:lang w:val="en-GB"/>
              </w:rPr>
              <w:t>Local Data Bank → Labour market</w:t>
            </w:r>
          </w:p>
          <w:p w14:paraId="7D152E38" w14:textId="77777777" w:rsidR="00052AF4" w:rsidRPr="00451DC8" w:rsidRDefault="00052AF4" w:rsidP="00F66EE7">
            <w:pPr>
              <w:pStyle w:val="tekstzboku"/>
              <w:rPr>
                <w:rStyle w:val="Hipercze"/>
                <w:lang w:val="en-GB"/>
              </w:rPr>
            </w:pPr>
            <w:r w:rsidRPr="002457CC">
              <w:rPr>
                <w:rStyle w:val="Hipercze"/>
              </w:rPr>
              <w:fldChar w:fldCharType="end"/>
            </w:r>
            <w:hyperlink r:id="rId24" w:tooltip="Link to Statistics for the SDGs – global indicators" w:history="1">
              <w:r w:rsidRPr="00451DC8">
                <w:rPr>
                  <w:rStyle w:val="Hipercze"/>
                  <w:lang w:val="en-GB"/>
                </w:rPr>
                <w:t>Statistics for the SDGs – global indicators</w:t>
              </w:r>
            </w:hyperlink>
          </w:p>
          <w:p w14:paraId="309B1394" w14:textId="77777777" w:rsidR="00052AF4" w:rsidRPr="00451DC8" w:rsidRDefault="00052AF4" w:rsidP="00F66EE7">
            <w:pPr>
              <w:shd w:val="clear" w:color="auto" w:fill="D9D9D9" w:themeFill="background1" w:themeFillShade="D9"/>
              <w:spacing w:before="360"/>
              <w:rPr>
                <w:b/>
                <w:color w:val="000000" w:themeColor="text1"/>
                <w:szCs w:val="24"/>
                <w:lang w:val="en-GB"/>
              </w:rPr>
            </w:pPr>
            <w:r w:rsidRPr="00451DC8">
              <w:rPr>
                <w:b/>
                <w:color w:val="000000" w:themeColor="text1"/>
                <w:szCs w:val="24"/>
                <w:lang w:val="en-GB"/>
              </w:rPr>
              <w:t>Terms used in official statistics</w:t>
            </w:r>
          </w:p>
          <w:p w14:paraId="484AEAB5" w14:textId="77777777" w:rsidR="00052AF4" w:rsidRPr="00451DC8" w:rsidRDefault="008E5EE5" w:rsidP="00F66EE7">
            <w:pPr>
              <w:rPr>
                <w:rStyle w:val="Hipercze"/>
                <w:rFonts w:cs="Arial"/>
                <w:sz w:val="18"/>
                <w:szCs w:val="30"/>
                <w:shd w:val="clear" w:color="auto" w:fill="F0F0F0"/>
                <w:lang w:val="en-GB"/>
              </w:rPr>
            </w:pPr>
            <w:hyperlink r:id="rId25" w:tooltip="Link to term Demand for labour" w:history="1">
              <w:r w:rsidR="00052AF4" w:rsidRPr="00451DC8">
                <w:rPr>
                  <w:rStyle w:val="Hipercze"/>
                  <w:rFonts w:cs="Arial"/>
                  <w:sz w:val="18"/>
                  <w:szCs w:val="30"/>
                  <w:lang w:val="en-GB"/>
                </w:rPr>
                <w:t>Demand for labour</w:t>
              </w:r>
            </w:hyperlink>
            <w:r w:rsidR="00052AF4" w:rsidRPr="00451DC8">
              <w:rPr>
                <w:rStyle w:val="Hipercze"/>
                <w:rFonts w:cs="Arial"/>
                <w:sz w:val="18"/>
                <w:szCs w:val="30"/>
                <w:shd w:val="clear" w:color="auto" w:fill="F0F0F0"/>
                <w:lang w:val="en-GB"/>
              </w:rPr>
              <w:t xml:space="preserve"> </w:t>
            </w:r>
          </w:p>
          <w:p w14:paraId="7D1B08B4" w14:textId="77777777" w:rsidR="00052AF4" w:rsidRPr="001A7684" w:rsidRDefault="008E5EE5" w:rsidP="00F66EE7">
            <w:pPr>
              <w:rPr>
                <w:rStyle w:val="Hipercze"/>
                <w:rFonts w:cs="Arial"/>
                <w:sz w:val="18"/>
                <w:szCs w:val="30"/>
                <w:shd w:val="clear" w:color="auto" w:fill="F0F0F0"/>
              </w:rPr>
            </w:pPr>
            <w:hyperlink r:id="rId26" w:tooltip="Link to term Vacancies" w:history="1">
              <w:proofErr w:type="spellStart"/>
              <w:r w:rsidR="00052AF4">
                <w:rPr>
                  <w:rStyle w:val="Hipercze"/>
                  <w:rFonts w:cs="Arial"/>
                  <w:sz w:val="18"/>
                  <w:szCs w:val="30"/>
                </w:rPr>
                <w:t>Vacancies</w:t>
              </w:r>
              <w:proofErr w:type="spellEnd"/>
            </w:hyperlink>
          </w:p>
          <w:p w14:paraId="1129D143" w14:textId="77777777" w:rsidR="00052AF4" w:rsidRPr="00876479" w:rsidRDefault="00052AF4" w:rsidP="00F66EE7">
            <w:pPr>
              <w:rPr>
                <w:b/>
                <w:color w:val="000000" w:themeColor="text1"/>
                <w:szCs w:val="24"/>
                <w:lang w:val="en-GB"/>
              </w:rPr>
            </w:pPr>
          </w:p>
        </w:tc>
      </w:tr>
    </w:tbl>
    <w:p w14:paraId="174A5C51" w14:textId="77777777" w:rsidR="00382B0D" w:rsidRDefault="00382B0D" w:rsidP="00184B74"/>
    <w:sectPr w:rsidR="00382B0D"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AB3CE" w14:textId="77777777" w:rsidR="008E5EE5" w:rsidRDefault="008E5EE5" w:rsidP="00720CDD">
      <w:pPr>
        <w:spacing w:before="0" w:after="0" w:line="240" w:lineRule="auto"/>
      </w:pPr>
      <w:r>
        <w:separator/>
      </w:r>
    </w:p>
  </w:endnote>
  <w:endnote w:type="continuationSeparator" w:id="0">
    <w:p w14:paraId="4407D6F9" w14:textId="77777777" w:rsidR="008E5EE5" w:rsidRDefault="008E5EE5"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F0E5621" w14:textId="3CCEED6A" w:rsidR="00720CDD" w:rsidRDefault="00720CDD" w:rsidP="003B18B6">
        <w:pPr>
          <w:pStyle w:val="Stopka"/>
          <w:jc w:val="center"/>
        </w:pPr>
        <w:r>
          <w:fldChar w:fldCharType="begin"/>
        </w:r>
        <w:r>
          <w:instrText>PAGE   \* MERGEFORMAT</w:instrText>
        </w:r>
        <w:r>
          <w:fldChar w:fldCharType="separate"/>
        </w:r>
        <w:r w:rsidR="00EF34C0">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32068F19" w14:textId="61F590A7" w:rsidR="00720CDD" w:rsidRDefault="00720CDD" w:rsidP="003B18B6">
        <w:pPr>
          <w:pStyle w:val="Stopka"/>
          <w:jc w:val="center"/>
        </w:pPr>
        <w:r>
          <w:fldChar w:fldCharType="begin"/>
        </w:r>
        <w:r>
          <w:instrText>PAGE   \* MERGEFORMAT</w:instrText>
        </w:r>
        <w:r>
          <w:fldChar w:fldCharType="separate"/>
        </w:r>
        <w:r w:rsidR="00EF34C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A8D037D" w14:textId="22353302" w:rsidR="008025B1" w:rsidRDefault="00BC1501" w:rsidP="003B18B6">
        <w:pPr>
          <w:pStyle w:val="Stopka"/>
          <w:jc w:val="center"/>
        </w:pPr>
        <w:r>
          <w:fldChar w:fldCharType="begin"/>
        </w:r>
        <w:r>
          <w:instrText>PAGE   \* MERGEFORMAT</w:instrText>
        </w:r>
        <w:r>
          <w:fldChar w:fldCharType="separate"/>
        </w:r>
        <w:r w:rsidR="00EF34C0">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C39AD" w14:textId="77777777" w:rsidR="008E5EE5" w:rsidRDefault="008E5EE5" w:rsidP="00720CDD">
      <w:pPr>
        <w:spacing w:before="0" w:after="0" w:line="240" w:lineRule="auto"/>
      </w:pPr>
      <w:r>
        <w:separator/>
      </w:r>
    </w:p>
  </w:footnote>
  <w:footnote w:type="continuationSeparator" w:id="0">
    <w:p w14:paraId="344F4208" w14:textId="77777777" w:rsidR="008E5EE5" w:rsidRDefault="008E5EE5" w:rsidP="00720C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FACC"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70929C9" wp14:editId="2594CA1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4B141D9"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ED54" w14:textId="1F3B33EA" w:rsidR="00720CDD" w:rsidRDefault="00D52680">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734E0064" wp14:editId="79A18D38">
          <wp:simplePos x="0" y="0"/>
          <wp:positionH relativeFrom="column">
            <wp:posOffset>0</wp:posOffset>
          </wp:positionH>
          <wp:positionV relativeFrom="paragraph">
            <wp:posOffset>140767</wp:posOffset>
          </wp:positionV>
          <wp:extent cx="1838325" cy="696595"/>
          <wp:effectExtent l="0" t="0" r="9525" b="0"/>
          <wp:wrapSquare wrapText="bothSides"/>
          <wp:docPr id="11" name="Obraz 11"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250ABB5E" wp14:editId="1709801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715" w14:textId="4F99976C" w:rsidR="00720CDD" w:rsidRPr="003C6C8D" w:rsidRDefault="00F24C65"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BB5E" id="Schemat blokowy: opóźnienie 6" o:spid="_x0000_s1029" alt="Tytuł: Name of the publishing series — opis: The writing '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GIcw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SRx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1F7B715" w14:textId="4F99976C" w:rsidR="00720CDD" w:rsidRPr="003C6C8D" w:rsidRDefault="00F24C65"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792DEA5F" wp14:editId="718549F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3274B231" w14:textId="607FBB24" w:rsidR="00720CDD" w:rsidRDefault="00720CDD">
    <w:pPr>
      <w:pStyle w:val="Nagwek"/>
      <w:rPr>
        <w:noProof/>
        <w:lang w:eastAsia="pl-PL"/>
      </w:rPr>
    </w:pPr>
  </w:p>
  <w:p w14:paraId="41E4D33F" w14:textId="77777777" w:rsidR="00720CDD" w:rsidRDefault="00720CDD">
    <w:pPr>
      <w:pStyle w:val="Nagwek"/>
      <w:rPr>
        <w:noProof/>
        <w:lang w:eastAsia="pl-PL"/>
      </w:rPr>
    </w:pPr>
  </w:p>
  <w:p w14:paraId="028902B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172F0D5" wp14:editId="7D1C3128">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10;10 Dec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24BCE57" w14:textId="5252DBD5" w:rsidR="00720CDD" w:rsidRPr="00A01B40" w:rsidRDefault="00E2404E" w:rsidP="00F049AB">
                          <w:pPr>
                            <w:pStyle w:val="Datainformacjisygnalnej"/>
                          </w:pPr>
                          <w:r>
                            <w:t>10.12</w:t>
                          </w:r>
                          <w:r w:rsidR="00BC04EC">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2F0D5" id="_x0000_t202" coordsize="21600,21600" o:spt="202" path="m,l,21600r21600,l21600,xe">
              <v:stroke joinstyle="miter"/>
              <v:path gradientshapeok="t" o:connecttype="rect"/>
            </v:shapetype>
            <v:shape id="_x0000_s1030" type="#_x0000_t202" alt="Date of publication of the news release&#10;10 December 2024"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" filled="f" stroked="f">
              <v:textbox>
                <w:txbxContent>
                  <w:p w14:paraId="524BCE57" w14:textId="5252DBD5" w:rsidR="00720CDD" w:rsidRPr="00A01B40" w:rsidRDefault="00E2404E" w:rsidP="00F049AB">
                    <w:pPr>
                      <w:pStyle w:val="Datainformacjisygnalnej"/>
                    </w:pPr>
                    <w:r>
                      <w:t>10.12</w:t>
                    </w:r>
                    <w:r w:rsidR="00BC04EC">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EE9C" w14:textId="77777777" w:rsidR="008025B1" w:rsidRDefault="008E5EE5">
    <w:pPr>
      <w:pStyle w:val="Nagwek"/>
    </w:pPr>
  </w:p>
  <w:p w14:paraId="3F32A665" w14:textId="77777777" w:rsidR="008025B1" w:rsidRDefault="008E5EE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2067E"/>
    <w:rsid w:val="00022D7E"/>
    <w:rsid w:val="00024EB0"/>
    <w:rsid w:val="00026E8E"/>
    <w:rsid w:val="00040C0C"/>
    <w:rsid w:val="00041C5C"/>
    <w:rsid w:val="00042632"/>
    <w:rsid w:val="0004285B"/>
    <w:rsid w:val="0004499E"/>
    <w:rsid w:val="00045A03"/>
    <w:rsid w:val="000516A0"/>
    <w:rsid w:val="00052AF4"/>
    <w:rsid w:val="000565D6"/>
    <w:rsid w:val="00065890"/>
    <w:rsid w:val="00072122"/>
    <w:rsid w:val="00072C8B"/>
    <w:rsid w:val="0008114C"/>
    <w:rsid w:val="00082704"/>
    <w:rsid w:val="00091D6C"/>
    <w:rsid w:val="0009246D"/>
    <w:rsid w:val="000937B1"/>
    <w:rsid w:val="000A09F6"/>
    <w:rsid w:val="000A1C48"/>
    <w:rsid w:val="000A5F76"/>
    <w:rsid w:val="000A743B"/>
    <w:rsid w:val="000C4D6F"/>
    <w:rsid w:val="000C6C48"/>
    <w:rsid w:val="000C6FDF"/>
    <w:rsid w:val="000D2297"/>
    <w:rsid w:val="000D298A"/>
    <w:rsid w:val="000D2A6C"/>
    <w:rsid w:val="000E3006"/>
    <w:rsid w:val="000E39EB"/>
    <w:rsid w:val="000F2415"/>
    <w:rsid w:val="000F361D"/>
    <w:rsid w:val="000F3DBF"/>
    <w:rsid w:val="000F5186"/>
    <w:rsid w:val="00104818"/>
    <w:rsid w:val="00107250"/>
    <w:rsid w:val="00115642"/>
    <w:rsid w:val="00117C1A"/>
    <w:rsid w:val="0012374D"/>
    <w:rsid w:val="001273A5"/>
    <w:rsid w:val="00130C2C"/>
    <w:rsid w:val="00131CCD"/>
    <w:rsid w:val="00135F14"/>
    <w:rsid w:val="00136E1A"/>
    <w:rsid w:val="00140656"/>
    <w:rsid w:val="00142718"/>
    <w:rsid w:val="001514F6"/>
    <w:rsid w:val="001603D9"/>
    <w:rsid w:val="00170F2D"/>
    <w:rsid w:val="00171077"/>
    <w:rsid w:val="00172FB2"/>
    <w:rsid w:val="00175BD8"/>
    <w:rsid w:val="00184837"/>
    <w:rsid w:val="00184B74"/>
    <w:rsid w:val="00190377"/>
    <w:rsid w:val="001924CA"/>
    <w:rsid w:val="00196FF0"/>
    <w:rsid w:val="00197C54"/>
    <w:rsid w:val="001A0361"/>
    <w:rsid w:val="001A2B1A"/>
    <w:rsid w:val="001A3E80"/>
    <w:rsid w:val="001A7684"/>
    <w:rsid w:val="001B0215"/>
    <w:rsid w:val="001B139D"/>
    <w:rsid w:val="001B6EE3"/>
    <w:rsid w:val="001C56FA"/>
    <w:rsid w:val="001D1698"/>
    <w:rsid w:val="001D3B49"/>
    <w:rsid w:val="001D3CD1"/>
    <w:rsid w:val="001E3D3C"/>
    <w:rsid w:val="001E7928"/>
    <w:rsid w:val="001F1A8B"/>
    <w:rsid w:val="002006B5"/>
    <w:rsid w:val="00200CEA"/>
    <w:rsid w:val="002046CA"/>
    <w:rsid w:val="00206A8A"/>
    <w:rsid w:val="002150C4"/>
    <w:rsid w:val="002155E9"/>
    <w:rsid w:val="00224B71"/>
    <w:rsid w:val="002263EB"/>
    <w:rsid w:val="00227488"/>
    <w:rsid w:val="00230453"/>
    <w:rsid w:val="00230EFF"/>
    <w:rsid w:val="00231B3B"/>
    <w:rsid w:val="00246E68"/>
    <w:rsid w:val="00251F2F"/>
    <w:rsid w:val="00256092"/>
    <w:rsid w:val="00257F01"/>
    <w:rsid w:val="00261432"/>
    <w:rsid w:val="0026533D"/>
    <w:rsid w:val="00267AF8"/>
    <w:rsid w:val="00267BC6"/>
    <w:rsid w:val="00271647"/>
    <w:rsid w:val="00273D1A"/>
    <w:rsid w:val="00283E0B"/>
    <w:rsid w:val="002852E1"/>
    <w:rsid w:val="00286641"/>
    <w:rsid w:val="00287CD7"/>
    <w:rsid w:val="00291155"/>
    <w:rsid w:val="002916F5"/>
    <w:rsid w:val="00294855"/>
    <w:rsid w:val="0029572F"/>
    <w:rsid w:val="002A09E7"/>
    <w:rsid w:val="002A17F3"/>
    <w:rsid w:val="002A18C5"/>
    <w:rsid w:val="002A26AB"/>
    <w:rsid w:val="002B5D32"/>
    <w:rsid w:val="002C5325"/>
    <w:rsid w:val="002C7305"/>
    <w:rsid w:val="002C7C4C"/>
    <w:rsid w:val="002D03F5"/>
    <w:rsid w:val="002D0409"/>
    <w:rsid w:val="002D17C1"/>
    <w:rsid w:val="002D252A"/>
    <w:rsid w:val="002D6D9A"/>
    <w:rsid w:val="002E42FB"/>
    <w:rsid w:val="002E645F"/>
    <w:rsid w:val="002F2DEA"/>
    <w:rsid w:val="002F5D89"/>
    <w:rsid w:val="00300027"/>
    <w:rsid w:val="00304E4C"/>
    <w:rsid w:val="003105CA"/>
    <w:rsid w:val="00311291"/>
    <w:rsid w:val="00315907"/>
    <w:rsid w:val="00316870"/>
    <w:rsid w:val="00330846"/>
    <w:rsid w:val="00334749"/>
    <w:rsid w:val="00335E09"/>
    <w:rsid w:val="0033794F"/>
    <w:rsid w:val="00340AA7"/>
    <w:rsid w:val="00347FDF"/>
    <w:rsid w:val="003518EC"/>
    <w:rsid w:val="0035668D"/>
    <w:rsid w:val="00370BB7"/>
    <w:rsid w:val="0037174E"/>
    <w:rsid w:val="00372E2E"/>
    <w:rsid w:val="00382B0D"/>
    <w:rsid w:val="00383670"/>
    <w:rsid w:val="00396508"/>
    <w:rsid w:val="00396DCF"/>
    <w:rsid w:val="003A026F"/>
    <w:rsid w:val="003A1620"/>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9BE"/>
    <w:rsid w:val="003D6F79"/>
    <w:rsid w:val="003E5EB1"/>
    <w:rsid w:val="003E77A7"/>
    <w:rsid w:val="003F37B6"/>
    <w:rsid w:val="003F6796"/>
    <w:rsid w:val="00402693"/>
    <w:rsid w:val="004047A1"/>
    <w:rsid w:val="0040692B"/>
    <w:rsid w:val="004120E1"/>
    <w:rsid w:val="00412AC0"/>
    <w:rsid w:val="004134BD"/>
    <w:rsid w:val="0042049A"/>
    <w:rsid w:val="00426280"/>
    <w:rsid w:val="00431C6C"/>
    <w:rsid w:val="004405AD"/>
    <w:rsid w:val="00441D2C"/>
    <w:rsid w:val="004441CB"/>
    <w:rsid w:val="00450BB1"/>
    <w:rsid w:val="00451B20"/>
    <w:rsid w:val="00463376"/>
    <w:rsid w:val="00467CE2"/>
    <w:rsid w:val="00470248"/>
    <w:rsid w:val="00474299"/>
    <w:rsid w:val="00474B43"/>
    <w:rsid w:val="0048215D"/>
    <w:rsid w:val="00483460"/>
    <w:rsid w:val="0048457B"/>
    <w:rsid w:val="00492DDE"/>
    <w:rsid w:val="00495BD4"/>
    <w:rsid w:val="00496AD0"/>
    <w:rsid w:val="004A4AD2"/>
    <w:rsid w:val="004A7824"/>
    <w:rsid w:val="004B4B29"/>
    <w:rsid w:val="004B6255"/>
    <w:rsid w:val="004C0C6F"/>
    <w:rsid w:val="004C1642"/>
    <w:rsid w:val="004C6F80"/>
    <w:rsid w:val="004C6FA6"/>
    <w:rsid w:val="004D2E6C"/>
    <w:rsid w:val="004D347B"/>
    <w:rsid w:val="004D781D"/>
    <w:rsid w:val="004E12FF"/>
    <w:rsid w:val="004E4592"/>
    <w:rsid w:val="004E5D51"/>
    <w:rsid w:val="004F2A37"/>
    <w:rsid w:val="004F3077"/>
    <w:rsid w:val="004F6E86"/>
    <w:rsid w:val="004F6EEE"/>
    <w:rsid w:val="005012C8"/>
    <w:rsid w:val="0051121C"/>
    <w:rsid w:val="0051542D"/>
    <w:rsid w:val="00515F59"/>
    <w:rsid w:val="00520188"/>
    <w:rsid w:val="005243C3"/>
    <w:rsid w:val="00530E40"/>
    <w:rsid w:val="005334CE"/>
    <w:rsid w:val="00543C64"/>
    <w:rsid w:val="00545027"/>
    <w:rsid w:val="00545E6B"/>
    <w:rsid w:val="00550764"/>
    <w:rsid w:val="005529EE"/>
    <w:rsid w:val="00556172"/>
    <w:rsid w:val="00561D40"/>
    <w:rsid w:val="00563CBF"/>
    <w:rsid w:val="00564F68"/>
    <w:rsid w:val="00566D71"/>
    <w:rsid w:val="00567629"/>
    <w:rsid w:val="00570ECF"/>
    <w:rsid w:val="00572592"/>
    <w:rsid w:val="00584D4D"/>
    <w:rsid w:val="00591CFF"/>
    <w:rsid w:val="00593514"/>
    <w:rsid w:val="005961EF"/>
    <w:rsid w:val="00596530"/>
    <w:rsid w:val="00597408"/>
    <w:rsid w:val="005974E2"/>
    <w:rsid w:val="005A2DB6"/>
    <w:rsid w:val="005A4A62"/>
    <w:rsid w:val="005A7633"/>
    <w:rsid w:val="005B0CCC"/>
    <w:rsid w:val="005B27A8"/>
    <w:rsid w:val="005B37CF"/>
    <w:rsid w:val="005C7C94"/>
    <w:rsid w:val="005D0822"/>
    <w:rsid w:val="005D0F1D"/>
    <w:rsid w:val="005D204F"/>
    <w:rsid w:val="005E0A1E"/>
    <w:rsid w:val="005E62EC"/>
    <w:rsid w:val="005F1C21"/>
    <w:rsid w:val="005F54EC"/>
    <w:rsid w:val="00600CFF"/>
    <w:rsid w:val="0060349E"/>
    <w:rsid w:val="00611AA5"/>
    <w:rsid w:val="00611CC2"/>
    <w:rsid w:val="00611FF9"/>
    <w:rsid w:val="006146D5"/>
    <w:rsid w:val="00614B09"/>
    <w:rsid w:val="00620850"/>
    <w:rsid w:val="00633A5C"/>
    <w:rsid w:val="00635381"/>
    <w:rsid w:val="00644277"/>
    <w:rsid w:val="00653495"/>
    <w:rsid w:val="00654395"/>
    <w:rsid w:val="00654EE9"/>
    <w:rsid w:val="00655786"/>
    <w:rsid w:val="0065636B"/>
    <w:rsid w:val="00660FA0"/>
    <w:rsid w:val="006754F2"/>
    <w:rsid w:val="00675DD7"/>
    <w:rsid w:val="00684F1B"/>
    <w:rsid w:val="00692DC7"/>
    <w:rsid w:val="00694C3F"/>
    <w:rsid w:val="00695CB8"/>
    <w:rsid w:val="00696327"/>
    <w:rsid w:val="006A2260"/>
    <w:rsid w:val="006A2AE7"/>
    <w:rsid w:val="006A3AA0"/>
    <w:rsid w:val="006A4236"/>
    <w:rsid w:val="006A7239"/>
    <w:rsid w:val="006B1975"/>
    <w:rsid w:val="006B5046"/>
    <w:rsid w:val="006B6701"/>
    <w:rsid w:val="006B71DC"/>
    <w:rsid w:val="006C3758"/>
    <w:rsid w:val="006C4D38"/>
    <w:rsid w:val="006C7A0D"/>
    <w:rsid w:val="006D25D3"/>
    <w:rsid w:val="006D4CC2"/>
    <w:rsid w:val="006E353A"/>
    <w:rsid w:val="006F1184"/>
    <w:rsid w:val="006F44F4"/>
    <w:rsid w:val="006F48F7"/>
    <w:rsid w:val="00700289"/>
    <w:rsid w:val="00701F23"/>
    <w:rsid w:val="00705B53"/>
    <w:rsid w:val="00712B10"/>
    <w:rsid w:val="0071478F"/>
    <w:rsid w:val="00720CDD"/>
    <w:rsid w:val="0072155F"/>
    <w:rsid w:val="0072667A"/>
    <w:rsid w:val="00730D3F"/>
    <w:rsid w:val="0073793F"/>
    <w:rsid w:val="007507D1"/>
    <w:rsid w:val="00751870"/>
    <w:rsid w:val="0075269B"/>
    <w:rsid w:val="00753196"/>
    <w:rsid w:val="00760275"/>
    <w:rsid w:val="0076168B"/>
    <w:rsid w:val="00761A7B"/>
    <w:rsid w:val="00762B43"/>
    <w:rsid w:val="00764732"/>
    <w:rsid w:val="00764DF4"/>
    <w:rsid w:val="007667F3"/>
    <w:rsid w:val="00766B4E"/>
    <w:rsid w:val="007734CA"/>
    <w:rsid w:val="00780998"/>
    <w:rsid w:val="00783B49"/>
    <w:rsid w:val="00783B91"/>
    <w:rsid w:val="00786534"/>
    <w:rsid w:val="007A1680"/>
    <w:rsid w:val="007A2D2D"/>
    <w:rsid w:val="007B0380"/>
    <w:rsid w:val="007B5227"/>
    <w:rsid w:val="007B5580"/>
    <w:rsid w:val="007B5D11"/>
    <w:rsid w:val="007B7F99"/>
    <w:rsid w:val="007C37F4"/>
    <w:rsid w:val="007D0930"/>
    <w:rsid w:val="007D73CA"/>
    <w:rsid w:val="007E26A5"/>
    <w:rsid w:val="007E2F16"/>
    <w:rsid w:val="007E35DC"/>
    <w:rsid w:val="007E45D3"/>
    <w:rsid w:val="007E46DD"/>
    <w:rsid w:val="007F5EB8"/>
    <w:rsid w:val="007F6993"/>
    <w:rsid w:val="00811FFA"/>
    <w:rsid w:val="00813A57"/>
    <w:rsid w:val="00820F2A"/>
    <w:rsid w:val="008233C7"/>
    <w:rsid w:val="008278B4"/>
    <w:rsid w:val="008317CE"/>
    <w:rsid w:val="008343CB"/>
    <w:rsid w:val="0083573B"/>
    <w:rsid w:val="00837BBB"/>
    <w:rsid w:val="008418C7"/>
    <w:rsid w:val="00841CB2"/>
    <w:rsid w:val="008421E4"/>
    <w:rsid w:val="00843A4F"/>
    <w:rsid w:val="00845E8F"/>
    <w:rsid w:val="008505E8"/>
    <w:rsid w:val="00852C76"/>
    <w:rsid w:val="00852F54"/>
    <w:rsid w:val="008535CC"/>
    <w:rsid w:val="0085605A"/>
    <w:rsid w:val="00861D9E"/>
    <w:rsid w:val="00863A59"/>
    <w:rsid w:val="00867FE5"/>
    <w:rsid w:val="008706FC"/>
    <w:rsid w:val="00871022"/>
    <w:rsid w:val="0087293E"/>
    <w:rsid w:val="008835FD"/>
    <w:rsid w:val="0089326D"/>
    <w:rsid w:val="008A2A1F"/>
    <w:rsid w:val="008A533F"/>
    <w:rsid w:val="008B077A"/>
    <w:rsid w:val="008B10FB"/>
    <w:rsid w:val="008B1E47"/>
    <w:rsid w:val="008B79C3"/>
    <w:rsid w:val="008B7CED"/>
    <w:rsid w:val="008B7E2B"/>
    <w:rsid w:val="008C6733"/>
    <w:rsid w:val="008D2D44"/>
    <w:rsid w:val="008D4659"/>
    <w:rsid w:val="008E1694"/>
    <w:rsid w:val="008E5EE5"/>
    <w:rsid w:val="008E6188"/>
    <w:rsid w:val="008F5705"/>
    <w:rsid w:val="008F6FCE"/>
    <w:rsid w:val="009019C4"/>
    <w:rsid w:val="009065DD"/>
    <w:rsid w:val="009114AB"/>
    <w:rsid w:val="00912DF3"/>
    <w:rsid w:val="009156DA"/>
    <w:rsid w:val="0091637C"/>
    <w:rsid w:val="0092123A"/>
    <w:rsid w:val="00925722"/>
    <w:rsid w:val="00925B60"/>
    <w:rsid w:val="0093090E"/>
    <w:rsid w:val="00934872"/>
    <w:rsid w:val="00936DEF"/>
    <w:rsid w:val="0095553B"/>
    <w:rsid w:val="00957804"/>
    <w:rsid w:val="0096043A"/>
    <w:rsid w:val="009611F2"/>
    <w:rsid w:val="00972E7B"/>
    <w:rsid w:val="00977A4E"/>
    <w:rsid w:val="00982F8C"/>
    <w:rsid w:val="0099173A"/>
    <w:rsid w:val="0099237C"/>
    <w:rsid w:val="00993D79"/>
    <w:rsid w:val="009B2B20"/>
    <w:rsid w:val="009B756B"/>
    <w:rsid w:val="009C0546"/>
    <w:rsid w:val="009C1541"/>
    <w:rsid w:val="009C2EAE"/>
    <w:rsid w:val="009D206C"/>
    <w:rsid w:val="009D5592"/>
    <w:rsid w:val="009D6229"/>
    <w:rsid w:val="009E6832"/>
    <w:rsid w:val="009F1D6E"/>
    <w:rsid w:val="009F312B"/>
    <w:rsid w:val="009F6602"/>
    <w:rsid w:val="00A00B63"/>
    <w:rsid w:val="00A017DC"/>
    <w:rsid w:val="00A03A95"/>
    <w:rsid w:val="00A049FC"/>
    <w:rsid w:val="00A10439"/>
    <w:rsid w:val="00A225E5"/>
    <w:rsid w:val="00A25B9F"/>
    <w:rsid w:val="00A2691B"/>
    <w:rsid w:val="00A3041F"/>
    <w:rsid w:val="00A3662F"/>
    <w:rsid w:val="00A45ED4"/>
    <w:rsid w:val="00A4770C"/>
    <w:rsid w:val="00A503D8"/>
    <w:rsid w:val="00A54564"/>
    <w:rsid w:val="00A56DB2"/>
    <w:rsid w:val="00A57C36"/>
    <w:rsid w:val="00A6527F"/>
    <w:rsid w:val="00A65D17"/>
    <w:rsid w:val="00A72B20"/>
    <w:rsid w:val="00A72F3C"/>
    <w:rsid w:val="00A75D34"/>
    <w:rsid w:val="00A76CCB"/>
    <w:rsid w:val="00A8024C"/>
    <w:rsid w:val="00A81B50"/>
    <w:rsid w:val="00A836DA"/>
    <w:rsid w:val="00A9245C"/>
    <w:rsid w:val="00A92D8A"/>
    <w:rsid w:val="00A96725"/>
    <w:rsid w:val="00AA19F2"/>
    <w:rsid w:val="00AB77CB"/>
    <w:rsid w:val="00AC2999"/>
    <w:rsid w:val="00AC6398"/>
    <w:rsid w:val="00AD44DB"/>
    <w:rsid w:val="00AD68C5"/>
    <w:rsid w:val="00AF535F"/>
    <w:rsid w:val="00B11B7F"/>
    <w:rsid w:val="00B15918"/>
    <w:rsid w:val="00B20956"/>
    <w:rsid w:val="00B24F40"/>
    <w:rsid w:val="00B251F7"/>
    <w:rsid w:val="00B25E44"/>
    <w:rsid w:val="00B26837"/>
    <w:rsid w:val="00B3073E"/>
    <w:rsid w:val="00B30C53"/>
    <w:rsid w:val="00B34D92"/>
    <w:rsid w:val="00B35052"/>
    <w:rsid w:val="00B35B1D"/>
    <w:rsid w:val="00B40E61"/>
    <w:rsid w:val="00B50B65"/>
    <w:rsid w:val="00B62898"/>
    <w:rsid w:val="00B71AF3"/>
    <w:rsid w:val="00B71EFA"/>
    <w:rsid w:val="00B760C1"/>
    <w:rsid w:val="00B766EC"/>
    <w:rsid w:val="00B829BF"/>
    <w:rsid w:val="00B91AEF"/>
    <w:rsid w:val="00B9249F"/>
    <w:rsid w:val="00BA1134"/>
    <w:rsid w:val="00BA3544"/>
    <w:rsid w:val="00BB03D2"/>
    <w:rsid w:val="00BB2660"/>
    <w:rsid w:val="00BB4253"/>
    <w:rsid w:val="00BC04EC"/>
    <w:rsid w:val="00BC1501"/>
    <w:rsid w:val="00BC16C8"/>
    <w:rsid w:val="00BC18F0"/>
    <w:rsid w:val="00BC6F83"/>
    <w:rsid w:val="00BC71BC"/>
    <w:rsid w:val="00BC763E"/>
    <w:rsid w:val="00BD24E2"/>
    <w:rsid w:val="00BD28A5"/>
    <w:rsid w:val="00BD7A8F"/>
    <w:rsid w:val="00BE0067"/>
    <w:rsid w:val="00BE3DA0"/>
    <w:rsid w:val="00BF2B67"/>
    <w:rsid w:val="00BF7F91"/>
    <w:rsid w:val="00C07B3B"/>
    <w:rsid w:val="00C1006E"/>
    <w:rsid w:val="00C16C2D"/>
    <w:rsid w:val="00C226B1"/>
    <w:rsid w:val="00C249EE"/>
    <w:rsid w:val="00C25884"/>
    <w:rsid w:val="00C263C8"/>
    <w:rsid w:val="00C30007"/>
    <w:rsid w:val="00C32DF8"/>
    <w:rsid w:val="00C4213C"/>
    <w:rsid w:val="00C43AF2"/>
    <w:rsid w:val="00C4433F"/>
    <w:rsid w:val="00C44E53"/>
    <w:rsid w:val="00C45334"/>
    <w:rsid w:val="00C477D8"/>
    <w:rsid w:val="00C5725B"/>
    <w:rsid w:val="00C57826"/>
    <w:rsid w:val="00C64104"/>
    <w:rsid w:val="00C73C85"/>
    <w:rsid w:val="00C73DCE"/>
    <w:rsid w:val="00C7438E"/>
    <w:rsid w:val="00C77207"/>
    <w:rsid w:val="00C853EA"/>
    <w:rsid w:val="00C86FFD"/>
    <w:rsid w:val="00C9016D"/>
    <w:rsid w:val="00C938C7"/>
    <w:rsid w:val="00C948A7"/>
    <w:rsid w:val="00CA30B6"/>
    <w:rsid w:val="00CA7A36"/>
    <w:rsid w:val="00CB4BAC"/>
    <w:rsid w:val="00CC23ED"/>
    <w:rsid w:val="00CC654E"/>
    <w:rsid w:val="00CC6CEB"/>
    <w:rsid w:val="00CC6F60"/>
    <w:rsid w:val="00CD0CED"/>
    <w:rsid w:val="00CF0F2C"/>
    <w:rsid w:val="00CF1324"/>
    <w:rsid w:val="00CF3E49"/>
    <w:rsid w:val="00CF5E4E"/>
    <w:rsid w:val="00CF5EFC"/>
    <w:rsid w:val="00CF6104"/>
    <w:rsid w:val="00CF6611"/>
    <w:rsid w:val="00CF750D"/>
    <w:rsid w:val="00D079F7"/>
    <w:rsid w:val="00D10B58"/>
    <w:rsid w:val="00D12158"/>
    <w:rsid w:val="00D133A4"/>
    <w:rsid w:val="00D20CDE"/>
    <w:rsid w:val="00D43584"/>
    <w:rsid w:val="00D4361E"/>
    <w:rsid w:val="00D52680"/>
    <w:rsid w:val="00D55051"/>
    <w:rsid w:val="00D56785"/>
    <w:rsid w:val="00D567C1"/>
    <w:rsid w:val="00D638B4"/>
    <w:rsid w:val="00D652C0"/>
    <w:rsid w:val="00D70E4D"/>
    <w:rsid w:val="00D71C8E"/>
    <w:rsid w:val="00D72655"/>
    <w:rsid w:val="00D74F74"/>
    <w:rsid w:val="00D93666"/>
    <w:rsid w:val="00D95CDF"/>
    <w:rsid w:val="00DA03D0"/>
    <w:rsid w:val="00DA17D3"/>
    <w:rsid w:val="00DA3FF0"/>
    <w:rsid w:val="00DA4AFB"/>
    <w:rsid w:val="00DB4228"/>
    <w:rsid w:val="00DB76C6"/>
    <w:rsid w:val="00DC69F7"/>
    <w:rsid w:val="00DC7750"/>
    <w:rsid w:val="00DD1AE9"/>
    <w:rsid w:val="00DD3D0A"/>
    <w:rsid w:val="00DE0D3C"/>
    <w:rsid w:val="00E02BC5"/>
    <w:rsid w:val="00E05C9A"/>
    <w:rsid w:val="00E07F36"/>
    <w:rsid w:val="00E1512B"/>
    <w:rsid w:val="00E164DD"/>
    <w:rsid w:val="00E21B36"/>
    <w:rsid w:val="00E2404E"/>
    <w:rsid w:val="00E271C9"/>
    <w:rsid w:val="00E35C34"/>
    <w:rsid w:val="00E43737"/>
    <w:rsid w:val="00E518ED"/>
    <w:rsid w:val="00E54D40"/>
    <w:rsid w:val="00E55645"/>
    <w:rsid w:val="00E561B1"/>
    <w:rsid w:val="00E57EFE"/>
    <w:rsid w:val="00E64249"/>
    <w:rsid w:val="00E66EEA"/>
    <w:rsid w:val="00E71CC7"/>
    <w:rsid w:val="00E76EE8"/>
    <w:rsid w:val="00E85A4E"/>
    <w:rsid w:val="00E86B44"/>
    <w:rsid w:val="00E93D91"/>
    <w:rsid w:val="00EA22C9"/>
    <w:rsid w:val="00EA282E"/>
    <w:rsid w:val="00EB5F18"/>
    <w:rsid w:val="00EC1BC1"/>
    <w:rsid w:val="00EC4EE4"/>
    <w:rsid w:val="00EC6A59"/>
    <w:rsid w:val="00ED09B4"/>
    <w:rsid w:val="00ED473F"/>
    <w:rsid w:val="00ED5017"/>
    <w:rsid w:val="00EE5809"/>
    <w:rsid w:val="00EE741F"/>
    <w:rsid w:val="00EF0641"/>
    <w:rsid w:val="00EF34C0"/>
    <w:rsid w:val="00EF598E"/>
    <w:rsid w:val="00F05723"/>
    <w:rsid w:val="00F15C18"/>
    <w:rsid w:val="00F17471"/>
    <w:rsid w:val="00F20E77"/>
    <w:rsid w:val="00F24C65"/>
    <w:rsid w:val="00F25093"/>
    <w:rsid w:val="00F31971"/>
    <w:rsid w:val="00F31C12"/>
    <w:rsid w:val="00F36675"/>
    <w:rsid w:val="00F463A0"/>
    <w:rsid w:val="00F5021F"/>
    <w:rsid w:val="00F53587"/>
    <w:rsid w:val="00F54BD1"/>
    <w:rsid w:val="00F55AFE"/>
    <w:rsid w:val="00F56DA1"/>
    <w:rsid w:val="00F57EAC"/>
    <w:rsid w:val="00F62D93"/>
    <w:rsid w:val="00F64C6A"/>
    <w:rsid w:val="00F65967"/>
    <w:rsid w:val="00F65B81"/>
    <w:rsid w:val="00F729BF"/>
    <w:rsid w:val="00F73F25"/>
    <w:rsid w:val="00F75A33"/>
    <w:rsid w:val="00F7621C"/>
    <w:rsid w:val="00F8074C"/>
    <w:rsid w:val="00F82776"/>
    <w:rsid w:val="00F86926"/>
    <w:rsid w:val="00F92148"/>
    <w:rsid w:val="00F92EA7"/>
    <w:rsid w:val="00FA0528"/>
    <w:rsid w:val="00FA069A"/>
    <w:rsid w:val="00FA30A3"/>
    <w:rsid w:val="00FB3352"/>
    <w:rsid w:val="00FB6942"/>
    <w:rsid w:val="00FD0346"/>
    <w:rsid w:val="00FD3FA5"/>
    <w:rsid w:val="00FE0DE3"/>
    <w:rsid w:val="00FE5899"/>
    <w:rsid w:val="00FE5CB2"/>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42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012,term.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011,term.html" TargetMode="Externa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metadata/classifications" TargetMode="External"/><Relationship Id="rId24" Type="http://schemas.openxmlformats.org/officeDocument/2006/relationships/hyperlink" Target="https://sdg.gov.pl/en/"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en/topics/labour-market/"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News releases_The_demand_for_labour_in_the_third_quarter_of_2024.docx.docx</NazwaPliku>
    <Odbiorcy2 xmlns="1E9983FF-DC4B-4F4E-A072-0441E2B88E6D" xsi:nil="true"/>
    <_SourceUrl xmlns="http://schemas.microsoft.com/sharepoint/v3" xsi:nil="true"/>
    <xd_ProgID xmlns="http://schemas.microsoft.com/sharepoint/v3" xsi:nil="true"/>
    <Osoba xmlns="1E9983FF-DC4B-4F4E-A072-0441E2B88E6D">STAT\CZARNECKAK</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DFA86F22-D12B-4666-AF96-5BB56FF4C1E8}"/>
</file>

<file path=customXml/itemProps2.xml><?xml version="1.0" encoding="utf-8"?>
<ds:datastoreItem xmlns:ds="http://schemas.openxmlformats.org/officeDocument/2006/customXml" ds:itemID="{8FD8908F-7138-44B7-9662-B6A50C810F2B}"/>
</file>

<file path=customXml/itemProps3.xml><?xml version="1.0" encoding="utf-8"?>
<ds:datastoreItem xmlns:ds="http://schemas.openxmlformats.org/officeDocument/2006/customXml" ds:itemID="{3C9D0C07-F23C-4B44-B0A5-DE5AAABB4007}"/>
</file>

<file path=docProps/app.xml><?xml version="1.0" encoding="utf-8"?>
<Properties xmlns="http://schemas.openxmlformats.org/officeDocument/2006/extended-properties" xmlns:vt="http://schemas.openxmlformats.org/officeDocument/2006/docPropsVTypes">
  <Template>Normal.dotm</Template>
  <TotalTime>244</TotalTime>
  <Pages>4</Pages>
  <Words>875</Words>
  <Characters>5255</Characters>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2023-11-16T13:25:00Z</cp:lastPrinted>
  <dcterms:created xsi:type="dcterms:W3CDTF">2024-11-22T08:58:00Z</dcterms:created>
  <dcterms:modified xsi:type="dcterms:W3CDTF">2024-12-02T08:46:00Z</dcterms:modified>
</cp:coreProperties>
</file>